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208FB" w14:textId="77777777" w:rsidR="00B378A2" w:rsidRDefault="00BC7C4B" w:rsidP="00B378A2">
      <w:pPr>
        <w:pStyle w:val="VLAtitle"/>
      </w:pPr>
      <w:bookmarkStart w:id="0" w:name="_Toc14094181"/>
      <w:bookmarkStart w:id="1" w:name="_Toc14094275"/>
      <w:r>
        <w:t>Reconciliation Action Plan</w:t>
      </w:r>
      <w:bookmarkEnd w:id="0"/>
      <w:bookmarkEnd w:id="1"/>
    </w:p>
    <w:p w14:paraId="41A45E6E" w14:textId="668F3C0A" w:rsidR="00086F31" w:rsidRDefault="00BC7C4B" w:rsidP="00BC7C4B">
      <w:pPr>
        <w:pStyle w:val="VLAsubtitle"/>
      </w:pPr>
      <w:r>
        <w:t>July 2019–J</w:t>
      </w:r>
      <w:r w:rsidR="00086F31">
        <w:t>anuary 2022</w:t>
      </w:r>
    </w:p>
    <w:p w14:paraId="204F5EF3" w14:textId="3BFB4232" w:rsidR="00FD2DAD" w:rsidRDefault="00AD1CEF" w:rsidP="00BC7C4B">
      <w:pPr>
        <w:pStyle w:val="VLAsubtitle"/>
        <w:sectPr w:rsidR="00FD2DAD" w:rsidSect="007C05C3">
          <w:headerReference w:type="even" r:id="rId11"/>
          <w:headerReference w:type="default" r:id="rId12"/>
          <w:footerReference w:type="default" r:id="rId13"/>
          <w:headerReference w:type="first" r:id="rId14"/>
          <w:type w:val="oddPage"/>
          <w:pgSz w:w="11906" w:h="16838" w:code="9"/>
          <w:pgMar w:top="1418" w:right="992" w:bottom="1134" w:left="1134" w:header="851" w:footer="2835" w:gutter="0"/>
          <w:paperSrc w:first="7" w:other="7"/>
          <w:cols w:space="720"/>
          <w:titlePg/>
          <w:docGrid w:linePitch="299"/>
        </w:sectPr>
      </w:pPr>
      <w:r>
        <w:t xml:space="preserve">Table of extended </w:t>
      </w:r>
      <w:r w:rsidR="00E30C97">
        <w:t xml:space="preserve">deliverables </w:t>
      </w:r>
      <w:r w:rsidR="00F33A08" w:rsidRPr="00F33A08">
        <w:t>in recognition of the challenges presented by the COVID-19 pandemic</w:t>
      </w:r>
    </w:p>
    <w:p w14:paraId="109C7685" w14:textId="77777777" w:rsidR="00CE4C2F" w:rsidRPr="00CC0C03" w:rsidRDefault="00CE4C2F" w:rsidP="00CC0C03">
      <w:pPr>
        <w:sectPr w:rsidR="00CE4C2F" w:rsidRPr="00CC0C03" w:rsidSect="007C05C3">
          <w:headerReference w:type="default" r:id="rId15"/>
          <w:footerReference w:type="default" r:id="rId16"/>
          <w:type w:val="evenPage"/>
          <w:pgSz w:w="11906" w:h="16838" w:code="9"/>
          <w:pgMar w:top="1418" w:right="992" w:bottom="1134" w:left="1134" w:header="851" w:footer="284" w:gutter="0"/>
          <w:paperSrc w:first="7" w:other="7"/>
          <w:pgNumType w:start="1"/>
          <w:cols w:space="720"/>
          <w:docGrid w:linePitch="299"/>
        </w:sectPr>
      </w:pPr>
    </w:p>
    <w:p w14:paraId="695F6A7F" w14:textId="11CE73F8" w:rsidR="00450B51" w:rsidRPr="00AE51F3" w:rsidRDefault="002B4970" w:rsidP="00AE51F3">
      <w:r>
        <w:lastRenderedPageBreak/>
        <w:t>Contents</w:t>
      </w:r>
      <w:r w:rsidR="00450B51">
        <w:rPr>
          <w:color w:val="971A4B"/>
          <w:sz w:val="28"/>
          <w:szCs w:val="28"/>
          <w:lang w:eastAsia="en-AU"/>
        </w:rPr>
        <w:fldChar w:fldCharType="begin"/>
      </w:r>
      <w:r w:rsidR="00450B51">
        <w:instrText xml:space="preserve"> TOC \o "1-2" \h \z \u </w:instrText>
      </w:r>
      <w:r w:rsidR="00450B51">
        <w:rPr>
          <w:color w:val="971A4B"/>
          <w:sz w:val="28"/>
          <w:szCs w:val="28"/>
          <w:lang w:eastAsia="en-AU"/>
        </w:rPr>
        <w:fldChar w:fldCharType="separate"/>
      </w:r>
    </w:p>
    <w:p w14:paraId="0C85827A" w14:textId="3CF317F3" w:rsidR="00450B51" w:rsidRDefault="00D50B08">
      <w:pPr>
        <w:pStyle w:val="TOC1"/>
        <w:rPr>
          <w:rFonts w:asciiTheme="minorHAnsi" w:eastAsiaTheme="minorEastAsia" w:hAnsiTheme="minorHAnsi" w:cstheme="minorBidi"/>
          <w:b w:val="0"/>
          <w:noProof/>
          <w:sz w:val="22"/>
          <w:szCs w:val="22"/>
          <w:lang w:eastAsia="en-AU"/>
        </w:rPr>
      </w:pPr>
      <w:hyperlink w:anchor="_Toc14094278" w:history="1">
        <w:r w:rsidR="00450B51" w:rsidRPr="00314282">
          <w:rPr>
            <w:rStyle w:val="Hyperlink"/>
            <w:noProof/>
          </w:rPr>
          <w:t>Acknowledgment of Country</w:t>
        </w:r>
        <w:r w:rsidR="00450B51">
          <w:rPr>
            <w:noProof/>
            <w:webHidden/>
          </w:rPr>
          <w:tab/>
        </w:r>
        <w:r w:rsidR="00450B51">
          <w:rPr>
            <w:noProof/>
            <w:webHidden/>
          </w:rPr>
          <w:fldChar w:fldCharType="begin"/>
        </w:r>
        <w:r w:rsidR="00450B51">
          <w:rPr>
            <w:noProof/>
            <w:webHidden/>
          </w:rPr>
          <w:instrText xml:space="preserve"> PAGEREF _Toc14094278 \h </w:instrText>
        </w:r>
        <w:r w:rsidR="00450B51">
          <w:rPr>
            <w:noProof/>
            <w:webHidden/>
          </w:rPr>
        </w:r>
        <w:r w:rsidR="00450B51">
          <w:rPr>
            <w:noProof/>
            <w:webHidden/>
          </w:rPr>
          <w:fldChar w:fldCharType="separate"/>
        </w:r>
        <w:r w:rsidR="00593A5E">
          <w:rPr>
            <w:noProof/>
            <w:webHidden/>
          </w:rPr>
          <w:t>i</w:t>
        </w:r>
        <w:r w:rsidR="00450B51">
          <w:rPr>
            <w:noProof/>
            <w:webHidden/>
          </w:rPr>
          <w:fldChar w:fldCharType="end"/>
        </w:r>
      </w:hyperlink>
    </w:p>
    <w:p w14:paraId="78EB2ADA" w14:textId="5FA5AD15" w:rsidR="00450B51" w:rsidRDefault="00D50B08">
      <w:pPr>
        <w:pStyle w:val="TOC1"/>
        <w:rPr>
          <w:rFonts w:asciiTheme="minorHAnsi" w:eastAsiaTheme="minorEastAsia" w:hAnsiTheme="minorHAnsi" w:cstheme="minorBidi"/>
          <w:b w:val="0"/>
          <w:noProof/>
          <w:sz w:val="22"/>
          <w:szCs w:val="22"/>
          <w:lang w:eastAsia="en-AU"/>
        </w:rPr>
      </w:pPr>
      <w:hyperlink w:anchor="_Toc14094279" w:history="1">
        <w:r w:rsidR="00450B51" w:rsidRPr="00314282">
          <w:rPr>
            <w:rStyle w:val="Hyperlink"/>
            <w:noProof/>
          </w:rPr>
          <w:t>Foreword</w:t>
        </w:r>
        <w:r w:rsidR="00450B51">
          <w:rPr>
            <w:noProof/>
            <w:webHidden/>
          </w:rPr>
          <w:tab/>
        </w:r>
        <w:r w:rsidR="00450B51">
          <w:rPr>
            <w:noProof/>
            <w:webHidden/>
          </w:rPr>
          <w:fldChar w:fldCharType="begin"/>
        </w:r>
        <w:r w:rsidR="00450B51">
          <w:rPr>
            <w:noProof/>
            <w:webHidden/>
          </w:rPr>
          <w:instrText xml:space="preserve"> PAGEREF _Toc14094279 \h </w:instrText>
        </w:r>
        <w:r w:rsidR="00450B51">
          <w:rPr>
            <w:noProof/>
            <w:webHidden/>
          </w:rPr>
        </w:r>
        <w:r w:rsidR="00450B51">
          <w:rPr>
            <w:noProof/>
            <w:webHidden/>
          </w:rPr>
          <w:fldChar w:fldCharType="separate"/>
        </w:r>
        <w:r w:rsidR="00593A5E">
          <w:rPr>
            <w:noProof/>
            <w:webHidden/>
          </w:rPr>
          <w:t>1</w:t>
        </w:r>
        <w:r w:rsidR="00450B51">
          <w:rPr>
            <w:noProof/>
            <w:webHidden/>
          </w:rPr>
          <w:fldChar w:fldCharType="end"/>
        </w:r>
      </w:hyperlink>
    </w:p>
    <w:p w14:paraId="70D7F7A9" w14:textId="3FD90067" w:rsidR="00450B51" w:rsidRDefault="00D50B08">
      <w:pPr>
        <w:pStyle w:val="TOC1"/>
        <w:rPr>
          <w:rFonts w:asciiTheme="minorHAnsi" w:eastAsiaTheme="minorEastAsia" w:hAnsiTheme="minorHAnsi" w:cstheme="minorBidi"/>
          <w:b w:val="0"/>
          <w:noProof/>
          <w:sz w:val="22"/>
          <w:szCs w:val="22"/>
          <w:lang w:eastAsia="en-AU"/>
        </w:rPr>
      </w:pPr>
      <w:hyperlink w:anchor="_Toc14094280" w:history="1">
        <w:r w:rsidR="00450B51" w:rsidRPr="00314282">
          <w:rPr>
            <w:rStyle w:val="Hyperlink"/>
            <w:noProof/>
          </w:rPr>
          <w:t>Supporting statements</w:t>
        </w:r>
        <w:r w:rsidR="00450B51">
          <w:rPr>
            <w:noProof/>
            <w:webHidden/>
          </w:rPr>
          <w:tab/>
        </w:r>
        <w:r w:rsidR="00450B51">
          <w:rPr>
            <w:noProof/>
            <w:webHidden/>
          </w:rPr>
          <w:fldChar w:fldCharType="begin"/>
        </w:r>
        <w:r w:rsidR="00450B51">
          <w:rPr>
            <w:noProof/>
            <w:webHidden/>
          </w:rPr>
          <w:instrText xml:space="preserve"> PAGEREF _Toc14094280 \h </w:instrText>
        </w:r>
        <w:r w:rsidR="00450B51">
          <w:rPr>
            <w:noProof/>
            <w:webHidden/>
          </w:rPr>
        </w:r>
        <w:r w:rsidR="00450B51">
          <w:rPr>
            <w:noProof/>
            <w:webHidden/>
          </w:rPr>
          <w:fldChar w:fldCharType="separate"/>
        </w:r>
        <w:r w:rsidR="00593A5E">
          <w:rPr>
            <w:noProof/>
            <w:webHidden/>
          </w:rPr>
          <w:t>3</w:t>
        </w:r>
        <w:r w:rsidR="00450B51">
          <w:rPr>
            <w:noProof/>
            <w:webHidden/>
          </w:rPr>
          <w:fldChar w:fldCharType="end"/>
        </w:r>
      </w:hyperlink>
    </w:p>
    <w:p w14:paraId="28450203" w14:textId="192DA0A7" w:rsidR="00450B51" w:rsidRDefault="00D50B08">
      <w:pPr>
        <w:pStyle w:val="TOC1"/>
        <w:rPr>
          <w:rFonts w:asciiTheme="minorHAnsi" w:eastAsiaTheme="minorEastAsia" w:hAnsiTheme="minorHAnsi" w:cstheme="minorBidi"/>
          <w:b w:val="0"/>
          <w:noProof/>
          <w:sz w:val="22"/>
          <w:szCs w:val="22"/>
          <w:lang w:eastAsia="en-AU"/>
        </w:rPr>
      </w:pPr>
      <w:hyperlink w:anchor="_Toc14094281" w:history="1">
        <w:r w:rsidR="00450B51" w:rsidRPr="00314282">
          <w:rPr>
            <w:rStyle w:val="Hyperlink"/>
            <w:noProof/>
          </w:rPr>
          <w:t>Our vision for reconciliation</w:t>
        </w:r>
        <w:r w:rsidR="00450B51">
          <w:rPr>
            <w:noProof/>
            <w:webHidden/>
          </w:rPr>
          <w:tab/>
        </w:r>
        <w:r w:rsidR="00450B51">
          <w:rPr>
            <w:noProof/>
            <w:webHidden/>
          </w:rPr>
          <w:fldChar w:fldCharType="begin"/>
        </w:r>
        <w:r w:rsidR="00450B51">
          <w:rPr>
            <w:noProof/>
            <w:webHidden/>
          </w:rPr>
          <w:instrText xml:space="preserve"> PAGEREF _Toc14094281 \h </w:instrText>
        </w:r>
        <w:r w:rsidR="00450B51">
          <w:rPr>
            <w:noProof/>
            <w:webHidden/>
          </w:rPr>
        </w:r>
        <w:r w:rsidR="00450B51">
          <w:rPr>
            <w:noProof/>
            <w:webHidden/>
          </w:rPr>
          <w:fldChar w:fldCharType="separate"/>
        </w:r>
        <w:r w:rsidR="00593A5E">
          <w:rPr>
            <w:noProof/>
            <w:webHidden/>
          </w:rPr>
          <w:t>4</w:t>
        </w:r>
        <w:r w:rsidR="00450B51">
          <w:rPr>
            <w:noProof/>
            <w:webHidden/>
          </w:rPr>
          <w:fldChar w:fldCharType="end"/>
        </w:r>
      </w:hyperlink>
    </w:p>
    <w:p w14:paraId="7A6AEB0D" w14:textId="5F5396F4" w:rsidR="00450B51" w:rsidRDefault="00D50B08">
      <w:pPr>
        <w:pStyle w:val="TOC1"/>
        <w:rPr>
          <w:rFonts w:asciiTheme="minorHAnsi" w:eastAsiaTheme="minorEastAsia" w:hAnsiTheme="minorHAnsi" w:cstheme="minorBidi"/>
          <w:b w:val="0"/>
          <w:noProof/>
          <w:sz w:val="22"/>
          <w:szCs w:val="22"/>
          <w:lang w:eastAsia="en-AU"/>
        </w:rPr>
      </w:pPr>
      <w:hyperlink w:anchor="_Toc14094282" w:history="1">
        <w:r w:rsidR="00450B51" w:rsidRPr="00314282">
          <w:rPr>
            <w:rStyle w:val="Hyperlink"/>
            <w:noProof/>
          </w:rPr>
          <w:t>Our business</w:t>
        </w:r>
        <w:r w:rsidR="00450B51">
          <w:rPr>
            <w:noProof/>
            <w:webHidden/>
          </w:rPr>
          <w:tab/>
        </w:r>
        <w:r w:rsidR="00450B51">
          <w:rPr>
            <w:noProof/>
            <w:webHidden/>
          </w:rPr>
          <w:fldChar w:fldCharType="begin"/>
        </w:r>
        <w:r w:rsidR="00450B51">
          <w:rPr>
            <w:noProof/>
            <w:webHidden/>
          </w:rPr>
          <w:instrText xml:space="preserve"> PAGEREF _Toc14094282 \h </w:instrText>
        </w:r>
        <w:r w:rsidR="00450B51">
          <w:rPr>
            <w:noProof/>
            <w:webHidden/>
          </w:rPr>
        </w:r>
        <w:r w:rsidR="00450B51">
          <w:rPr>
            <w:noProof/>
            <w:webHidden/>
          </w:rPr>
          <w:fldChar w:fldCharType="separate"/>
        </w:r>
        <w:r w:rsidR="00593A5E">
          <w:rPr>
            <w:noProof/>
            <w:webHidden/>
          </w:rPr>
          <w:t>4</w:t>
        </w:r>
        <w:r w:rsidR="00450B51">
          <w:rPr>
            <w:noProof/>
            <w:webHidden/>
          </w:rPr>
          <w:fldChar w:fldCharType="end"/>
        </w:r>
      </w:hyperlink>
    </w:p>
    <w:p w14:paraId="72C85A3D" w14:textId="5CC7C993" w:rsidR="00450B51" w:rsidRDefault="00D50B08">
      <w:pPr>
        <w:pStyle w:val="TOC1"/>
        <w:rPr>
          <w:rFonts w:asciiTheme="minorHAnsi" w:eastAsiaTheme="minorEastAsia" w:hAnsiTheme="minorHAnsi" w:cstheme="minorBidi"/>
          <w:b w:val="0"/>
          <w:noProof/>
          <w:sz w:val="22"/>
          <w:szCs w:val="22"/>
          <w:lang w:eastAsia="en-AU"/>
        </w:rPr>
      </w:pPr>
      <w:hyperlink w:anchor="_Toc14094283" w:history="1">
        <w:r w:rsidR="00450B51" w:rsidRPr="00314282">
          <w:rPr>
            <w:rStyle w:val="Hyperlink"/>
            <w:noProof/>
          </w:rPr>
          <w:t>Our Reconciliation Action Plan</w:t>
        </w:r>
        <w:r w:rsidR="00450B51">
          <w:rPr>
            <w:noProof/>
            <w:webHidden/>
          </w:rPr>
          <w:tab/>
        </w:r>
        <w:r w:rsidR="00450B51">
          <w:rPr>
            <w:noProof/>
            <w:webHidden/>
          </w:rPr>
          <w:fldChar w:fldCharType="begin"/>
        </w:r>
        <w:r w:rsidR="00450B51">
          <w:rPr>
            <w:noProof/>
            <w:webHidden/>
          </w:rPr>
          <w:instrText xml:space="preserve"> PAGEREF _Toc14094283 \h </w:instrText>
        </w:r>
        <w:r w:rsidR="00450B51">
          <w:rPr>
            <w:noProof/>
            <w:webHidden/>
          </w:rPr>
        </w:r>
        <w:r w:rsidR="00450B51">
          <w:rPr>
            <w:noProof/>
            <w:webHidden/>
          </w:rPr>
          <w:fldChar w:fldCharType="separate"/>
        </w:r>
        <w:r w:rsidR="00593A5E">
          <w:rPr>
            <w:noProof/>
            <w:webHidden/>
          </w:rPr>
          <w:t>6</w:t>
        </w:r>
        <w:r w:rsidR="00450B51">
          <w:rPr>
            <w:noProof/>
            <w:webHidden/>
          </w:rPr>
          <w:fldChar w:fldCharType="end"/>
        </w:r>
      </w:hyperlink>
    </w:p>
    <w:p w14:paraId="0B3AD491" w14:textId="00805635" w:rsidR="00450B51" w:rsidRDefault="00D50B08">
      <w:pPr>
        <w:pStyle w:val="TOC2"/>
        <w:rPr>
          <w:rFonts w:asciiTheme="minorHAnsi" w:eastAsiaTheme="minorEastAsia" w:hAnsiTheme="minorHAnsi" w:cstheme="minorBidi"/>
          <w:sz w:val="22"/>
          <w:szCs w:val="22"/>
          <w:lang w:eastAsia="en-AU"/>
        </w:rPr>
      </w:pPr>
      <w:hyperlink w:anchor="_Toc14094284" w:history="1">
        <w:r w:rsidR="00450B51" w:rsidRPr="00314282">
          <w:rPr>
            <w:rStyle w:val="Hyperlink"/>
          </w:rPr>
          <w:t>Relationships</w:t>
        </w:r>
        <w:r w:rsidR="00450B51">
          <w:rPr>
            <w:webHidden/>
          </w:rPr>
          <w:tab/>
        </w:r>
        <w:r w:rsidR="00450B51">
          <w:rPr>
            <w:webHidden/>
          </w:rPr>
          <w:fldChar w:fldCharType="begin"/>
        </w:r>
        <w:r w:rsidR="00450B51">
          <w:rPr>
            <w:webHidden/>
          </w:rPr>
          <w:instrText xml:space="preserve"> PAGEREF _Toc14094284 \h </w:instrText>
        </w:r>
        <w:r w:rsidR="00450B51">
          <w:rPr>
            <w:webHidden/>
          </w:rPr>
        </w:r>
        <w:r w:rsidR="00450B51">
          <w:rPr>
            <w:webHidden/>
          </w:rPr>
          <w:fldChar w:fldCharType="separate"/>
        </w:r>
        <w:r w:rsidR="00593A5E">
          <w:rPr>
            <w:webHidden/>
          </w:rPr>
          <w:t>13</w:t>
        </w:r>
        <w:r w:rsidR="00450B51">
          <w:rPr>
            <w:webHidden/>
          </w:rPr>
          <w:fldChar w:fldCharType="end"/>
        </w:r>
      </w:hyperlink>
    </w:p>
    <w:p w14:paraId="6AF982A2" w14:textId="41AE172B" w:rsidR="00450B51" w:rsidRDefault="00D50B08">
      <w:pPr>
        <w:pStyle w:val="TOC2"/>
        <w:rPr>
          <w:rFonts w:asciiTheme="minorHAnsi" w:eastAsiaTheme="minorEastAsia" w:hAnsiTheme="minorHAnsi" w:cstheme="minorBidi"/>
          <w:sz w:val="22"/>
          <w:szCs w:val="22"/>
          <w:lang w:eastAsia="en-AU"/>
        </w:rPr>
      </w:pPr>
      <w:hyperlink w:anchor="_Toc14094285" w:history="1">
        <w:r w:rsidR="00450B51" w:rsidRPr="00314282">
          <w:rPr>
            <w:rStyle w:val="Hyperlink"/>
          </w:rPr>
          <w:t>Respect</w:t>
        </w:r>
        <w:r w:rsidR="00450B51">
          <w:rPr>
            <w:webHidden/>
          </w:rPr>
          <w:tab/>
        </w:r>
        <w:r w:rsidR="00450B51">
          <w:rPr>
            <w:webHidden/>
          </w:rPr>
          <w:fldChar w:fldCharType="begin"/>
        </w:r>
        <w:r w:rsidR="00450B51">
          <w:rPr>
            <w:webHidden/>
          </w:rPr>
          <w:instrText xml:space="preserve"> PAGEREF _Toc14094285 \h </w:instrText>
        </w:r>
        <w:r w:rsidR="00450B51">
          <w:rPr>
            <w:webHidden/>
          </w:rPr>
        </w:r>
        <w:r w:rsidR="00450B51">
          <w:rPr>
            <w:webHidden/>
          </w:rPr>
          <w:fldChar w:fldCharType="separate"/>
        </w:r>
        <w:r w:rsidR="00593A5E">
          <w:rPr>
            <w:webHidden/>
          </w:rPr>
          <w:t>19</w:t>
        </w:r>
        <w:r w:rsidR="00450B51">
          <w:rPr>
            <w:webHidden/>
          </w:rPr>
          <w:fldChar w:fldCharType="end"/>
        </w:r>
      </w:hyperlink>
    </w:p>
    <w:p w14:paraId="01157764" w14:textId="50424D2F" w:rsidR="00450B51" w:rsidRDefault="00D50B08">
      <w:pPr>
        <w:pStyle w:val="TOC2"/>
        <w:rPr>
          <w:rFonts w:asciiTheme="minorHAnsi" w:eastAsiaTheme="minorEastAsia" w:hAnsiTheme="minorHAnsi" w:cstheme="minorBidi"/>
          <w:sz w:val="22"/>
          <w:szCs w:val="22"/>
          <w:lang w:eastAsia="en-AU"/>
        </w:rPr>
      </w:pPr>
      <w:hyperlink w:anchor="_Toc14094286" w:history="1">
        <w:r w:rsidR="00450B51" w:rsidRPr="00314282">
          <w:rPr>
            <w:rStyle w:val="Hyperlink"/>
          </w:rPr>
          <w:t>Opportunities</w:t>
        </w:r>
        <w:r w:rsidR="00450B51">
          <w:rPr>
            <w:webHidden/>
          </w:rPr>
          <w:tab/>
        </w:r>
        <w:r w:rsidR="00450B51">
          <w:rPr>
            <w:webHidden/>
          </w:rPr>
          <w:fldChar w:fldCharType="begin"/>
        </w:r>
        <w:r w:rsidR="00450B51">
          <w:rPr>
            <w:webHidden/>
          </w:rPr>
          <w:instrText xml:space="preserve"> PAGEREF _Toc14094286 \h </w:instrText>
        </w:r>
        <w:r w:rsidR="00450B51">
          <w:rPr>
            <w:webHidden/>
          </w:rPr>
        </w:r>
        <w:r w:rsidR="00450B51">
          <w:rPr>
            <w:webHidden/>
          </w:rPr>
          <w:fldChar w:fldCharType="separate"/>
        </w:r>
        <w:r w:rsidR="00593A5E">
          <w:rPr>
            <w:webHidden/>
          </w:rPr>
          <w:t>25</w:t>
        </w:r>
        <w:r w:rsidR="00450B51">
          <w:rPr>
            <w:webHidden/>
          </w:rPr>
          <w:fldChar w:fldCharType="end"/>
        </w:r>
      </w:hyperlink>
    </w:p>
    <w:p w14:paraId="2F91F898" w14:textId="43D454D8" w:rsidR="00450B51" w:rsidRDefault="00D50B08">
      <w:pPr>
        <w:pStyle w:val="TOC2"/>
        <w:rPr>
          <w:rFonts w:asciiTheme="minorHAnsi" w:eastAsiaTheme="minorEastAsia" w:hAnsiTheme="minorHAnsi" w:cstheme="minorBidi"/>
          <w:sz w:val="22"/>
          <w:szCs w:val="22"/>
          <w:lang w:eastAsia="en-AU"/>
        </w:rPr>
      </w:pPr>
      <w:hyperlink w:anchor="_Toc14094287" w:history="1">
        <w:r w:rsidR="00450B51" w:rsidRPr="00314282">
          <w:rPr>
            <w:rStyle w:val="Hyperlink"/>
          </w:rPr>
          <w:t>Governance</w:t>
        </w:r>
        <w:r w:rsidR="00450B51">
          <w:rPr>
            <w:webHidden/>
          </w:rPr>
          <w:tab/>
        </w:r>
        <w:r w:rsidR="00450B51">
          <w:rPr>
            <w:webHidden/>
          </w:rPr>
          <w:fldChar w:fldCharType="begin"/>
        </w:r>
        <w:r w:rsidR="00450B51">
          <w:rPr>
            <w:webHidden/>
          </w:rPr>
          <w:instrText xml:space="preserve"> PAGEREF _Toc14094287 \h </w:instrText>
        </w:r>
        <w:r w:rsidR="00450B51">
          <w:rPr>
            <w:webHidden/>
          </w:rPr>
        </w:r>
        <w:r w:rsidR="00450B51">
          <w:rPr>
            <w:webHidden/>
          </w:rPr>
          <w:fldChar w:fldCharType="separate"/>
        </w:r>
        <w:r w:rsidR="00593A5E">
          <w:rPr>
            <w:webHidden/>
          </w:rPr>
          <w:t>35</w:t>
        </w:r>
        <w:r w:rsidR="00450B51">
          <w:rPr>
            <w:webHidden/>
          </w:rPr>
          <w:fldChar w:fldCharType="end"/>
        </w:r>
      </w:hyperlink>
    </w:p>
    <w:p w14:paraId="389BE6AC" w14:textId="29BE0593" w:rsidR="00F92EA5" w:rsidRDefault="00450B51" w:rsidP="00333F26">
      <w:pPr>
        <w:pStyle w:val="TOC1"/>
      </w:pPr>
      <w:r>
        <w:fldChar w:fldCharType="end"/>
      </w:r>
    </w:p>
    <w:p w14:paraId="4FED2063" w14:textId="77777777" w:rsidR="002B4970" w:rsidRPr="00A37C6E" w:rsidRDefault="002B4970" w:rsidP="00AA2CCE">
      <w:pPr>
        <w:rPr>
          <w:lang w:eastAsia="en-AU"/>
        </w:rPr>
        <w:sectPr w:rsidR="002B4970" w:rsidRPr="00A37C6E" w:rsidSect="007C05C3">
          <w:headerReference w:type="default" r:id="rId17"/>
          <w:footerReference w:type="default" r:id="rId18"/>
          <w:pgSz w:w="11906" w:h="16838" w:code="9"/>
          <w:pgMar w:top="1418" w:right="992" w:bottom="1134" w:left="1134" w:header="851" w:footer="284" w:gutter="0"/>
          <w:paperSrc w:first="7" w:other="7"/>
          <w:pgNumType w:fmt="lowerRoman" w:start="1"/>
          <w:cols w:space="720"/>
          <w:docGrid w:linePitch="299"/>
        </w:sectPr>
      </w:pPr>
    </w:p>
    <w:p w14:paraId="68117AF6" w14:textId="77777777" w:rsidR="00135DA0" w:rsidRDefault="00135DA0" w:rsidP="003E19BA">
      <w:pPr>
        <w:pStyle w:val="Heading2"/>
      </w:pPr>
      <w:bookmarkStart w:id="2" w:name="_Toc14094190"/>
      <w:bookmarkStart w:id="3" w:name="_Toc14094284"/>
      <w:r>
        <w:lastRenderedPageBreak/>
        <w:t>Relationships</w:t>
      </w:r>
      <w:bookmarkEnd w:id="2"/>
      <w:bookmarkEnd w:id="3"/>
    </w:p>
    <w:p w14:paraId="7EDB2168" w14:textId="51D10D4A" w:rsidR="001321C3" w:rsidRPr="00CA27C6" w:rsidRDefault="00F34440" w:rsidP="00CA27C6">
      <w:pPr>
        <w:pStyle w:val="Tableheading"/>
      </w:pPr>
      <w:r w:rsidRPr="00CA27C6">
        <w:t>Action 1 – Establish and maintain mutually beneficial relationships with Aboriginal and Torres Strait Islander stakeholders and organisations</w:t>
      </w:r>
    </w:p>
    <w:tbl>
      <w:tblPr>
        <w:tblStyle w:val="TableGrid"/>
        <w:tblW w:w="5000" w:type="pct"/>
        <w:tblLook w:val="04A0" w:firstRow="1" w:lastRow="0" w:firstColumn="1" w:lastColumn="0" w:noHBand="0" w:noVBand="1"/>
      </w:tblPr>
      <w:tblGrid>
        <w:gridCol w:w="2442"/>
        <w:gridCol w:w="2442"/>
        <w:gridCol w:w="2443"/>
        <w:gridCol w:w="2443"/>
      </w:tblGrid>
      <w:tr w:rsidR="00EB2725" w:rsidRPr="00CA27C6" w14:paraId="7BF995DA" w14:textId="77777777" w:rsidTr="00D50B08">
        <w:trPr>
          <w:cantSplit/>
          <w:tblHeader/>
        </w:trPr>
        <w:tc>
          <w:tcPr>
            <w:tcW w:w="1250" w:type="pct"/>
            <w:shd w:val="clear" w:color="auto" w:fill="FFF2CC" w:themeFill="accent4" w:themeFillTint="33"/>
          </w:tcPr>
          <w:p w14:paraId="0CFE4DEA" w14:textId="77777777" w:rsidR="00EB2725" w:rsidRPr="00CA27C6" w:rsidRDefault="00EB2725" w:rsidP="00C90A72">
            <w:pPr>
              <w:rPr>
                <w:b/>
              </w:rPr>
            </w:pPr>
            <w:r w:rsidRPr="00CA27C6">
              <w:rPr>
                <w:b/>
              </w:rPr>
              <w:t>Deliverable</w:t>
            </w:r>
          </w:p>
        </w:tc>
        <w:tc>
          <w:tcPr>
            <w:tcW w:w="1250" w:type="pct"/>
            <w:shd w:val="clear" w:color="auto" w:fill="FFF2CC" w:themeFill="accent4" w:themeFillTint="33"/>
          </w:tcPr>
          <w:p w14:paraId="12FFD2FE" w14:textId="71620032" w:rsidR="00EB2725" w:rsidRPr="00CA27C6" w:rsidRDefault="00EB2725" w:rsidP="00C90A72">
            <w:pPr>
              <w:rPr>
                <w:b/>
              </w:rPr>
            </w:pPr>
            <w:r>
              <w:rPr>
                <w:b/>
              </w:rPr>
              <w:t xml:space="preserve">Original </w:t>
            </w:r>
            <w:r w:rsidRPr="00CA27C6">
              <w:rPr>
                <w:b/>
              </w:rPr>
              <w:t>Timeline</w:t>
            </w:r>
          </w:p>
        </w:tc>
        <w:tc>
          <w:tcPr>
            <w:tcW w:w="1250" w:type="pct"/>
            <w:shd w:val="clear" w:color="auto" w:fill="FFF2CC" w:themeFill="accent4" w:themeFillTint="33"/>
          </w:tcPr>
          <w:p w14:paraId="3165D37E" w14:textId="05E66C95" w:rsidR="00EB2725" w:rsidRPr="00CA27C6" w:rsidRDefault="008341C9" w:rsidP="00C90A72">
            <w:pPr>
              <w:rPr>
                <w:b/>
              </w:rPr>
            </w:pPr>
            <w:r>
              <w:rPr>
                <w:b/>
              </w:rPr>
              <w:t xml:space="preserve">Revised Timeline </w:t>
            </w:r>
          </w:p>
        </w:tc>
        <w:tc>
          <w:tcPr>
            <w:tcW w:w="1250" w:type="pct"/>
            <w:shd w:val="clear" w:color="auto" w:fill="FFF2CC" w:themeFill="accent4" w:themeFillTint="33"/>
          </w:tcPr>
          <w:p w14:paraId="7B4E0A99" w14:textId="47B2CCC1" w:rsidR="00EB2725" w:rsidRPr="00CA27C6" w:rsidRDefault="00EB2725" w:rsidP="00C90A72">
            <w:pPr>
              <w:rPr>
                <w:b/>
              </w:rPr>
            </w:pPr>
            <w:r w:rsidRPr="00CA27C6">
              <w:rPr>
                <w:b/>
              </w:rPr>
              <w:t>Responsibility</w:t>
            </w:r>
          </w:p>
        </w:tc>
      </w:tr>
      <w:tr w:rsidR="00EB2725" w:rsidRPr="00DB6246" w14:paraId="7CB71F92" w14:textId="77777777" w:rsidTr="00D50B08">
        <w:trPr>
          <w:cantSplit/>
        </w:trPr>
        <w:tc>
          <w:tcPr>
            <w:tcW w:w="1250" w:type="pct"/>
          </w:tcPr>
          <w:p w14:paraId="30F6B938" w14:textId="77777777" w:rsidR="00EB2725" w:rsidRPr="004138DF" w:rsidRDefault="00EB2725" w:rsidP="00C90A72">
            <w:r>
              <w:t xml:space="preserve">1.1 Meet with local Aboriginal and Torres Strait Islander stakeholders and organisations to develop guiding principles for future engagement. </w:t>
            </w:r>
          </w:p>
        </w:tc>
        <w:tc>
          <w:tcPr>
            <w:tcW w:w="1250" w:type="pct"/>
          </w:tcPr>
          <w:p w14:paraId="042C57EA" w14:textId="77777777" w:rsidR="00EB2725" w:rsidRPr="00DB6246" w:rsidRDefault="00EB2725" w:rsidP="00C90A72">
            <w:r w:rsidRPr="00DB6246">
              <w:t>July 2020</w:t>
            </w:r>
          </w:p>
        </w:tc>
        <w:tc>
          <w:tcPr>
            <w:tcW w:w="1250" w:type="pct"/>
          </w:tcPr>
          <w:p w14:paraId="11515672" w14:textId="77698CA7" w:rsidR="00EB2725" w:rsidRPr="00DB6246" w:rsidRDefault="008341C9" w:rsidP="00C90A72">
            <w:r w:rsidRPr="00DB6246">
              <w:t>July 202</w:t>
            </w:r>
            <w:r>
              <w:t>1</w:t>
            </w:r>
          </w:p>
        </w:tc>
        <w:tc>
          <w:tcPr>
            <w:tcW w:w="1250" w:type="pct"/>
          </w:tcPr>
          <w:p w14:paraId="343552D2" w14:textId="33B71299" w:rsidR="00EB2725" w:rsidRPr="00DB6246" w:rsidRDefault="00EB2725" w:rsidP="00C90A72">
            <w:r w:rsidRPr="00DB6246">
              <w:t>Chief Executive Officer</w:t>
            </w:r>
          </w:p>
        </w:tc>
      </w:tr>
      <w:tr w:rsidR="00EB2725" w:rsidRPr="00DB6246" w14:paraId="7BAA3F9C" w14:textId="77777777" w:rsidTr="00D50B08">
        <w:trPr>
          <w:cantSplit/>
        </w:trPr>
        <w:tc>
          <w:tcPr>
            <w:tcW w:w="1250" w:type="pct"/>
          </w:tcPr>
          <w:p w14:paraId="184329B7" w14:textId="77777777" w:rsidR="00EB2725" w:rsidRPr="00DB6246" w:rsidRDefault="00EB2725" w:rsidP="00C90A72">
            <w:r>
              <w:t>1.2 Develop and implement an engagement plan to work with Aboriginal and Torres Strait Islander stakeholders and organisations.</w:t>
            </w:r>
          </w:p>
        </w:tc>
        <w:tc>
          <w:tcPr>
            <w:tcW w:w="1250" w:type="pct"/>
          </w:tcPr>
          <w:p w14:paraId="63A406C1" w14:textId="77777777" w:rsidR="00EB2725" w:rsidRPr="00DB6246" w:rsidRDefault="00EB2725" w:rsidP="00C90A72">
            <w:r>
              <w:t>July 2020</w:t>
            </w:r>
          </w:p>
        </w:tc>
        <w:tc>
          <w:tcPr>
            <w:tcW w:w="1250" w:type="pct"/>
          </w:tcPr>
          <w:p w14:paraId="2F99A7B7" w14:textId="6171128E" w:rsidR="00EB2725" w:rsidRDefault="008341C9" w:rsidP="00C90A72">
            <w:r w:rsidRPr="00DB6246">
              <w:t>July 202</w:t>
            </w:r>
            <w:r>
              <w:t>1</w:t>
            </w:r>
          </w:p>
        </w:tc>
        <w:tc>
          <w:tcPr>
            <w:tcW w:w="1250" w:type="pct"/>
          </w:tcPr>
          <w:p w14:paraId="26A3F993" w14:textId="7BCE2CCD" w:rsidR="00EB2725" w:rsidRPr="00DB6246" w:rsidRDefault="00EB2725" w:rsidP="00C90A72">
            <w:r>
              <w:t>Associate Director, Strategic Communications</w:t>
            </w:r>
          </w:p>
        </w:tc>
      </w:tr>
    </w:tbl>
    <w:p w14:paraId="1499244E" w14:textId="603AFB8C" w:rsidR="00670CAA" w:rsidRDefault="00670CAA" w:rsidP="00670CAA">
      <w:pPr>
        <w:pStyle w:val="Tableheading"/>
        <w:rPr>
          <w:lang w:eastAsia="en-AU"/>
        </w:rPr>
      </w:pPr>
      <w:r>
        <w:rPr>
          <w:lang w:eastAsia="en-AU"/>
        </w:rPr>
        <w:t xml:space="preserve">Action 2 – </w:t>
      </w:r>
      <w:r>
        <w:t>Build relationships through celebrating National Reconciliation Week (NRW)</w:t>
      </w:r>
    </w:p>
    <w:tbl>
      <w:tblPr>
        <w:tblStyle w:val="TableGrid"/>
        <w:tblW w:w="5000" w:type="pct"/>
        <w:tblLook w:val="04A0" w:firstRow="1" w:lastRow="0" w:firstColumn="1" w:lastColumn="0" w:noHBand="0" w:noVBand="1"/>
      </w:tblPr>
      <w:tblGrid>
        <w:gridCol w:w="3256"/>
        <w:gridCol w:w="3257"/>
        <w:gridCol w:w="3257"/>
      </w:tblGrid>
      <w:tr w:rsidR="00135DA0" w:rsidRPr="00670CAA" w14:paraId="30328AAD" w14:textId="77777777" w:rsidTr="00D50B08">
        <w:trPr>
          <w:cantSplit/>
          <w:tblHeader/>
        </w:trPr>
        <w:tc>
          <w:tcPr>
            <w:tcW w:w="1666" w:type="pct"/>
            <w:shd w:val="clear" w:color="auto" w:fill="FFF2CC" w:themeFill="accent4" w:themeFillTint="33"/>
          </w:tcPr>
          <w:p w14:paraId="64E466BB" w14:textId="77777777" w:rsidR="00135DA0" w:rsidRPr="00670CAA" w:rsidRDefault="00135DA0" w:rsidP="00C90A72">
            <w:pPr>
              <w:rPr>
                <w:b/>
              </w:rPr>
            </w:pPr>
            <w:r w:rsidRPr="00670CAA">
              <w:rPr>
                <w:b/>
              </w:rPr>
              <w:t>Deliverable</w:t>
            </w:r>
          </w:p>
        </w:tc>
        <w:tc>
          <w:tcPr>
            <w:tcW w:w="1667" w:type="pct"/>
            <w:shd w:val="clear" w:color="auto" w:fill="FFF2CC" w:themeFill="accent4" w:themeFillTint="33"/>
          </w:tcPr>
          <w:p w14:paraId="29460587" w14:textId="77777777" w:rsidR="00135DA0" w:rsidRPr="00670CAA" w:rsidRDefault="00135DA0" w:rsidP="00C90A72">
            <w:pPr>
              <w:rPr>
                <w:b/>
              </w:rPr>
            </w:pPr>
            <w:r w:rsidRPr="00670CAA">
              <w:rPr>
                <w:b/>
              </w:rPr>
              <w:t>Timeline</w:t>
            </w:r>
          </w:p>
        </w:tc>
        <w:tc>
          <w:tcPr>
            <w:tcW w:w="1667" w:type="pct"/>
            <w:shd w:val="clear" w:color="auto" w:fill="FFF2CC" w:themeFill="accent4" w:themeFillTint="33"/>
          </w:tcPr>
          <w:p w14:paraId="7E4ECD9A" w14:textId="77777777" w:rsidR="00135DA0" w:rsidRPr="00670CAA" w:rsidRDefault="00135DA0" w:rsidP="00C90A72">
            <w:pPr>
              <w:rPr>
                <w:b/>
              </w:rPr>
            </w:pPr>
            <w:r w:rsidRPr="00670CAA">
              <w:rPr>
                <w:b/>
              </w:rPr>
              <w:t>Responsibility</w:t>
            </w:r>
          </w:p>
        </w:tc>
      </w:tr>
      <w:tr w:rsidR="00135DA0" w:rsidRPr="00DB6246" w14:paraId="4400B1F3" w14:textId="77777777" w:rsidTr="00D50B08">
        <w:trPr>
          <w:cantSplit/>
        </w:trPr>
        <w:tc>
          <w:tcPr>
            <w:tcW w:w="1666" w:type="pct"/>
          </w:tcPr>
          <w:p w14:paraId="1DFEE0E6" w14:textId="77777777" w:rsidR="00135DA0" w:rsidRPr="00DB6246" w:rsidRDefault="00135DA0" w:rsidP="00C90A72">
            <w:r>
              <w:t>2.1 Circulate Reconciliation Australia’s NRW resources and reconciliation materials to our staff.</w:t>
            </w:r>
          </w:p>
        </w:tc>
        <w:tc>
          <w:tcPr>
            <w:tcW w:w="1667" w:type="pct"/>
          </w:tcPr>
          <w:p w14:paraId="5606870F" w14:textId="77777777" w:rsidR="00135DA0" w:rsidRPr="00DB6246" w:rsidRDefault="00135DA0" w:rsidP="00C90A72">
            <w:r>
              <w:t>1 May annually</w:t>
            </w:r>
          </w:p>
        </w:tc>
        <w:tc>
          <w:tcPr>
            <w:tcW w:w="1667" w:type="pct"/>
          </w:tcPr>
          <w:p w14:paraId="53782A6E" w14:textId="77777777" w:rsidR="00135DA0" w:rsidRPr="00DB6246" w:rsidRDefault="00135DA0" w:rsidP="00C90A72">
            <w:r>
              <w:t>Associate Director, Aboriginal Services</w:t>
            </w:r>
          </w:p>
        </w:tc>
      </w:tr>
      <w:tr w:rsidR="00135DA0" w:rsidRPr="00DB6246" w14:paraId="2F224024" w14:textId="77777777" w:rsidTr="00D50B08">
        <w:trPr>
          <w:cantSplit/>
        </w:trPr>
        <w:tc>
          <w:tcPr>
            <w:tcW w:w="1666" w:type="pct"/>
          </w:tcPr>
          <w:p w14:paraId="69B79802" w14:textId="77777777" w:rsidR="00135DA0" w:rsidRPr="00DB6246" w:rsidRDefault="00135DA0" w:rsidP="00C90A72">
            <w:r>
              <w:t>2.2 RAP Working Group members to participate in an external NRW event.</w:t>
            </w:r>
          </w:p>
        </w:tc>
        <w:tc>
          <w:tcPr>
            <w:tcW w:w="1667" w:type="pct"/>
          </w:tcPr>
          <w:p w14:paraId="434F71AC" w14:textId="77777777" w:rsidR="00135DA0" w:rsidRDefault="00135DA0" w:rsidP="00C90A72">
            <w:r>
              <w:t>27 May</w:t>
            </w:r>
          </w:p>
          <w:p w14:paraId="59C8B15E" w14:textId="77777777" w:rsidR="00135DA0" w:rsidRPr="00DB6246" w:rsidRDefault="00135DA0" w:rsidP="00C90A72">
            <w:r>
              <w:t>3 June annually</w:t>
            </w:r>
          </w:p>
        </w:tc>
        <w:tc>
          <w:tcPr>
            <w:tcW w:w="1667" w:type="pct"/>
          </w:tcPr>
          <w:p w14:paraId="034953D8" w14:textId="77777777" w:rsidR="00135DA0" w:rsidRPr="00DB6246" w:rsidRDefault="00135DA0" w:rsidP="00C90A72">
            <w:r>
              <w:t>Associate Director, Aboriginal Services</w:t>
            </w:r>
          </w:p>
        </w:tc>
      </w:tr>
      <w:tr w:rsidR="00135DA0" w14:paraId="6335AA4F" w14:textId="77777777" w:rsidTr="00D50B08">
        <w:trPr>
          <w:cantSplit/>
        </w:trPr>
        <w:tc>
          <w:tcPr>
            <w:tcW w:w="1666" w:type="pct"/>
          </w:tcPr>
          <w:p w14:paraId="5003612C" w14:textId="77777777" w:rsidR="00135DA0" w:rsidRPr="00DB6246" w:rsidRDefault="00135DA0" w:rsidP="00C90A72">
            <w:r>
              <w:t>2.3 Encourage and support staff and senior leaders to participate in at least one external event to recognise and celebrate NRW.</w:t>
            </w:r>
          </w:p>
        </w:tc>
        <w:tc>
          <w:tcPr>
            <w:tcW w:w="1667" w:type="pct"/>
          </w:tcPr>
          <w:p w14:paraId="2CB3B964" w14:textId="77777777" w:rsidR="00135DA0" w:rsidRDefault="00135DA0" w:rsidP="00C90A72">
            <w:r>
              <w:t>27 May</w:t>
            </w:r>
          </w:p>
          <w:p w14:paraId="05DBF418" w14:textId="77777777" w:rsidR="00135DA0" w:rsidRDefault="00135DA0" w:rsidP="00C90A72">
            <w:r>
              <w:t>3 June annually</w:t>
            </w:r>
          </w:p>
        </w:tc>
        <w:tc>
          <w:tcPr>
            <w:tcW w:w="1667" w:type="pct"/>
          </w:tcPr>
          <w:p w14:paraId="622FEA20" w14:textId="77777777" w:rsidR="00135DA0" w:rsidRDefault="00135DA0" w:rsidP="00C90A72">
            <w:r>
              <w:t>Chief Executive Officer</w:t>
            </w:r>
          </w:p>
        </w:tc>
      </w:tr>
      <w:tr w:rsidR="00135DA0" w14:paraId="6619105B" w14:textId="77777777" w:rsidTr="00D50B08">
        <w:trPr>
          <w:cantSplit/>
        </w:trPr>
        <w:tc>
          <w:tcPr>
            <w:tcW w:w="1666" w:type="pct"/>
          </w:tcPr>
          <w:p w14:paraId="1CD38CFE" w14:textId="77777777" w:rsidR="00135DA0" w:rsidRPr="00037D33" w:rsidRDefault="00135DA0" w:rsidP="00C90A72">
            <w:r>
              <w:t>2.4 Organise at least one internal NRW event each year.</w:t>
            </w:r>
          </w:p>
        </w:tc>
        <w:tc>
          <w:tcPr>
            <w:tcW w:w="1667" w:type="pct"/>
          </w:tcPr>
          <w:p w14:paraId="7AD49C26" w14:textId="77777777" w:rsidR="00135DA0" w:rsidRDefault="00135DA0" w:rsidP="00C90A72">
            <w:r>
              <w:t>27 May</w:t>
            </w:r>
          </w:p>
          <w:p w14:paraId="497760A1" w14:textId="77777777" w:rsidR="00135DA0" w:rsidRDefault="00135DA0" w:rsidP="00C90A72">
            <w:r>
              <w:t>3 June annually</w:t>
            </w:r>
          </w:p>
        </w:tc>
        <w:tc>
          <w:tcPr>
            <w:tcW w:w="1667" w:type="pct"/>
          </w:tcPr>
          <w:p w14:paraId="03C2E007" w14:textId="77777777" w:rsidR="00135DA0" w:rsidRDefault="00135DA0" w:rsidP="00C90A72">
            <w:r>
              <w:t xml:space="preserve">Executive Director, </w:t>
            </w:r>
            <w:proofErr w:type="gramStart"/>
            <w:r>
              <w:t>Services</w:t>
            </w:r>
            <w:proofErr w:type="gramEnd"/>
            <w:r>
              <w:t xml:space="preserve"> and Innovation</w:t>
            </w:r>
          </w:p>
        </w:tc>
      </w:tr>
      <w:tr w:rsidR="00135DA0" w14:paraId="2889A1AA" w14:textId="77777777" w:rsidTr="00D50B08">
        <w:trPr>
          <w:cantSplit/>
        </w:trPr>
        <w:tc>
          <w:tcPr>
            <w:tcW w:w="1666" w:type="pct"/>
          </w:tcPr>
          <w:p w14:paraId="6A956C84" w14:textId="77777777" w:rsidR="00135DA0" w:rsidRPr="00037D33" w:rsidRDefault="00135DA0" w:rsidP="00C90A72">
            <w:r>
              <w:lastRenderedPageBreak/>
              <w:t>2.5 Register all our NRW events on Reconciliation Australia’s NRW website.</w:t>
            </w:r>
          </w:p>
        </w:tc>
        <w:tc>
          <w:tcPr>
            <w:tcW w:w="1667" w:type="pct"/>
          </w:tcPr>
          <w:p w14:paraId="0170EEA8" w14:textId="77777777" w:rsidR="00135DA0" w:rsidRDefault="00135DA0" w:rsidP="00C90A72">
            <w:r>
              <w:t>May annually</w:t>
            </w:r>
          </w:p>
        </w:tc>
        <w:tc>
          <w:tcPr>
            <w:tcW w:w="1667" w:type="pct"/>
          </w:tcPr>
          <w:p w14:paraId="64804951" w14:textId="77777777" w:rsidR="00135DA0" w:rsidRDefault="00135DA0" w:rsidP="00C90A72">
            <w:r>
              <w:t>Associate Director, Aboriginal Services</w:t>
            </w:r>
          </w:p>
        </w:tc>
      </w:tr>
      <w:tr w:rsidR="00135DA0" w14:paraId="285D72D9" w14:textId="77777777" w:rsidTr="00D50B08">
        <w:trPr>
          <w:cantSplit/>
        </w:trPr>
        <w:tc>
          <w:tcPr>
            <w:tcW w:w="1666" w:type="pct"/>
          </w:tcPr>
          <w:p w14:paraId="430BB1A7" w14:textId="77777777" w:rsidR="00135DA0" w:rsidRPr="00037D33" w:rsidRDefault="00135DA0" w:rsidP="00C90A72">
            <w:r>
              <w:t>2.6 Identify and develop a list of potential Aboriginal and Torres Strait Islander guest speakers for annual NRW events.</w:t>
            </w:r>
          </w:p>
        </w:tc>
        <w:tc>
          <w:tcPr>
            <w:tcW w:w="1667" w:type="pct"/>
          </w:tcPr>
          <w:p w14:paraId="32AB24AB" w14:textId="77777777" w:rsidR="00135DA0" w:rsidRDefault="00135DA0" w:rsidP="00C90A72">
            <w:r>
              <w:t>April annually</w:t>
            </w:r>
          </w:p>
        </w:tc>
        <w:tc>
          <w:tcPr>
            <w:tcW w:w="1667" w:type="pct"/>
          </w:tcPr>
          <w:p w14:paraId="6AAA7528" w14:textId="77777777" w:rsidR="00135DA0" w:rsidRDefault="00135DA0" w:rsidP="00C90A72">
            <w:r>
              <w:t>Associate Director, Strategic Communications</w:t>
            </w:r>
          </w:p>
        </w:tc>
      </w:tr>
      <w:tr w:rsidR="00135DA0" w:rsidRPr="00037D33" w14:paraId="347D87B7" w14:textId="77777777" w:rsidTr="00D50B08">
        <w:trPr>
          <w:cantSplit/>
        </w:trPr>
        <w:tc>
          <w:tcPr>
            <w:tcW w:w="1666" w:type="pct"/>
          </w:tcPr>
          <w:p w14:paraId="240BB737" w14:textId="77777777" w:rsidR="00135DA0" w:rsidRPr="00037D33" w:rsidRDefault="00135DA0" w:rsidP="00C90A72">
            <w:r>
              <w:t>2.7 Ensure that Aboriginal and Torres Strait Islander Community stakeholders are invited to VLA annual NRW event.</w:t>
            </w:r>
          </w:p>
        </w:tc>
        <w:tc>
          <w:tcPr>
            <w:tcW w:w="1667" w:type="pct"/>
          </w:tcPr>
          <w:p w14:paraId="70807E49" w14:textId="77777777" w:rsidR="00135DA0" w:rsidRDefault="00135DA0" w:rsidP="00C90A72">
            <w:r>
              <w:t>April annually</w:t>
            </w:r>
          </w:p>
        </w:tc>
        <w:tc>
          <w:tcPr>
            <w:tcW w:w="1667" w:type="pct"/>
          </w:tcPr>
          <w:p w14:paraId="0C79B766" w14:textId="77777777" w:rsidR="00135DA0" w:rsidRPr="00037D33" w:rsidRDefault="00135DA0" w:rsidP="00C90A72">
            <w:r>
              <w:t>Associate Director, Strategic Communications</w:t>
            </w:r>
          </w:p>
        </w:tc>
      </w:tr>
      <w:tr w:rsidR="00135DA0" w14:paraId="02905470" w14:textId="77777777" w:rsidTr="00D50B08">
        <w:trPr>
          <w:cantSplit/>
        </w:trPr>
        <w:tc>
          <w:tcPr>
            <w:tcW w:w="1666" w:type="pct"/>
          </w:tcPr>
          <w:p w14:paraId="4ECC5225" w14:textId="77777777" w:rsidR="00135DA0" w:rsidRPr="00037D33" w:rsidRDefault="00135DA0" w:rsidP="00C90A72">
            <w:r>
              <w:t>2.8 Ensure that VLA’s First Nations Staff Network are all invited to VLAs annual NRW event.</w:t>
            </w:r>
          </w:p>
        </w:tc>
        <w:tc>
          <w:tcPr>
            <w:tcW w:w="1667" w:type="pct"/>
          </w:tcPr>
          <w:p w14:paraId="0F78270B" w14:textId="77777777" w:rsidR="00135DA0" w:rsidRDefault="00135DA0" w:rsidP="00C90A72">
            <w:r>
              <w:t>April annually</w:t>
            </w:r>
          </w:p>
        </w:tc>
        <w:tc>
          <w:tcPr>
            <w:tcW w:w="1667" w:type="pct"/>
          </w:tcPr>
          <w:p w14:paraId="0F7E7D0F" w14:textId="77777777" w:rsidR="00135DA0" w:rsidRDefault="00135DA0" w:rsidP="00C90A72">
            <w:r>
              <w:t>Associate Director, Strategic Communications</w:t>
            </w:r>
          </w:p>
        </w:tc>
      </w:tr>
    </w:tbl>
    <w:p w14:paraId="7603F1B3" w14:textId="162CF2CA" w:rsidR="00135DA0" w:rsidRDefault="00670CAA" w:rsidP="00670CAA">
      <w:pPr>
        <w:pStyle w:val="Tableheading"/>
        <w:rPr>
          <w:lang w:eastAsia="en-AU"/>
        </w:rPr>
      </w:pPr>
      <w:r>
        <w:rPr>
          <w:lang w:eastAsia="en-AU"/>
        </w:rPr>
        <w:t xml:space="preserve">Action 3 – </w:t>
      </w:r>
      <w:r>
        <w:t>Promote reconciliation through our sphere of influence</w:t>
      </w:r>
    </w:p>
    <w:tbl>
      <w:tblPr>
        <w:tblStyle w:val="TableGrid"/>
        <w:tblW w:w="5000" w:type="pct"/>
        <w:tblLook w:val="04A0" w:firstRow="1" w:lastRow="0" w:firstColumn="1" w:lastColumn="0" w:noHBand="0" w:noVBand="1"/>
      </w:tblPr>
      <w:tblGrid>
        <w:gridCol w:w="3256"/>
        <w:gridCol w:w="3257"/>
        <w:gridCol w:w="3257"/>
      </w:tblGrid>
      <w:tr w:rsidR="00135DA0" w:rsidRPr="00670CAA" w14:paraId="4F2204F8" w14:textId="77777777" w:rsidTr="00D50B08">
        <w:trPr>
          <w:cantSplit/>
          <w:tblHeader/>
        </w:trPr>
        <w:tc>
          <w:tcPr>
            <w:tcW w:w="1666" w:type="pct"/>
            <w:shd w:val="clear" w:color="auto" w:fill="FFF2CC" w:themeFill="accent4" w:themeFillTint="33"/>
          </w:tcPr>
          <w:p w14:paraId="5F17F534" w14:textId="77777777" w:rsidR="00135DA0" w:rsidRPr="00670CAA" w:rsidRDefault="00135DA0" w:rsidP="00C90A72">
            <w:pPr>
              <w:rPr>
                <w:b/>
              </w:rPr>
            </w:pPr>
            <w:r w:rsidRPr="00670CAA">
              <w:rPr>
                <w:b/>
              </w:rPr>
              <w:t>Deliverable</w:t>
            </w:r>
          </w:p>
        </w:tc>
        <w:tc>
          <w:tcPr>
            <w:tcW w:w="1667" w:type="pct"/>
            <w:shd w:val="clear" w:color="auto" w:fill="FFF2CC" w:themeFill="accent4" w:themeFillTint="33"/>
          </w:tcPr>
          <w:p w14:paraId="3526B132" w14:textId="77777777" w:rsidR="00135DA0" w:rsidRPr="00670CAA" w:rsidRDefault="00135DA0" w:rsidP="00C90A72">
            <w:pPr>
              <w:rPr>
                <w:b/>
              </w:rPr>
            </w:pPr>
            <w:r w:rsidRPr="00670CAA">
              <w:rPr>
                <w:b/>
              </w:rPr>
              <w:t>Timeline</w:t>
            </w:r>
          </w:p>
        </w:tc>
        <w:tc>
          <w:tcPr>
            <w:tcW w:w="1667" w:type="pct"/>
            <w:shd w:val="clear" w:color="auto" w:fill="FFF2CC" w:themeFill="accent4" w:themeFillTint="33"/>
          </w:tcPr>
          <w:p w14:paraId="286894D2" w14:textId="77777777" w:rsidR="00135DA0" w:rsidRPr="00670CAA" w:rsidRDefault="00135DA0" w:rsidP="00C90A72">
            <w:pPr>
              <w:rPr>
                <w:b/>
              </w:rPr>
            </w:pPr>
            <w:r w:rsidRPr="00670CAA">
              <w:rPr>
                <w:b/>
              </w:rPr>
              <w:t>Responsibility</w:t>
            </w:r>
          </w:p>
        </w:tc>
      </w:tr>
      <w:tr w:rsidR="00135DA0" w:rsidRPr="00DB6246" w14:paraId="70CEFF23" w14:textId="77777777" w:rsidTr="00D50B08">
        <w:trPr>
          <w:cantSplit/>
        </w:trPr>
        <w:tc>
          <w:tcPr>
            <w:tcW w:w="1666" w:type="pct"/>
          </w:tcPr>
          <w:p w14:paraId="67257F46" w14:textId="77777777" w:rsidR="00135DA0" w:rsidRPr="00896125" w:rsidRDefault="00135DA0" w:rsidP="00C90A72">
            <w:r>
              <w:t>3.1 Implement strategies to engage our staff in reconciliation.</w:t>
            </w:r>
          </w:p>
        </w:tc>
        <w:tc>
          <w:tcPr>
            <w:tcW w:w="1667" w:type="pct"/>
          </w:tcPr>
          <w:p w14:paraId="249090D3" w14:textId="77777777" w:rsidR="00135DA0" w:rsidRPr="00DB6246" w:rsidRDefault="00135DA0" w:rsidP="00C90A72">
            <w:r>
              <w:t>December 2019</w:t>
            </w:r>
          </w:p>
        </w:tc>
        <w:tc>
          <w:tcPr>
            <w:tcW w:w="1667" w:type="pct"/>
          </w:tcPr>
          <w:p w14:paraId="5910B3CF" w14:textId="77777777" w:rsidR="00135DA0" w:rsidRPr="00DB6246" w:rsidRDefault="00135DA0" w:rsidP="00C90A72">
            <w:r>
              <w:t xml:space="preserve">Executive Director, </w:t>
            </w:r>
            <w:proofErr w:type="gramStart"/>
            <w:r>
              <w:t>Services</w:t>
            </w:r>
            <w:proofErr w:type="gramEnd"/>
            <w:r>
              <w:t xml:space="preserve"> and Innovation</w:t>
            </w:r>
          </w:p>
        </w:tc>
      </w:tr>
      <w:tr w:rsidR="00135DA0" w:rsidRPr="00DB6246" w14:paraId="48CC615E" w14:textId="77777777" w:rsidTr="00D50B08">
        <w:trPr>
          <w:cantSplit/>
        </w:trPr>
        <w:tc>
          <w:tcPr>
            <w:tcW w:w="1666" w:type="pct"/>
          </w:tcPr>
          <w:p w14:paraId="501ED3FB" w14:textId="77777777" w:rsidR="00135DA0" w:rsidRPr="00896125" w:rsidRDefault="00135DA0" w:rsidP="00C90A72">
            <w:r>
              <w:t>3.2 Communicate our commitment to reconciliation publicly.</w:t>
            </w:r>
          </w:p>
        </w:tc>
        <w:tc>
          <w:tcPr>
            <w:tcW w:w="1667" w:type="pct"/>
          </w:tcPr>
          <w:p w14:paraId="49B71E2C" w14:textId="77777777" w:rsidR="00135DA0" w:rsidRPr="00DB6246" w:rsidRDefault="00135DA0" w:rsidP="00C90A72">
            <w:r>
              <w:t>May annually</w:t>
            </w:r>
          </w:p>
        </w:tc>
        <w:tc>
          <w:tcPr>
            <w:tcW w:w="1667" w:type="pct"/>
          </w:tcPr>
          <w:p w14:paraId="110D5D99" w14:textId="77777777" w:rsidR="00135DA0" w:rsidRPr="00DB6246" w:rsidRDefault="00135DA0" w:rsidP="00C90A72">
            <w:r>
              <w:t>Associate Director, Strategic Communications</w:t>
            </w:r>
          </w:p>
        </w:tc>
      </w:tr>
      <w:tr w:rsidR="00135DA0" w14:paraId="7E615723" w14:textId="77777777" w:rsidTr="00D50B08">
        <w:trPr>
          <w:cantSplit/>
        </w:trPr>
        <w:tc>
          <w:tcPr>
            <w:tcW w:w="1666" w:type="pct"/>
          </w:tcPr>
          <w:p w14:paraId="63C0221F" w14:textId="77777777" w:rsidR="00135DA0" w:rsidRPr="00896125" w:rsidRDefault="00135DA0" w:rsidP="00C90A72">
            <w:r>
              <w:t>3.3 Explore opportunities to positively influence our external stakeholders to drive reconciliation outcomes.</w:t>
            </w:r>
          </w:p>
        </w:tc>
        <w:tc>
          <w:tcPr>
            <w:tcW w:w="1667" w:type="pct"/>
          </w:tcPr>
          <w:p w14:paraId="5CE9EA55" w14:textId="77777777" w:rsidR="00135DA0" w:rsidRDefault="00135DA0" w:rsidP="00C90A72">
            <w:r>
              <w:t>May and November annually</w:t>
            </w:r>
          </w:p>
        </w:tc>
        <w:tc>
          <w:tcPr>
            <w:tcW w:w="1667" w:type="pct"/>
          </w:tcPr>
          <w:p w14:paraId="14CFAE60" w14:textId="77777777" w:rsidR="00135DA0" w:rsidRDefault="00135DA0" w:rsidP="00C90A72">
            <w:r>
              <w:t>Associate Director, Strategic Communications</w:t>
            </w:r>
          </w:p>
        </w:tc>
      </w:tr>
      <w:tr w:rsidR="00135DA0" w14:paraId="32C4B2F6" w14:textId="77777777" w:rsidTr="00D50B08">
        <w:trPr>
          <w:cantSplit/>
        </w:trPr>
        <w:tc>
          <w:tcPr>
            <w:tcW w:w="1666" w:type="pct"/>
          </w:tcPr>
          <w:p w14:paraId="7758D7BE" w14:textId="439A2668" w:rsidR="00135DA0" w:rsidRPr="00896125" w:rsidRDefault="00135DA0" w:rsidP="00C90A72">
            <w:r>
              <w:t xml:space="preserve">3.4 Investigate opportunities to collaborate with Reconciliation Australia, Reconciliation </w:t>
            </w:r>
            <w:proofErr w:type="gramStart"/>
            <w:r>
              <w:t>Victoria</w:t>
            </w:r>
            <w:proofErr w:type="gramEnd"/>
            <w:r>
              <w:t xml:space="preserve"> and other like-minded organisations to develop ways to advance reconciliation</w:t>
            </w:r>
          </w:p>
        </w:tc>
        <w:tc>
          <w:tcPr>
            <w:tcW w:w="1667" w:type="pct"/>
          </w:tcPr>
          <w:p w14:paraId="265981F2" w14:textId="6B5EB388" w:rsidR="00135DA0" w:rsidRDefault="00135DA0" w:rsidP="00C90A72">
            <w:r>
              <w:t>February annuall</w:t>
            </w:r>
            <w:r w:rsidR="0010619A">
              <w:t>y</w:t>
            </w:r>
          </w:p>
        </w:tc>
        <w:tc>
          <w:tcPr>
            <w:tcW w:w="1667" w:type="pct"/>
          </w:tcPr>
          <w:p w14:paraId="52DAE65F" w14:textId="6E048BA2" w:rsidR="00135DA0" w:rsidRDefault="00135DA0" w:rsidP="00C90A72">
            <w:r>
              <w:t>Associate Director, Aboriginal Service</w:t>
            </w:r>
            <w:r w:rsidR="0010619A">
              <w:t>s</w:t>
            </w:r>
          </w:p>
        </w:tc>
      </w:tr>
    </w:tbl>
    <w:p w14:paraId="3F126926" w14:textId="65289076" w:rsidR="00135DA0" w:rsidRDefault="00670CAA" w:rsidP="00670CAA">
      <w:pPr>
        <w:pStyle w:val="Tableheading"/>
      </w:pPr>
      <w:r>
        <w:t>Action 4 – Promote positive race relations through anti-discrimination strategies</w:t>
      </w:r>
    </w:p>
    <w:tbl>
      <w:tblPr>
        <w:tblStyle w:val="TableGrid"/>
        <w:tblW w:w="5000" w:type="pct"/>
        <w:tblLook w:val="04A0" w:firstRow="1" w:lastRow="0" w:firstColumn="1" w:lastColumn="0" w:noHBand="0" w:noVBand="1"/>
      </w:tblPr>
      <w:tblGrid>
        <w:gridCol w:w="2442"/>
        <w:gridCol w:w="2442"/>
        <w:gridCol w:w="2443"/>
        <w:gridCol w:w="2443"/>
      </w:tblGrid>
      <w:tr w:rsidR="00631459" w:rsidRPr="00670CAA" w14:paraId="5E6F1B9A" w14:textId="77777777" w:rsidTr="00D50B08">
        <w:trPr>
          <w:cantSplit/>
          <w:tblHeader/>
        </w:trPr>
        <w:tc>
          <w:tcPr>
            <w:tcW w:w="1250" w:type="pct"/>
            <w:shd w:val="clear" w:color="auto" w:fill="FFF2CC" w:themeFill="accent4" w:themeFillTint="33"/>
          </w:tcPr>
          <w:p w14:paraId="7B2B2B14" w14:textId="77777777" w:rsidR="00631459" w:rsidRPr="00670CAA" w:rsidRDefault="00631459" w:rsidP="00C90A72">
            <w:pPr>
              <w:rPr>
                <w:b/>
              </w:rPr>
            </w:pPr>
            <w:r w:rsidRPr="00670CAA">
              <w:rPr>
                <w:b/>
              </w:rPr>
              <w:lastRenderedPageBreak/>
              <w:t>Deliverable</w:t>
            </w:r>
          </w:p>
        </w:tc>
        <w:tc>
          <w:tcPr>
            <w:tcW w:w="1250" w:type="pct"/>
            <w:shd w:val="clear" w:color="auto" w:fill="FFF2CC" w:themeFill="accent4" w:themeFillTint="33"/>
          </w:tcPr>
          <w:p w14:paraId="42209327" w14:textId="608B8045" w:rsidR="00631459" w:rsidRPr="00670CAA" w:rsidRDefault="00FC4A24" w:rsidP="00C90A72">
            <w:pPr>
              <w:rPr>
                <w:b/>
              </w:rPr>
            </w:pPr>
            <w:r>
              <w:rPr>
                <w:b/>
              </w:rPr>
              <w:t xml:space="preserve">Original </w:t>
            </w:r>
            <w:r w:rsidR="00631459" w:rsidRPr="00670CAA">
              <w:rPr>
                <w:b/>
              </w:rPr>
              <w:t>Timeline</w:t>
            </w:r>
          </w:p>
        </w:tc>
        <w:tc>
          <w:tcPr>
            <w:tcW w:w="1250" w:type="pct"/>
            <w:shd w:val="clear" w:color="auto" w:fill="FFF2CC" w:themeFill="accent4" w:themeFillTint="33"/>
          </w:tcPr>
          <w:p w14:paraId="5D7839CB" w14:textId="407CE31A" w:rsidR="00631459" w:rsidRPr="00670CAA" w:rsidRDefault="00FC4A24" w:rsidP="00C90A72">
            <w:pPr>
              <w:rPr>
                <w:b/>
              </w:rPr>
            </w:pPr>
            <w:r>
              <w:rPr>
                <w:b/>
              </w:rPr>
              <w:t xml:space="preserve">Revised </w:t>
            </w:r>
            <w:r w:rsidRPr="00670CAA">
              <w:rPr>
                <w:b/>
              </w:rPr>
              <w:t>Timeline</w:t>
            </w:r>
          </w:p>
        </w:tc>
        <w:tc>
          <w:tcPr>
            <w:tcW w:w="1250" w:type="pct"/>
            <w:shd w:val="clear" w:color="auto" w:fill="FFF2CC" w:themeFill="accent4" w:themeFillTint="33"/>
          </w:tcPr>
          <w:p w14:paraId="76BA26CA" w14:textId="694A2B9E" w:rsidR="00631459" w:rsidRPr="00670CAA" w:rsidRDefault="00631459" w:rsidP="00C90A72">
            <w:pPr>
              <w:rPr>
                <w:b/>
              </w:rPr>
            </w:pPr>
            <w:r w:rsidRPr="00670CAA">
              <w:rPr>
                <w:b/>
              </w:rPr>
              <w:t>Responsibility</w:t>
            </w:r>
          </w:p>
        </w:tc>
      </w:tr>
      <w:tr w:rsidR="00631459" w:rsidRPr="00DB6246" w14:paraId="03774B0D" w14:textId="77777777" w:rsidTr="00D50B08">
        <w:trPr>
          <w:cantSplit/>
        </w:trPr>
        <w:tc>
          <w:tcPr>
            <w:tcW w:w="1250" w:type="pct"/>
          </w:tcPr>
          <w:p w14:paraId="6782C579" w14:textId="77777777" w:rsidR="00631459" w:rsidRPr="00896125" w:rsidRDefault="00631459" w:rsidP="00C90A72">
            <w:r>
              <w:t>4.1 Conduct a review VLA’s policies and procedures to ensure compliance with anti-discrimination obligations and to promote the recruitment and retention of Aboriginal and Torres Strait Islander staff.</w:t>
            </w:r>
          </w:p>
        </w:tc>
        <w:tc>
          <w:tcPr>
            <w:tcW w:w="1250" w:type="pct"/>
          </w:tcPr>
          <w:p w14:paraId="1EDEADB1" w14:textId="77777777" w:rsidR="00631459" w:rsidRPr="00DB6246" w:rsidRDefault="00631459" w:rsidP="00C90A72">
            <w:r>
              <w:t>December 2019</w:t>
            </w:r>
          </w:p>
        </w:tc>
        <w:tc>
          <w:tcPr>
            <w:tcW w:w="1250" w:type="pct"/>
          </w:tcPr>
          <w:p w14:paraId="26E9A4CF" w14:textId="7EF8C641" w:rsidR="00631459" w:rsidRDefault="00631459" w:rsidP="00C90A72">
            <w:r>
              <w:t>December 2020</w:t>
            </w:r>
          </w:p>
        </w:tc>
        <w:tc>
          <w:tcPr>
            <w:tcW w:w="1250" w:type="pct"/>
          </w:tcPr>
          <w:p w14:paraId="5FBA2701" w14:textId="447A67B7" w:rsidR="00631459" w:rsidRPr="00DB6246" w:rsidRDefault="00631459" w:rsidP="00C90A72">
            <w:r>
              <w:t>Head of People and Culture</w:t>
            </w:r>
          </w:p>
        </w:tc>
      </w:tr>
      <w:tr w:rsidR="00631459" w:rsidRPr="00DB6246" w14:paraId="48860BF9" w14:textId="77777777" w:rsidTr="00D50B08">
        <w:trPr>
          <w:cantSplit/>
        </w:trPr>
        <w:tc>
          <w:tcPr>
            <w:tcW w:w="1250" w:type="pct"/>
          </w:tcPr>
          <w:p w14:paraId="1286E49A" w14:textId="77777777" w:rsidR="00631459" w:rsidRPr="00855735" w:rsidRDefault="00631459" w:rsidP="00C90A72">
            <w:r>
              <w:t xml:space="preserve">4.2 Develop, </w:t>
            </w:r>
            <w:proofErr w:type="gramStart"/>
            <w:r>
              <w:t>implement</w:t>
            </w:r>
            <w:proofErr w:type="gramEnd"/>
            <w:r>
              <w:t xml:space="preserve"> and communicate an anti-discrimination policy for our organisation.</w:t>
            </w:r>
          </w:p>
        </w:tc>
        <w:tc>
          <w:tcPr>
            <w:tcW w:w="1250" w:type="pct"/>
          </w:tcPr>
          <w:p w14:paraId="5BFCA83B" w14:textId="77777777" w:rsidR="00631459" w:rsidRPr="00DB6246" w:rsidRDefault="00631459" w:rsidP="00C90A72">
            <w:r>
              <w:t>July 2020</w:t>
            </w:r>
          </w:p>
        </w:tc>
        <w:tc>
          <w:tcPr>
            <w:tcW w:w="1250" w:type="pct"/>
          </w:tcPr>
          <w:p w14:paraId="1BCF51C4" w14:textId="25D04DBA" w:rsidR="00631459" w:rsidRDefault="00FC4A24" w:rsidP="00C90A72">
            <w:r>
              <w:t>December 2020</w:t>
            </w:r>
          </w:p>
        </w:tc>
        <w:tc>
          <w:tcPr>
            <w:tcW w:w="1250" w:type="pct"/>
          </w:tcPr>
          <w:p w14:paraId="06CED9CC" w14:textId="0313707E" w:rsidR="00631459" w:rsidRPr="00DB6246" w:rsidRDefault="00631459" w:rsidP="00C90A72">
            <w:r>
              <w:t>Head of People and Culture</w:t>
            </w:r>
          </w:p>
        </w:tc>
      </w:tr>
      <w:tr w:rsidR="00631459" w14:paraId="6BBE5034" w14:textId="77777777" w:rsidTr="00D50B08">
        <w:trPr>
          <w:cantSplit/>
        </w:trPr>
        <w:tc>
          <w:tcPr>
            <w:tcW w:w="1250" w:type="pct"/>
          </w:tcPr>
          <w:p w14:paraId="59863762" w14:textId="77777777" w:rsidR="00631459" w:rsidRPr="00855735" w:rsidRDefault="00631459" w:rsidP="00C90A72">
            <w:r>
              <w:t>4.3 Engage with Aboriginal and Torres Strait Islander staff and/or Aboriginal and Torres Strait Islander advisors to consult on our anti-discrimination policy.</w:t>
            </w:r>
          </w:p>
        </w:tc>
        <w:tc>
          <w:tcPr>
            <w:tcW w:w="1250" w:type="pct"/>
          </w:tcPr>
          <w:p w14:paraId="0D0781F9" w14:textId="77777777" w:rsidR="00631459" w:rsidRDefault="00631459" w:rsidP="00C90A72">
            <w:r>
              <w:t>February 2020</w:t>
            </w:r>
          </w:p>
        </w:tc>
        <w:tc>
          <w:tcPr>
            <w:tcW w:w="1250" w:type="pct"/>
          </w:tcPr>
          <w:p w14:paraId="12C8F2E1" w14:textId="4342A3B9" w:rsidR="00631459" w:rsidRDefault="00FC4A24" w:rsidP="00C90A72">
            <w:r>
              <w:t>December 2020</w:t>
            </w:r>
          </w:p>
        </w:tc>
        <w:tc>
          <w:tcPr>
            <w:tcW w:w="1250" w:type="pct"/>
          </w:tcPr>
          <w:p w14:paraId="7411D8FD" w14:textId="0D4E6016" w:rsidR="00631459" w:rsidRDefault="00631459" w:rsidP="00C90A72">
            <w:r>
              <w:t>Head of People and Culture</w:t>
            </w:r>
          </w:p>
        </w:tc>
      </w:tr>
      <w:tr w:rsidR="00631459" w14:paraId="787C4BF1" w14:textId="77777777" w:rsidTr="00D50B08">
        <w:trPr>
          <w:cantSplit/>
        </w:trPr>
        <w:tc>
          <w:tcPr>
            <w:tcW w:w="1250" w:type="pct"/>
          </w:tcPr>
          <w:p w14:paraId="7F17C31D" w14:textId="77777777" w:rsidR="00631459" w:rsidRPr="00855735" w:rsidRDefault="00631459" w:rsidP="00C90A72">
            <w:r>
              <w:t>4.4 Educate VLA’s senior leaders on the effects of racism.</w:t>
            </w:r>
          </w:p>
        </w:tc>
        <w:tc>
          <w:tcPr>
            <w:tcW w:w="1250" w:type="pct"/>
          </w:tcPr>
          <w:p w14:paraId="4DA522D9" w14:textId="77777777" w:rsidR="00631459" w:rsidRDefault="00631459" w:rsidP="00C90A72">
            <w:r>
              <w:t>January annually</w:t>
            </w:r>
          </w:p>
        </w:tc>
        <w:tc>
          <w:tcPr>
            <w:tcW w:w="1250" w:type="pct"/>
          </w:tcPr>
          <w:p w14:paraId="67F5EC3C" w14:textId="77777777" w:rsidR="00631459" w:rsidRDefault="00631459" w:rsidP="00C90A72"/>
        </w:tc>
        <w:tc>
          <w:tcPr>
            <w:tcW w:w="1250" w:type="pct"/>
          </w:tcPr>
          <w:p w14:paraId="5336CDA6" w14:textId="48CC7D76" w:rsidR="00631459" w:rsidRDefault="00631459" w:rsidP="00C90A72">
            <w:r>
              <w:t>Head of People and Culture</w:t>
            </w:r>
          </w:p>
        </w:tc>
      </w:tr>
    </w:tbl>
    <w:p w14:paraId="537A594E" w14:textId="3FF64101" w:rsidR="00135DA0" w:rsidRDefault="00670CAA" w:rsidP="00670CAA">
      <w:pPr>
        <w:pStyle w:val="Tableheading"/>
        <w:rPr>
          <w:lang w:eastAsia="en-AU"/>
        </w:rPr>
      </w:pPr>
      <w:r>
        <w:rPr>
          <w:lang w:eastAsia="en-AU"/>
        </w:rPr>
        <w:t xml:space="preserve">Action 5 – </w:t>
      </w:r>
      <w:r>
        <w:t>Increase support to improve working in partnership with the Victorian Aboriginal Legal Service (VALS)</w:t>
      </w:r>
    </w:p>
    <w:tbl>
      <w:tblPr>
        <w:tblStyle w:val="TableGrid"/>
        <w:tblW w:w="5000" w:type="pct"/>
        <w:tblLook w:val="04A0" w:firstRow="1" w:lastRow="0" w:firstColumn="1" w:lastColumn="0" w:noHBand="0" w:noVBand="1"/>
      </w:tblPr>
      <w:tblGrid>
        <w:gridCol w:w="2442"/>
        <w:gridCol w:w="2442"/>
        <w:gridCol w:w="2443"/>
        <w:gridCol w:w="2443"/>
      </w:tblGrid>
      <w:tr w:rsidR="00FC4A24" w:rsidRPr="00670CAA" w14:paraId="3D5D05EE" w14:textId="77777777" w:rsidTr="00D50B08">
        <w:trPr>
          <w:cantSplit/>
          <w:tblHeader/>
        </w:trPr>
        <w:tc>
          <w:tcPr>
            <w:tcW w:w="1250" w:type="pct"/>
            <w:shd w:val="clear" w:color="auto" w:fill="FFF2CC" w:themeFill="accent4" w:themeFillTint="33"/>
          </w:tcPr>
          <w:p w14:paraId="65914C7E" w14:textId="77777777" w:rsidR="00FC4A24" w:rsidRPr="00670CAA" w:rsidRDefault="00FC4A24" w:rsidP="00C90A72">
            <w:pPr>
              <w:rPr>
                <w:b/>
              </w:rPr>
            </w:pPr>
            <w:r w:rsidRPr="00670CAA">
              <w:rPr>
                <w:b/>
              </w:rPr>
              <w:t>Deliverable</w:t>
            </w:r>
          </w:p>
        </w:tc>
        <w:tc>
          <w:tcPr>
            <w:tcW w:w="1250" w:type="pct"/>
            <w:shd w:val="clear" w:color="auto" w:fill="FFF2CC" w:themeFill="accent4" w:themeFillTint="33"/>
          </w:tcPr>
          <w:p w14:paraId="1230615B" w14:textId="40689076" w:rsidR="00FC4A24" w:rsidRPr="00670CAA" w:rsidRDefault="00FC4A24" w:rsidP="00C90A72">
            <w:pPr>
              <w:rPr>
                <w:b/>
              </w:rPr>
            </w:pPr>
            <w:r>
              <w:rPr>
                <w:b/>
              </w:rPr>
              <w:t xml:space="preserve">Original </w:t>
            </w:r>
            <w:r w:rsidRPr="00670CAA">
              <w:rPr>
                <w:b/>
              </w:rPr>
              <w:t>Timeline</w:t>
            </w:r>
          </w:p>
        </w:tc>
        <w:tc>
          <w:tcPr>
            <w:tcW w:w="1250" w:type="pct"/>
            <w:shd w:val="clear" w:color="auto" w:fill="FFF2CC" w:themeFill="accent4" w:themeFillTint="33"/>
          </w:tcPr>
          <w:p w14:paraId="1241F66F" w14:textId="60149C97" w:rsidR="00FC4A24" w:rsidRPr="00670CAA" w:rsidRDefault="00896269" w:rsidP="00C90A72">
            <w:pPr>
              <w:rPr>
                <w:b/>
              </w:rPr>
            </w:pPr>
            <w:r>
              <w:rPr>
                <w:b/>
              </w:rPr>
              <w:t>Revised Timeline</w:t>
            </w:r>
          </w:p>
        </w:tc>
        <w:tc>
          <w:tcPr>
            <w:tcW w:w="1250" w:type="pct"/>
            <w:shd w:val="clear" w:color="auto" w:fill="FFF2CC" w:themeFill="accent4" w:themeFillTint="33"/>
          </w:tcPr>
          <w:p w14:paraId="6513A2E5" w14:textId="09796C72" w:rsidR="00FC4A24" w:rsidRPr="00670CAA" w:rsidRDefault="00FC4A24" w:rsidP="00C90A72">
            <w:pPr>
              <w:rPr>
                <w:b/>
              </w:rPr>
            </w:pPr>
            <w:r w:rsidRPr="00670CAA">
              <w:rPr>
                <w:b/>
              </w:rPr>
              <w:t>Responsibility</w:t>
            </w:r>
          </w:p>
        </w:tc>
      </w:tr>
      <w:tr w:rsidR="00FC4A24" w:rsidRPr="00DB6246" w14:paraId="5AD5BAA8" w14:textId="77777777" w:rsidTr="00D50B08">
        <w:trPr>
          <w:cantSplit/>
        </w:trPr>
        <w:tc>
          <w:tcPr>
            <w:tcW w:w="1250" w:type="pct"/>
          </w:tcPr>
          <w:p w14:paraId="34B95407" w14:textId="77777777" w:rsidR="00FC4A24" w:rsidRPr="009817F3" w:rsidRDefault="00FC4A24" w:rsidP="00C90A72">
            <w:r>
              <w:t>5.1 VLA and VALS to establish and implement a Memorandum of Understanding (MOU) to strengthen our partnership.</w:t>
            </w:r>
          </w:p>
        </w:tc>
        <w:tc>
          <w:tcPr>
            <w:tcW w:w="1250" w:type="pct"/>
          </w:tcPr>
          <w:p w14:paraId="44D95ED8" w14:textId="77777777" w:rsidR="00FC4A24" w:rsidRPr="00DB6246" w:rsidRDefault="00FC4A24" w:rsidP="00C90A72">
            <w:r>
              <w:t>June 2020</w:t>
            </w:r>
          </w:p>
        </w:tc>
        <w:tc>
          <w:tcPr>
            <w:tcW w:w="1250" w:type="pct"/>
          </w:tcPr>
          <w:p w14:paraId="076FAAA0" w14:textId="1EDF359A" w:rsidR="00FC4A24" w:rsidRDefault="00896269" w:rsidP="00C90A72">
            <w:r>
              <w:t>January 2021</w:t>
            </w:r>
          </w:p>
        </w:tc>
        <w:tc>
          <w:tcPr>
            <w:tcW w:w="1250" w:type="pct"/>
          </w:tcPr>
          <w:p w14:paraId="62185730" w14:textId="00ACFCEC" w:rsidR="00FC4A24" w:rsidRPr="00DB6246" w:rsidRDefault="00FC4A24" w:rsidP="00C90A72">
            <w:r>
              <w:t>Chief Executive Officer</w:t>
            </w:r>
          </w:p>
        </w:tc>
      </w:tr>
      <w:tr w:rsidR="00FC4A24" w:rsidRPr="00DB6246" w14:paraId="60E1065C" w14:textId="77777777" w:rsidTr="00D50B08">
        <w:trPr>
          <w:cantSplit/>
        </w:trPr>
        <w:tc>
          <w:tcPr>
            <w:tcW w:w="1250" w:type="pct"/>
          </w:tcPr>
          <w:p w14:paraId="5466A04A" w14:textId="77777777" w:rsidR="00FC4A24" w:rsidRPr="005A05AD" w:rsidRDefault="00FC4A24" w:rsidP="00C90A72">
            <w:r>
              <w:lastRenderedPageBreak/>
              <w:t>5.2 Explore collaborative partnerships with VALS to establish improved communications between all legal and non-legal areas of both organisations.</w:t>
            </w:r>
          </w:p>
        </w:tc>
        <w:tc>
          <w:tcPr>
            <w:tcW w:w="1250" w:type="pct"/>
          </w:tcPr>
          <w:p w14:paraId="002007E2" w14:textId="77777777" w:rsidR="00FC4A24" w:rsidRPr="00DB6246" w:rsidRDefault="00FC4A24" w:rsidP="00C90A72">
            <w:r>
              <w:t>June annually</w:t>
            </w:r>
          </w:p>
        </w:tc>
        <w:tc>
          <w:tcPr>
            <w:tcW w:w="1250" w:type="pct"/>
          </w:tcPr>
          <w:p w14:paraId="2E22071E" w14:textId="324C4EA4" w:rsidR="00FC4A24" w:rsidRDefault="00FC4A24" w:rsidP="00C90A72"/>
        </w:tc>
        <w:tc>
          <w:tcPr>
            <w:tcW w:w="1250" w:type="pct"/>
          </w:tcPr>
          <w:p w14:paraId="67DB2A23" w14:textId="19C4CE10" w:rsidR="00FC4A24" w:rsidRDefault="00FC4A24" w:rsidP="00C90A72">
            <w:r>
              <w:t>Executive Director, Criminal Law</w:t>
            </w:r>
          </w:p>
          <w:p w14:paraId="5DEC7408" w14:textId="77777777" w:rsidR="00FC4A24" w:rsidRDefault="00FC4A24" w:rsidP="00C90A72">
            <w:r>
              <w:t>Executive Director, Family, Youth and Children’s Law</w:t>
            </w:r>
          </w:p>
          <w:p w14:paraId="532C2DAC" w14:textId="77777777" w:rsidR="00FC4A24" w:rsidRPr="00DB6246" w:rsidRDefault="00FC4A24" w:rsidP="00C90A72">
            <w:r>
              <w:t xml:space="preserve">Executive Director, Civil Justice, </w:t>
            </w:r>
            <w:proofErr w:type="gramStart"/>
            <w:r>
              <w:t>Access</w:t>
            </w:r>
            <w:proofErr w:type="gramEnd"/>
            <w:r>
              <w:t xml:space="preserve"> and Equity</w:t>
            </w:r>
          </w:p>
        </w:tc>
      </w:tr>
      <w:tr w:rsidR="00FC4A24" w14:paraId="40986C3A" w14:textId="77777777" w:rsidTr="00D50B08">
        <w:trPr>
          <w:cantSplit/>
        </w:trPr>
        <w:tc>
          <w:tcPr>
            <w:tcW w:w="1250" w:type="pct"/>
          </w:tcPr>
          <w:p w14:paraId="33BDE053" w14:textId="77777777" w:rsidR="00FC4A24" w:rsidRPr="00710FF1" w:rsidRDefault="00FC4A24" w:rsidP="00C90A72">
            <w:r>
              <w:t>5.3 Explore collaborative partnerships with VALS to establish mutual training opportunities for staff from both organisations.</w:t>
            </w:r>
          </w:p>
        </w:tc>
        <w:tc>
          <w:tcPr>
            <w:tcW w:w="1250" w:type="pct"/>
          </w:tcPr>
          <w:p w14:paraId="16538F05" w14:textId="77777777" w:rsidR="00FC4A24" w:rsidRDefault="00FC4A24" w:rsidP="00C90A72">
            <w:r>
              <w:t>June annually</w:t>
            </w:r>
          </w:p>
        </w:tc>
        <w:tc>
          <w:tcPr>
            <w:tcW w:w="1250" w:type="pct"/>
          </w:tcPr>
          <w:p w14:paraId="2B5AF774" w14:textId="77777777" w:rsidR="00FC4A24" w:rsidRDefault="00FC4A24" w:rsidP="00C90A72"/>
        </w:tc>
        <w:tc>
          <w:tcPr>
            <w:tcW w:w="1250" w:type="pct"/>
          </w:tcPr>
          <w:p w14:paraId="1EA27581" w14:textId="0A925887" w:rsidR="00FC4A24" w:rsidRDefault="00FC4A24" w:rsidP="00C90A72">
            <w:r>
              <w:t>Executive Director, Criminal Law</w:t>
            </w:r>
          </w:p>
          <w:p w14:paraId="5982A2AA" w14:textId="77777777" w:rsidR="00FC4A24" w:rsidRDefault="00FC4A24" w:rsidP="00C90A72">
            <w:r>
              <w:t>Executive Director, Family, Youth and Children’s Law</w:t>
            </w:r>
          </w:p>
          <w:p w14:paraId="03A73492" w14:textId="77777777" w:rsidR="00FC4A24" w:rsidRDefault="00FC4A24" w:rsidP="00C90A72">
            <w:r>
              <w:t xml:space="preserve">Executive Director, Civil Justice, </w:t>
            </w:r>
            <w:proofErr w:type="gramStart"/>
            <w:r>
              <w:t>Access</w:t>
            </w:r>
            <w:proofErr w:type="gramEnd"/>
            <w:r>
              <w:t xml:space="preserve"> and Equity</w:t>
            </w:r>
          </w:p>
        </w:tc>
      </w:tr>
      <w:tr w:rsidR="00FC4A24" w14:paraId="3BFC8F2A" w14:textId="77777777" w:rsidTr="00D50B08">
        <w:trPr>
          <w:cantSplit/>
        </w:trPr>
        <w:tc>
          <w:tcPr>
            <w:tcW w:w="1250" w:type="pct"/>
          </w:tcPr>
          <w:p w14:paraId="327CC6D6" w14:textId="77777777" w:rsidR="00FC4A24" w:rsidRPr="00710FF1" w:rsidRDefault="00FC4A24" w:rsidP="00C90A72">
            <w:r>
              <w:t>5.4 Quarterly meetings between senior staff at VLA and VALS to ensure MOU is supported and continually explore opportunities to strengthen the partnership.</w:t>
            </w:r>
          </w:p>
        </w:tc>
        <w:tc>
          <w:tcPr>
            <w:tcW w:w="1250" w:type="pct"/>
          </w:tcPr>
          <w:p w14:paraId="77E4CA71" w14:textId="77777777" w:rsidR="00FC4A24" w:rsidRDefault="00FC4A24" w:rsidP="00C90A72">
            <w:r>
              <w:t>February</w:t>
            </w:r>
          </w:p>
          <w:p w14:paraId="1F3754ED" w14:textId="77777777" w:rsidR="00FC4A24" w:rsidRDefault="00FC4A24" w:rsidP="00C90A72">
            <w:r>
              <w:t>June</w:t>
            </w:r>
          </w:p>
          <w:p w14:paraId="28C1D5F3" w14:textId="77777777" w:rsidR="00FC4A24" w:rsidRDefault="00FC4A24" w:rsidP="00C90A72">
            <w:r>
              <w:t xml:space="preserve">September and </w:t>
            </w:r>
          </w:p>
          <w:p w14:paraId="2F399A8E" w14:textId="77777777" w:rsidR="00FC4A24" w:rsidRDefault="00FC4A24" w:rsidP="00C90A72">
            <w:r>
              <w:t>December annually</w:t>
            </w:r>
          </w:p>
        </w:tc>
        <w:tc>
          <w:tcPr>
            <w:tcW w:w="1250" w:type="pct"/>
          </w:tcPr>
          <w:p w14:paraId="7D6825D2" w14:textId="77777777" w:rsidR="00FC4A24" w:rsidRDefault="00FC4A24" w:rsidP="00C90A72"/>
        </w:tc>
        <w:tc>
          <w:tcPr>
            <w:tcW w:w="1250" w:type="pct"/>
          </w:tcPr>
          <w:p w14:paraId="4FEAF3CE" w14:textId="58097206" w:rsidR="00FC4A24" w:rsidRDefault="00FC4A24" w:rsidP="00C90A72">
            <w:r>
              <w:t>Executive Director, Criminal Law</w:t>
            </w:r>
          </w:p>
          <w:p w14:paraId="039804D9" w14:textId="77777777" w:rsidR="00FC4A24" w:rsidRDefault="00FC4A24" w:rsidP="00C90A72">
            <w:r>
              <w:t>Executive Director, Family, Youth and Children’s Law</w:t>
            </w:r>
          </w:p>
          <w:p w14:paraId="79FEB898" w14:textId="77777777" w:rsidR="00FC4A24" w:rsidRDefault="00FC4A24" w:rsidP="00C90A72">
            <w:r>
              <w:t xml:space="preserve">Executive Director, Civil Justice, </w:t>
            </w:r>
            <w:proofErr w:type="gramStart"/>
            <w:r>
              <w:t>Access</w:t>
            </w:r>
            <w:proofErr w:type="gramEnd"/>
            <w:r>
              <w:t xml:space="preserve"> and Equity</w:t>
            </w:r>
          </w:p>
        </w:tc>
      </w:tr>
    </w:tbl>
    <w:p w14:paraId="630D001E" w14:textId="693D4ED7" w:rsidR="00135DA0" w:rsidRDefault="00670CAA" w:rsidP="00670CAA">
      <w:pPr>
        <w:pStyle w:val="Tableheading"/>
        <w:rPr>
          <w:lang w:eastAsia="en-AU"/>
        </w:rPr>
      </w:pPr>
      <w:r>
        <w:rPr>
          <w:lang w:eastAsia="en-AU"/>
        </w:rPr>
        <w:t xml:space="preserve">Action 6 – </w:t>
      </w:r>
      <w:r>
        <w:t xml:space="preserve">Increase support to improve working in partnership with </w:t>
      </w:r>
      <w:proofErr w:type="spellStart"/>
      <w:r>
        <w:t>Djirra</w:t>
      </w:r>
      <w:proofErr w:type="spellEnd"/>
      <w:r>
        <w:t xml:space="preserve"> (formerly Aboriginal Family Violence Prevention Legal Service Victoria)</w:t>
      </w:r>
    </w:p>
    <w:tbl>
      <w:tblPr>
        <w:tblStyle w:val="TableGrid"/>
        <w:tblW w:w="5000" w:type="pct"/>
        <w:tblLook w:val="04A0" w:firstRow="1" w:lastRow="0" w:firstColumn="1" w:lastColumn="0" w:noHBand="0" w:noVBand="1"/>
      </w:tblPr>
      <w:tblGrid>
        <w:gridCol w:w="2442"/>
        <w:gridCol w:w="2442"/>
        <w:gridCol w:w="2443"/>
        <w:gridCol w:w="2443"/>
      </w:tblGrid>
      <w:tr w:rsidR="00F708FE" w:rsidRPr="00670CAA" w14:paraId="3E5AB710" w14:textId="77777777" w:rsidTr="00D50B08">
        <w:trPr>
          <w:cantSplit/>
          <w:tblHeader/>
        </w:trPr>
        <w:tc>
          <w:tcPr>
            <w:tcW w:w="1250" w:type="pct"/>
            <w:shd w:val="clear" w:color="auto" w:fill="FFF2CC" w:themeFill="accent4" w:themeFillTint="33"/>
          </w:tcPr>
          <w:p w14:paraId="6149D407" w14:textId="77777777" w:rsidR="00F708FE" w:rsidRPr="00670CAA" w:rsidRDefault="00F708FE" w:rsidP="00C90A72">
            <w:pPr>
              <w:rPr>
                <w:b/>
              </w:rPr>
            </w:pPr>
            <w:r w:rsidRPr="00670CAA">
              <w:rPr>
                <w:b/>
              </w:rPr>
              <w:t>Deliverable</w:t>
            </w:r>
          </w:p>
        </w:tc>
        <w:tc>
          <w:tcPr>
            <w:tcW w:w="1250" w:type="pct"/>
            <w:shd w:val="clear" w:color="auto" w:fill="FFF2CC" w:themeFill="accent4" w:themeFillTint="33"/>
          </w:tcPr>
          <w:p w14:paraId="6857FE16" w14:textId="3E9165D8" w:rsidR="00F708FE" w:rsidRPr="00670CAA" w:rsidRDefault="00F708FE" w:rsidP="00C90A72">
            <w:pPr>
              <w:rPr>
                <w:b/>
              </w:rPr>
            </w:pPr>
            <w:r>
              <w:rPr>
                <w:b/>
              </w:rPr>
              <w:t xml:space="preserve">Original </w:t>
            </w:r>
            <w:r w:rsidRPr="00670CAA">
              <w:rPr>
                <w:b/>
              </w:rPr>
              <w:t>Timeline</w:t>
            </w:r>
          </w:p>
        </w:tc>
        <w:tc>
          <w:tcPr>
            <w:tcW w:w="1250" w:type="pct"/>
            <w:shd w:val="clear" w:color="auto" w:fill="FFF2CC" w:themeFill="accent4" w:themeFillTint="33"/>
          </w:tcPr>
          <w:p w14:paraId="09770446" w14:textId="3451D546" w:rsidR="00F708FE" w:rsidRPr="00670CAA" w:rsidRDefault="00F708FE" w:rsidP="00C90A72">
            <w:pPr>
              <w:rPr>
                <w:b/>
              </w:rPr>
            </w:pPr>
            <w:r>
              <w:rPr>
                <w:b/>
              </w:rPr>
              <w:t>Revised Timeline</w:t>
            </w:r>
          </w:p>
        </w:tc>
        <w:tc>
          <w:tcPr>
            <w:tcW w:w="1250" w:type="pct"/>
            <w:shd w:val="clear" w:color="auto" w:fill="FFF2CC" w:themeFill="accent4" w:themeFillTint="33"/>
          </w:tcPr>
          <w:p w14:paraId="12BB8144" w14:textId="50C3FABD" w:rsidR="00F708FE" w:rsidRPr="00670CAA" w:rsidRDefault="00F708FE" w:rsidP="00C90A72">
            <w:pPr>
              <w:rPr>
                <w:b/>
              </w:rPr>
            </w:pPr>
            <w:r w:rsidRPr="00670CAA">
              <w:rPr>
                <w:b/>
              </w:rPr>
              <w:t>Responsibility</w:t>
            </w:r>
          </w:p>
        </w:tc>
      </w:tr>
      <w:tr w:rsidR="00F708FE" w:rsidRPr="00DB6246" w14:paraId="1A13F471" w14:textId="77777777" w:rsidTr="00D50B08">
        <w:trPr>
          <w:cantSplit/>
        </w:trPr>
        <w:tc>
          <w:tcPr>
            <w:tcW w:w="1250" w:type="pct"/>
          </w:tcPr>
          <w:p w14:paraId="392DC4D8" w14:textId="77777777" w:rsidR="00F708FE" w:rsidRPr="00B21808" w:rsidRDefault="00F708FE" w:rsidP="00C90A72">
            <w:r>
              <w:t xml:space="preserve">6.1 VLA and </w:t>
            </w:r>
            <w:proofErr w:type="spellStart"/>
            <w:r>
              <w:t>Djirra</w:t>
            </w:r>
            <w:proofErr w:type="spellEnd"/>
            <w:r>
              <w:t xml:space="preserve"> to establish and implement a Memorandum of Understanding to strengthen our partnership. </w:t>
            </w:r>
          </w:p>
        </w:tc>
        <w:tc>
          <w:tcPr>
            <w:tcW w:w="1250" w:type="pct"/>
          </w:tcPr>
          <w:p w14:paraId="2BE558C1" w14:textId="77777777" w:rsidR="00F708FE" w:rsidRPr="00DB6246" w:rsidRDefault="00F708FE" w:rsidP="00C90A72">
            <w:r>
              <w:t>June 2020</w:t>
            </w:r>
          </w:p>
        </w:tc>
        <w:tc>
          <w:tcPr>
            <w:tcW w:w="1250" w:type="pct"/>
          </w:tcPr>
          <w:p w14:paraId="49405C9C" w14:textId="599C25FA" w:rsidR="00F708FE" w:rsidRDefault="00F708FE" w:rsidP="00C90A72">
            <w:r>
              <w:t>January 2021</w:t>
            </w:r>
          </w:p>
        </w:tc>
        <w:tc>
          <w:tcPr>
            <w:tcW w:w="1250" w:type="pct"/>
          </w:tcPr>
          <w:p w14:paraId="188AA621" w14:textId="3DC853B7" w:rsidR="00F708FE" w:rsidRPr="00DB6246" w:rsidRDefault="00F708FE" w:rsidP="00C90A72">
            <w:r>
              <w:t>Chief Executive Officer</w:t>
            </w:r>
          </w:p>
        </w:tc>
      </w:tr>
      <w:tr w:rsidR="00F708FE" w:rsidRPr="00DB6246" w14:paraId="1A1DE3A6" w14:textId="77777777" w:rsidTr="00D50B08">
        <w:trPr>
          <w:cantSplit/>
        </w:trPr>
        <w:tc>
          <w:tcPr>
            <w:tcW w:w="1250" w:type="pct"/>
          </w:tcPr>
          <w:p w14:paraId="0A954C3A" w14:textId="77777777" w:rsidR="00F708FE" w:rsidRPr="00B21808" w:rsidRDefault="00F708FE" w:rsidP="00C90A72">
            <w:r>
              <w:lastRenderedPageBreak/>
              <w:t xml:space="preserve">6.2 Explore collaborative partnerships with </w:t>
            </w:r>
            <w:proofErr w:type="spellStart"/>
            <w:r>
              <w:t>Djirra</w:t>
            </w:r>
            <w:proofErr w:type="spellEnd"/>
            <w:r>
              <w:t xml:space="preserve"> to establish improved communications between all legal and non-legal areas of both organisations. </w:t>
            </w:r>
          </w:p>
        </w:tc>
        <w:tc>
          <w:tcPr>
            <w:tcW w:w="1250" w:type="pct"/>
          </w:tcPr>
          <w:p w14:paraId="1C99F0E3" w14:textId="77777777" w:rsidR="00F708FE" w:rsidRPr="00DB6246" w:rsidRDefault="00F708FE" w:rsidP="00C90A72">
            <w:r>
              <w:t>June annually</w:t>
            </w:r>
          </w:p>
        </w:tc>
        <w:tc>
          <w:tcPr>
            <w:tcW w:w="1250" w:type="pct"/>
          </w:tcPr>
          <w:p w14:paraId="170DF15C" w14:textId="79924BEB" w:rsidR="00F708FE" w:rsidRDefault="00F708FE" w:rsidP="00C90A72">
            <w:r>
              <w:t xml:space="preserve">December annually </w:t>
            </w:r>
          </w:p>
        </w:tc>
        <w:tc>
          <w:tcPr>
            <w:tcW w:w="1250" w:type="pct"/>
          </w:tcPr>
          <w:p w14:paraId="58BB078F" w14:textId="2CF390FC" w:rsidR="00F708FE" w:rsidRPr="00DB6246" w:rsidRDefault="00F708FE" w:rsidP="00C90A72">
            <w:r>
              <w:t>Executive Director, Family, Youth and Children’s Law</w:t>
            </w:r>
          </w:p>
        </w:tc>
      </w:tr>
      <w:tr w:rsidR="00F708FE" w14:paraId="7419F5B5" w14:textId="77777777" w:rsidTr="00D50B08">
        <w:trPr>
          <w:cantSplit/>
        </w:trPr>
        <w:tc>
          <w:tcPr>
            <w:tcW w:w="1250" w:type="pct"/>
          </w:tcPr>
          <w:p w14:paraId="07B323F6" w14:textId="77777777" w:rsidR="00F708FE" w:rsidRPr="00B21808" w:rsidRDefault="00F708FE" w:rsidP="00C90A72">
            <w:r>
              <w:t xml:space="preserve">6.3 Explore collaborative partnerships with </w:t>
            </w:r>
            <w:proofErr w:type="spellStart"/>
            <w:r>
              <w:t>Djirra</w:t>
            </w:r>
            <w:proofErr w:type="spellEnd"/>
            <w:r>
              <w:t xml:space="preserve"> to establish mutual training opportunities for staff from both organisations.</w:t>
            </w:r>
          </w:p>
        </w:tc>
        <w:tc>
          <w:tcPr>
            <w:tcW w:w="1250" w:type="pct"/>
          </w:tcPr>
          <w:p w14:paraId="7E7740DF" w14:textId="77777777" w:rsidR="00F708FE" w:rsidRDefault="00F708FE" w:rsidP="00C90A72">
            <w:r>
              <w:t>December annually</w:t>
            </w:r>
          </w:p>
        </w:tc>
        <w:tc>
          <w:tcPr>
            <w:tcW w:w="1250" w:type="pct"/>
          </w:tcPr>
          <w:p w14:paraId="12628815" w14:textId="77777777" w:rsidR="00F708FE" w:rsidRDefault="00F708FE" w:rsidP="00C90A72"/>
        </w:tc>
        <w:tc>
          <w:tcPr>
            <w:tcW w:w="1250" w:type="pct"/>
          </w:tcPr>
          <w:p w14:paraId="4000A72B" w14:textId="264DD148" w:rsidR="00F708FE" w:rsidRDefault="00F708FE" w:rsidP="00C90A72">
            <w:r>
              <w:t>Executive Director, Family, Youth and Children’s Law</w:t>
            </w:r>
          </w:p>
        </w:tc>
      </w:tr>
      <w:tr w:rsidR="00F708FE" w14:paraId="03C977C0" w14:textId="77777777" w:rsidTr="00D50B08">
        <w:trPr>
          <w:cantSplit/>
        </w:trPr>
        <w:tc>
          <w:tcPr>
            <w:tcW w:w="1250" w:type="pct"/>
          </w:tcPr>
          <w:p w14:paraId="22F41FD6" w14:textId="77777777" w:rsidR="00F708FE" w:rsidRPr="00710FF1" w:rsidRDefault="00F708FE" w:rsidP="00C90A72">
            <w:r>
              <w:t xml:space="preserve">6.4 Quarterly meetings between senior staff at VLA and </w:t>
            </w:r>
            <w:proofErr w:type="spellStart"/>
            <w:r>
              <w:t>Djirra</w:t>
            </w:r>
            <w:proofErr w:type="spellEnd"/>
            <w:r>
              <w:t xml:space="preserve"> to ensure MOU is supported and continually explore opportunities to strengthen the partnership.</w:t>
            </w:r>
          </w:p>
        </w:tc>
        <w:tc>
          <w:tcPr>
            <w:tcW w:w="1250" w:type="pct"/>
          </w:tcPr>
          <w:p w14:paraId="0A760A9F" w14:textId="77777777" w:rsidR="00F708FE" w:rsidRDefault="00F708FE" w:rsidP="00C90A72">
            <w:r>
              <w:t>February</w:t>
            </w:r>
          </w:p>
          <w:p w14:paraId="6D8219E0" w14:textId="77777777" w:rsidR="00F708FE" w:rsidRDefault="00F708FE" w:rsidP="00C90A72">
            <w:r>
              <w:t>June</w:t>
            </w:r>
          </w:p>
          <w:p w14:paraId="33279558" w14:textId="77777777" w:rsidR="00F708FE" w:rsidRDefault="00F708FE" w:rsidP="00C90A72">
            <w:r>
              <w:t>September and</w:t>
            </w:r>
          </w:p>
          <w:p w14:paraId="10992B43" w14:textId="77777777" w:rsidR="00F708FE" w:rsidRDefault="00F708FE" w:rsidP="00C90A72">
            <w:r>
              <w:t>December annually</w:t>
            </w:r>
          </w:p>
        </w:tc>
        <w:tc>
          <w:tcPr>
            <w:tcW w:w="1250" w:type="pct"/>
          </w:tcPr>
          <w:p w14:paraId="3DBF2B0C" w14:textId="77777777" w:rsidR="00F708FE" w:rsidRDefault="00F708FE" w:rsidP="00C90A72"/>
        </w:tc>
        <w:tc>
          <w:tcPr>
            <w:tcW w:w="1250" w:type="pct"/>
          </w:tcPr>
          <w:p w14:paraId="5F1D5818" w14:textId="21150074" w:rsidR="00F708FE" w:rsidRDefault="00F708FE" w:rsidP="00C90A72">
            <w:r>
              <w:t>Executive Director, Family, Youth and Children’s Law</w:t>
            </w:r>
          </w:p>
        </w:tc>
      </w:tr>
    </w:tbl>
    <w:p w14:paraId="6303AADC" w14:textId="79F98712" w:rsidR="00135DA0" w:rsidRDefault="00670CAA" w:rsidP="00D50B08">
      <w:pPr>
        <w:pStyle w:val="Tableheading"/>
        <w:keepNext/>
        <w:rPr>
          <w:lang w:eastAsia="en-AU"/>
        </w:rPr>
      </w:pPr>
      <w:r>
        <w:rPr>
          <w:lang w:eastAsia="en-AU"/>
        </w:rPr>
        <w:lastRenderedPageBreak/>
        <w:t xml:space="preserve">Action 7 – </w:t>
      </w:r>
      <w:r>
        <w:t>Enhance VLA’s accountability to the Aboriginal and Torres Strait Islander community</w:t>
      </w:r>
    </w:p>
    <w:tbl>
      <w:tblPr>
        <w:tblStyle w:val="TableGrid"/>
        <w:tblW w:w="5000" w:type="pct"/>
        <w:tblLook w:val="04A0" w:firstRow="1" w:lastRow="0" w:firstColumn="1" w:lastColumn="0" w:noHBand="0" w:noVBand="1"/>
      </w:tblPr>
      <w:tblGrid>
        <w:gridCol w:w="2442"/>
        <w:gridCol w:w="2442"/>
        <w:gridCol w:w="2443"/>
        <w:gridCol w:w="2443"/>
      </w:tblGrid>
      <w:tr w:rsidR="00D835B9" w:rsidRPr="00670CAA" w14:paraId="5E346CC6" w14:textId="77777777" w:rsidTr="00D50B08">
        <w:trPr>
          <w:cantSplit/>
          <w:tblHeader/>
        </w:trPr>
        <w:tc>
          <w:tcPr>
            <w:tcW w:w="1250" w:type="pct"/>
            <w:shd w:val="clear" w:color="auto" w:fill="FFF2CC" w:themeFill="accent4" w:themeFillTint="33"/>
          </w:tcPr>
          <w:p w14:paraId="4B949EED" w14:textId="77777777" w:rsidR="00D835B9" w:rsidRPr="00670CAA" w:rsidRDefault="00D835B9" w:rsidP="00C90A72">
            <w:pPr>
              <w:rPr>
                <w:b/>
              </w:rPr>
            </w:pPr>
            <w:r w:rsidRPr="00670CAA">
              <w:rPr>
                <w:b/>
              </w:rPr>
              <w:t>Deliverable</w:t>
            </w:r>
          </w:p>
        </w:tc>
        <w:tc>
          <w:tcPr>
            <w:tcW w:w="1250" w:type="pct"/>
            <w:shd w:val="clear" w:color="auto" w:fill="FFF2CC" w:themeFill="accent4" w:themeFillTint="33"/>
          </w:tcPr>
          <w:p w14:paraId="1FA1BB66" w14:textId="649AA318" w:rsidR="00D835B9" w:rsidRPr="00670CAA" w:rsidRDefault="00D835B9" w:rsidP="00C90A72">
            <w:pPr>
              <w:rPr>
                <w:b/>
              </w:rPr>
            </w:pPr>
            <w:r>
              <w:rPr>
                <w:b/>
              </w:rPr>
              <w:t xml:space="preserve">Original </w:t>
            </w:r>
            <w:r w:rsidRPr="00670CAA">
              <w:rPr>
                <w:b/>
              </w:rPr>
              <w:t>Timeline</w:t>
            </w:r>
          </w:p>
        </w:tc>
        <w:tc>
          <w:tcPr>
            <w:tcW w:w="1250" w:type="pct"/>
            <w:shd w:val="clear" w:color="auto" w:fill="FFF2CC" w:themeFill="accent4" w:themeFillTint="33"/>
          </w:tcPr>
          <w:p w14:paraId="58A8A514" w14:textId="6CC340A5" w:rsidR="00D835B9" w:rsidRPr="00670CAA" w:rsidRDefault="00D835B9" w:rsidP="00C90A72">
            <w:pPr>
              <w:rPr>
                <w:b/>
              </w:rPr>
            </w:pPr>
            <w:r>
              <w:rPr>
                <w:b/>
              </w:rPr>
              <w:t xml:space="preserve">Revised Timeline </w:t>
            </w:r>
          </w:p>
        </w:tc>
        <w:tc>
          <w:tcPr>
            <w:tcW w:w="1250" w:type="pct"/>
            <w:shd w:val="clear" w:color="auto" w:fill="FFF2CC" w:themeFill="accent4" w:themeFillTint="33"/>
          </w:tcPr>
          <w:p w14:paraId="1A9EEE9B" w14:textId="429491C2" w:rsidR="00D835B9" w:rsidRPr="00670CAA" w:rsidRDefault="00D835B9" w:rsidP="00C90A72">
            <w:pPr>
              <w:rPr>
                <w:b/>
              </w:rPr>
            </w:pPr>
            <w:r w:rsidRPr="00670CAA">
              <w:rPr>
                <w:b/>
              </w:rPr>
              <w:t>Responsibility</w:t>
            </w:r>
          </w:p>
        </w:tc>
      </w:tr>
      <w:tr w:rsidR="00D835B9" w:rsidRPr="00DB6246" w14:paraId="6E449913" w14:textId="77777777" w:rsidTr="00D50B08">
        <w:trPr>
          <w:cantSplit/>
        </w:trPr>
        <w:tc>
          <w:tcPr>
            <w:tcW w:w="1250" w:type="pct"/>
          </w:tcPr>
          <w:p w14:paraId="1C3DD82D" w14:textId="77777777" w:rsidR="00D835B9" w:rsidRPr="009817F3" w:rsidRDefault="00D835B9" w:rsidP="00C90A72">
            <w:r>
              <w:t>7.1 Engage with Regional Aboriginal Justice Advisory Groups and Local Aboriginal Justice Advisory Groups on the appropriateness of a VLA representative participating in meetings to provide updates on RAP activities and VLA’s services in specific areas.</w:t>
            </w:r>
          </w:p>
        </w:tc>
        <w:tc>
          <w:tcPr>
            <w:tcW w:w="1250" w:type="pct"/>
          </w:tcPr>
          <w:p w14:paraId="0B9AED93" w14:textId="77777777" w:rsidR="00D835B9" w:rsidRPr="00DB6246" w:rsidRDefault="00D835B9" w:rsidP="00C90A72">
            <w:r>
              <w:t>June annually</w:t>
            </w:r>
          </w:p>
        </w:tc>
        <w:tc>
          <w:tcPr>
            <w:tcW w:w="1250" w:type="pct"/>
          </w:tcPr>
          <w:p w14:paraId="52ED25C2" w14:textId="1493913F" w:rsidR="00D835B9" w:rsidRDefault="00F441CB" w:rsidP="00C90A72">
            <w:r>
              <w:t xml:space="preserve">December annually </w:t>
            </w:r>
          </w:p>
        </w:tc>
        <w:tc>
          <w:tcPr>
            <w:tcW w:w="1250" w:type="pct"/>
          </w:tcPr>
          <w:p w14:paraId="5198CEDB" w14:textId="78CFB203" w:rsidR="00D835B9" w:rsidRPr="00DB6246" w:rsidRDefault="00D835B9" w:rsidP="00C90A72">
            <w:r>
              <w:t>Associate Director, Aboriginal Services</w:t>
            </w:r>
          </w:p>
        </w:tc>
      </w:tr>
      <w:tr w:rsidR="00D835B9" w:rsidRPr="00DB6246" w14:paraId="3128A95B" w14:textId="77777777" w:rsidTr="00D50B08">
        <w:trPr>
          <w:cantSplit/>
        </w:trPr>
        <w:tc>
          <w:tcPr>
            <w:tcW w:w="1250" w:type="pct"/>
          </w:tcPr>
          <w:p w14:paraId="58B14EDC" w14:textId="77777777" w:rsidR="00D835B9" w:rsidRPr="005A05AD" w:rsidRDefault="00D835B9" w:rsidP="00C90A72">
            <w:r>
              <w:t xml:space="preserve">7.2 Explore opportunities for more community engagement through technology (e.g. social media and online sponsored ads). </w:t>
            </w:r>
          </w:p>
        </w:tc>
        <w:tc>
          <w:tcPr>
            <w:tcW w:w="1250" w:type="pct"/>
          </w:tcPr>
          <w:p w14:paraId="252B2990" w14:textId="77777777" w:rsidR="00D835B9" w:rsidRPr="00DB6246" w:rsidRDefault="00D835B9" w:rsidP="00C90A72">
            <w:r>
              <w:t>December 2019</w:t>
            </w:r>
          </w:p>
        </w:tc>
        <w:tc>
          <w:tcPr>
            <w:tcW w:w="1250" w:type="pct"/>
          </w:tcPr>
          <w:p w14:paraId="7E973670" w14:textId="77777777" w:rsidR="00D835B9" w:rsidRDefault="00D835B9" w:rsidP="00C90A72"/>
        </w:tc>
        <w:tc>
          <w:tcPr>
            <w:tcW w:w="1250" w:type="pct"/>
          </w:tcPr>
          <w:p w14:paraId="03E63269" w14:textId="5131CD20" w:rsidR="00D835B9" w:rsidRPr="00DB6246" w:rsidRDefault="00D835B9" w:rsidP="00C90A72">
            <w:r>
              <w:t xml:space="preserve">Associate Director, Strategic Communications </w:t>
            </w:r>
          </w:p>
        </w:tc>
      </w:tr>
    </w:tbl>
    <w:p w14:paraId="7FF5DF46" w14:textId="1CC7CECA" w:rsidR="00135DA0" w:rsidRDefault="00670CAA" w:rsidP="00670CAA">
      <w:pPr>
        <w:pStyle w:val="Tableheading"/>
        <w:rPr>
          <w:lang w:eastAsia="en-AU"/>
        </w:rPr>
      </w:pPr>
      <w:r>
        <w:rPr>
          <w:lang w:eastAsia="en-AU"/>
        </w:rPr>
        <w:t xml:space="preserve">Action 8 – </w:t>
      </w:r>
      <w:r>
        <w:t xml:space="preserve">Strengthen the relationship between VLA Chambers and Aboriginal legal services (VALS and </w:t>
      </w:r>
      <w:proofErr w:type="spellStart"/>
      <w:r>
        <w:t>Djirra</w:t>
      </w:r>
      <w:proofErr w:type="spellEnd"/>
      <w:r>
        <w:t>)</w:t>
      </w:r>
    </w:p>
    <w:tbl>
      <w:tblPr>
        <w:tblStyle w:val="TableGrid"/>
        <w:tblW w:w="5000" w:type="pct"/>
        <w:tblLook w:val="04A0" w:firstRow="1" w:lastRow="0" w:firstColumn="1" w:lastColumn="0" w:noHBand="0" w:noVBand="1"/>
      </w:tblPr>
      <w:tblGrid>
        <w:gridCol w:w="3256"/>
        <w:gridCol w:w="3257"/>
        <w:gridCol w:w="3257"/>
      </w:tblGrid>
      <w:tr w:rsidR="00135DA0" w:rsidRPr="00670CAA" w14:paraId="7659B7C2" w14:textId="77777777" w:rsidTr="00D50B08">
        <w:trPr>
          <w:cantSplit/>
          <w:tblHeader/>
        </w:trPr>
        <w:tc>
          <w:tcPr>
            <w:tcW w:w="1666" w:type="pct"/>
            <w:shd w:val="clear" w:color="auto" w:fill="FFF2CC" w:themeFill="accent4" w:themeFillTint="33"/>
          </w:tcPr>
          <w:p w14:paraId="4BFE3D72" w14:textId="77777777" w:rsidR="00135DA0" w:rsidRPr="00670CAA" w:rsidRDefault="00135DA0" w:rsidP="00C90A72">
            <w:pPr>
              <w:rPr>
                <w:b/>
              </w:rPr>
            </w:pPr>
            <w:r w:rsidRPr="00670CAA">
              <w:rPr>
                <w:b/>
              </w:rPr>
              <w:t>Deliverable</w:t>
            </w:r>
          </w:p>
        </w:tc>
        <w:tc>
          <w:tcPr>
            <w:tcW w:w="1667" w:type="pct"/>
            <w:shd w:val="clear" w:color="auto" w:fill="FFF2CC" w:themeFill="accent4" w:themeFillTint="33"/>
          </w:tcPr>
          <w:p w14:paraId="7388297C" w14:textId="77777777" w:rsidR="00135DA0" w:rsidRPr="00670CAA" w:rsidRDefault="00135DA0" w:rsidP="00C90A72">
            <w:pPr>
              <w:rPr>
                <w:b/>
              </w:rPr>
            </w:pPr>
            <w:r w:rsidRPr="00670CAA">
              <w:rPr>
                <w:b/>
              </w:rPr>
              <w:t>Timeline</w:t>
            </w:r>
          </w:p>
        </w:tc>
        <w:tc>
          <w:tcPr>
            <w:tcW w:w="1667" w:type="pct"/>
            <w:shd w:val="clear" w:color="auto" w:fill="FFF2CC" w:themeFill="accent4" w:themeFillTint="33"/>
          </w:tcPr>
          <w:p w14:paraId="49AC698A" w14:textId="77777777" w:rsidR="00135DA0" w:rsidRPr="00670CAA" w:rsidRDefault="00135DA0" w:rsidP="00C90A72">
            <w:pPr>
              <w:rPr>
                <w:b/>
              </w:rPr>
            </w:pPr>
            <w:r w:rsidRPr="00670CAA">
              <w:rPr>
                <w:b/>
              </w:rPr>
              <w:t>Responsibility</w:t>
            </w:r>
          </w:p>
        </w:tc>
      </w:tr>
      <w:tr w:rsidR="00135DA0" w:rsidRPr="00DB6246" w14:paraId="5ECB8DC5" w14:textId="77777777" w:rsidTr="00D50B08">
        <w:trPr>
          <w:cantSplit/>
        </w:trPr>
        <w:tc>
          <w:tcPr>
            <w:tcW w:w="1666" w:type="pct"/>
          </w:tcPr>
          <w:p w14:paraId="6AEB8B81" w14:textId="77777777" w:rsidR="00135DA0" w:rsidRPr="009817F3" w:rsidRDefault="00135DA0" w:rsidP="00C90A72">
            <w:r>
              <w:t>8.1 Communicate briefing guidelines and procedures for committals, County Court appeals, County Court pleas and trials to VALS, and encourage VALS staff to brief VLA Chambers.</w:t>
            </w:r>
          </w:p>
        </w:tc>
        <w:tc>
          <w:tcPr>
            <w:tcW w:w="1667" w:type="pct"/>
          </w:tcPr>
          <w:p w14:paraId="6953C1C8" w14:textId="77777777" w:rsidR="00135DA0" w:rsidRPr="00DB6246" w:rsidRDefault="00135DA0" w:rsidP="00C90A72">
            <w:r>
              <w:t>June annually</w:t>
            </w:r>
          </w:p>
        </w:tc>
        <w:tc>
          <w:tcPr>
            <w:tcW w:w="1667" w:type="pct"/>
          </w:tcPr>
          <w:p w14:paraId="4D3E017A" w14:textId="77777777" w:rsidR="00135DA0" w:rsidRPr="00DB6246" w:rsidRDefault="00135DA0" w:rsidP="00C90A72">
            <w:r>
              <w:t>Chief Counsel</w:t>
            </w:r>
          </w:p>
        </w:tc>
      </w:tr>
      <w:tr w:rsidR="00135DA0" w:rsidRPr="00DB6246" w14:paraId="42C4AB20" w14:textId="77777777" w:rsidTr="00D50B08">
        <w:trPr>
          <w:cantSplit/>
        </w:trPr>
        <w:tc>
          <w:tcPr>
            <w:tcW w:w="1666" w:type="pct"/>
          </w:tcPr>
          <w:p w14:paraId="420AA059" w14:textId="77777777" w:rsidR="00135DA0" w:rsidRPr="005A05AD" w:rsidRDefault="00135DA0" w:rsidP="00C90A72">
            <w:r>
              <w:t xml:space="preserve">8.2 Communicate family law briefing guidelines to </w:t>
            </w:r>
            <w:proofErr w:type="spellStart"/>
            <w:r>
              <w:t>Djirra</w:t>
            </w:r>
            <w:proofErr w:type="spellEnd"/>
            <w:r>
              <w:t xml:space="preserve"> staff and encourage </w:t>
            </w:r>
            <w:proofErr w:type="spellStart"/>
            <w:r>
              <w:t>Djirra</w:t>
            </w:r>
            <w:proofErr w:type="spellEnd"/>
            <w:r>
              <w:t xml:space="preserve"> staff to brief VLA Chambers.</w:t>
            </w:r>
          </w:p>
        </w:tc>
        <w:tc>
          <w:tcPr>
            <w:tcW w:w="1667" w:type="pct"/>
          </w:tcPr>
          <w:p w14:paraId="2CB651BF" w14:textId="77777777" w:rsidR="00135DA0" w:rsidRPr="00DB6246" w:rsidRDefault="00135DA0" w:rsidP="00C90A72">
            <w:r>
              <w:t>June annually</w:t>
            </w:r>
          </w:p>
        </w:tc>
        <w:tc>
          <w:tcPr>
            <w:tcW w:w="1667" w:type="pct"/>
          </w:tcPr>
          <w:p w14:paraId="696AD6F0" w14:textId="77777777" w:rsidR="00135DA0" w:rsidRPr="00DB6246" w:rsidRDefault="00135DA0" w:rsidP="00C90A72">
            <w:r>
              <w:t>Chief Counsel</w:t>
            </w:r>
          </w:p>
        </w:tc>
      </w:tr>
      <w:tr w:rsidR="00135DA0" w14:paraId="7A545FC8" w14:textId="77777777" w:rsidTr="00D50B08">
        <w:trPr>
          <w:cantSplit/>
        </w:trPr>
        <w:tc>
          <w:tcPr>
            <w:tcW w:w="1666" w:type="pct"/>
          </w:tcPr>
          <w:p w14:paraId="0DE5C0B9" w14:textId="77777777" w:rsidR="00135DA0" w:rsidRPr="00710FF1" w:rsidRDefault="00135DA0" w:rsidP="00C90A72">
            <w:r>
              <w:lastRenderedPageBreak/>
              <w:t>8.3 Encourage both Aboriginal legal services to engage in specific training offered by VLA Chambers.</w:t>
            </w:r>
          </w:p>
        </w:tc>
        <w:tc>
          <w:tcPr>
            <w:tcW w:w="1667" w:type="pct"/>
          </w:tcPr>
          <w:p w14:paraId="421F215E" w14:textId="77777777" w:rsidR="00135DA0" w:rsidRDefault="00135DA0" w:rsidP="00C90A72">
            <w:r>
              <w:t>June annually</w:t>
            </w:r>
          </w:p>
        </w:tc>
        <w:tc>
          <w:tcPr>
            <w:tcW w:w="1667" w:type="pct"/>
          </w:tcPr>
          <w:p w14:paraId="3F4FFAC6" w14:textId="77777777" w:rsidR="00135DA0" w:rsidRDefault="00135DA0" w:rsidP="00C90A72">
            <w:r>
              <w:t>Chief Counsel</w:t>
            </w:r>
          </w:p>
        </w:tc>
      </w:tr>
      <w:tr w:rsidR="00135DA0" w14:paraId="7520A7E6" w14:textId="77777777" w:rsidTr="00D50B08">
        <w:trPr>
          <w:cantSplit/>
        </w:trPr>
        <w:tc>
          <w:tcPr>
            <w:tcW w:w="1666" w:type="pct"/>
          </w:tcPr>
          <w:p w14:paraId="11EB8467" w14:textId="77777777" w:rsidR="00135DA0" w:rsidRPr="00710FF1" w:rsidRDefault="00135DA0" w:rsidP="00C90A72">
            <w:r>
              <w:t>8.4 VLA Chambers will establish a nominated Chambers contact for both Aboriginal legal services to provide legal support, where appropriate.</w:t>
            </w:r>
          </w:p>
        </w:tc>
        <w:tc>
          <w:tcPr>
            <w:tcW w:w="1667" w:type="pct"/>
          </w:tcPr>
          <w:p w14:paraId="134329EE" w14:textId="77777777" w:rsidR="00135DA0" w:rsidRDefault="00135DA0" w:rsidP="00C90A72">
            <w:r>
              <w:t>June annually</w:t>
            </w:r>
          </w:p>
        </w:tc>
        <w:tc>
          <w:tcPr>
            <w:tcW w:w="1667" w:type="pct"/>
          </w:tcPr>
          <w:p w14:paraId="12AC4004" w14:textId="77777777" w:rsidR="00135DA0" w:rsidRDefault="00135DA0" w:rsidP="00C90A72">
            <w:r>
              <w:t>Chief Counsel</w:t>
            </w:r>
          </w:p>
        </w:tc>
      </w:tr>
      <w:tr w:rsidR="00135DA0" w14:paraId="6C16DB1F" w14:textId="77777777" w:rsidTr="00D50B08">
        <w:trPr>
          <w:cantSplit/>
        </w:trPr>
        <w:tc>
          <w:tcPr>
            <w:tcW w:w="1666" w:type="pct"/>
          </w:tcPr>
          <w:p w14:paraId="00D62994" w14:textId="77777777" w:rsidR="00135DA0" w:rsidRPr="00710FF1" w:rsidRDefault="00135DA0" w:rsidP="00C90A72">
            <w:r>
              <w:t>8.5 Explore other opportunities that may assist in enhancing Aboriginal legal services, such as secondment or shadowing opportunities with VLA Chambers.</w:t>
            </w:r>
          </w:p>
        </w:tc>
        <w:tc>
          <w:tcPr>
            <w:tcW w:w="1667" w:type="pct"/>
          </w:tcPr>
          <w:p w14:paraId="3305D288" w14:textId="77777777" w:rsidR="00135DA0" w:rsidRDefault="00135DA0" w:rsidP="00C90A72">
            <w:r>
              <w:t>June annually</w:t>
            </w:r>
          </w:p>
        </w:tc>
        <w:tc>
          <w:tcPr>
            <w:tcW w:w="1667" w:type="pct"/>
          </w:tcPr>
          <w:p w14:paraId="016A74FE" w14:textId="77777777" w:rsidR="00135DA0" w:rsidRDefault="00135DA0" w:rsidP="00C90A72">
            <w:r>
              <w:t>Chief Counsel</w:t>
            </w:r>
          </w:p>
        </w:tc>
      </w:tr>
    </w:tbl>
    <w:p w14:paraId="49280A91" w14:textId="77777777" w:rsidR="00F33CCA" w:rsidRDefault="00F33CCA">
      <w:pPr>
        <w:spacing w:after="0" w:line="240" w:lineRule="auto"/>
        <w:rPr>
          <w:rFonts w:cs="Arial"/>
          <w:b/>
          <w:bCs/>
          <w:color w:val="971A4B"/>
          <w:kern w:val="32"/>
          <w:sz w:val="32"/>
          <w:szCs w:val="32"/>
          <w:lang w:eastAsia="en-AU"/>
        </w:rPr>
      </w:pPr>
      <w:r>
        <w:br w:type="page"/>
      </w:r>
    </w:p>
    <w:p w14:paraId="70EF1433" w14:textId="46DA8B8A" w:rsidR="00135DA0" w:rsidRDefault="00135DA0" w:rsidP="003E19BA">
      <w:pPr>
        <w:pStyle w:val="Heading2"/>
      </w:pPr>
      <w:bookmarkStart w:id="4" w:name="_Toc14094191"/>
      <w:bookmarkStart w:id="5" w:name="_Toc14094285"/>
      <w:r>
        <w:lastRenderedPageBreak/>
        <w:t>Respect</w:t>
      </w:r>
      <w:bookmarkEnd w:id="4"/>
      <w:bookmarkEnd w:id="5"/>
    </w:p>
    <w:p w14:paraId="6181E98C" w14:textId="2C5FFFF3" w:rsidR="00135DA0" w:rsidRDefault="00F33CCA" w:rsidP="00F33CCA">
      <w:pPr>
        <w:pStyle w:val="Tableheading"/>
        <w:rPr>
          <w:lang w:eastAsia="en-AU"/>
        </w:rPr>
      </w:pPr>
      <w:r>
        <w:rPr>
          <w:lang w:eastAsia="en-AU"/>
        </w:rPr>
        <w:t xml:space="preserve">Action 9 – </w:t>
      </w:r>
      <w:r>
        <w:t xml:space="preserve">Increase understanding, value and recognition of Aboriginal and Torres Strait Islander cultures, histories, </w:t>
      </w:r>
      <w:proofErr w:type="gramStart"/>
      <w:r>
        <w:t>knowledge</w:t>
      </w:r>
      <w:proofErr w:type="gramEnd"/>
      <w:r>
        <w:t xml:space="preserve"> and rights through cultural learning</w:t>
      </w:r>
    </w:p>
    <w:tbl>
      <w:tblPr>
        <w:tblStyle w:val="TableGrid"/>
        <w:tblW w:w="5000" w:type="pct"/>
        <w:tblLook w:val="04A0" w:firstRow="1" w:lastRow="0" w:firstColumn="1" w:lastColumn="0" w:noHBand="0" w:noVBand="1"/>
      </w:tblPr>
      <w:tblGrid>
        <w:gridCol w:w="3256"/>
        <w:gridCol w:w="3257"/>
        <w:gridCol w:w="3257"/>
      </w:tblGrid>
      <w:tr w:rsidR="00135DA0" w:rsidRPr="00F33CCA" w14:paraId="74D328E9" w14:textId="77777777" w:rsidTr="006D3B57">
        <w:trPr>
          <w:cantSplit/>
          <w:tblHeader/>
        </w:trPr>
        <w:tc>
          <w:tcPr>
            <w:tcW w:w="1666" w:type="pct"/>
            <w:shd w:val="clear" w:color="auto" w:fill="DEEAF6" w:themeFill="accent1" w:themeFillTint="33"/>
          </w:tcPr>
          <w:p w14:paraId="066713C0" w14:textId="77777777" w:rsidR="00135DA0" w:rsidRPr="00F33CCA" w:rsidRDefault="00135DA0" w:rsidP="00C90A72">
            <w:pPr>
              <w:rPr>
                <w:b/>
              </w:rPr>
            </w:pPr>
            <w:r w:rsidRPr="00F33CCA">
              <w:rPr>
                <w:b/>
              </w:rPr>
              <w:t>Deliverable</w:t>
            </w:r>
          </w:p>
        </w:tc>
        <w:tc>
          <w:tcPr>
            <w:tcW w:w="1667" w:type="pct"/>
            <w:shd w:val="clear" w:color="auto" w:fill="DEEAF6" w:themeFill="accent1" w:themeFillTint="33"/>
          </w:tcPr>
          <w:p w14:paraId="3B6D62A0" w14:textId="77777777" w:rsidR="00135DA0" w:rsidRPr="00F33CCA" w:rsidRDefault="00135DA0" w:rsidP="00C90A72">
            <w:pPr>
              <w:rPr>
                <w:b/>
              </w:rPr>
            </w:pPr>
            <w:r w:rsidRPr="00F33CCA">
              <w:rPr>
                <w:b/>
              </w:rPr>
              <w:t>Timeline</w:t>
            </w:r>
          </w:p>
        </w:tc>
        <w:tc>
          <w:tcPr>
            <w:tcW w:w="1667" w:type="pct"/>
            <w:shd w:val="clear" w:color="auto" w:fill="DEEAF6" w:themeFill="accent1" w:themeFillTint="33"/>
          </w:tcPr>
          <w:p w14:paraId="6E6D5E9A" w14:textId="77777777" w:rsidR="00135DA0" w:rsidRPr="00F33CCA" w:rsidRDefault="00135DA0" w:rsidP="00C90A72">
            <w:pPr>
              <w:rPr>
                <w:b/>
              </w:rPr>
            </w:pPr>
            <w:r w:rsidRPr="00F33CCA">
              <w:rPr>
                <w:b/>
              </w:rPr>
              <w:t>Responsibility</w:t>
            </w:r>
          </w:p>
        </w:tc>
      </w:tr>
      <w:tr w:rsidR="00135DA0" w:rsidRPr="00DB6246" w14:paraId="61FD4CF2" w14:textId="77777777" w:rsidTr="006D3B57">
        <w:trPr>
          <w:cantSplit/>
        </w:trPr>
        <w:tc>
          <w:tcPr>
            <w:tcW w:w="1666" w:type="pct"/>
          </w:tcPr>
          <w:p w14:paraId="63D5734B" w14:textId="77777777" w:rsidR="00135DA0" w:rsidRPr="009817F3" w:rsidRDefault="00135DA0" w:rsidP="00C90A72">
            <w:r>
              <w:t>9.1 Conduct a review of cultural learning needs within our organisation.</w:t>
            </w:r>
          </w:p>
        </w:tc>
        <w:tc>
          <w:tcPr>
            <w:tcW w:w="1667" w:type="pct"/>
          </w:tcPr>
          <w:p w14:paraId="0EB4FFCE" w14:textId="77777777" w:rsidR="00135DA0" w:rsidRPr="00DB6246" w:rsidRDefault="00135DA0" w:rsidP="00C90A72">
            <w:r>
              <w:t>December 2019</w:t>
            </w:r>
          </w:p>
        </w:tc>
        <w:tc>
          <w:tcPr>
            <w:tcW w:w="1667" w:type="pct"/>
          </w:tcPr>
          <w:p w14:paraId="50C64977" w14:textId="77777777" w:rsidR="00135DA0" w:rsidRPr="00DB6246" w:rsidRDefault="00135DA0" w:rsidP="00C90A72">
            <w:r>
              <w:t>Head of People and Culture</w:t>
            </w:r>
          </w:p>
        </w:tc>
      </w:tr>
      <w:tr w:rsidR="00135DA0" w:rsidRPr="00DB6246" w14:paraId="53D65DE6" w14:textId="77777777" w:rsidTr="006D3B57">
        <w:trPr>
          <w:cantSplit/>
        </w:trPr>
        <w:tc>
          <w:tcPr>
            <w:tcW w:w="1666" w:type="pct"/>
          </w:tcPr>
          <w:p w14:paraId="4D7DBD46" w14:textId="77777777" w:rsidR="00135DA0" w:rsidRDefault="00135DA0" w:rsidP="00C90A72">
            <w:r>
              <w:t xml:space="preserve">9.2 Develop, </w:t>
            </w:r>
            <w:proofErr w:type="gramStart"/>
            <w:r>
              <w:t>implement</w:t>
            </w:r>
            <w:proofErr w:type="gramEnd"/>
            <w:r>
              <w:t xml:space="preserve"> and communicate a cultural learning strategy for our staff in consultation with local Traditional Owners and/or Aboriginal and Torres Strait Islander advisors.</w:t>
            </w:r>
          </w:p>
        </w:tc>
        <w:tc>
          <w:tcPr>
            <w:tcW w:w="1667" w:type="pct"/>
          </w:tcPr>
          <w:p w14:paraId="6BD30CB4" w14:textId="77777777" w:rsidR="00135DA0" w:rsidRDefault="00135DA0" w:rsidP="00C90A72">
            <w:r>
              <w:t>December 2020</w:t>
            </w:r>
          </w:p>
        </w:tc>
        <w:tc>
          <w:tcPr>
            <w:tcW w:w="1667" w:type="pct"/>
          </w:tcPr>
          <w:p w14:paraId="1A9B5346" w14:textId="77777777" w:rsidR="00135DA0" w:rsidRDefault="00135DA0" w:rsidP="00C90A72">
            <w:r>
              <w:t>Head of People and Culture</w:t>
            </w:r>
          </w:p>
        </w:tc>
      </w:tr>
      <w:tr w:rsidR="00135DA0" w:rsidRPr="00DB6246" w14:paraId="12F3B8A0" w14:textId="77777777" w:rsidTr="006D3B57">
        <w:trPr>
          <w:cantSplit/>
        </w:trPr>
        <w:tc>
          <w:tcPr>
            <w:tcW w:w="1666" w:type="pct"/>
          </w:tcPr>
          <w:p w14:paraId="61DD269B" w14:textId="77777777" w:rsidR="00135DA0" w:rsidRDefault="00135DA0" w:rsidP="00C90A72">
            <w:r>
              <w:t>9.3 Provide opportunities for RAP Working Group members, People and Culture managers and other key leadership staff to participate in formal and structured cultural learning.</w:t>
            </w:r>
          </w:p>
        </w:tc>
        <w:tc>
          <w:tcPr>
            <w:tcW w:w="1667" w:type="pct"/>
          </w:tcPr>
          <w:p w14:paraId="7C1EF148" w14:textId="77777777" w:rsidR="00135DA0" w:rsidRDefault="00135DA0" w:rsidP="00C90A72">
            <w:r>
              <w:t>July 2020</w:t>
            </w:r>
          </w:p>
        </w:tc>
        <w:tc>
          <w:tcPr>
            <w:tcW w:w="1667" w:type="pct"/>
          </w:tcPr>
          <w:p w14:paraId="4A1B435A" w14:textId="77777777" w:rsidR="00135DA0" w:rsidRDefault="00135DA0" w:rsidP="00C90A72">
            <w:r>
              <w:t>Head of People and Culture</w:t>
            </w:r>
          </w:p>
        </w:tc>
      </w:tr>
      <w:tr w:rsidR="00135DA0" w:rsidRPr="00DB6246" w14:paraId="46B39D28" w14:textId="77777777" w:rsidTr="006D3B57">
        <w:trPr>
          <w:cantSplit/>
        </w:trPr>
        <w:tc>
          <w:tcPr>
            <w:tcW w:w="1666" w:type="pct"/>
          </w:tcPr>
          <w:p w14:paraId="2AFE9F4E" w14:textId="77777777" w:rsidR="00135DA0" w:rsidRDefault="00135DA0" w:rsidP="00C90A72">
            <w:r>
              <w:t xml:space="preserve">9.4 Develop and implement Aboriginal and Torres Strait Islander cultural competency standards for VLA staff in consultation with local Traditional Owners and/or Aboriginal and Torres Strait Islander advisors. </w:t>
            </w:r>
          </w:p>
        </w:tc>
        <w:tc>
          <w:tcPr>
            <w:tcW w:w="1667" w:type="pct"/>
          </w:tcPr>
          <w:p w14:paraId="05322A43" w14:textId="77777777" w:rsidR="00135DA0" w:rsidRDefault="00135DA0" w:rsidP="00C90A72">
            <w:r>
              <w:t>May 2021</w:t>
            </w:r>
          </w:p>
        </w:tc>
        <w:tc>
          <w:tcPr>
            <w:tcW w:w="1667" w:type="pct"/>
          </w:tcPr>
          <w:p w14:paraId="708C0548" w14:textId="77777777" w:rsidR="00135DA0" w:rsidRDefault="00135DA0" w:rsidP="00C90A72">
            <w:r>
              <w:t>Associate Director, Aboriginal Services</w:t>
            </w:r>
          </w:p>
        </w:tc>
      </w:tr>
      <w:tr w:rsidR="00135DA0" w:rsidRPr="00DB6246" w14:paraId="785E69AE" w14:textId="77777777" w:rsidTr="006D3B57">
        <w:trPr>
          <w:cantSplit/>
        </w:trPr>
        <w:tc>
          <w:tcPr>
            <w:tcW w:w="1666" w:type="pct"/>
          </w:tcPr>
          <w:p w14:paraId="73A0E710" w14:textId="77777777" w:rsidR="00135DA0" w:rsidRDefault="00135DA0" w:rsidP="00C90A72">
            <w:r>
              <w:t>9.5 120 staff to undertake cultural awareness training under each year of the RAP.</w:t>
            </w:r>
          </w:p>
        </w:tc>
        <w:tc>
          <w:tcPr>
            <w:tcW w:w="1667" w:type="pct"/>
          </w:tcPr>
          <w:p w14:paraId="7ECD415A" w14:textId="77777777" w:rsidR="00135DA0" w:rsidRDefault="00135DA0" w:rsidP="00C90A72">
            <w:r>
              <w:t>June annually</w:t>
            </w:r>
          </w:p>
        </w:tc>
        <w:tc>
          <w:tcPr>
            <w:tcW w:w="1667" w:type="pct"/>
          </w:tcPr>
          <w:p w14:paraId="2351134E" w14:textId="77777777" w:rsidR="00135DA0" w:rsidRDefault="00135DA0" w:rsidP="00C90A72">
            <w:r>
              <w:t>Head of People and Culture</w:t>
            </w:r>
          </w:p>
        </w:tc>
      </w:tr>
      <w:tr w:rsidR="00135DA0" w:rsidRPr="00DB6246" w14:paraId="1ED08252" w14:textId="77777777" w:rsidTr="006D3B57">
        <w:trPr>
          <w:cantSplit/>
        </w:trPr>
        <w:tc>
          <w:tcPr>
            <w:tcW w:w="1666" w:type="pct"/>
          </w:tcPr>
          <w:p w14:paraId="590929F3" w14:textId="77777777" w:rsidR="00135DA0" w:rsidRDefault="00135DA0" w:rsidP="00C90A72">
            <w:r>
              <w:t xml:space="preserve">9.6 All Executive Directors are to participate in cultural awareness training and continuously promote the importance of cultural awareness to staff. </w:t>
            </w:r>
          </w:p>
        </w:tc>
        <w:tc>
          <w:tcPr>
            <w:tcW w:w="1667" w:type="pct"/>
          </w:tcPr>
          <w:p w14:paraId="4F9B454A" w14:textId="77777777" w:rsidR="00135DA0" w:rsidRDefault="00135DA0" w:rsidP="00C90A72">
            <w:r>
              <w:t>June annually</w:t>
            </w:r>
          </w:p>
        </w:tc>
        <w:tc>
          <w:tcPr>
            <w:tcW w:w="1667" w:type="pct"/>
          </w:tcPr>
          <w:p w14:paraId="12BE04F2" w14:textId="77777777" w:rsidR="00135DA0" w:rsidRDefault="00135DA0" w:rsidP="00C90A72">
            <w:r>
              <w:t>Head of People and Culture</w:t>
            </w:r>
          </w:p>
        </w:tc>
      </w:tr>
      <w:tr w:rsidR="00135DA0" w:rsidRPr="00DB6246" w14:paraId="0E72A641" w14:textId="77777777" w:rsidTr="006D3B57">
        <w:trPr>
          <w:cantSplit/>
        </w:trPr>
        <w:tc>
          <w:tcPr>
            <w:tcW w:w="1666" w:type="pct"/>
          </w:tcPr>
          <w:p w14:paraId="4024456D" w14:textId="77777777" w:rsidR="00135DA0" w:rsidRDefault="00135DA0" w:rsidP="00C90A72">
            <w:r>
              <w:t>9.7 Implement policy changes to require all new starters to complete the e-learning cultural awareness module.</w:t>
            </w:r>
          </w:p>
        </w:tc>
        <w:tc>
          <w:tcPr>
            <w:tcW w:w="1667" w:type="pct"/>
          </w:tcPr>
          <w:p w14:paraId="4A8844EF" w14:textId="77777777" w:rsidR="00135DA0" w:rsidRDefault="00135DA0" w:rsidP="00C90A72">
            <w:r>
              <w:t>December 2019</w:t>
            </w:r>
          </w:p>
        </w:tc>
        <w:tc>
          <w:tcPr>
            <w:tcW w:w="1667" w:type="pct"/>
          </w:tcPr>
          <w:p w14:paraId="68C95299" w14:textId="77777777" w:rsidR="00135DA0" w:rsidRDefault="00135DA0" w:rsidP="00C90A72">
            <w:r>
              <w:t>Head of People and Culture</w:t>
            </w:r>
          </w:p>
        </w:tc>
      </w:tr>
      <w:tr w:rsidR="00135DA0" w:rsidRPr="00DB6246" w14:paraId="3A895C73" w14:textId="77777777" w:rsidTr="006D3B57">
        <w:trPr>
          <w:cantSplit/>
        </w:trPr>
        <w:tc>
          <w:tcPr>
            <w:tcW w:w="1666" w:type="pct"/>
          </w:tcPr>
          <w:p w14:paraId="5F60C9F4" w14:textId="77777777" w:rsidR="00135DA0" w:rsidRDefault="00135DA0" w:rsidP="00C90A72">
            <w:r>
              <w:lastRenderedPageBreak/>
              <w:t>9.8 Develop a guide for VLA staff to assist in identifying and working with Aboriginal and Torres Strait Islander clients.</w:t>
            </w:r>
          </w:p>
        </w:tc>
        <w:tc>
          <w:tcPr>
            <w:tcW w:w="1667" w:type="pct"/>
          </w:tcPr>
          <w:p w14:paraId="1F307447" w14:textId="77777777" w:rsidR="00135DA0" w:rsidRDefault="00135DA0" w:rsidP="00C90A72">
            <w:r>
              <w:t>December 2019</w:t>
            </w:r>
          </w:p>
        </w:tc>
        <w:tc>
          <w:tcPr>
            <w:tcW w:w="1667" w:type="pct"/>
          </w:tcPr>
          <w:p w14:paraId="20E98B15" w14:textId="77777777" w:rsidR="00135DA0" w:rsidRDefault="00135DA0" w:rsidP="00C90A72">
            <w:r>
              <w:t>Associate Director, Aboriginal Services</w:t>
            </w:r>
          </w:p>
        </w:tc>
      </w:tr>
    </w:tbl>
    <w:p w14:paraId="42AC8DFB" w14:textId="3333365B" w:rsidR="00135DA0" w:rsidRDefault="00AF0079" w:rsidP="00AF0079">
      <w:pPr>
        <w:pStyle w:val="Tableheading"/>
        <w:rPr>
          <w:lang w:eastAsia="en-AU"/>
        </w:rPr>
      </w:pPr>
      <w:r>
        <w:rPr>
          <w:lang w:eastAsia="en-AU"/>
        </w:rPr>
        <w:t xml:space="preserve">Action 10 – </w:t>
      </w:r>
      <w:r>
        <w:t>Demonstrate respect to Aboriginal and Torres Strait Islander peoples by observing cultural protocols</w:t>
      </w:r>
    </w:p>
    <w:tbl>
      <w:tblPr>
        <w:tblStyle w:val="TableGrid"/>
        <w:tblW w:w="5000" w:type="pct"/>
        <w:tblLook w:val="04A0" w:firstRow="1" w:lastRow="0" w:firstColumn="1" w:lastColumn="0" w:noHBand="0" w:noVBand="1"/>
      </w:tblPr>
      <w:tblGrid>
        <w:gridCol w:w="3256"/>
        <w:gridCol w:w="3257"/>
        <w:gridCol w:w="3257"/>
      </w:tblGrid>
      <w:tr w:rsidR="00135DA0" w:rsidRPr="00AF0079" w14:paraId="1972B46B" w14:textId="77777777" w:rsidTr="006D3B57">
        <w:trPr>
          <w:cantSplit/>
          <w:tblHeader/>
        </w:trPr>
        <w:tc>
          <w:tcPr>
            <w:tcW w:w="1666" w:type="pct"/>
            <w:shd w:val="clear" w:color="auto" w:fill="DEEAF6" w:themeFill="accent1" w:themeFillTint="33"/>
          </w:tcPr>
          <w:p w14:paraId="0FC14252" w14:textId="77777777" w:rsidR="00135DA0" w:rsidRPr="00AF0079" w:rsidRDefault="00135DA0" w:rsidP="00C90A72">
            <w:pPr>
              <w:rPr>
                <w:b/>
              </w:rPr>
            </w:pPr>
            <w:r w:rsidRPr="00AF0079">
              <w:rPr>
                <w:b/>
              </w:rPr>
              <w:t>Deliverable</w:t>
            </w:r>
          </w:p>
        </w:tc>
        <w:tc>
          <w:tcPr>
            <w:tcW w:w="1667" w:type="pct"/>
            <w:shd w:val="clear" w:color="auto" w:fill="DEEAF6" w:themeFill="accent1" w:themeFillTint="33"/>
          </w:tcPr>
          <w:p w14:paraId="0419EFA0" w14:textId="77777777" w:rsidR="00135DA0" w:rsidRPr="00AF0079" w:rsidRDefault="00135DA0" w:rsidP="00C90A72">
            <w:pPr>
              <w:rPr>
                <w:b/>
              </w:rPr>
            </w:pPr>
            <w:r w:rsidRPr="00AF0079">
              <w:rPr>
                <w:b/>
              </w:rPr>
              <w:t>Timeline</w:t>
            </w:r>
          </w:p>
        </w:tc>
        <w:tc>
          <w:tcPr>
            <w:tcW w:w="1667" w:type="pct"/>
            <w:shd w:val="clear" w:color="auto" w:fill="DEEAF6" w:themeFill="accent1" w:themeFillTint="33"/>
          </w:tcPr>
          <w:p w14:paraId="720A8A90" w14:textId="77777777" w:rsidR="00135DA0" w:rsidRPr="00AF0079" w:rsidRDefault="00135DA0" w:rsidP="00C90A72">
            <w:pPr>
              <w:rPr>
                <w:b/>
              </w:rPr>
            </w:pPr>
            <w:r w:rsidRPr="00AF0079">
              <w:rPr>
                <w:b/>
              </w:rPr>
              <w:t>Responsibility</w:t>
            </w:r>
          </w:p>
        </w:tc>
      </w:tr>
      <w:tr w:rsidR="00135DA0" w:rsidRPr="00DB6246" w14:paraId="4A9F2E56" w14:textId="77777777" w:rsidTr="006D3B57">
        <w:trPr>
          <w:cantSplit/>
        </w:trPr>
        <w:tc>
          <w:tcPr>
            <w:tcW w:w="1666" w:type="pct"/>
          </w:tcPr>
          <w:p w14:paraId="60803B52" w14:textId="77777777" w:rsidR="00135DA0" w:rsidRPr="009817F3" w:rsidRDefault="00135DA0" w:rsidP="00C90A72">
            <w:r>
              <w:t xml:space="preserve">10.1 Review, strengthen, </w:t>
            </w:r>
            <w:proofErr w:type="gramStart"/>
            <w:r>
              <w:t>implement</w:t>
            </w:r>
            <w:proofErr w:type="gramEnd"/>
            <w:r>
              <w:t xml:space="preserve"> and communicate an updated cultural protocols document, including protocols for Welcome to Country and Acknowledgement of Country. </w:t>
            </w:r>
          </w:p>
        </w:tc>
        <w:tc>
          <w:tcPr>
            <w:tcW w:w="1667" w:type="pct"/>
          </w:tcPr>
          <w:p w14:paraId="32709973" w14:textId="77777777" w:rsidR="00135DA0" w:rsidRPr="00DB6246" w:rsidRDefault="00135DA0" w:rsidP="00C90A72">
            <w:r>
              <w:t>January 2020</w:t>
            </w:r>
          </w:p>
        </w:tc>
        <w:tc>
          <w:tcPr>
            <w:tcW w:w="1667" w:type="pct"/>
          </w:tcPr>
          <w:p w14:paraId="24BB9065" w14:textId="77777777" w:rsidR="00135DA0" w:rsidRPr="00DB6246" w:rsidRDefault="00135DA0" w:rsidP="00C90A72">
            <w:r>
              <w:t>Associate Director, Strategic Communications</w:t>
            </w:r>
          </w:p>
        </w:tc>
      </w:tr>
      <w:tr w:rsidR="00135DA0" w14:paraId="49F97806" w14:textId="77777777" w:rsidTr="006D3B57">
        <w:trPr>
          <w:cantSplit/>
        </w:trPr>
        <w:tc>
          <w:tcPr>
            <w:tcW w:w="1666" w:type="pct"/>
          </w:tcPr>
          <w:p w14:paraId="57C16332" w14:textId="77777777" w:rsidR="00135DA0" w:rsidRDefault="00135DA0" w:rsidP="00C90A72">
            <w:r>
              <w:t>10.2 Increase staff understanding of the purpose and significance behind cultural protocols, including Acknowledgement of Country and Welcome to Country protocols.</w:t>
            </w:r>
          </w:p>
        </w:tc>
        <w:tc>
          <w:tcPr>
            <w:tcW w:w="1667" w:type="pct"/>
          </w:tcPr>
          <w:p w14:paraId="310759B8" w14:textId="77777777" w:rsidR="00135DA0" w:rsidRDefault="00135DA0" w:rsidP="00C90A72">
            <w:r>
              <w:t>June 2020</w:t>
            </w:r>
          </w:p>
        </w:tc>
        <w:tc>
          <w:tcPr>
            <w:tcW w:w="1667" w:type="pct"/>
          </w:tcPr>
          <w:p w14:paraId="0209B88C" w14:textId="77777777" w:rsidR="00135DA0" w:rsidRDefault="00135DA0" w:rsidP="00C90A72">
            <w:r>
              <w:t>Associate Director, Strategic Communications</w:t>
            </w:r>
          </w:p>
        </w:tc>
      </w:tr>
      <w:tr w:rsidR="00135DA0" w14:paraId="3C47F8DE" w14:textId="77777777" w:rsidTr="006D3B57">
        <w:trPr>
          <w:cantSplit/>
        </w:trPr>
        <w:tc>
          <w:tcPr>
            <w:tcW w:w="1666" w:type="pct"/>
          </w:tcPr>
          <w:p w14:paraId="027E5B9F" w14:textId="77777777" w:rsidR="00135DA0" w:rsidRDefault="00135DA0" w:rsidP="00C90A72">
            <w:r>
              <w:t xml:space="preserve">10.3 Invite a local Traditional Owner or Custodian to provide a Welcome to Country or other appropriate cultural protocols at significant events each year. </w:t>
            </w:r>
          </w:p>
        </w:tc>
        <w:tc>
          <w:tcPr>
            <w:tcW w:w="1667" w:type="pct"/>
          </w:tcPr>
          <w:p w14:paraId="448D9A49" w14:textId="77777777" w:rsidR="00135DA0" w:rsidRDefault="00135DA0" w:rsidP="00C90A72">
            <w:r>
              <w:t>June annually</w:t>
            </w:r>
          </w:p>
        </w:tc>
        <w:tc>
          <w:tcPr>
            <w:tcW w:w="1667" w:type="pct"/>
          </w:tcPr>
          <w:p w14:paraId="0764ACDB" w14:textId="77777777" w:rsidR="00135DA0" w:rsidRDefault="00135DA0" w:rsidP="00C90A72">
            <w:r>
              <w:t>Associate Director, Strategic Communications</w:t>
            </w:r>
          </w:p>
        </w:tc>
      </w:tr>
      <w:tr w:rsidR="00135DA0" w14:paraId="7AAC12D2" w14:textId="77777777" w:rsidTr="006D3B57">
        <w:trPr>
          <w:cantSplit/>
        </w:trPr>
        <w:tc>
          <w:tcPr>
            <w:tcW w:w="1666" w:type="pct"/>
          </w:tcPr>
          <w:p w14:paraId="3023360A" w14:textId="77777777" w:rsidR="00135DA0" w:rsidRDefault="00135DA0" w:rsidP="00C90A72">
            <w:r>
              <w:t>10.4 Include an Acknowledgement of Country or other appropriate protocols at the commencement of important meetings.</w:t>
            </w:r>
          </w:p>
        </w:tc>
        <w:tc>
          <w:tcPr>
            <w:tcW w:w="1667" w:type="pct"/>
          </w:tcPr>
          <w:p w14:paraId="51DCEBDB" w14:textId="77777777" w:rsidR="00135DA0" w:rsidRDefault="00135DA0" w:rsidP="00C90A72">
            <w:r>
              <w:t>June annually</w:t>
            </w:r>
          </w:p>
        </w:tc>
        <w:tc>
          <w:tcPr>
            <w:tcW w:w="1667" w:type="pct"/>
          </w:tcPr>
          <w:p w14:paraId="235122AD" w14:textId="77777777" w:rsidR="00135DA0" w:rsidRDefault="00135DA0" w:rsidP="00C90A72">
            <w:r>
              <w:t>Chief Executive Officer</w:t>
            </w:r>
          </w:p>
        </w:tc>
      </w:tr>
      <w:tr w:rsidR="00135DA0" w14:paraId="1A0C9504" w14:textId="77777777" w:rsidTr="006D3B57">
        <w:trPr>
          <w:cantSplit/>
        </w:trPr>
        <w:tc>
          <w:tcPr>
            <w:tcW w:w="1666" w:type="pct"/>
          </w:tcPr>
          <w:p w14:paraId="365B0989" w14:textId="77777777" w:rsidR="00135DA0" w:rsidRDefault="00135DA0" w:rsidP="00C90A72">
            <w:r>
              <w:t>10.5 Develop a list of key contacts for organising a Welcome to Country.</w:t>
            </w:r>
          </w:p>
        </w:tc>
        <w:tc>
          <w:tcPr>
            <w:tcW w:w="1667" w:type="pct"/>
          </w:tcPr>
          <w:p w14:paraId="5D89A15D" w14:textId="77777777" w:rsidR="00135DA0" w:rsidRDefault="00135DA0" w:rsidP="00C90A72">
            <w:r>
              <w:t>January 2020</w:t>
            </w:r>
          </w:p>
        </w:tc>
        <w:tc>
          <w:tcPr>
            <w:tcW w:w="1667" w:type="pct"/>
          </w:tcPr>
          <w:p w14:paraId="04004967" w14:textId="77777777" w:rsidR="00135DA0" w:rsidRDefault="00135DA0" w:rsidP="00C90A72">
            <w:r>
              <w:t>Associate Director, Strategic Communications</w:t>
            </w:r>
          </w:p>
        </w:tc>
      </w:tr>
      <w:tr w:rsidR="00135DA0" w14:paraId="5D05628A" w14:textId="77777777" w:rsidTr="006D3B57">
        <w:trPr>
          <w:cantSplit/>
        </w:trPr>
        <w:tc>
          <w:tcPr>
            <w:tcW w:w="1666" w:type="pct"/>
          </w:tcPr>
          <w:p w14:paraId="6FBD6E73" w14:textId="77777777" w:rsidR="00135DA0" w:rsidRDefault="00135DA0" w:rsidP="00C90A72">
            <w:r>
              <w:t>10.6 All current employees will be reminded of the Acknowledgement of Country plaques in all offices.</w:t>
            </w:r>
          </w:p>
        </w:tc>
        <w:tc>
          <w:tcPr>
            <w:tcW w:w="1667" w:type="pct"/>
          </w:tcPr>
          <w:p w14:paraId="5143343A" w14:textId="77777777" w:rsidR="00135DA0" w:rsidRDefault="00135DA0" w:rsidP="00C90A72">
            <w:r>
              <w:t>December 2019</w:t>
            </w:r>
          </w:p>
        </w:tc>
        <w:tc>
          <w:tcPr>
            <w:tcW w:w="1667" w:type="pct"/>
          </w:tcPr>
          <w:p w14:paraId="1A37780E" w14:textId="77777777" w:rsidR="00135DA0" w:rsidRDefault="00135DA0" w:rsidP="00C90A72">
            <w:r>
              <w:t xml:space="preserve">Executive Director, </w:t>
            </w:r>
            <w:proofErr w:type="gramStart"/>
            <w:r>
              <w:t>Services</w:t>
            </w:r>
            <w:proofErr w:type="gramEnd"/>
            <w:r>
              <w:t xml:space="preserve"> and Innovation</w:t>
            </w:r>
          </w:p>
        </w:tc>
      </w:tr>
      <w:tr w:rsidR="00135DA0" w14:paraId="643AA14C" w14:textId="77777777" w:rsidTr="006D3B57">
        <w:trPr>
          <w:cantSplit/>
        </w:trPr>
        <w:tc>
          <w:tcPr>
            <w:tcW w:w="1666" w:type="pct"/>
          </w:tcPr>
          <w:p w14:paraId="32A21D7A" w14:textId="77777777" w:rsidR="00135DA0" w:rsidRDefault="00135DA0" w:rsidP="00C90A72">
            <w:r>
              <w:lastRenderedPageBreak/>
              <w:t>10.7 All new starters will be made aware of the Acknowledgement of Country plaques in their office as part of their induction.</w:t>
            </w:r>
          </w:p>
        </w:tc>
        <w:tc>
          <w:tcPr>
            <w:tcW w:w="1667" w:type="pct"/>
          </w:tcPr>
          <w:p w14:paraId="1051A6E4" w14:textId="77777777" w:rsidR="00135DA0" w:rsidRDefault="00135DA0" w:rsidP="00C90A72">
            <w:r>
              <w:t>December 2019</w:t>
            </w:r>
          </w:p>
        </w:tc>
        <w:tc>
          <w:tcPr>
            <w:tcW w:w="1667" w:type="pct"/>
          </w:tcPr>
          <w:p w14:paraId="277C3CF1" w14:textId="77777777" w:rsidR="00135DA0" w:rsidRDefault="00135DA0" w:rsidP="00C90A72">
            <w:r>
              <w:t xml:space="preserve">Executive Director, </w:t>
            </w:r>
            <w:proofErr w:type="gramStart"/>
            <w:r>
              <w:t>Services</w:t>
            </w:r>
            <w:proofErr w:type="gramEnd"/>
            <w:r>
              <w:t xml:space="preserve"> and Innovation</w:t>
            </w:r>
          </w:p>
        </w:tc>
      </w:tr>
      <w:tr w:rsidR="00135DA0" w14:paraId="4F8C4672" w14:textId="77777777" w:rsidTr="006D3B57">
        <w:trPr>
          <w:cantSplit/>
        </w:trPr>
        <w:tc>
          <w:tcPr>
            <w:tcW w:w="1666" w:type="pct"/>
          </w:tcPr>
          <w:p w14:paraId="384ABFD8" w14:textId="77777777" w:rsidR="00135DA0" w:rsidRDefault="00135DA0" w:rsidP="00C90A72">
            <w:r>
              <w:t>10.8 VLA recognises the conflicted nature of the Australia Day celebrations on 26 January for many Aboriginal and Torres Strait Islander peoples and other Australians by providing choice for staff in terms of whether they work on the January 26 Public Holiday.</w:t>
            </w:r>
          </w:p>
        </w:tc>
        <w:tc>
          <w:tcPr>
            <w:tcW w:w="1667" w:type="pct"/>
          </w:tcPr>
          <w:p w14:paraId="26AE9624" w14:textId="77777777" w:rsidR="00135DA0" w:rsidRDefault="00135DA0" w:rsidP="00C90A72">
            <w:r>
              <w:t>June annually</w:t>
            </w:r>
          </w:p>
        </w:tc>
        <w:tc>
          <w:tcPr>
            <w:tcW w:w="1667" w:type="pct"/>
          </w:tcPr>
          <w:p w14:paraId="12C2A04C" w14:textId="77777777" w:rsidR="00135DA0" w:rsidRDefault="00135DA0" w:rsidP="00C90A72">
            <w:r>
              <w:t>Head of People and Culture</w:t>
            </w:r>
          </w:p>
        </w:tc>
      </w:tr>
      <w:tr w:rsidR="00135DA0" w14:paraId="4883984D" w14:textId="77777777" w:rsidTr="006D3B57">
        <w:trPr>
          <w:cantSplit/>
        </w:trPr>
        <w:tc>
          <w:tcPr>
            <w:tcW w:w="1666" w:type="pct"/>
          </w:tcPr>
          <w:p w14:paraId="53775E27" w14:textId="7C6C466A" w:rsidR="00135DA0" w:rsidRDefault="00135DA0" w:rsidP="00C90A72">
            <w:r>
              <w:t xml:space="preserve">10.9 Circulate materials to our staff on the Uluru Statement </w:t>
            </w:r>
            <w:r w:rsidR="00DC0715">
              <w:t>from</w:t>
            </w:r>
            <w:r>
              <w:t xml:space="preserve"> the Heart made at the Referendum Council on 26 May 2017.</w:t>
            </w:r>
          </w:p>
        </w:tc>
        <w:tc>
          <w:tcPr>
            <w:tcW w:w="1667" w:type="pct"/>
          </w:tcPr>
          <w:p w14:paraId="2563D6BC" w14:textId="77777777" w:rsidR="00135DA0" w:rsidRDefault="00135DA0" w:rsidP="00C90A72">
            <w:r>
              <w:t xml:space="preserve">June annually </w:t>
            </w:r>
          </w:p>
        </w:tc>
        <w:tc>
          <w:tcPr>
            <w:tcW w:w="1667" w:type="pct"/>
          </w:tcPr>
          <w:p w14:paraId="0231B89A" w14:textId="77777777" w:rsidR="00135DA0" w:rsidRDefault="00135DA0" w:rsidP="00C90A72">
            <w:r>
              <w:t>Chief Executive Officer</w:t>
            </w:r>
          </w:p>
        </w:tc>
      </w:tr>
    </w:tbl>
    <w:p w14:paraId="7B76B031" w14:textId="4DC7E511" w:rsidR="00135DA0" w:rsidRDefault="00AF0079" w:rsidP="00AF0079">
      <w:pPr>
        <w:pStyle w:val="Tableheading"/>
        <w:rPr>
          <w:lang w:eastAsia="en-AU"/>
        </w:rPr>
      </w:pPr>
      <w:r>
        <w:rPr>
          <w:lang w:eastAsia="en-AU"/>
        </w:rPr>
        <w:t xml:space="preserve">Action 11 – </w:t>
      </w:r>
      <w:r>
        <w:t>Build respect for Aboriginal and Torres Strait Islander cultures and histories by celebrating NAIDOC Week</w:t>
      </w:r>
    </w:p>
    <w:tbl>
      <w:tblPr>
        <w:tblStyle w:val="TableGrid"/>
        <w:tblW w:w="5000" w:type="pct"/>
        <w:tblLook w:val="04A0" w:firstRow="1" w:lastRow="0" w:firstColumn="1" w:lastColumn="0" w:noHBand="0" w:noVBand="1"/>
      </w:tblPr>
      <w:tblGrid>
        <w:gridCol w:w="2442"/>
        <w:gridCol w:w="2442"/>
        <w:gridCol w:w="2443"/>
        <w:gridCol w:w="2443"/>
      </w:tblGrid>
      <w:tr w:rsidR="008F505C" w:rsidRPr="00AF0079" w14:paraId="6FB6529E" w14:textId="77777777" w:rsidTr="006D3B57">
        <w:trPr>
          <w:cantSplit/>
          <w:tblHeader/>
        </w:trPr>
        <w:tc>
          <w:tcPr>
            <w:tcW w:w="1250" w:type="pct"/>
            <w:shd w:val="clear" w:color="auto" w:fill="DEEAF6" w:themeFill="accent1" w:themeFillTint="33"/>
          </w:tcPr>
          <w:p w14:paraId="7489A004" w14:textId="77777777" w:rsidR="008F505C" w:rsidRPr="00AF0079" w:rsidRDefault="008F505C" w:rsidP="00C90A72">
            <w:pPr>
              <w:rPr>
                <w:b/>
              </w:rPr>
            </w:pPr>
            <w:r w:rsidRPr="00AF0079">
              <w:rPr>
                <w:b/>
              </w:rPr>
              <w:t>Deliverable</w:t>
            </w:r>
          </w:p>
        </w:tc>
        <w:tc>
          <w:tcPr>
            <w:tcW w:w="1250" w:type="pct"/>
            <w:shd w:val="clear" w:color="auto" w:fill="DEEAF6" w:themeFill="accent1" w:themeFillTint="33"/>
          </w:tcPr>
          <w:p w14:paraId="5ECCA19A" w14:textId="3579E84E" w:rsidR="008F505C" w:rsidRPr="00AF0079" w:rsidRDefault="008F505C" w:rsidP="00C90A72">
            <w:pPr>
              <w:rPr>
                <w:b/>
              </w:rPr>
            </w:pPr>
            <w:r>
              <w:rPr>
                <w:b/>
              </w:rPr>
              <w:t xml:space="preserve">Original </w:t>
            </w:r>
            <w:r w:rsidRPr="00AF0079">
              <w:rPr>
                <w:b/>
              </w:rPr>
              <w:t>Timeline</w:t>
            </w:r>
          </w:p>
        </w:tc>
        <w:tc>
          <w:tcPr>
            <w:tcW w:w="1250" w:type="pct"/>
            <w:shd w:val="clear" w:color="auto" w:fill="DEEAF6" w:themeFill="accent1" w:themeFillTint="33"/>
          </w:tcPr>
          <w:p w14:paraId="6A26BB54" w14:textId="09606541" w:rsidR="008F505C" w:rsidRPr="00AF0079" w:rsidRDefault="008F505C" w:rsidP="00C90A72">
            <w:pPr>
              <w:rPr>
                <w:b/>
              </w:rPr>
            </w:pPr>
            <w:r>
              <w:rPr>
                <w:b/>
              </w:rPr>
              <w:t xml:space="preserve">Revised Timeline </w:t>
            </w:r>
          </w:p>
        </w:tc>
        <w:tc>
          <w:tcPr>
            <w:tcW w:w="1250" w:type="pct"/>
            <w:shd w:val="clear" w:color="auto" w:fill="DEEAF6" w:themeFill="accent1" w:themeFillTint="33"/>
          </w:tcPr>
          <w:p w14:paraId="6B607D5D" w14:textId="169EEE40" w:rsidR="008F505C" w:rsidRPr="00AF0079" w:rsidRDefault="008F505C" w:rsidP="00C90A72">
            <w:pPr>
              <w:rPr>
                <w:b/>
              </w:rPr>
            </w:pPr>
            <w:r w:rsidRPr="00AF0079">
              <w:rPr>
                <w:b/>
              </w:rPr>
              <w:t>Responsibility</w:t>
            </w:r>
          </w:p>
        </w:tc>
      </w:tr>
      <w:tr w:rsidR="008F505C" w:rsidRPr="00DB6246" w14:paraId="4998482E" w14:textId="77777777" w:rsidTr="006D3B57">
        <w:trPr>
          <w:cantSplit/>
        </w:trPr>
        <w:tc>
          <w:tcPr>
            <w:tcW w:w="1250" w:type="pct"/>
          </w:tcPr>
          <w:p w14:paraId="408C5EBA" w14:textId="77777777" w:rsidR="008F505C" w:rsidRPr="009817F3" w:rsidRDefault="008F505C" w:rsidP="00C90A72">
            <w:r>
              <w:t>11.1 RAP Working Group to participate in an external NAIDOC Week event.</w:t>
            </w:r>
          </w:p>
        </w:tc>
        <w:tc>
          <w:tcPr>
            <w:tcW w:w="1250" w:type="pct"/>
          </w:tcPr>
          <w:p w14:paraId="641ACBA0" w14:textId="77777777" w:rsidR="008F505C" w:rsidRPr="00DB6246" w:rsidRDefault="008F505C" w:rsidP="00C90A72">
            <w:r>
              <w:t>First week in July annually</w:t>
            </w:r>
          </w:p>
        </w:tc>
        <w:tc>
          <w:tcPr>
            <w:tcW w:w="1250" w:type="pct"/>
          </w:tcPr>
          <w:p w14:paraId="6888C9DA" w14:textId="7F1E2F5C" w:rsidR="008F505C" w:rsidRDefault="00582064" w:rsidP="00C90A72">
            <w:r>
              <w:t xml:space="preserve">November </w:t>
            </w:r>
            <w:r w:rsidR="00830470">
              <w:t>2020, July 2021</w:t>
            </w:r>
          </w:p>
        </w:tc>
        <w:tc>
          <w:tcPr>
            <w:tcW w:w="1250" w:type="pct"/>
          </w:tcPr>
          <w:p w14:paraId="7302B2F5" w14:textId="5357C0B5" w:rsidR="008F505C" w:rsidRPr="00DB6246" w:rsidRDefault="008F505C" w:rsidP="00C90A72">
            <w:r>
              <w:t>Chief Executive Officer</w:t>
            </w:r>
          </w:p>
        </w:tc>
      </w:tr>
      <w:tr w:rsidR="008F505C" w:rsidRPr="00DB6246" w14:paraId="1B6B50EE" w14:textId="77777777" w:rsidTr="006D3B57">
        <w:trPr>
          <w:cantSplit/>
        </w:trPr>
        <w:tc>
          <w:tcPr>
            <w:tcW w:w="1250" w:type="pct"/>
          </w:tcPr>
          <w:p w14:paraId="7215EB31" w14:textId="77777777" w:rsidR="008F505C" w:rsidRDefault="008F505C" w:rsidP="00C90A72">
            <w:r>
              <w:t>11.2 Review VLA’s policies and procedures to remove barriers to Aboriginal and Torres Strait Islander staff participating in NAIDOC Week.</w:t>
            </w:r>
          </w:p>
        </w:tc>
        <w:tc>
          <w:tcPr>
            <w:tcW w:w="1250" w:type="pct"/>
          </w:tcPr>
          <w:p w14:paraId="4DECB8E0" w14:textId="77777777" w:rsidR="008F505C" w:rsidRDefault="008F505C" w:rsidP="00C90A72">
            <w:r>
              <w:t>December 2019</w:t>
            </w:r>
          </w:p>
        </w:tc>
        <w:tc>
          <w:tcPr>
            <w:tcW w:w="1250" w:type="pct"/>
          </w:tcPr>
          <w:p w14:paraId="57F68ADD" w14:textId="01116BF7" w:rsidR="008F505C" w:rsidRDefault="00830470" w:rsidP="00C90A72">
            <w:r>
              <w:t>December 2020</w:t>
            </w:r>
          </w:p>
        </w:tc>
        <w:tc>
          <w:tcPr>
            <w:tcW w:w="1250" w:type="pct"/>
          </w:tcPr>
          <w:p w14:paraId="0D7D4FCE" w14:textId="15CF9792" w:rsidR="008F505C" w:rsidRDefault="008F505C" w:rsidP="00C90A72">
            <w:r>
              <w:t>Head of People and Culture</w:t>
            </w:r>
          </w:p>
        </w:tc>
      </w:tr>
      <w:tr w:rsidR="008F505C" w:rsidRPr="00DB6246" w14:paraId="012D7B35" w14:textId="77777777" w:rsidTr="006D3B57">
        <w:trPr>
          <w:cantSplit/>
        </w:trPr>
        <w:tc>
          <w:tcPr>
            <w:tcW w:w="1250" w:type="pct"/>
          </w:tcPr>
          <w:p w14:paraId="7F0C6BAF" w14:textId="77777777" w:rsidR="008F505C" w:rsidRDefault="008F505C" w:rsidP="00C90A72">
            <w:r>
              <w:lastRenderedPageBreak/>
              <w:t>11.3 Provide opportunities for Aboriginal and Torres Strait Islander employees to engage with their culture and community through NAIDOC Week events.</w:t>
            </w:r>
          </w:p>
        </w:tc>
        <w:tc>
          <w:tcPr>
            <w:tcW w:w="1250" w:type="pct"/>
          </w:tcPr>
          <w:p w14:paraId="1A8C25BE" w14:textId="77777777" w:rsidR="008F505C" w:rsidRDefault="008F505C" w:rsidP="00C90A72">
            <w:r>
              <w:t>First week in July annually</w:t>
            </w:r>
          </w:p>
        </w:tc>
        <w:tc>
          <w:tcPr>
            <w:tcW w:w="1250" w:type="pct"/>
          </w:tcPr>
          <w:p w14:paraId="1D368726" w14:textId="12F5CE0F" w:rsidR="008F505C" w:rsidRDefault="00E667E8" w:rsidP="00C90A72">
            <w:r>
              <w:t>November 2020, July 2021</w:t>
            </w:r>
          </w:p>
        </w:tc>
        <w:tc>
          <w:tcPr>
            <w:tcW w:w="1250" w:type="pct"/>
          </w:tcPr>
          <w:p w14:paraId="0D90A598" w14:textId="62B6E330" w:rsidR="008F505C" w:rsidRDefault="008F505C" w:rsidP="00C90A72">
            <w:r>
              <w:t>Head of People and Culture</w:t>
            </w:r>
          </w:p>
        </w:tc>
      </w:tr>
      <w:tr w:rsidR="008F505C" w:rsidRPr="00DB6246" w14:paraId="39C3CA9D" w14:textId="77777777" w:rsidTr="006D3B57">
        <w:trPr>
          <w:cantSplit/>
        </w:trPr>
        <w:tc>
          <w:tcPr>
            <w:tcW w:w="1250" w:type="pct"/>
          </w:tcPr>
          <w:p w14:paraId="48DC6291" w14:textId="77777777" w:rsidR="008F505C" w:rsidRDefault="008F505C" w:rsidP="00C90A72">
            <w:r>
              <w:t>11.4 Promote and encourage participation in external NAIDOC events to all staff.</w:t>
            </w:r>
          </w:p>
        </w:tc>
        <w:tc>
          <w:tcPr>
            <w:tcW w:w="1250" w:type="pct"/>
          </w:tcPr>
          <w:p w14:paraId="49BE2500" w14:textId="77777777" w:rsidR="008F505C" w:rsidRDefault="008F505C" w:rsidP="00C90A72">
            <w:r>
              <w:t>June annually</w:t>
            </w:r>
          </w:p>
        </w:tc>
        <w:tc>
          <w:tcPr>
            <w:tcW w:w="1250" w:type="pct"/>
          </w:tcPr>
          <w:p w14:paraId="2B75EAA6" w14:textId="0460C4F1" w:rsidR="008F505C" w:rsidRDefault="00354658" w:rsidP="00C90A72">
            <w:r>
              <w:t>November 2020, July 2021</w:t>
            </w:r>
          </w:p>
        </w:tc>
        <w:tc>
          <w:tcPr>
            <w:tcW w:w="1250" w:type="pct"/>
          </w:tcPr>
          <w:p w14:paraId="1E9E4B84" w14:textId="08EA9C2C" w:rsidR="008F505C" w:rsidRDefault="008F505C" w:rsidP="00C90A72">
            <w:r>
              <w:t>Associate Director, Aboriginal Services</w:t>
            </w:r>
          </w:p>
        </w:tc>
      </w:tr>
    </w:tbl>
    <w:p w14:paraId="2740C3B3" w14:textId="673E7CEA" w:rsidR="00135DA0" w:rsidRDefault="00AF0079" w:rsidP="00AF0079">
      <w:pPr>
        <w:pStyle w:val="Tableheading"/>
        <w:rPr>
          <w:lang w:eastAsia="en-AU"/>
        </w:rPr>
      </w:pPr>
      <w:r>
        <w:rPr>
          <w:lang w:eastAsia="en-AU"/>
        </w:rPr>
        <w:t xml:space="preserve">Action 12 – </w:t>
      </w:r>
      <w:r>
        <w:t>Continue to improve VLA’s culturally safe workplace practices and working environment for Aboriginal and Torres Strait Islander staff and clients</w:t>
      </w:r>
    </w:p>
    <w:tbl>
      <w:tblPr>
        <w:tblStyle w:val="TableGrid"/>
        <w:tblW w:w="5000" w:type="pct"/>
        <w:tblLook w:val="04A0" w:firstRow="1" w:lastRow="0" w:firstColumn="1" w:lastColumn="0" w:noHBand="0" w:noVBand="1"/>
      </w:tblPr>
      <w:tblGrid>
        <w:gridCol w:w="2442"/>
        <w:gridCol w:w="2442"/>
        <w:gridCol w:w="2443"/>
        <w:gridCol w:w="2443"/>
      </w:tblGrid>
      <w:tr w:rsidR="00354658" w:rsidRPr="00AF0079" w14:paraId="09A27208" w14:textId="77777777" w:rsidTr="006D3B57">
        <w:trPr>
          <w:cantSplit/>
          <w:tblHeader/>
        </w:trPr>
        <w:tc>
          <w:tcPr>
            <w:tcW w:w="1250" w:type="pct"/>
            <w:shd w:val="clear" w:color="auto" w:fill="DEEAF6" w:themeFill="accent1" w:themeFillTint="33"/>
          </w:tcPr>
          <w:p w14:paraId="4F84C8B5" w14:textId="77777777" w:rsidR="00354658" w:rsidRPr="00AF0079" w:rsidRDefault="00354658" w:rsidP="00C90A72">
            <w:pPr>
              <w:rPr>
                <w:b/>
              </w:rPr>
            </w:pPr>
            <w:r w:rsidRPr="00AF0079">
              <w:rPr>
                <w:b/>
              </w:rPr>
              <w:t>Deliverable</w:t>
            </w:r>
          </w:p>
        </w:tc>
        <w:tc>
          <w:tcPr>
            <w:tcW w:w="1250" w:type="pct"/>
            <w:shd w:val="clear" w:color="auto" w:fill="DEEAF6" w:themeFill="accent1" w:themeFillTint="33"/>
          </w:tcPr>
          <w:p w14:paraId="34149E4C" w14:textId="0EEC3B51" w:rsidR="00354658" w:rsidRPr="00AF0079" w:rsidRDefault="008E03FF" w:rsidP="00C90A72">
            <w:pPr>
              <w:rPr>
                <w:b/>
              </w:rPr>
            </w:pPr>
            <w:r>
              <w:rPr>
                <w:b/>
              </w:rPr>
              <w:t xml:space="preserve">Original </w:t>
            </w:r>
            <w:r w:rsidR="00354658" w:rsidRPr="00AF0079">
              <w:rPr>
                <w:b/>
              </w:rPr>
              <w:t>Timeline</w:t>
            </w:r>
          </w:p>
        </w:tc>
        <w:tc>
          <w:tcPr>
            <w:tcW w:w="1250" w:type="pct"/>
            <w:shd w:val="clear" w:color="auto" w:fill="DEEAF6" w:themeFill="accent1" w:themeFillTint="33"/>
          </w:tcPr>
          <w:p w14:paraId="05E1CBC8" w14:textId="7D5B8B83" w:rsidR="00354658" w:rsidRPr="00AF0079" w:rsidRDefault="008E03FF" w:rsidP="00C90A72">
            <w:pPr>
              <w:rPr>
                <w:b/>
              </w:rPr>
            </w:pPr>
            <w:r>
              <w:rPr>
                <w:b/>
              </w:rPr>
              <w:t xml:space="preserve">Revised Timeline </w:t>
            </w:r>
          </w:p>
        </w:tc>
        <w:tc>
          <w:tcPr>
            <w:tcW w:w="1250" w:type="pct"/>
            <w:shd w:val="clear" w:color="auto" w:fill="DEEAF6" w:themeFill="accent1" w:themeFillTint="33"/>
          </w:tcPr>
          <w:p w14:paraId="16099B95" w14:textId="32125F61" w:rsidR="00354658" w:rsidRPr="00AF0079" w:rsidRDefault="00354658" w:rsidP="00C90A72">
            <w:pPr>
              <w:rPr>
                <w:b/>
              </w:rPr>
            </w:pPr>
            <w:r w:rsidRPr="00AF0079">
              <w:rPr>
                <w:b/>
              </w:rPr>
              <w:t>Responsibility</w:t>
            </w:r>
          </w:p>
        </w:tc>
      </w:tr>
      <w:tr w:rsidR="00354658" w:rsidRPr="00DB6246" w14:paraId="7189494A" w14:textId="77777777" w:rsidTr="006D3B57">
        <w:trPr>
          <w:cantSplit/>
        </w:trPr>
        <w:tc>
          <w:tcPr>
            <w:tcW w:w="1250" w:type="pct"/>
          </w:tcPr>
          <w:p w14:paraId="37FD5AA6" w14:textId="77777777" w:rsidR="00354658" w:rsidRPr="009817F3" w:rsidRDefault="00354658" w:rsidP="00C90A72">
            <w:r>
              <w:t>12.1 Identify an Aboriginal Community Controlled Organisation to deliver cultural safety workshops to VLA staff.</w:t>
            </w:r>
          </w:p>
        </w:tc>
        <w:tc>
          <w:tcPr>
            <w:tcW w:w="1250" w:type="pct"/>
          </w:tcPr>
          <w:p w14:paraId="0D8B5F8F" w14:textId="77777777" w:rsidR="00354658" w:rsidRPr="00DB6246" w:rsidRDefault="00354658" w:rsidP="00C90A72">
            <w:r>
              <w:t>July 2020</w:t>
            </w:r>
          </w:p>
        </w:tc>
        <w:tc>
          <w:tcPr>
            <w:tcW w:w="1250" w:type="pct"/>
          </w:tcPr>
          <w:p w14:paraId="674BE682" w14:textId="594017BB" w:rsidR="00354658" w:rsidRDefault="008E03FF" w:rsidP="00C90A72">
            <w:r>
              <w:t>July 2021</w:t>
            </w:r>
          </w:p>
        </w:tc>
        <w:tc>
          <w:tcPr>
            <w:tcW w:w="1250" w:type="pct"/>
          </w:tcPr>
          <w:p w14:paraId="36DDAED7" w14:textId="7C3062D1" w:rsidR="00354658" w:rsidRPr="00DB6246" w:rsidRDefault="00354658" w:rsidP="00C90A72">
            <w:r>
              <w:t>Head of People and Culture</w:t>
            </w:r>
          </w:p>
        </w:tc>
      </w:tr>
      <w:tr w:rsidR="00354658" w14:paraId="2BE98E10" w14:textId="77777777" w:rsidTr="006D3B57">
        <w:trPr>
          <w:cantSplit/>
        </w:trPr>
        <w:tc>
          <w:tcPr>
            <w:tcW w:w="1250" w:type="pct"/>
          </w:tcPr>
          <w:p w14:paraId="3ACD9E42" w14:textId="77777777" w:rsidR="00354658" w:rsidRDefault="00354658" w:rsidP="00C90A72">
            <w:r>
              <w:t>12.2 Cultural safety workshops will be provided to 150 VLA staff.</w:t>
            </w:r>
          </w:p>
        </w:tc>
        <w:tc>
          <w:tcPr>
            <w:tcW w:w="1250" w:type="pct"/>
          </w:tcPr>
          <w:p w14:paraId="7D3D25E9" w14:textId="77777777" w:rsidR="00354658" w:rsidRDefault="00354658" w:rsidP="00C90A72">
            <w:r>
              <w:t>May 2021</w:t>
            </w:r>
          </w:p>
        </w:tc>
        <w:tc>
          <w:tcPr>
            <w:tcW w:w="1250" w:type="pct"/>
          </w:tcPr>
          <w:p w14:paraId="3CD243F7" w14:textId="2B4BE13A" w:rsidR="00354658" w:rsidRDefault="008E03FF" w:rsidP="00C90A72">
            <w:r>
              <w:t>January 2022</w:t>
            </w:r>
          </w:p>
        </w:tc>
        <w:tc>
          <w:tcPr>
            <w:tcW w:w="1250" w:type="pct"/>
          </w:tcPr>
          <w:p w14:paraId="2DE456FA" w14:textId="5EFA2109" w:rsidR="00354658" w:rsidRDefault="00354658" w:rsidP="00C90A72">
            <w:r>
              <w:t>Head of People and Culture</w:t>
            </w:r>
          </w:p>
        </w:tc>
      </w:tr>
      <w:tr w:rsidR="00354658" w14:paraId="3F010AB8" w14:textId="77777777" w:rsidTr="006D3B57">
        <w:trPr>
          <w:cantSplit/>
        </w:trPr>
        <w:tc>
          <w:tcPr>
            <w:tcW w:w="1250" w:type="pct"/>
          </w:tcPr>
          <w:p w14:paraId="39FBBC1A" w14:textId="77777777" w:rsidR="00354658" w:rsidRDefault="00354658" w:rsidP="00C90A72">
            <w:r>
              <w:t>12.3 Consult with First Nations Staff Network to evaluate the cultural appropriateness of workplace practices.</w:t>
            </w:r>
          </w:p>
        </w:tc>
        <w:tc>
          <w:tcPr>
            <w:tcW w:w="1250" w:type="pct"/>
          </w:tcPr>
          <w:p w14:paraId="096C0572" w14:textId="77777777" w:rsidR="00354658" w:rsidRDefault="00354658" w:rsidP="00C90A72">
            <w:r>
              <w:t>June annually</w:t>
            </w:r>
          </w:p>
        </w:tc>
        <w:tc>
          <w:tcPr>
            <w:tcW w:w="1250" w:type="pct"/>
          </w:tcPr>
          <w:p w14:paraId="5FE3B95D" w14:textId="77777777" w:rsidR="00354658" w:rsidRDefault="00354658" w:rsidP="00C90A72"/>
        </w:tc>
        <w:tc>
          <w:tcPr>
            <w:tcW w:w="1250" w:type="pct"/>
          </w:tcPr>
          <w:p w14:paraId="10198B48" w14:textId="05065B28" w:rsidR="00354658" w:rsidRDefault="00354658" w:rsidP="00C90A72">
            <w:r>
              <w:t>Head of People and Culture</w:t>
            </w:r>
          </w:p>
        </w:tc>
      </w:tr>
      <w:tr w:rsidR="00354658" w14:paraId="6925E653" w14:textId="77777777" w:rsidTr="006D3B57">
        <w:trPr>
          <w:cantSplit/>
        </w:trPr>
        <w:tc>
          <w:tcPr>
            <w:tcW w:w="1250" w:type="pct"/>
          </w:tcPr>
          <w:p w14:paraId="26050C36" w14:textId="77777777" w:rsidR="00354658" w:rsidRDefault="00354658" w:rsidP="00C90A72">
            <w:r>
              <w:t>12.4 Explore opportunities to promote Aboriginal and Torres Strait Islander staff on media platforms such as Comet and Yammer.</w:t>
            </w:r>
          </w:p>
        </w:tc>
        <w:tc>
          <w:tcPr>
            <w:tcW w:w="1250" w:type="pct"/>
          </w:tcPr>
          <w:p w14:paraId="2AB24584" w14:textId="77777777" w:rsidR="00354658" w:rsidRDefault="00354658" w:rsidP="00C90A72">
            <w:r>
              <w:t>December 2019</w:t>
            </w:r>
          </w:p>
        </w:tc>
        <w:tc>
          <w:tcPr>
            <w:tcW w:w="1250" w:type="pct"/>
          </w:tcPr>
          <w:p w14:paraId="3916DFB2" w14:textId="77777777" w:rsidR="00354658" w:rsidRDefault="00354658" w:rsidP="00C90A72"/>
        </w:tc>
        <w:tc>
          <w:tcPr>
            <w:tcW w:w="1250" w:type="pct"/>
          </w:tcPr>
          <w:p w14:paraId="1421A0E3" w14:textId="00A79BF6" w:rsidR="00354658" w:rsidRDefault="00354658" w:rsidP="00C90A72">
            <w:r>
              <w:t>Associate Director, Strategic Communications</w:t>
            </w:r>
          </w:p>
        </w:tc>
      </w:tr>
      <w:tr w:rsidR="00354658" w14:paraId="395FF82C" w14:textId="77777777" w:rsidTr="006D3B57">
        <w:trPr>
          <w:cantSplit/>
        </w:trPr>
        <w:tc>
          <w:tcPr>
            <w:tcW w:w="1250" w:type="pct"/>
          </w:tcPr>
          <w:p w14:paraId="6E01F164" w14:textId="77777777" w:rsidR="00354658" w:rsidRDefault="00354658" w:rsidP="00C90A72">
            <w:r>
              <w:lastRenderedPageBreak/>
              <w:t>12.5 Actively engage all staff through VLA’s media platforms to highlight the importance of culturally safe practices.</w:t>
            </w:r>
          </w:p>
        </w:tc>
        <w:tc>
          <w:tcPr>
            <w:tcW w:w="1250" w:type="pct"/>
          </w:tcPr>
          <w:p w14:paraId="5B96711A" w14:textId="77777777" w:rsidR="00354658" w:rsidRDefault="00354658" w:rsidP="00C90A72">
            <w:r>
              <w:t>June annually</w:t>
            </w:r>
          </w:p>
        </w:tc>
        <w:tc>
          <w:tcPr>
            <w:tcW w:w="1250" w:type="pct"/>
          </w:tcPr>
          <w:p w14:paraId="71E49093" w14:textId="77777777" w:rsidR="00354658" w:rsidRDefault="00354658" w:rsidP="00C90A72"/>
        </w:tc>
        <w:tc>
          <w:tcPr>
            <w:tcW w:w="1250" w:type="pct"/>
          </w:tcPr>
          <w:p w14:paraId="357DE250" w14:textId="6CA786A0" w:rsidR="00354658" w:rsidRDefault="00354658" w:rsidP="00C90A72">
            <w:r>
              <w:t>Associate Director, Strategic Communications</w:t>
            </w:r>
          </w:p>
        </w:tc>
      </w:tr>
    </w:tbl>
    <w:p w14:paraId="31C0730C" w14:textId="67356E1A" w:rsidR="00135DA0" w:rsidRDefault="00AF0079" w:rsidP="00AF0079">
      <w:pPr>
        <w:pStyle w:val="Tableheading"/>
        <w:rPr>
          <w:lang w:eastAsia="en-AU"/>
        </w:rPr>
      </w:pPr>
      <w:r>
        <w:rPr>
          <w:lang w:eastAsia="en-AU"/>
        </w:rPr>
        <w:t xml:space="preserve">Action 13 – </w:t>
      </w:r>
      <w:r>
        <w:t>Raise VLA’s profile and presence at major Aboriginal and Torres Strait Islander community events and celebrations</w:t>
      </w:r>
    </w:p>
    <w:tbl>
      <w:tblPr>
        <w:tblStyle w:val="TableGrid"/>
        <w:tblW w:w="5000" w:type="pct"/>
        <w:tblLook w:val="04A0" w:firstRow="1" w:lastRow="0" w:firstColumn="1" w:lastColumn="0" w:noHBand="0" w:noVBand="1"/>
      </w:tblPr>
      <w:tblGrid>
        <w:gridCol w:w="2442"/>
        <w:gridCol w:w="2442"/>
        <w:gridCol w:w="2443"/>
        <w:gridCol w:w="2443"/>
      </w:tblGrid>
      <w:tr w:rsidR="008E03FF" w:rsidRPr="00AF0079" w14:paraId="6B264017" w14:textId="77777777" w:rsidTr="006D3B57">
        <w:trPr>
          <w:cantSplit/>
          <w:tblHeader/>
        </w:trPr>
        <w:tc>
          <w:tcPr>
            <w:tcW w:w="1250" w:type="pct"/>
            <w:shd w:val="clear" w:color="auto" w:fill="DEEAF6" w:themeFill="accent1" w:themeFillTint="33"/>
          </w:tcPr>
          <w:p w14:paraId="42D8F8C9" w14:textId="77777777" w:rsidR="008E03FF" w:rsidRPr="00AF0079" w:rsidRDefault="008E03FF" w:rsidP="00C90A72">
            <w:pPr>
              <w:rPr>
                <w:b/>
              </w:rPr>
            </w:pPr>
            <w:r w:rsidRPr="00AF0079">
              <w:rPr>
                <w:b/>
              </w:rPr>
              <w:t>Deliverable</w:t>
            </w:r>
          </w:p>
        </w:tc>
        <w:tc>
          <w:tcPr>
            <w:tcW w:w="1250" w:type="pct"/>
            <w:shd w:val="clear" w:color="auto" w:fill="DEEAF6" w:themeFill="accent1" w:themeFillTint="33"/>
          </w:tcPr>
          <w:p w14:paraId="18CD0DCA" w14:textId="1D3A0BD9" w:rsidR="008E03FF" w:rsidRPr="00AF0079" w:rsidRDefault="00911546" w:rsidP="00C90A72">
            <w:pPr>
              <w:rPr>
                <w:b/>
              </w:rPr>
            </w:pPr>
            <w:r>
              <w:rPr>
                <w:b/>
              </w:rPr>
              <w:t>Original Timeline</w:t>
            </w:r>
          </w:p>
        </w:tc>
        <w:tc>
          <w:tcPr>
            <w:tcW w:w="1250" w:type="pct"/>
            <w:shd w:val="clear" w:color="auto" w:fill="DEEAF6" w:themeFill="accent1" w:themeFillTint="33"/>
          </w:tcPr>
          <w:p w14:paraId="77A6D010" w14:textId="56C5A664" w:rsidR="008E03FF" w:rsidRPr="00AF0079" w:rsidRDefault="00911546" w:rsidP="00C90A72">
            <w:pPr>
              <w:rPr>
                <w:b/>
              </w:rPr>
            </w:pPr>
            <w:r>
              <w:rPr>
                <w:b/>
              </w:rPr>
              <w:t xml:space="preserve">Revised </w:t>
            </w:r>
            <w:r w:rsidRPr="00AF0079">
              <w:rPr>
                <w:b/>
              </w:rPr>
              <w:t>Timeline</w:t>
            </w:r>
          </w:p>
        </w:tc>
        <w:tc>
          <w:tcPr>
            <w:tcW w:w="1250" w:type="pct"/>
            <w:shd w:val="clear" w:color="auto" w:fill="DEEAF6" w:themeFill="accent1" w:themeFillTint="33"/>
          </w:tcPr>
          <w:p w14:paraId="0D96BEE6" w14:textId="49A5C5EC" w:rsidR="008E03FF" w:rsidRPr="00AF0079" w:rsidRDefault="008E03FF" w:rsidP="00C90A72">
            <w:pPr>
              <w:rPr>
                <w:b/>
              </w:rPr>
            </w:pPr>
            <w:r w:rsidRPr="00AF0079">
              <w:rPr>
                <w:b/>
              </w:rPr>
              <w:t>Responsibility</w:t>
            </w:r>
          </w:p>
        </w:tc>
      </w:tr>
      <w:tr w:rsidR="008E03FF" w:rsidRPr="00DB6246" w14:paraId="7FCC116F" w14:textId="77777777" w:rsidTr="006D3B57">
        <w:trPr>
          <w:cantSplit/>
        </w:trPr>
        <w:tc>
          <w:tcPr>
            <w:tcW w:w="1250" w:type="pct"/>
          </w:tcPr>
          <w:p w14:paraId="35759796" w14:textId="77777777" w:rsidR="008E03FF" w:rsidRPr="009817F3" w:rsidRDefault="008E03FF" w:rsidP="00C90A72">
            <w:r>
              <w:t xml:space="preserve">12.3 Attend major community events when endorsed by the Aboriginal and Torres Strait Islander community, including: </w:t>
            </w:r>
            <w:proofErr w:type="spellStart"/>
            <w:r>
              <w:t>Djirra’s</w:t>
            </w:r>
            <w:proofErr w:type="spellEnd"/>
            <w:r>
              <w:t xml:space="preserve"> Sisters Day Out, </w:t>
            </w:r>
            <w:proofErr w:type="spellStart"/>
            <w:r>
              <w:t>Dardi</w:t>
            </w:r>
            <w:proofErr w:type="spellEnd"/>
            <w:r>
              <w:t xml:space="preserve"> </w:t>
            </w:r>
            <w:proofErr w:type="spellStart"/>
            <w:r>
              <w:t>Munwurro’s</w:t>
            </w:r>
            <w:proofErr w:type="spellEnd"/>
            <w:r>
              <w:t xml:space="preserve"> State-wide Men’s Gathering, VACSAL State-wide Sporting Carnivals, Koori Youth Council annual summit and the Aboriginal Justice Forum.</w:t>
            </w:r>
          </w:p>
        </w:tc>
        <w:tc>
          <w:tcPr>
            <w:tcW w:w="1250" w:type="pct"/>
          </w:tcPr>
          <w:p w14:paraId="7B451840" w14:textId="77777777" w:rsidR="008E03FF" w:rsidRPr="00DB6246" w:rsidRDefault="008E03FF" w:rsidP="00C90A72">
            <w:r>
              <w:t>June annually</w:t>
            </w:r>
          </w:p>
        </w:tc>
        <w:tc>
          <w:tcPr>
            <w:tcW w:w="1250" w:type="pct"/>
          </w:tcPr>
          <w:p w14:paraId="01722866" w14:textId="787FC869" w:rsidR="008E03FF" w:rsidRDefault="00614EEB" w:rsidP="00C90A72">
            <w:r>
              <w:t>December annually</w:t>
            </w:r>
          </w:p>
        </w:tc>
        <w:tc>
          <w:tcPr>
            <w:tcW w:w="1250" w:type="pct"/>
          </w:tcPr>
          <w:p w14:paraId="24C04963" w14:textId="7820127C" w:rsidR="008E03FF" w:rsidRPr="00DB6246" w:rsidRDefault="008E03FF" w:rsidP="00C90A72">
            <w:r>
              <w:t>Associate Director, Aboriginal Services</w:t>
            </w:r>
          </w:p>
        </w:tc>
      </w:tr>
      <w:tr w:rsidR="008E03FF" w14:paraId="140A0A7F" w14:textId="77777777" w:rsidTr="006D3B57">
        <w:trPr>
          <w:cantSplit/>
        </w:trPr>
        <w:tc>
          <w:tcPr>
            <w:tcW w:w="1250" w:type="pct"/>
          </w:tcPr>
          <w:p w14:paraId="52C5D18C" w14:textId="77777777" w:rsidR="008E03FF" w:rsidRDefault="008E03FF" w:rsidP="00C90A72">
            <w:r>
              <w:t xml:space="preserve">13.2 Provide legal education and promote VLA’s services at major Aboriginal and Torres Strait Islander community events and celebrations. </w:t>
            </w:r>
          </w:p>
        </w:tc>
        <w:tc>
          <w:tcPr>
            <w:tcW w:w="1250" w:type="pct"/>
          </w:tcPr>
          <w:p w14:paraId="0A04DC60" w14:textId="77777777" w:rsidR="008E03FF" w:rsidRDefault="008E03FF" w:rsidP="00C90A72">
            <w:r>
              <w:t>June annually</w:t>
            </w:r>
          </w:p>
        </w:tc>
        <w:tc>
          <w:tcPr>
            <w:tcW w:w="1250" w:type="pct"/>
          </w:tcPr>
          <w:p w14:paraId="5FF69F66" w14:textId="1141CE23" w:rsidR="008E03FF" w:rsidRDefault="00614EEB" w:rsidP="00C90A72">
            <w:r>
              <w:t>December annually</w:t>
            </w:r>
          </w:p>
        </w:tc>
        <w:tc>
          <w:tcPr>
            <w:tcW w:w="1250" w:type="pct"/>
          </w:tcPr>
          <w:p w14:paraId="778713A8" w14:textId="18611887" w:rsidR="008E03FF" w:rsidRDefault="008E03FF" w:rsidP="00C90A72">
            <w:r>
              <w:t xml:space="preserve">Associate Director, Aboriginal Services </w:t>
            </w:r>
          </w:p>
        </w:tc>
      </w:tr>
    </w:tbl>
    <w:p w14:paraId="6041645B" w14:textId="0A177DD2" w:rsidR="00135DA0" w:rsidRDefault="00AF0079" w:rsidP="006D3B57">
      <w:pPr>
        <w:pStyle w:val="Tableheading"/>
        <w:keepNext/>
        <w:rPr>
          <w:lang w:eastAsia="en-AU"/>
        </w:rPr>
      </w:pPr>
      <w:r>
        <w:rPr>
          <w:lang w:eastAsia="en-AU"/>
        </w:rPr>
        <w:lastRenderedPageBreak/>
        <w:t xml:space="preserve">Action 14 – </w:t>
      </w:r>
      <w:r>
        <w:t>Increase the briefing of Aboriginal and Torres Strait Islander barristers by both VLA lawyers and practice partners</w:t>
      </w:r>
    </w:p>
    <w:tbl>
      <w:tblPr>
        <w:tblStyle w:val="TableGrid"/>
        <w:tblW w:w="5000" w:type="pct"/>
        <w:tblLook w:val="04A0" w:firstRow="1" w:lastRow="0" w:firstColumn="1" w:lastColumn="0" w:noHBand="0" w:noVBand="1"/>
      </w:tblPr>
      <w:tblGrid>
        <w:gridCol w:w="3258"/>
        <w:gridCol w:w="3257"/>
        <w:gridCol w:w="3255"/>
      </w:tblGrid>
      <w:tr w:rsidR="00135DA0" w:rsidRPr="00AF0079" w14:paraId="30798342" w14:textId="77777777" w:rsidTr="006D3B57">
        <w:trPr>
          <w:cantSplit/>
          <w:tblHeader/>
        </w:trPr>
        <w:tc>
          <w:tcPr>
            <w:tcW w:w="1667" w:type="pct"/>
            <w:shd w:val="clear" w:color="auto" w:fill="DEEAF6" w:themeFill="accent1" w:themeFillTint="33"/>
          </w:tcPr>
          <w:p w14:paraId="11079E16" w14:textId="77777777" w:rsidR="00135DA0" w:rsidRPr="00AF0079" w:rsidRDefault="00135DA0" w:rsidP="00C90A72">
            <w:pPr>
              <w:rPr>
                <w:b/>
              </w:rPr>
            </w:pPr>
            <w:r w:rsidRPr="00AF0079">
              <w:rPr>
                <w:b/>
              </w:rPr>
              <w:t>Deliverable</w:t>
            </w:r>
          </w:p>
        </w:tc>
        <w:tc>
          <w:tcPr>
            <w:tcW w:w="1667" w:type="pct"/>
            <w:shd w:val="clear" w:color="auto" w:fill="DEEAF6" w:themeFill="accent1" w:themeFillTint="33"/>
          </w:tcPr>
          <w:p w14:paraId="6C487101" w14:textId="77777777" w:rsidR="00135DA0" w:rsidRPr="00AF0079" w:rsidRDefault="00135DA0" w:rsidP="00C90A72">
            <w:pPr>
              <w:rPr>
                <w:b/>
              </w:rPr>
            </w:pPr>
            <w:r w:rsidRPr="00AF0079">
              <w:rPr>
                <w:b/>
              </w:rPr>
              <w:t>Timeline</w:t>
            </w:r>
          </w:p>
        </w:tc>
        <w:tc>
          <w:tcPr>
            <w:tcW w:w="1667" w:type="pct"/>
            <w:shd w:val="clear" w:color="auto" w:fill="DEEAF6" w:themeFill="accent1" w:themeFillTint="33"/>
          </w:tcPr>
          <w:p w14:paraId="32242A5A" w14:textId="77777777" w:rsidR="00135DA0" w:rsidRPr="00AF0079" w:rsidRDefault="00135DA0" w:rsidP="00C90A72">
            <w:pPr>
              <w:rPr>
                <w:b/>
              </w:rPr>
            </w:pPr>
            <w:r w:rsidRPr="00AF0079">
              <w:rPr>
                <w:b/>
              </w:rPr>
              <w:t>Responsibility</w:t>
            </w:r>
          </w:p>
        </w:tc>
      </w:tr>
      <w:tr w:rsidR="00135DA0" w:rsidRPr="00DB6246" w14:paraId="732A08BF" w14:textId="77777777" w:rsidTr="006D3B57">
        <w:trPr>
          <w:cantSplit/>
        </w:trPr>
        <w:tc>
          <w:tcPr>
            <w:tcW w:w="1667" w:type="pct"/>
          </w:tcPr>
          <w:p w14:paraId="40AD362C" w14:textId="049625DC" w:rsidR="00135DA0" w:rsidRPr="009817F3" w:rsidRDefault="00135DA0" w:rsidP="00C90A72">
            <w:r>
              <w:t>14.1 Continue to communicate both internally and externally to lawyers to consider the Victorian Bar</w:t>
            </w:r>
            <w:r w:rsidR="00DC0715">
              <w:t>’s Indigenous Equal Opportunity Briefing Policy to</w:t>
            </w:r>
            <w:r>
              <w:t xml:space="preserve"> encourage briefing to Aboriginal and Torres Strait Islander barristers.</w:t>
            </w:r>
          </w:p>
        </w:tc>
        <w:tc>
          <w:tcPr>
            <w:tcW w:w="1667" w:type="pct"/>
          </w:tcPr>
          <w:p w14:paraId="5003FC7E" w14:textId="77777777" w:rsidR="00135DA0" w:rsidRPr="00DB6246" w:rsidRDefault="00135DA0" w:rsidP="00C90A72">
            <w:r>
              <w:t>June annually</w:t>
            </w:r>
          </w:p>
        </w:tc>
        <w:tc>
          <w:tcPr>
            <w:tcW w:w="1667" w:type="pct"/>
          </w:tcPr>
          <w:p w14:paraId="43FA44B1" w14:textId="77777777" w:rsidR="00135DA0" w:rsidRPr="00DB6246" w:rsidRDefault="00135DA0" w:rsidP="00C90A72">
            <w:r>
              <w:t>Executive Director, Legal Practice</w:t>
            </w:r>
          </w:p>
        </w:tc>
      </w:tr>
      <w:tr w:rsidR="00135DA0" w14:paraId="77562FC8" w14:textId="77777777" w:rsidTr="006D3B57">
        <w:trPr>
          <w:cantSplit/>
        </w:trPr>
        <w:tc>
          <w:tcPr>
            <w:tcW w:w="1667" w:type="pct"/>
          </w:tcPr>
          <w:p w14:paraId="2E9E8E69" w14:textId="77777777" w:rsidR="00135DA0" w:rsidRDefault="00135DA0" w:rsidP="00C90A72">
            <w:r>
              <w:t>14.2 Continue to promote the briefing of Aboriginal and Torres Strait Islander barristers through coordinated briefing process.</w:t>
            </w:r>
          </w:p>
        </w:tc>
        <w:tc>
          <w:tcPr>
            <w:tcW w:w="1667" w:type="pct"/>
          </w:tcPr>
          <w:p w14:paraId="13CA11E9" w14:textId="77777777" w:rsidR="00135DA0" w:rsidRDefault="00135DA0" w:rsidP="00C90A72">
            <w:r>
              <w:t>June annually</w:t>
            </w:r>
          </w:p>
        </w:tc>
        <w:tc>
          <w:tcPr>
            <w:tcW w:w="1667" w:type="pct"/>
          </w:tcPr>
          <w:p w14:paraId="4A1DE139" w14:textId="77777777" w:rsidR="00135DA0" w:rsidRDefault="00135DA0" w:rsidP="00C90A72">
            <w:r>
              <w:t>Executive Director, Legal Practice</w:t>
            </w:r>
          </w:p>
        </w:tc>
      </w:tr>
    </w:tbl>
    <w:p w14:paraId="4073F0F6" w14:textId="1A5D083D" w:rsidR="00135DA0" w:rsidRDefault="00AF0079" w:rsidP="00AF0079">
      <w:pPr>
        <w:pStyle w:val="Tableheading"/>
        <w:rPr>
          <w:lang w:eastAsia="en-AU"/>
        </w:rPr>
      </w:pPr>
      <w:r>
        <w:rPr>
          <w:lang w:eastAsia="en-AU"/>
        </w:rPr>
        <w:t xml:space="preserve">Action 15 – </w:t>
      </w:r>
      <w:r>
        <w:t>Support practice partners to provide culturally safe services to Aboriginal and Torres Strait Islander clients</w:t>
      </w:r>
    </w:p>
    <w:tbl>
      <w:tblPr>
        <w:tblStyle w:val="TableGrid"/>
        <w:tblW w:w="5000" w:type="pct"/>
        <w:tblLook w:val="04A0" w:firstRow="1" w:lastRow="0" w:firstColumn="1" w:lastColumn="0" w:noHBand="0" w:noVBand="1"/>
      </w:tblPr>
      <w:tblGrid>
        <w:gridCol w:w="2443"/>
        <w:gridCol w:w="2443"/>
        <w:gridCol w:w="2443"/>
        <w:gridCol w:w="2441"/>
      </w:tblGrid>
      <w:tr w:rsidR="00614EEB" w:rsidRPr="00AF0079" w14:paraId="5A228B0F" w14:textId="77777777" w:rsidTr="006D3B57">
        <w:trPr>
          <w:cantSplit/>
          <w:tblHeader/>
        </w:trPr>
        <w:tc>
          <w:tcPr>
            <w:tcW w:w="1250" w:type="pct"/>
            <w:shd w:val="clear" w:color="auto" w:fill="DEEAF6" w:themeFill="accent1" w:themeFillTint="33"/>
          </w:tcPr>
          <w:p w14:paraId="2DC97BD7" w14:textId="77777777" w:rsidR="00614EEB" w:rsidRPr="00AF0079" w:rsidRDefault="00614EEB" w:rsidP="00C90A72">
            <w:pPr>
              <w:rPr>
                <w:b/>
              </w:rPr>
            </w:pPr>
            <w:r w:rsidRPr="00AF0079">
              <w:rPr>
                <w:b/>
              </w:rPr>
              <w:t>Deliverable</w:t>
            </w:r>
          </w:p>
        </w:tc>
        <w:tc>
          <w:tcPr>
            <w:tcW w:w="1250" w:type="pct"/>
            <w:shd w:val="clear" w:color="auto" w:fill="DEEAF6" w:themeFill="accent1" w:themeFillTint="33"/>
          </w:tcPr>
          <w:p w14:paraId="25A0AC44" w14:textId="130B5272" w:rsidR="00614EEB" w:rsidRPr="00AF0079" w:rsidRDefault="00614EEB" w:rsidP="00C90A72">
            <w:pPr>
              <w:rPr>
                <w:b/>
              </w:rPr>
            </w:pPr>
            <w:r>
              <w:rPr>
                <w:b/>
              </w:rPr>
              <w:t xml:space="preserve">Original </w:t>
            </w:r>
            <w:r w:rsidRPr="00AF0079">
              <w:rPr>
                <w:b/>
              </w:rPr>
              <w:t>Timeline</w:t>
            </w:r>
          </w:p>
        </w:tc>
        <w:tc>
          <w:tcPr>
            <w:tcW w:w="1250" w:type="pct"/>
            <w:shd w:val="clear" w:color="auto" w:fill="DEEAF6" w:themeFill="accent1" w:themeFillTint="33"/>
          </w:tcPr>
          <w:p w14:paraId="7E78355E" w14:textId="194E075E" w:rsidR="00614EEB" w:rsidRPr="00AF0079" w:rsidRDefault="00614EEB" w:rsidP="00C90A72">
            <w:pPr>
              <w:rPr>
                <w:b/>
              </w:rPr>
            </w:pPr>
            <w:r>
              <w:rPr>
                <w:b/>
              </w:rPr>
              <w:t>Revised Timeline</w:t>
            </w:r>
          </w:p>
        </w:tc>
        <w:tc>
          <w:tcPr>
            <w:tcW w:w="1249" w:type="pct"/>
            <w:shd w:val="clear" w:color="auto" w:fill="DEEAF6" w:themeFill="accent1" w:themeFillTint="33"/>
          </w:tcPr>
          <w:p w14:paraId="1FFD7948" w14:textId="1D631DBA" w:rsidR="00614EEB" w:rsidRPr="00AF0079" w:rsidRDefault="00614EEB" w:rsidP="00C90A72">
            <w:pPr>
              <w:rPr>
                <w:b/>
              </w:rPr>
            </w:pPr>
            <w:r w:rsidRPr="00AF0079">
              <w:rPr>
                <w:b/>
              </w:rPr>
              <w:t>Responsibility</w:t>
            </w:r>
          </w:p>
        </w:tc>
      </w:tr>
      <w:tr w:rsidR="00614EEB" w:rsidRPr="00DB6246" w14:paraId="58A8351E" w14:textId="77777777" w:rsidTr="006D3B57">
        <w:trPr>
          <w:cantSplit/>
        </w:trPr>
        <w:tc>
          <w:tcPr>
            <w:tcW w:w="1250" w:type="pct"/>
          </w:tcPr>
          <w:p w14:paraId="7A3D985C" w14:textId="77777777" w:rsidR="00614EEB" w:rsidRPr="009817F3" w:rsidRDefault="00614EEB" w:rsidP="00C90A72">
            <w:r>
              <w:t xml:space="preserve">15.1 Look for meaningful ways for VLA to support the cultural awareness of private practitioners and Community Legal Centres (CLCs). </w:t>
            </w:r>
          </w:p>
        </w:tc>
        <w:tc>
          <w:tcPr>
            <w:tcW w:w="1250" w:type="pct"/>
          </w:tcPr>
          <w:p w14:paraId="280B006D" w14:textId="77777777" w:rsidR="00614EEB" w:rsidRPr="00DB6246" w:rsidRDefault="00614EEB" w:rsidP="00C90A72">
            <w:r>
              <w:t>June annually</w:t>
            </w:r>
          </w:p>
        </w:tc>
        <w:tc>
          <w:tcPr>
            <w:tcW w:w="1250" w:type="pct"/>
          </w:tcPr>
          <w:p w14:paraId="1B886338" w14:textId="19BC596E" w:rsidR="00614EEB" w:rsidRDefault="007F347D" w:rsidP="00C90A72">
            <w:r>
              <w:t xml:space="preserve">December annually </w:t>
            </w:r>
          </w:p>
        </w:tc>
        <w:tc>
          <w:tcPr>
            <w:tcW w:w="1249" w:type="pct"/>
          </w:tcPr>
          <w:p w14:paraId="491C2AF1" w14:textId="2D150C5F" w:rsidR="00614EEB" w:rsidRPr="00DB6246" w:rsidRDefault="00614EEB" w:rsidP="00C90A72">
            <w:r>
              <w:t>Executive Director, Legal Practice</w:t>
            </w:r>
          </w:p>
        </w:tc>
      </w:tr>
      <w:tr w:rsidR="00614EEB" w14:paraId="7572714E" w14:textId="77777777" w:rsidTr="006D3B57">
        <w:trPr>
          <w:cantSplit/>
        </w:trPr>
        <w:tc>
          <w:tcPr>
            <w:tcW w:w="1250" w:type="pct"/>
          </w:tcPr>
          <w:p w14:paraId="480AAA5F" w14:textId="77777777" w:rsidR="00614EEB" w:rsidRDefault="00614EEB" w:rsidP="00C90A72">
            <w:r>
              <w:t>15.2 Collaborate with Aboriginal legal services where possible to influence private practitioners and CLCs to improve cultural safety and culturally responsive services.</w:t>
            </w:r>
          </w:p>
        </w:tc>
        <w:tc>
          <w:tcPr>
            <w:tcW w:w="1250" w:type="pct"/>
          </w:tcPr>
          <w:p w14:paraId="5C36DC9F" w14:textId="77777777" w:rsidR="00614EEB" w:rsidRDefault="00614EEB" w:rsidP="00C90A72">
            <w:r>
              <w:t>May 2021</w:t>
            </w:r>
          </w:p>
        </w:tc>
        <w:tc>
          <w:tcPr>
            <w:tcW w:w="1250" w:type="pct"/>
          </w:tcPr>
          <w:p w14:paraId="2E11EFA4" w14:textId="15FF0EFE" w:rsidR="00614EEB" w:rsidRDefault="009C445F" w:rsidP="00C90A72">
            <w:r>
              <w:t>November 2021</w:t>
            </w:r>
          </w:p>
        </w:tc>
        <w:tc>
          <w:tcPr>
            <w:tcW w:w="1249" w:type="pct"/>
          </w:tcPr>
          <w:p w14:paraId="3FBA9EFF" w14:textId="57247E66" w:rsidR="00614EEB" w:rsidRDefault="00614EEB" w:rsidP="00C90A72">
            <w:r>
              <w:t>Executive Director, Legal Practice</w:t>
            </w:r>
          </w:p>
        </w:tc>
      </w:tr>
      <w:tr w:rsidR="00614EEB" w14:paraId="319E7BBB" w14:textId="77777777" w:rsidTr="006D3B57">
        <w:trPr>
          <w:cantSplit/>
        </w:trPr>
        <w:tc>
          <w:tcPr>
            <w:tcW w:w="1250" w:type="pct"/>
          </w:tcPr>
          <w:p w14:paraId="4271A0EA" w14:textId="77777777" w:rsidR="00614EEB" w:rsidRDefault="00614EEB" w:rsidP="00C90A72">
            <w:r>
              <w:t>15.3 Explore opportunities to ensure accountability of practice partners to Aboriginal and Torres Strait Islander clients.</w:t>
            </w:r>
          </w:p>
        </w:tc>
        <w:tc>
          <w:tcPr>
            <w:tcW w:w="1250" w:type="pct"/>
          </w:tcPr>
          <w:p w14:paraId="1C371A49" w14:textId="77777777" w:rsidR="00614EEB" w:rsidRDefault="00614EEB" w:rsidP="00C90A72">
            <w:r>
              <w:t>May 2021</w:t>
            </w:r>
          </w:p>
        </w:tc>
        <w:tc>
          <w:tcPr>
            <w:tcW w:w="1250" w:type="pct"/>
          </w:tcPr>
          <w:p w14:paraId="4D535754" w14:textId="7CB70DF1" w:rsidR="00614EEB" w:rsidRDefault="009C445F" w:rsidP="00C90A72">
            <w:r>
              <w:t>November 2021</w:t>
            </w:r>
          </w:p>
        </w:tc>
        <w:tc>
          <w:tcPr>
            <w:tcW w:w="1249" w:type="pct"/>
          </w:tcPr>
          <w:p w14:paraId="08F81DDE" w14:textId="140CE253" w:rsidR="00614EEB" w:rsidRDefault="00614EEB" w:rsidP="00C90A72">
            <w:r>
              <w:t>Executive Director, Legal Practice</w:t>
            </w:r>
          </w:p>
        </w:tc>
      </w:tr>
    </w:tbl>
    <w:p w14:paraId="43AEC6DF" w14:textId="77777777" w:rsidR="00135DA0" w:rsidRDefault="00135DA0" w:rsidP="00135DA0">
      <w:pPr>
        <w:spacing w:after="0" w:line="240" w:lineRule="auto"/>
        <w:rPr>
          <w:lang w:eastAsia="en-AU"/>
        </w:rPr>
      </w:pPr>
      <w:r>
        <w:rPr>
          <w:lang w:eastAsia="en-AU"/>
        </w:rPr>
        <w:lastRenderedPageBreak/>
        <w:br w:type="page"/>
      </w:r>
    </w:p>
    <w:p w14:paraId="231032A1" w14:textId="77777777" w:rsidR="00135DA0" w:rsidRDefault="00135DA0" w:rsidP="003E19BA">
      <w:pPr>
        <w:pStyle w:val="Heading2"/>
      </w:pPr>
      <w:bookmarkStart w:id="6" w:name="_Toc14094192"/>
      <w:bookmarkStart w:id="7" w:name="_Toc14094286"/>
      <w:r>
        <w:lastRenderedPageBreak/>
        <w:t>Opportunities</w:t>
      </w:r>
      <w:bookmarkEnd w:id="6"/>
      <w:bookmarkEnd w:id="7"/>
    </w:p>
    <w:p w14:paraId="69610291" w14:textId="7BFDBA66" w:rsidR="00135DA0" w:rsidRDefault="0010619A" w:rsidP="0010619A">
      <w:pPr>
        <w:pStyle w:val="Tableheading"/>
        <w:rPr>
          <w:lang w:eastAsia="en-AU"/>
        </w:rPr>
      </w:pPr>
      <w:r>
        <w:rPr>
          <w:lang w:eastAsia="en-AU"/>
        </w:rPr>
        <w:t xml:space="preserve">Action 16 – </w:t>
      </w:r>
      <w:r>
        <w:t xml:space="preserve">Improve employment outcomes by increasing Aboriginal and Torres Strait Islander recruitment, </w:t>
      </w:r>
      <w:proofErr w:type="gramStart"/>
      <w:r>
        <w:t>retention</w:t>
      </w:r>
      <w:proofErr w:type="gramEnd"/>
      <w:r>
        <w:t xml:space="preserve"> and professional development</w:t>
      </w:r>
    </w:p>
    <w:tbl>
      <w:tblPr>
        <w:tblStyle w:val="TableGrid"/>
        <w:tblW w:w="5000" w:type="pct"/>
        <w:tblLook w:val="04A0" w:firstRow="1" w:lastRow="0" w:firstColumn="1" w:lastColumn="0" w:noHBand="0" w:noVBand="1"/>
      </w:tblPr>
      <w:tblGrid>
        <w:gridCol w:w="2443"/>
        <w:gridCol w:w="2443"/>
        <w:gridCol w:w="2443"/>
        <w:gridCol w:w="2441"/>
      </w:tblGrid>
      <w:tr w:rsidR="009C445F" w:rsidRPr="0010619A" w14:paraId="65B2571C" w14:textId="77777777" w:rsidTr="006D3B57">
        <w:trPr>
          <w:cantSplit/>
          <w:tblHeader/>
        </w:trPr>
        <w:tc>
          <w:tcPr>
            <w:tcW w:w="1250" w:type="pct"/>
            <w:shd w:val="clear" w:color="auto" w:fill="E2EFD9" w:themeFill="accent6" w:themeFillTint="33"/>
          </w:tcPr>
          <w:p w14:paraId="70D5FE34" w14:textId="77777777" w:rsidR="009C445F" w:rsidRPr="0010619A" w:rsidRDefault="009C445F" w:rsidP="00C90A72">
            <w:pPr>
              <w:rPr>
                <w:b/>
              </w:rPr>
            </w:pPr>
            <w:r w:rsidRPr="0010619A">
              <w:rPr>
                <w:b/>
              </w:rPr>
              <w:t>Deliverable</w:t>
            </w:r>
          </w:p>
        </w:tc>
        <w:tc>
          <w:tcPr>
            <w:tcW w:w="1250" w:type="pct"/>
            <w:shd w:val="clear" w:color="auto" w:fill="E2EFD9" w:themeFill="accent6" w:themeFillTint="33"/>
          </w:tcPr>
          <w:p w14:paraId="5C861390" w14:textId="7B0E8B65" w:rsidR="009C445F" w:rsidRPr="0010619A" w:rsidRDefault="009C445F" w:rsidP="00C90A72">
            <w:pPr>
              <w:rPr>
                <w:b/>
              </w:rPr>
            </w:pPr>
            <w:r>
              <w:rPr>
                <w:b/>
              </w:rPr>
              <w:t xml:space="preserve">Original Timeline </w:t>
            </w:r>
          </w:p>
        </w:tc>
        <w:tc>
          <w:tcPr>
            <w:tcW w:w="1250" w:type="pct"/>
            <w:shd w:val="clear" w:color="auto" w:fill="E2EFD9" w:themeFill="accent6" w:themeFillTint="33"/>
          </w:tcPr>
          <w:p w14:paraId="76408B28" w14:textId="7E5A734E" w:rsidR="009C445F" w:rsidRPr="0010619A" w:rsidRDefault="009C445F" w:rsidP="00C90A72">
            <w:pPr>
              <w:rPr>
                <w:b/>
              </w:rPr>
            </w:pPr>
            <w:r>
              <w:rPr>
                <w:b/>
              </w:rPr>
              <w:t xml:space="preserve">Revised </w:t>
            </w:r>
            <w:r w:rsidRPr="0010619A">
              <w:rPr>
                <w:b/>
              </w:rPr>
              <w:t>Timeline</w:t>
            </w:r>
          </w:p>
        </w:tc>
        <w:tc>
          <w:tcPr>
            <w:tcW w:w="1249" w:type="pct"/>
            <w:shd w:val="clear" w:color="auto" w:fill="E2EFD9" w:themeFill="accent6" w:themeFillTint="33"/>
          </w:tcPr>
          <w:p w14:paraId="1EA97320" w14:textId="2C3B33D7" w:rsidR="009C445F" w:rsidRPr="0010619A" w:rsidRDefault="009C445F" w:rsidP="00C90A72">
            <w:pPr>
              <w:rPr>
                <w:b/>
              </w:rPr>
            </w:pPr>
            <w:r w:rsidRPr="0010619A">
              <w:rPr>
                <w:b/>
              </w:rPr>
              <w:t>Responsibility</w:t>
            </w:r>
          </w:p>
        </w:tc>
      </w:tr>
      <w:tr w:rsidR="009C445F" w:rsidRPr="00DB6246" w14:paraId="01F2F8B1" w14:textId="77777777" w:rsidTr="006D3B57">
        <w:trPr>
          <w:cantSplit/>
        </w:trPr>
        <w:tc>
          <w:tcPr>
            <w:tcW w:w="1250" w:type="pct"/>
          </w:tcPr>
          <w:p w14:paraId="05C4A7C4" w14:textId="77777777" w:rsidR="009C445F" w:rsidRPr="009817F3" w:rsidRDefault="009C445F" w:rsidP="00C90A72">
            <w:r>
              <w:t>16.1 Build understanding of the current Aboriginal and Torres Strait Islander staffing profile to inform future employment and professional development opportunities.</w:t>
            </w:r>
          </w:p>
        </w:tc>
        <w:tc>
          <w:tcPr>
            <w:tcW w:w="1250" w:type="pct"/>
          </w:tcPr>
          <w:p w14:paraId="6464AE77" w14:textId="77777777" w:rsidR="009C445F" w:rsidRPr="00DB6246" w:rsidRDefault="009C445F" w:rsidP="00C90A72">
            <w:r>
              <w:t>December 2019</w:t>
            </w:r>
          </w:p>
        </w:tc>
        <w:tc>
          <w:tcPr>
            <w:tcW w:w="1250" w:type="pct"/>
          </w:tcPr>
          <w:p w14:paraId="08CC924F" w14:textId="77777777" w:rsidR="009C445F" w:rsidRDefault="009C445F" w:rsidP="00C90A72"/>
        </w:tc>
        <w:tc>
          <w:tcPr>
            <w:tcW w:w="1249" w:type="pct"/>
          </w:tcPr>
          <w:p w14:paraId="05860824" w14:textId="258F62C3" w:rsidR="009C445F" w:rsidRPr="00DB6246" w:rsidRDefault="009C445F" w:rsidP="00C90A72">
            <w:r>
              <w:t>Head of People and Culture</w:t>
            </w:r>
          </w:p>
        </w:tc>
      </w:tr>
      <w:tr w:rsidR="009C445F" w:rsidRPr="00DB6246" w14:paraId="712B072D" w14:textId="77777777" w:rsidTr="006D3B57">
        <w:trPr>
          <w:cantSplit/>
        </w:trPr>
        <w:tc>
          <w:tcPr>
            <w:tcW w:w="1250" w:type="pct"/>
          </w:tcPr>
          <w:p w14:paraId="613B46D6" w14:textId="77777777" w:rsidR="009C445F" w:rsidRDefault="009C445F" w:rsidP="00C90A72">
            <w:r>
              <w:t xml:space="preserve">16.2 Consult with our First Nations Staff Network on our recruitment, </w:t>
            </w:r>
            <w:proofErr w:type="gramStart"/>
            <w:r>
              <w:t>retention</w:t>
            </w:r>
            <w:proofErr w:type="gramEnd"/>
            <w:r>
              <w:t xml:space="preserve"> and professional development strategy. </w:t>
            </w:r>
          </w:p>
        </w:tc>
        <w:tc>
          <w:tcPr>
            <w:tcW w:w="1250" w:type="pct"/>
          </w:tcPr>
          <w:p w14:paraId="3A1963D9" w14:textId="77777777" w:rsidR="009C445F" w:rsidRDefault="009C445F" w:rsidP="00C90A72">
            <w:r>
              <w:t>June 2020</w:t>
            </w:r>
          </w:p>
        </w:tc>
        <w:tc>
          <w:tcPr>
            <w:tcW w:w="1250" w:type="pct"/>
          </w:tcPr>
          <w:p w14:paraId="487F28DE" w14:textId="77777777" w:rsidR="009C445F" w:rsidRDefault="009C445F" w:rsidP="00C90A72"/>
        </w:tc>
        <w:tc>
          <w:tcPr>
            <w:tcW w:w="1249" w:type="pct"/>
          </w:tcPr>
          <w:p w14:paraId="7B186015" w14:textId="5B9043A0" w:rsidR="009C445F" w:rsidRDefault="009C445F" w:rsidP="00C90A72">
            <w:r>
              <w:t>Head of People and Culture</w:t>
            </w:r>
          </w:p>
        </w:tc>
      </w:tr>
      <w:tr w:rsidR="009C445F" w:rsidRPr="00DB6246" w14:paraId="59CEA354" w14:textId="77777777" w:rsidTr="006D3B57">
        <w:trPr>
          <w:cantSplit/>
        </w:trPr>
        <w:tc>
          <w:tcPr>
            <w:tcW w:w="1250" w:type="pct"/>
          </w:tcPr>
          <w:p w14:paraId="1ABF4BCD" w14:textId="77777777" w:rsidR="009C445F" w:rsidRDefault="009C445F" w:rsidP="00C90A72">
            <w:r>
              <w:t xml:space="preserve">16.3 Review, strengthen and implement an Aboriginal and Torres Strait Islander recruitment, </w:t>
            </w:r>
            <w:proofErr w:type="gramStart"/>
            <w:r>
              <w:t>retention</w:t>
            </w:r>
            <w:proofErr w:type="gramEnd"/>
            <w:r>
              <w:t xml:space="preserve"> and professional development strategy.</w:t>
            </w:r>
          </w:p>
        </w:tc>
        <w:tc>
          <w:tcPr>
            <w:tcW w:w="1250" w:type="pct"/>
          </w:tcPr>
          <w:p w14:paraId="37CBB417" w14:textId="77777777" w:rsidR="009C445F" w:rsidRDefault="009C445F" w:rsidP="00C90A72">
            <w:r>
              <w:t>June 2020</w:t>
            </w:r>
          </w:p>
        </w:tc>
        <w:tc>
          <w:tcPr>
            <w:tcW w:w="1250" w:type="pct"/>
          </w:tcPr>
          <w:p w14:paraId="43383505" w14:textId="77777777" w:rsidR="009C445F" w:rsidRDefault="009C445F" w:rsidP="00C90A72"/>
        </w:tc>
        <w:tc>
          <w:tcPr>
            <w:tcW w:w="1249" w:type="pct"/>
          </w:tcPr>
          <w:p w14:paraId="1CC8AE2D" w14:textId="3B7644BF" w:rsidR="009C445F" w:rsidRDefault="009C445F" w:rsidP="00C90A72">
            <w:r>
              <w:t>Head of People and Culture</w:t>
            </w:r>
          </w:p>
        </w:tc>
      </w:tr>
      <w:tr w:rsidR="009C445F" w:rsidRPr="00DB6246" w14:paraId="35BEBCD2" w14:textId="77777777" w:rsidTr="006D3B57">
        <w:trPr>
          <w:cantSplit/>
        </w:trPr>
        <w:tc>
          <w:tcPr>
            <w:tcW w:w="1250" w:type="pct"/>
          </w:tcPr>
          <w:p w14:paraId="675CA315" w14:textId="77777777" w:rsidR="009C445F" w:rsidRDefault="009C445F" w:rsidP="00C90A72">
            <w:r>
              <w:t>16.4 Advertise job vacancies to effectively reach Aboriginal and Torres Strait Islander stakeholders.</w:t>
            </w:r>
          </w:p>
        </w:tc>
        <w:tc>
          <w:tcPr>
            <w:tcW w:w="1250" w:type="pct"/>
          </w:tcPr>
          <w:p w14:paraId="67E9471A" w14:textId="77777777" w:rsidR="009C445F" w:rsidRDefault="009C445F" w:rsidP="00C90A72">
            <w:r>
              <w:t>June 2020</w:t>
            </w:r>
          </w:p>
        </w:tc>
        <w:tc>
          <w:tcPr>
            <w:tcW w:w="1250" w:type="pct"/>
          </w:tcPr>
          <w:p w14:paraId="00FB0F6E" w14:textId="77777777" w:rsidR="009C445F" w:rsidRDefault="009C445F" w:rsidP="00C90A72"/>
        </w:tc>
        <w:tc>
          <w:tcPr>
            <w:tcW w:w="1249" w:type="pct"/>
          </w:tcPr>
          <w:p w14:paraId="7B598E8D" w14:textId="5F6A02D2" w:rsidR="009C445F" w:rsidRDefault="009C445F" w:rsidP="00C90A72">
            <w:r>
              <w:t>Head of People and Culture</w:t>
            </w:r>
          </w:p>
        </w:tc>
      </w:tr>
      <w:tr w:rsidR="009C445F" w:rsidRPr="00DB6246" w14:paraId="79838C32" w14:textId="77777777" w:rsidTr="006D3B57">
        <w:trPr>
          <w:cantSplit/>
        </w:trPr>
        <w:tc>
          <w:tcPr>
            <w:tcW w:w="1250" w:type="pct"/>
          </w:tcPr>
          <w:p w14:paraId="715E9908" w14:textId="77777777" w:rsidR="009C445F" w:rsidRDefault="009C445F" w:rsidP="00C90A72">
            <w:r>
              <w:t>16.5 Review VLA’s recruitment procedures and policies to remove barriers to Aboriginal and Torres Strait Islander participation in our workplace.</w:t>
            </w:r>
          </w:p>
        </w:tc>
        <w:tc>
          <w:tcPr>
            <w:tcW w:w="1250" w:type="pct"/>
          </w:tcPr>
          <w:p w14:paraId="5521B274" w14:textId="77777777" w:rsidR="009C445F" w:rsidRDefault="009C445F" w:rsidP="00C90A72">
            <w:r>
              <w:t>June 2020</w:t>
            </w:r>
          </w:p>
        </w:tc>
        <w:tc>
          <w:tcPr>
            <w:tcW w:w="1250" w:type="pct"/>
          </w:tcPr>
          <w:p w14:paraId="41274D17" w14:textId="0A9E8346" w:rsidR="009C445F" w:rsidRDefault="00C92955" w:rsidP="00C90A72">
            <w:r>
              <w:t>December 2020</w:t>
            </w:r>
          </w:p>
        </w:tc>
        <w:tc>
          <w:tcPr>
            <w:tcW w:w="1249" w:type="pct"/>
          </w:tcPr>
          <w:p w14:paraId="08C7F15F" w14:textId="18DF14A2" w:rsidR="009C445F" w:rsidRDefault="009C445F" w:rsidP="00C90A72">
            <w:r>
              <w:t>Head of People and Culture</w:t>
            </w:r>
          </w:p>
        </w:tc>
      </w:tr>
      <w:tr w:rsidR="009C445F" w:rsidRPr="00DB6246" w14:paraId="41E8560C" w14:textId="77777777" w:rsidTr="006D3B57">
        <w:trPr>
          <w:cantSplit/>
        </w:trPr>
        <w:tc>
          <w:tcPr>
            <w:tcW w:w="1250" w:type="pct"/>
          </w:tcPr>
          <w:p w14:paraId="46A64D54" w14:textId="77777777" w:rsidR="009C445F" w:rsidRDefault="009C445F" w:rsidP="00C90A72">
            <w:r>
              <w:lastRenderedPageBreak/>
              <w:t>16.6 Increase the proportion of Aboriginal and Torres Strait Islander staff at VLA to three per cent.</w:t>
            </w:r>
          </w:p>
        </w:tc>
        <w:tc>
          <w:tcPr>
            <w:tcW w:w="1250" w:type="pct"/>
          </w:tcPr>
          <w:p w14:paraId="74F17065" w14:textId="77777777" w:rsidR="009C445F" w:rsidRDefault="009C445F" w:rsidP="00C90A72">
            <w:r>
              <w:t>May 2021</w:t>
            </w:r>
          </w:p>
        </w:tc>
        <w:tc>
          <w:tcPr>
            <w:tcW w:w="1250" w:type="pct"/>
          </w:tcPr>
          <w:p w14:paraId="09B7B90C" w14:textId="01F031C7" w:rsidR="009C445F" w:rsidRDefault="00C92955" w:rsidP="00C90A72">
            <w:r>
              <w:t>November 2021</w:t>
            </w:r>
          </w:p>
        </w:tc>
        <w:tc>
          <w:tcPr>
            <w:tcW w:w="1249" w:type="pct"/>
          </w:tcPr>
          <w:p w14:paraId="6D71CD92" w14:textId="1D98CB30" w:rsidR="009C445F" w:rsidRDefault="009C445F" w:rsidP="00C90A72">
            <w:r>
              <w:t>Head of People and Culture</w:t>
            </w:r>
          </w:p>
        </w:tc>
      </w:tr>
      <w:tr w:rsidR="009C445F" w:rsidRPr="00DB6246" w14:paraId="323220DB" w14:textId="77777777" w:rsidTr="006D3B57">
        <w:trPr>
          <w:cantSplit/>
        </w:trPr>
        <w:tc>
          <w:tcPr>
            <w:tcW w:w="1250" w:type="pct"/>
          </w:tcPr>
          <w:p w14:paraId="0939D584" w14:textId="77777777" w:rsidR="009C445F" w:rsidRDefault="009C445F" w:rsidP="00C90A72">
            <w:r>
              <w:t>16.7 Identify and promote education and leadership opportunities for Aboriginal and Torres Strait Islander staff.</w:t>
            </w:r>
          </w:p>
        </w:tc>
        <w:tc>
          <w:tcPr>
            <w:tcW w:w="1250" w:type="pct"/>
          </w:tcPr>
          <w:p w14:paraId="0AC0E38D" w14:textId="77777777" w:rsidR="009C445F" w:rsidRDefault="009C445F" w:rsidP="00C90A72">
            <w:r>
              <w:t>June annually</w:t>
            </w:r>
          </w:p>
        </w:tc>
        <w:tc>
          <w:tcPr>
            <w:tcW w:w="1250" w:type="pct"/>
          </w:tcPr>
          <w:p w14:paraId="21A184CC" w14:textId="77777777" w:rsidR="009C445F" w:rsidRDefault="009C445F" w:rsidP="00C90A72"/>
        </w:tc>
        <w:tc>
          <w:tcPr>
            <w:tcW w:w="1249" w:type="pct"/>
          </w:tcPr>
          <w:p w14:paraId="24E64D59" w14:textId="32C0985A" w:rsidR="009C445F" w:rsidRDefault="009C445F" w:rsidP="00C90A72">
            <w:r>
              <w:t>Head of People and Culture</w:t>
            </w:r>
          </w:p>
        </w:tc>
      </w:tr>
      <w:tr w:rsidR="009C445F" w:rsidRPr="00DB6246" w14:paraId="459B3DA9" w14:textId="77777777" w:rsidTr="006D3B57">
        <w:trPr>
          <w:cantSplit/>
        </w:trPr>
        <w:tc>
          <w:tcPr>
            <w:tcW w:w="1250" w:type="pct"/>
          </w:tcPr>
          <w:p w14:paraId="48233D03" w14:textId="77777777" w:rsidR="009C445F" w:rsidRDefault="009C445F" w:rsidP="00C90A72">
            <w:r>
              <w:t>16.8 Explore the opportunity for a scholarship award to provide financial assistance for ongoing Aboriginal and Torres Strait Islander staff to pursue professional development through further studies.</w:t>
            </w:r>
          </w:p>
        </w:tc>
        <w:tc>
          <w:tcPr>
            <w:tcW w:w="1250" w:type="pct"/>
          </w:tcPr>
          <w:p w14:paraId="0AE87290" w14:textId="77777777" w:rsidR="009C445F" w:rsidRDefault="009C445F" w:rsidP="00C90A72">
            <w:r>
              <w:t>December 2020</w:t>
            </w:r>
          </w:p>
        </w:tc>
        <w:tc>
          <w:tcPr>
            <w:tcW w:w="1250" w:type="pct"/>
          </w:tcPr>
          <w:p w14:paraId="25856D94" w14:textId="408A5871" w:rsidR="009C445F" w:rsidRDefault="009E0802" w:rsidP="00C90A72">
            <w:r>
              <w:t>June 2021</w:t>
            </w:r>
          </w:p>
        </w:tc>
        <w:tc>
          <w:tcPr>
            <w:tcW w:w="1249" w:type="pct"/>
          </w:tcPr>
          <w:p w14:paraId="127FA2F5" w14:textId="6FDA51EA" w:rsidR="009C445F" w:rsidRDefault="009C445F" w:rsidP="00C90A72">
            <w:r>
              <w:t>Head of People and Culture</w:t>
            </w:r>
          </w:p>
        </w:tc>
      </w:tr>
      <w:tr w:rsidR="009C445F" w:rsidRPr="00DB6246" w14:paraId="665DE547" w14:textId="77777777" w:rsidTr="006D3B57">
        <w:trPr>
          <w:cantSplit/>
        </w:trPr>
        <w:tc>
          <w:tcPr>
            <w:tcW w:w="1250" w:type="pct"/>
          </w:tcPr>
          <w:p w14:paraId="6F99601F" w14:textId="77777777" w:rsidR="009C445F" w:rsidRDefault="009C445F" w:rsidP="00C90A72">
            <w:r>
              <w:t>16.9 Establish a network to support Aboriginal and Torres Strait Islander staff with job applications, interviews and mentoring to advance career opportunities with VLA.</w:t>
            </w:r>
          </w:p>
        </w:tc>
        <w:tc>
          <w:tcPr>
            <w:tcW w:w="1250" w:type="pct"/>
          </w:tcPr>
          <w:p w14:paraId="6A097C65" w14:textId="77777777" w:rsidR="009C445F" w:rsidRDefault="009C445F" w:rsidP="00C90A72">
            <w:r>
              <w:t>June annually</w:t>
            </w:r>
          </w:p>
        </w:tc>
        <w:tc>
          <w:tcPr>
            <w:tcW w:w="1250" w:type="pct"/>
          </w:tcPr>
          <w:p w14:paraId="2DA99F25" w14:textId="77777777" w:rsidR="009C445F" w:rsidRDefault="009C445F" w:rsidP="00C90A72"/>
        </w:tc>
        <w:tc>
          <w:tcPr>
            <w:tcW w:w="1249" w:type="pct"/>
          </w:tcPr>
          <w:p w14:paraId="08F627B4" w14:textId="7CFDBF87" w:rsidR="009C445F" w:rsidRDefault="009C445F" w:rsidP="00C90A72">
            <w:r>
              <w:t>Head of People and Culture</w:t>
            </w:r>
          </w:p>
        </w:tc>
      </w:tr>
      <w:tr w:rsidR="009C445F" w:rsidRPr="00DB6246" w14:paraId="52027410" w14:textId="77777777" w:rsidTr="006D3B57">
        <w:trPr>
          <w:cantSplit/>
        </w:trPr>
        <w:tc>
          <w:tcPr>
            <w:tcW w:w="1250" w:type="pct"/>
          </w:tcPr>
          <w:p w14:paraId="3B31BA2C" w14:textId="77777777" w:rsidR="009C445F" w:rsidRDefault="009C445F" w:rsidP="00C90A72">
            <w:r>
              <w:t>16.10 Provide opportunities for a minimum of two Aboriginal and Torres Strait Islander staff to attend the annual National Indigenous Legal Conference.</w:t>
            </w:r>
          </w:p>
        </w:tc>
        <w:tc>
          <w:tcPr>
            <w:tcW w:w="1250" w:type="pct"/>
          </w:tcPr>
          <w:p w14:paraId="7DBFFA9B" w14:textId="77777777" w:rsidR="009C445F" w:rsidRDefault="009C445F" w:rsidP="00C90A72">
            <w:r>
              <w:t>June annually</w:t>
            </w:r>
          </w:p>
        </w:tc>
        <w:tc>
          <w:tcPr>
            <w:tcW w:w="1250" w:type="pct"/>
          </w:tcPr>
          <w:p w14:paraId="48B041C3" w14:textId="77777777" w:rsidR="009C445F" w:rsidRDefault="009C445F" w:rsidP="00C90A72"/>
        </w:tc>
        <w:tc>
          <w:tcPr>
            <w:tcW w:w="1249" w:type="pct"/>
          </w:tcPr>
          <w:p w14:paraId="48FDF73B" w14:textId="35E5B728" w:rsidR="009C445F" w:rsidRDefault="009C445F" w:rsidP="00C90A72">
            <w:r>
              <w:t>Head of People and Culture</w:t>
            </w:r>
          </w:p>
        </w:tc>
      </w:tr>
      <w:tr w:rsidR="009C445F" w:rsidRPr="00DB6246" w14:paraId="7AF65C38" w14:textId="77777777" w:rsidTr="006D3B57">
        <w:trPr>
          <w:cantSplit/>
        </w:trPr>
        <w:tc>
          <w:tcPr>
            <w:tcW w:w="1250" w:type="pct"/>
          </w:tcPr>
          <w:p w14:paraId="432B7DA7" w14:textId="77777777" w:rsidR="009C445F" w:rsidRDefault="009C445F" w:rsidP="00C90A72">
            <w:r>
              <w:lastRenderedPageBreak/>
              <w:t>16.11 Increase the proportion of Aboriginal and Torres Strait Islander people in non-legal roles at VLA.</w:t>
            </w:r>
          </w:p>
        </w:tc>
        <w:tc>
          <w:tcPr>
            <w:tcW w:w="1250" w:type="pct"/>
          </w:tcPr>
          <w:p w14:paraId="76804276" w14:textId="77777777" w:rsidR="009C445F" w:rsidRDefault="009C445F" w:rsidP="00C90A72">
            <w:r>
              <w:t>June annually</w:t>
            </w:r>
          </w:p>
        </w:tc>
        <w:tc>
          <w:tcPr>
            <w:tcW w:w="1250" w:type="pct"/>
          </w:tcPr>
          <w:p w14:paraId="578DE48B" w14:textId="77777777" w:rsidR="009C445F" w:rsidRDefault="009C445F" w:rsidP="00C90A72"/>
        </w:tc>
        <w:tc>
          <w:tcPr>
            <w:tcW w:w="1249" w:type="pct"/>
          </w:tcPr>
          <w:p w14:paraId="31829E0E" w14:textId="270074CF" w:rsidR="009C445F" w:rsidRDefault="009C445F" w:rsidP="00C90A72">
            <w:r>
              <w:t>Head of People and Culture</w:t>
            </w:r>
          </w:p>
        </w:tc>
      </w:tr>
      <w:tr w:rsidR="009C445F" w:rsidRPr="00DB6246" w14:paraId="6D8C1B33" w14:textId="77777777" w:rsidTr="006D3B57">
        <w:trPr>
          <w:cantSplit/>
        </w:trPr>
        <w:tc>
          <w:tcPr>
            <w:tcW w:w="1250" w:type="pct"/>
          </w:tcPr>
          <w:p w14:paraId="583CC814" w14:textId="77777777" w:rsidR="009C445F" w:rsidRDefault="009C445F" w:rsidP="00C90A72">
            <w:r>
              <w:t>16.12 Ensure development and career progression opportunities for current Aboriginal and Torres Strait Islander staff in both legal and non-legal roles are identified and implemented.</w:t>
            </w:r>
          </w:p>
        </w:tc>
        <w:tc>
          <w:tcPr>
            <w:tcW w:w="1250" w:type="pct"/>
          </w:tcPr>
          <w:p w14:paraId="2ED48B4C" w14:textId="77777777" w:rsidR="009C445F" w:rsidRDefault="009C445F" w:rsidP="00C90A72">
            <w:r>
              <w:t xml:space="preserve">June annually </w:t>
            </w:r>
          </w:p>
        </w:tc>
        <w:tc>
          <w:tcPr>
            <w:tcW w:w="1250" w:type="pct"/>
          </w:tcPr>
          <w:p w14:paraId="0B0D286D" w14:textId="77777777" w:rsidR="009C445F" w:rsidRDefault="009C445F" w:rsidP="00C90A72"/>
        </w:tc>
        <w:tc>
          <w:tcPr>
            <w:tcW w:w="1249" w:type="pct"/>
          </w:tcPr>
          <w:p w14:paraId="2AF0A8E5" w14:textId="393D986C" w:rsidR="009C445F" w:rsidRDefault="009C445F" w:rsidP="00C90A72">
            <w:r>
              <w:t>Head of People and Culture</w:t>
            </w:r>
          </w:p>
        </w:tc>
      </w:tr>
      <w:tr w:rsidR="009C445F" w:rsidRPr="00DB6246" w14:paraId="6186A8E3" w14:textId="77777777" w:rsidTr="006D3B57">
        <w:trPr>
          <w:cantSplit/>
        </w:trPr>
        <w:tc>
          <w:tcPr>
            <w:tcW w:w="1250" w:type="pct"/>
          </w:tcPr>
          <w:p w14:paraId="32FC74B4" w14:textId="77777777" w:rsidR="009C445F" w:rsidRDefault="009C445F" w:rsidP="00C90A72">
            <w:r>
              <w:t xml:space="preserve">16.13 Explore the opportunity to establish new recruitment pathways to non-legal roles into VLA for Aboriginal and Torres Strait Islander people (for example, clerkships/graduate roles in Finance, People and Culture, etc). </w:t>
            </w:r>
          </w:p>
        </w:tc>
        <w:tc>
          <w:tcPr>
            <w:tcW w:w="1250" w:type="pct"/>
          </w:tcPr>
          <w:p w14:paraId="1A15FCED" w14:textId="77777777" w:rsidR="009C445F" w:rsidRDefault="009C445F" w:rsidP="00C90A72">
            <w:r>
              <w:t>June 2020</w:t>
            </w:r>
          </w:p>
        </w:tc>
        <w:tc>
          <w:tcPr>
            <w:tcW w:w="1250" w:type="pct"/>
          </w:tcPr>
          <w:p w14:paraId="6A804BE2" w14:textId="40B8641B" w:rsidR="009C445F" w:rsidRDefault="009E0802" w:rsidP="00C90A72">
            <w:r>
              <w:t>December 2020</w:t>
            </w:r>
          </w:p>
        </w:tc>
        <w:tc>
          <w:tcPr>
            <w:tcW w:w="1249" w:type="pct"/>
          </w:tcPr>
          <w:p w14:paraId="5894DA47" w14:textId="31DC4643" w:rsidR="009C445F" w:rsidRDefault="009C445F" w:rsidP="00C90A72">
            <w:r>
              <w:t>Head of People and Culture</w:t>
            </w:r>
          </w:p>
        </w:tc>
      </w:tr>
      <w:tr w:rsidR="009C445F" w:rsidRPr="00DB6246" w14:paraId="10A828C0" w14:textId="77777777" w:rsidTr="006D3B57">
        <w:trPr>
          <w:cantSplit/>
        </w:trPr>
        <w:tc>
          <w:tcPr>
            <w:tcW w:w="1250" w:type="pct"/>
          </w:tcPr>
          <w:p w14:paraId="0609F72B" w14:textId="77777777" w:rsidR="009C445F" w:rsidRDefault="009C445F" w:rsidP="00C90A72">
            <w:r>
              <w:t>16.14 Maintain the Aboriginal and Torres Strait Islander Clerkship Program each year.</w:t>
            </w:r>
          </w:p>
        </w:tc>
        <w:tc>
          <w:tcPr>
            <w:tcW w:w="1250" w:type="pct"/>
          </w:tcPr>
          <w:p w14:paraId="475BD2E9" w14:textId="77777777" w:rsidR="009C445F" w:rsidRDefault="009C445F" w:rsidP="00C90A72">
            <w:r>
              <w:t>June annually</w:t>
            </w:r>
          </w:p>
        </w:tc>
        <w:tc>
          <w:tcPr>
            <w:tcW w:w="1250" w:type="pct"/>
          </w:tcPr>
          <w:p w14:paraId="34213D42" w14:textId="1F72BE1A" w:rsidR="009C445F" w:rsidRDefault="009E0802" w:rsidP="00C90A72">
            <w:r>
              <w:t xml:space="preserve">December annually </w:t>
            </w:r>
          </w:p>
        </w:tc>
        <w:tc>
          <w:tcPr>
            <w:tcW w:w="1249" w:type="pct"/>
          </w:tcPr>
          <w:p w14:paraId="28B70784" w14:textId="79C27577" w:rsidR="009C445F" w:rsidRDefault="009C445F" w:rsidP="00C90A72">
            <w:r>
              <w:t>Head of People and Culture</w:t>
            </w:r>
          </w:p>
        </w:tc>
      </w:tr>
      <w:tr w:rsidR="009C445F" w:rsidRPr="00DB6246" w14:paraId="04991F82" w14:textId="77777777" w:rsidTr="006D3B57">
        <w:trPr>
          <w:cantSplit/>
        </w:trPr>
        <w:tc>
          <w:tcPr>
            <w:tcW w:w="1250" w:type="pct"/>
          </w:tcPr>
          <w:p w14:paraId="1E300067" w14:textId="77777777" w:rsidR="009C445F" w:rsidRDefault="009C445F" w:rsidP="00C90A72">
            <w:r>
              <w:t>16.15 Maintain two positions for Aboriginal and Torres Strait Islander law students in the Graduate Program each year.</w:t>
            </w:r>
          </w:p>
        </w:tc>
        <w:tc>
          <w:tcPr>
            <w:tcW w:w="1250" w:type="pct"/>
          </w:tcPr>
          <w:p w14:paraId="328C412A" w14:textId="77777777" w:rsidR="009C445F" w:rsidRDefault="009C445F" w:rsidP="00C90A72">
            <w:r>
              <w:t>June annually</w:t>
            </w:r>
          </w:p>
        </w:tc>
        <w:tc>
          <w:tcPr>
            <w:tcW w:w="1250" w:type="pct"/>
          </w:tcPr>
          <w:p w14:paraId="56E9EC48" w14:textId="77777777" w:rsidR="009C445F" w:rsidRDefault="009C445F" w:rsidP="00C90A72"/>
        </w:tc>
        <w:tc>
          <w:tcPr>
            <w:tcW w:w="1249" w:type="pct"/>
          </w:tcPr>
          <w:p w14:paraId="49ACC89E" w14:textId="71F4C9AD" w:rsidR="009C445F" w:rsidRDefault="009C445F" w:rsidP="00C90A72">
            <w:r>
              <w:t>Head of People and Culture</w:t>
            </w:r>
          </w:p>
        </w:tc>
      </w:tr>
      <w:tr w:rsidR="009C445F" w:rsidRPr="00DB6246" w14:paraId="5194CA81" w14:textId="77777777" w:rsidTr="006D3B57">
        <w:trPr>
          <w:cantSplit/>
        </w:trPr>
        <w:tc>
          <w:tcPr>
            <w:tcW w:w="1250" w:type="pct"/>
          </w:tcPr>
          <w:p w14:paraId="015A63FF" w14:textId="77777777" w:rsidR="009C445F" w:rsidRDefault="009C445F" w:rsidP="00C90A72">
            <w:r>
              <w:lastRenderedPageBreak/>
              <w:t>16.16 Maintain two dedicated positions for Aboriginal and Torres Strait Islander lawyers in the New Lawyers Program each year.</w:t>
            </w:r>
          </w:p>
        </w:tc>
        <w:tc>
          <w:tcPr>
            <w:tcW w:w="1250" w:type="pct"/>
          </w:tcPr>
          <w:p w14:paraId="03BACFBC" w14:textId="77777777" w:rsidR="009C445F" w:rsidRDefault="009C445F" w:rsidP="00C90A72">
            <w:r>
              <w:t>June annually</w:t>
            </w:r>
          </w:p>
        </w:tc>
        <w:tc>
          <w:tcPr>
            <w:tcW w:w="1250" w:type="pct"/>
          </w:tcPr>
          <w:p w14:paraId="3E0DFF61" w14:textId="77777777" w:rsidR="009C445F" w:rsidRDefault="009C445F" w:rsidP="00C90A72"/>
        </w:tc>
        <w:tc>
          <w:tcPr>
            <w:tcW w:w="1249" w:type="pct"/>
          </w:tcPr>
          <w:p w14:paraId="30C00537" w14:textId="4928D206" w:rsidR="009C445F" w:rsidRDefault="009C445F" w:rsidP="00C90A72">
            <w:r>
              <w:t>Head of People and Culture</w:t>
            </w:r>
          </w:p>
        </w:tc>
      </w:tr>
    </w:tbl>
    <w:p w14:paraId="5429A844" w14:textId="6B518423" w:rsidR="00135DA0" w:rsidRDefault="006B1BC7" w:rsidP="006B1BC7">
      <w:pPr>
        <w:pStyle w:val="Tableheading"/>
        <w:rPr>
          <w:lang w:eastAsia="en-AU"/>
        </w:rPr>
      </w:pPr>
      <w:r>
        <w:rPr>
          <w:lang w:eastAsia="en-AU"/>
        </w:rPr>
        <w:t xml:space="preserve">Action 17 – </w:t>
      </w:r>
      <w:r>
        <w:t>Strengthen VLA’s policies and services for Aboriginal and Torres Strait Islander peoples</w:t>
      </w:r>
    </w:p>
    <w:tbl>
      <w:tblPr>
        <w:tblStyle w:val="TableGrid"/>
        <w:tblW w:w="5000" w:type="pct"/>
        <w:tblLook w:val="04A0" w:firstRow="1" w:lastRow="0" w:firstColumn="1" w:lastColumn="0" w:noHBand="0" w:noVBand="1"/>
      </w:tblPr>
      <w:tblGrid>
        <w:gridCol w:w="3258"/>
        <w:gridCol w:w="3257"/>
        <w:gridCol w:w="3255"/>
      </w:tblGrid>
      <w:tr w:rsidR="00135DA0" w:rsidRPr="006B1BC7" w14:paraId="7C382868" w14:textId="77777777" w:rsidTr="006D3B57">
        <w:trPr>
          <w:cantSplit/>
          <w:tblHeader/>
        </w:trPr>
        <w:tc>
          <w:tcPr>
            <w:tcW w:w="1667" w:type="pct"/>
            <w:shd w:val="clear" w:color="auto" w:fill="E2EFD9" w:themeFill="accent6" w:themeFillTint="33"/>
          </w:tcPr>
          <w:p w14:paraId="42EE4B19" w14:textId="77777777" w:rsidR="00135DA0" w:rsidRPr="006B1BC7" w:rsidRDefault="00135DA0" w:rsidP="00C90A72">
            <w:pPr>
              <w:rPr>
                <w:b/>
              </w:rPr>
            </w:pPr>
            <w:r w:rsidRPr="006B1BC7">
              <w:rPr>
                <w:b/>
              </w:rPr>
              <w:t>Deliverable</w:t>
            </w:r>
          </w:p>
        </w:tc>
        <w:tc>
          <w:tcPr>
            <w:tcW w:w="1667" w:type="pct"/>
            <w:shd w:val="clear" w:color="auto" w:fill="E2EFD9" w:themeFill="accent6" w:themeFillTint="33"/>
          </w:tcPr>
          <w:p w14:paraId="4AC3E209" w14:textId="77777777" w:rsidR="00135DA0" w:rsidRPr="006B1BC7" w:rsidRDefault="00135DA0" w:rsidP="00C90A72">
            <w:pPr>
              <w:rPr>
                <w:b/>
              </w:rPr>
            </w:pPr>
            <w:r w:rsidRPr="006B1BC7">
              <w:rPr>
                <w:b/>
              </w:rPr>
              <w:t>Timeline</w:t>
            </w:r>
          </w:p>
        </w:tc>
        <w:tc>
          <w:tcPr>
            <w:tcW w:w="1667" w:type="pct"/>
            <w:shd w:val="clear" w:color="auto" w:fill="E2EFD9" w:themeFill="accent6" w:themeFillTint="33"/>
          </w:tcPr>
          <w:p w14:paraId="57C358F2" w14:textId="77777777" w:rsidR="00135DA0" w:rsidRPr="006B1BC7" w:rsidRDefault="00135DA0" w:rsidP="00C90A72">
            <w:pPr>
              <w:rPr>
                <w:b/>
              </w:rPr>
            </w:pPr>
            <w:r w:rsidRPr="006B1BC7">
              <w:rPr>
                <w:b/>
              </w:rPr>
              <w:t>Responsibility</w:t>
            </w:r>
          </w:p>
        </w:tc>
      </w:tr>
      <w:tr w:rsidR="00135DA0" w:rsidRPr="00DB6246" w14:paraId="2C369D09" w14:textId="77777777" w:rsidTr="006D3B57">
        <w:trPr>
          <w:cantSplit/>
        </w:trPr>
        <w:tc>
          <w:tcPr>
            <w:tcW w:w="1667" w:type="pct"/>
          </w:tcPr>
          <w:p w14:paraId="11731E96" w14:textId="77777777" w:rsidR="00135DA0" w:rsidRPr="009817F3" w:rsidRDefault="00135DA0" w:rsidP="00C90A72">
            <w:r>
              <w:t>17.1 Consult with VLA’s Aboriginal Services in relation to the development and implementation of all new Aboriginal and Torres Strait Islander service initiatives and recruitment strategies.</w:t>
            </w:r>
          </w:p>
        </w:tc>
        <w:tc>
          <w:tcPr>
            <w:tcW w:w="1667" w:type="pct"/>
          </w:tcPr>
          <w:p w14:paraId="08691D43" w14:textId="77777777" w:rsidR="00135DA0" w:rsidRPr="00DB6246" w:rsidRDefault="00135DA0" w:rsidP="00C90A72">
            <w:r>
              <w:t>June annually</w:t>
            </w:r>
          </w:p>
        </w:tc>
        <w:tc>
          <w:tcPr>
            <w:tcW w:w="1667" w:type="pct"/>
          </w:tcPr>
          <w:p w14:paraId="439452BB" w14:textId="77777777" w:rsidR="00135DA0" w:rsidRPr="00DB6246" w:rsidRDefault="00135DA0" w:rsidP="00C90A72">
            <w:r>
              <w:t xml:space="preserve">Executive Director, </w:t>
            </w:r>
            <w:proofErr w:type="gramStart"/>
            <w:r>
              <w:t>Services</w:t>
            </w:r>
            <w:proofErr w:type="gramEnd"/>
            <w:r>
              <w:t xml:space="preserve"> and Innovation</w:t>
            </w:r>
          </w:p>
        </w:tc>
      </w:tr>
      <w:tr w:rsidR="00135DA0" w14:paraId="7C348E9D" w14:textId="77777777" w:rsidTr="006D3B57">
        <w:trPr>
          <w:cantSplit/>
        </w:trPr>
        <w:tc>
          <w:tcPr>
            <w:tcW w:w="1667" w:type="pct"/>
          </w:tcPr>
          <w:p w14:paraId="46333896" w14:textId="77777777" w:rsidR="00135DA0" w:rsidRDefault="00135DA0" w:rsidP="00C90A72">
            <w:r>
              <w:t xml:space="preserve">17.2 VLA’s First Nations Staff Network’s expertise is sought and embraced, ensuring members </w:t>
            </w:r>
            <w:proofErr w:type="gramStart"/>
            <w:r>
              <w:t>have the opportunity to</w:t>
            </w:r>
            <w:proofErr w:type="gramEnd"/>
            <w:r>
              <w:t xml:space="preserve"> provide input into new policies and services for Aboriginal and Torres Strait Islander peoples at its quarterly meetings.</w:t>
            </w:r>
          </w:p>
        </w:tc>
        <w:tc>
          <w:tcPr>
            <w:tcW w:w="1667" w:type="pct"/>
          </w:tcPr>
          <w:p w14:paraId="360EB5EC" w14:textId="77777777" w:rsidR="00135DA0" w:rsidRDefault="00135DA0" w:rsidP="00C90A72">
            <w:r>
              <w:t>June annually</w:t>
            </w:r>
          </w:p>
        </w:tc>
        <w:tc>
          <w:tcPr>
            <w:tcW w:w="1667" w:type="pct"/>
          </w:tcPr>
          <w:p w14:paraId="6D65F9FF" w14:textId="77777777" w:rsidR="00135DA0" w:rsidRDefault="00135DA0" w:rsidP="00C90A72">
            <w:r>
              <w:t xml:space="preserve">Executive Director, </w:t>
            </w:r>
            <w:proofErr w:type="gramStart"/>
            <w:r>
              <w:t>Services</w:t>
            </w:r>
            <w:proofErr w:type="gramEnd"/>
            <w:r>
              <w:t xml:space="preserve"> and Innovation</w:t>
            </w:r>
          </w:p>
        </w:tc>
      </w:tr>
    </w:tbl>
    <w:p w14:paraId="07501B4B" w14:textId="34894A13" w:rsidR="00135DA0" w:rsidRDefault="006B1BC7" w:rsidP="006B1BC7">
      <w:pPr>
        <w:pStyle w:val="Tableheading"/>
        <w:rPr>
          <w:lang w:eastAsia="en-AU"/>
        </w:rPr>
      </w:pPr>
      <w:r>
        <w:rPr>
          <w:lang w:eastAsia="en-AU"/>
        </w:rPr>
        <w:t xml:space="preserve">Action 18 – </w:t>
      </w:r>
      <w:r>
        <w:t>Support Aboriginal and Torres Strait Islander students to consider a career with VLA</w:t>
      </w:r>
    </w:p>
    <w:tbl>
      <w:tblPr>
        <w:tblStyle w:val="TableGrid"/>
        <w:tblW w:w="5000" w:type="pct"/>
        <w:tblLook w:val="04A0" w:firstRow="1" w:lastRow="0" w:firstColumn="1" w:lastColumn="0" w:noHBand="0" w:noVBand="1"/>
      </w:tblPr>
      <w:tblGrid>
        <w:gridCol w:w="2443"/>
        <w:gridCol w:w="2443"/>
        <w:gridCol w:w="2443"/>
        <w:gridCol w:w="2441"/>
      </w:tblGrid>
      <w:tr w:rsidR="00EF30BA" w:rsidRPr="006B1BC7" w14:paraId="6B859690" w14:textId="77777777" w:rsidTr="006D3B57">
        <w:trPr>
          <w:cantSplit/>
          <w:tblHeader/>
        </w:trPr>
        <w:tc>
          <w:tcPr>
            <w:tcW w:w="1250" w:type="pct"/>
            <w:shd w:val="clear" w:color="auto" w:fill="E2EFD9" w:themeFill="accent6" w:themeFillTint="33"/>
          </w:tcPr>
          <w:p w14:paraId="2996291C" w14:textId="77777777" w:rsidR="00EF30BA" w:rsidRPr="006B1BC7" w:rsidRDefault="00EF30BA" w:rsidP="00C90A72">
            <w:pPr>
              <w:rPr>
                <w:b/>
              </w:rPr>
            </w:pPr>
            <w:r w:rsidRPr="006B1BC7">
              <w:rPr>
                <w:b/>
              </w:rPr>
              <w:t>Deliverable</w:t>
            </w:r>
          </w:p>
        </w:tc>
        <w:tc>
          <w:tcPr>
            <w:tcW w:w="1250" w:type="pct"/>
            <w:shd w:val="clear" w:color="auto" w:fill="E2EFD9" w:themeFill="accent6" w:themeFillTint="33"/>
          </w:tcPr>
          <w:p w14:paraId="00B3DE48" w14:textId="0C20516A" w:rsidR="00EF30BA" w:rsidRPr="006B1BC7" w:rsidRDefault="00EF30BA" w:rsidP="00C90A72">
            <w:pPr>
              <w:rPr>
                <w:b/>
              </w:rPr>
            </w:pPr>
            <w:r>
              <w:rPr>
                <w:b/>
              </w:rPr>
              <w:t xml:space="preserve">Original </w:t>
            </w:r>
            <w:r w:rsidRPr="006B1BC7">
              <w:rPr>
                <w:b/>
              </w:rPr>
              <w:t>Timeline</w:t>
            </w:r>
          </w:p>
        </w:tc>
        <w:tc>
          <w:tcPr>
            <w:tcW w:w="1250" w:type="pct"/>
            <w:shd w:val="clear" w:color="auto" w:fill="E2EFD9" w:themeFill="accent6" w:themeFillTint="33"/>
          </w:tcPr>
          <w:p w14:paraId="134376FD" w14:textId="1958EEF2" w:rsidR="00EF30BA" w:rsidRPr="006B1BC7" w:rsidRDefault="00EF30BA" w:rsidP="00C90A72">
            <w:pPr>
              <w:rPr>
                <w:b/>
              </w:rPr>
            </w:pPr>
            <w:r>
              <w:rPr>
                <w:b/>
              </w:rPr>
              <w:t>Revised Timeline</w:t>
            </w:r>
          </w:p>
        </w:tc>
        <w:tc>
          <w:tcPr>
            <w:tcW w:w="1249" w:type="pct"/>
            <w:shd w:val="clear" w:color="auto" w:fill="E2EFD9" w:themeFill="accent6" w:themeFillTint="33"/>
          </w:tcPr>
          <w:p w14:paraId="0F633219" w14:textId="716D903D" w:rsidR="00EF30BA" w:rsidRPr="006B1BC7" w:rsidRDefault="00EF30BA" w:rsidP="00C90A72">
            <w:pPr>
              <w:rPr>
                <w:b/>
              </w:rPr>
            </w:pPr>
            <w:r w:rsidRPr="006B1BC7">
              <w:rPr>
                <w:b/>
              </w:rPr>
              <w:t>Responsibility</w:t>
            </w:r>
          </w:p>
        </w:tc>
      </w:tr>
      <w:tr w:rsidR="00EF30BA" w:rsidRPr="00DB6246" w14:paraId="4AEB86DD" w14:textId="77777777" w:rsidTr="006D3B57">
        <w:trPr>
          <w:cantSplit/>
        </w:trPr>
        <w:tc>
          <w:tcPr>
            <w:tcW w:w="1250" w:type="pct"/>
          </w:tcPr>
          <w:p w14:paraId="7EEE0177" w14:textId="77777777" w:rsidR="00EF30BA" w:rsidRPr="009817F3" w:rsidRDefault="00EF30BA" w:rsidP="00C90A72">
            <w:r>
              <w:t>18.1 Engage with the Indigenous Law Students and Lawyers Association of Victoria (</w:t>
            </w:r>
            <w:proofErr w:type="spellStart"/>
            <w:r>
              <w:t>Tarwirri</w:t>
            </w:r>
            <w:proofErr w:type="spellEnd"/>
            <w:r>
              <w:t>) to promote VLA as an employer of choice for Aboriginal and Torres Strait Islander law students.</w:t>
            </w:r>
          </w:p>
        </w:tc>
        <w:tc>
          <w:tcPr>
            <w:tcW w:w="1250" w:type="pct"/>
          </w:tcPr>
          <w:p w14:paraId="0BBB3116" w14:textId="77777777" w:rsidR="00EF30BA" w:rsidRPr="00DB6246" w:rsidRDefault="00EF30BA" w:rsidP="00C90A72">
            <w:r>
              <w:t>June annually</w:t>
            </w:r>
          </w:p>
        </w:tc>
        <w:tc>
          <w:tcPr>
            <w:tcW w:w="1250" w:type="pct"/>
          </w:tcPr>
          <w:p w14:paraId="5EEDCC04" w14:textId="77777777" w:rsidR="00EF30BA" w:rsidRDefault="00EF30BA" w:rsidP="00C90A72"/>
        </w:tc>
        <w:tc>
          <w:tcPr>
            <w:tcW w:w="1249" w:type="pct"/>
          </w:tcPr>
          <w:p w14:paraId="2756E067" w14:textId="7E09F44B" w:rsidR="00EF30BA" w:rsidRPr="00DB6246" w:rsidRDefault="00EF30BA" w:rsidP="00C90A72">
            <w:r>
              <w:t>Head of People and Culture</w:t>
            </w:r>
          </w:p>
        </w:tc>
      </w:tr>
      <w:tr w:rsidR="00EF30BA" w14:paraId="32B0E54A" w14:textId="77777777" w:rsidTr="006D3B57">
        <w:trPr>
          <w:cantSplit/>
        </w:trPr>
        <w:tc>
          <w:tcPr>
            <w:tcW w:w="1250" w:type="pct"/>
          </w:tcPr>
          <w:p w14:paraId="48A1B602" w14:textId="77777777" w:rsidR="00EF30BA" w:rsidRDefault="00EF30BA" w:rsidP="00C90A72">
            <w:r>
              <w:lastRenderedPageBreak/>
              <w:t>18.2 Engage universities directly with a view to promoting VLA as an employer of choice for Aboriginal and Torres Strait Islander students.</w:t>
            </w:r>
          </w:p>
        </w:tc>
        <w:tc>
          <w:tcPr>
            <w:tcW w:w="1250" w:type="pct"/>
          </w:tcPr>
          <w:p w14:paraId="7ED04FE0" w14:textId="77777777" w:rsidR="00EF30BA" w:rsidRDefault="00EF30BA" w:rsidP="00C90A72">
            <w:r>
              <w:t>June annually</w:t>
            </w:r>
          </w:p>
        </w:tc>
        <w:tc>
          <w:tcPr>
            <w:tcW w:w="1250" w:type="pct"/>
          </w:tcPr>
          <w:p w14:paraId="21BA5742" w14:textId="77777777" w:rsidR="00EF30BA" w:rsidRDefault="00EF30BA" w:rsidP="00C90A72"/>
        </w:tc>
        <w:tc>
          <w:tcPr>
            <w:tcW w:w="1249" w:type="pct"/>
          </w:tcPr>
          <w:p w14:paraId="18954CD2" w14:textId="7DC24ABE" w:rsidR="00EF30BA" w:rsidRDefault="00EF30BA" w:rsidP="00C90A72">
            <w:r>
              <w:t>Head of People and Culture</w:t>
            </w:r>
          </w:p>
        </w:tc>
      </w:tr>
      <w:tr w:rsidR="00EF30BA" w14:paraId="1112B91A" w14:textId="77777777" w:rsidTr="006D3B57">
        <w:trPr>
          <w:cantSplit/>
        </w:trPr>
        <w:tc>
          <w:tcPr>
            <w:tcW w:w="1250" w:type="pct"/>
          </w:tcPr>
          <w:p w14:paraId="475908EC" w14:textId="77777777" w:rsidR="00EF30BA" w:rsidRDefault="00EF30BA" w:rsidP="00C90A72">
            <w:r>
              <w:t xml:space="preserve">18.3 Develop promotional material (such as a video) featuring the current VLA Aboriginal and Torres Strait Islander lawyers involved in the Graduate and New Lawyers program. </w:t>
            </w:r>
          </w:p>
        </w:tc>
        <w:tc>
          <w:tcPr>
            <w:tcW w:w="1250" w:type="pct"/>
          </w:tcPr>
          <w:p w14:paraId="3DB812B0" w14:textId="77777777" w:rsidR="00EF30BA" w:rsidRDefault="00EF30BA" w:rsidP="00C90A72">
            <w:r>
              <w:t>December 2020</w:t>
            </w:r>
          </w:p>
        </w:tc>
        <w:tc>
          <w:tcPr>
            <w:tcW w:w="1250" w:type="pct"/>
          </w:tcPr>
          <w:p w14:paraId="3FB928E6" w14:textId="35E9D406" w:rsidR="00EF30BA" w:rsidRDefault="00E37D64" w:rsidP="00C90A72">
            <w:r>
              <w:t>June 2021</w:t>
            </w:r>
          </w:p>
        </w:tc>
        <w:tc>
          <w:tcPr>
            <w:tcW w:w="1249" w:type="pct"/>
          </w:tcPr>
          <w:p w14:paraId="59B1B251" w14:textId="2CA48CC5" w:rsidR="00EF30BA" w:rsidRDefault="00EF30BA" w:rsidP="00C90A72">
            <w:r>
              <w:t>Head of People and Culture</w:t>
            </w:r>
          </w:p>
        </w:tc>
      </w:tr>
      <w:tr w:rsidR="00EF30BA" w14:paraId="25E37309" w14:textId="77777777" w:rsidTr="006D3B57">
        <w:trPr>
          <w:cantSplit/>
        </w:trPr>
        <w:tc>
          <w:tcPr>
            <w:tcW w:w="1250" w:type="pct"/>
          </w:tcPr>
          <w:p w14:paraId="1653CE99" w14:textId="77777777" w:rsidR="00EF30BA" w:rsidRDefault="00EF30BA" w:rsidP="00C90A72">
            <w:r>
              <w:t>18.4 Distribute promotional materials developed about VLA Aboriginal and Torres Strait Islander employment programs to relevant stakeholders.</w:t>
            </w:r>
          </w:p>
        </w:tc>
        <w:tc>
          <w:tcPr>
            <w:tcW w:w="1250" w:type="pct"/>
          </w:tcPr>
          <w:p w14:paraId="2829873E" w14:textId="77777777" w:rsidR="00EF30BA" w:rsidRDefault="00EF30BA" w:rsidP="00C90A72">
            <w:r>
              <w:t>February 2021</w:t>
            </w:r>
          </w:p>
        </w:tc>
        <w:tc>
          <w:tcPr>
            <w:tcW w:w="1250" w:type="pct"/>
          </w:tcPr>
          <w:p w14:paraId="2944DA77" w14:textId="440E4A8A" w:rsidR="00EF30BA" w:rsidRDefault="00E37D64" w:rsidP="00C90A72">
            <w:r>
              <w:t>August 2021</w:t>
            </w:r>
          </w:p>
        </w:tc>
        <w:tc>
          <w:tcPr>
            <w:tcW w:w="1249" w:type="pct"/>
          </w:tcPr>
          <w:p w14:paraId="5C36302F" w14:textId="734B428C" w:rsidR="00EF30BA" w:rsidRDefault="00EF30BA" w:rsidP="00C90A72">
            <w:r>
              <w:t>Head of People and Culture</w:t>
            </w:r>
          </w:p>
        </w:tc>
      </w:tr>
      <w:tr w:rsidR="00EF30BA" w14:paraId="70E8FA13" w14:textId="77777777" w:rsidTr="006D3B57">
        <w:trPr>
          <w:cantSplit/>
        </w:trPr>
        <w:tc>
          <w:tcPr>
            <w:tcW w:w="1250" w:type="pct"/>
          </w:tcPr>
          <w:p w14:paraId="21C0F2B1" w14:textId="77777777" w:rsidR="00EF30BA" w:rsidRDefault="00EF30BA" w:rsidP="00C90A72">
            <w:r>
              <w:t>18.5 Explore opportunities to promote VLA as an employer of choice for Aboriginal and Torres Strait Islander students across non-legal roles.</w:t>
            </w:r>
          </w:p>
        </w:tc>
        <w:tc>
          <w:tcPr>
            <w:tcW w:w="1250" w:type="pct"/>
          </w:tcPr>
          <w:p w14:paraId="022B42A7" w14:textId="77777777" w:rsidR="00EF30BA" w:rsidRDefault="00EF30BA" w:rsidP="00C90A72">
            <w:r>
              <w:t>June annually</w:t>
            </w:r>
          </w:p>
        </w:tc>
        <w:tc>
          <w:tcPr>
            <w:tcW w:w="1250" w:type="pct"/>
          </w:tcPr>
          <w:p w14:paraId="092F28C5" w14:textId="77777777" w:rsidR="00EF30BA" w:rsidRDefault="00EF30BA" w:rsidP="00C90A72"/>
        </w:tc>
        <w:tc>
          <w:tcPr>
            <w:tcW w:w="1249" w:type="pct"/>
          </w:tcPr>
          <w:p w14:paraId="50A8A5AF" w14:textId="2D574CEF" w:rsidR="00EF30BA" w:rsidRDefault="00EF30BA" w:rsidP="00C90A72">
            <w:r>
              <w:t>Head of People and Culture</w:t>
            </w:r>
          </w:p>
        </w:tc>
      </w:tr>
      <w:tr w:rsidR="00EF30BA" w14:paraId="11AE0E9C" w14:textId="77777777" w:rsidTr="006D3B57">
        <w:trPr>
          <w:cantSplit/>
        </w:trPr>
        <w:tc>
          <w:tcPr>
            <w:tcW w:w="1250" w:type="pct"/>
          </w:tcPr>
          <w:p w14:paraId="34CE9108" w14:textId="77777777" w:rsidR="00EF30BA" w:rsidRDefault="00EF30BA" w:rsidP="00C90A72">
            <w:r>
              <w:t>18.6 Explore the opportunity to establish scholarships for secondary students.</w:t>
            </w:r>
          </w:p>
        </w:tc>
        <w:tc>
          <w:tcPr>
            <w:tcW w:w="1250" w:type="pct"/>
          </w:tcPr>
          <w:p w14:paraId="739EA98F" w14:textId="77777777" w:rsidR="00EF30BA" w:rsidRDefault="00EF30BA" w:rsidP="00C90A72">
            <w:r>
              <w:t>December 2020</w:t>
            </w:r>
          </w:p>
        </w:tc>
        <w:tc>
          <w:tcPr>
            <w:tcW w:w="1250" w:type="pct"/>
          </w:tcPr>
          <w:p w14:paraId="6AF178FF" w14:textId="4296C177" w:rsidR="00EF30BA" w:rsidRDefault="00E37D64" w:rsidP="00C90A72">
            <w:r>
              <w:t>June 2021</w:t>
            </w:r>
          </w:p>
        </w:tc>
        <w:tc>
          <w:tcPr>
            <w:tcW w:w="1249" w:type="pct"/>
          </w:tcPr>
          <w:p w14:paraId="28DBC1FF" w14:textId="057B6C2C" w:rsidR="00EF30BA" w:rsidRDefault="00EF30BA" w:rsidP="00C90A72">
            <w:r>
              <w:t>Head of People and Culture</w:t>
            </w:r>
          </w:p>
        </w:tc>
      </w:tr>
    </w:tbl>
    <w:p w14:paraId="5D732846" w14:textId="3227EA33" w:rsidR="00135DA0" w:rsidRDefault="006B1BC7" w:rsidP="006D3B57">
      <w:pPr>
        <w:pStyle w:val="Tableheading"/>
        <w:keepNext/>
        <w:rPr>
          <w:lang w:eastAsia="en-AU"/>
        </w:rPr>
      </w:pPr>
      <w:r>
        <w:rPr>
          <w:lang w:eastAsia="en-AU"/>
        </w:rPr>
        <w:lastRenderedPageBreak/>
        <w:t xml:space="preserve">Action 19 – </w:t>
      </w:r>
      <w:r>
        <w:t>Increase Aboriginal and Torres Strait Islander supplier diversity to support improve economic and social outcomes</w:t>
      </w:r>
    </w:p>
    <w:tbl>
      <w:tblPr>
        <w:tblStyle w:val="TableGrid"/>
        <w:tblW w:w="5000" w:type="pct"/>
        <w:tblLook w:val="04A0" w:firstRow="1" w:lastRow="0" w:firstColumn="1" w:lastColumn="0" w:noHBand="0" w:noVBand="1"/>
      </w:tblPr>
      <w:tblGrid>
        <w:gridCol w:w="2443"/>
        <w:gridCol w:w="2443"/>
        <w:gridCol w:w="2443"/>
        <w:gridCol w:w="2441"/>
      </w:tblGrid>
      <w:tr w:rsidR="00D4049C" w:rsidRPr="006B1BC7" w14:paraId="62DC7972" w14:textId="77777777" w:rsidTr="006D3B57">
        <w:trPr>
          <w:cantSplit/>
          <w:tblHeader/>
        </w:trPr>
        <w:tc>
          <w:tcPr>
            <w:tcW w:w="1250" w:type="pct"/>
            <w:shd w:val="clear" w:color="auto" w:fill="E2EFD9" w:themeFill="accent6" w:themeFillTint="33"/>
          </w:tcPr>
          <w:p w14:paraId="0359F980" w14:textId="77777777" w:rsidR="00D4049C" w:rsidRPr="006B1BC7" w:rsidRDefault="00D4049C" w:rsidP="00C90A72">
            <w:pPr>
              <w:rPr>
                <w:b/>
              </w:rPr>
            </w:pPr>
            <w:r w:rsidRPr="006B1BC7">
              <w:rPr>
                <w:b/>
              </w:rPr>
              <w:t>Deliverable</w:t>
            </w:r>
          </w:p>
        </w:tc>
        <w:tc>
          <w:tcPr>
            <w:tcW w:w="1250" w:type="pct"/>
            <w:shd w:val="clear" w:color="auto" w:fill="E2EFD9" w:themeFill="accent6" w:themeFillTint="33"/>
          </w:tcPr>
          <w:p w14:paraId="2DC55986" w14:textId="71CD9A50" w:rsidR="00D4049C" w:rsidRPr="006B1BC7" w:rsidRDefault="00D4049C" w:rsidP="00C90A72">
            <w:pPr>
              <w:rPr>
                <w:b/>
              </w:rPr>
            </w:pPr>
            <w:r>
              <w:rPr>
                <w:b/>
              </w:rPr>
              <w:t xml:space="preserve">Original </w:t>
            </w:r>
            <w:r w:rsidRPr="006B1BC7">
              <w:rPr>
                <w:b/>
              </w:rPr>
              <w:t>Timeline</w:t>
            </w:r>
          </w:p>
        </w:tc>
        <w:tc>
          <w:tcPr>
            <w:tcW w:w="1250" w:type="pct"/>
            <w:shd w:val="clear" w:color="auto" w:fill="E2EFD9" w:themeFill="accent6" w:themeFillTint="33"/>
          </w:tcPr>
          <w:p w14:paraId="26EF4056" w14:textId="4C2F7E23" w:rsidR="00D4049C" w:rsidRPr="006B1BC7" w:rsidRDefault="00D4049C" w:rsidP="00C90A72">
            <w:pPr>
              <w:rPr>
                <w:b/>
              </w:rPr>
            </w:pPr>
            <w:r>
              <w:rPr>
                <w:b/>
              </w:rPr>
              <w:t xml:space="preserve">Revised Timeline </w:t>
            </w:r>
          </w:p>
        </w:tc>
        <w:tc>
          <w:tcPr>
            <w:tcW w:w="1249" w:type="pct"/>
            <w:shd w:val="clear" w:color="auto" w:fill="E2EFD9" w:themeFill="accent6" w:themeFillTint="33"/>
          </w:tcPr>
          <w:p w14:paraId="07084219" w14:textId="6D746FBB" w:rsidR="00D4049C" w:rsidRPr="006B1BC7" w:rsidRDefault="00D4049C" w:rsidP="00C90A72">
            <w:pPr>
              <w:rPr>
                <w:b/>
              </w:rPr>
            </w:pPr>
            <w:r w:rsidRPr="006B1BC7">
              <w:rPr>
                <w:b/>
              </w:rPr>
              <w:t>Responsibility</w:t>
            </w:r>
          </w:p>
        </w:tc>
      </w:tr>
      <w:tr w:rsidR="00D4049C" w:rsidRPr="00DB6246" w14:paraId="3B672BE9" w14:textId="77777777" w:rsidTr="006D3B57">
        <w:trPr>
          <w:cantSplit/>
        </w:trPr>
        <w:tc>
          <w:tcPr>
            <w:tcW w:w="1250" w:type="pct"/>
          </w:tcPr>
          <w:p w14:paraId="3F2BE561" w14:textId="77777777" w:rsidR="00D4049C" w:rsidRPr="009817F3" w:rsidRDefault="00D4049C" w:rsidP="00C90A72">
            <w:r>
              <w:t>19.1 Develop and implement an Aboriginal and Torres Strait Islander procurement strategy.</w:t>
            </w:r>
          </w:p>
        </w:tc>
        <w:tc>
          <w:tcPr>
            <w:tcW w:w="1250" w:type="pct"/>
          </w:tcPr>
          <w:p w14:paraId="120B8159" w14:textId="77777777" w:rsidR="00D4049C" w:rsidRPr="00DB6246" w:rsidRDefault="00D4049C" w:rsidP="00C90A72">
            <w:r>
              <w:t>December 2020</w:t>
            </w:r>
          </w:p>
        </w:tc>
        <w:tc>
          <w:tcPr>
            <w:tcW w:w="1250" w:type="pct"/>
          </w:tcPr>
          <w:p w14:paraId="2282B223" w14:textId="56A9BC8C" w:rsidR="00D4049C" w:rsidRDefault="00FB570A" w:rsidP="00C90A72">
            <w:r>
              <w:t xml:space="preserve">March </w:t>
            </w:r>
            <w:r w:rsidR="00B31A26">
              <w:t>2021</w:t>
            </w:r>
          </w:p>
        </w:tc>
        <w:tc>
          <w:tcPr>
            <w:tcW w:w="1249" w:type="pct"/>
          </w:tcPr>
          <w:p w14:paraId="5E6DF544" w14:textId="6EAA9E2A" w:rsidR="00D4049C" w:rsidRPr="00DB6246" w:rsidRDefault="00D4049C" w:rsidP="00C90A72">
            <w:r>
              <w:t>Chief Financial Officer</w:t>
            </w:r>
          </w:p>
        </w:tc>
      </w:tr>
      <w:tr w:rsidR="00D4049C" w14:paraId="03652560" w14:textId="77777777" w:rsidTr="006D3B57">
        <w:trPr>
          <w:cantSplit/>
        </w:trPr>
        <w:tc>
          <w:tcPr>
            <w:tcW w:w="1250" w:type="pct"/>
          </w:tcPr>
          <w:p w14:paraId="000C6D4E" w14:textId="77777777" w:rsidR="00D4049C" w:rsidRDefault="00D4049C" w:rsidP="00C90A72">
            <w:r>
              <w:t>19.2 Investigate Supply Nation membership.</w:t>
            </w:r>
          </w:p>
        </w:tc>
        <w:tc>
          <w:tcPr>
            <w:tcW w:w="1250" w:type="pct"/>
          </w:tcPr>
          <w:p w14:paraId="77C9ECC6" w14:textId="77777777" w:rsidR="00D4049C" w:rsidRDefault="00D4049C" w:rsidP="00C90A72">
            <w:r>
              <w:t>December 2020</w:t>
            </w:r>
          </w:p>
        </w:tc>
        <w:tc>
          <w:tcPr>
            <w:tcW w:w="1250" w:type="pct"/>
          </w:tcPr>
          <w:p w14:paraId="17D53C5C" w14:textId="77777777" w:rsidR="00D4049C" w:rsidRDefault="00D4049C" w:rsidP="00C90A72"/>
        </w:tc>
        <w:tc>
          <w:tcPr>
            <w:tcW w:w="1249" w:type="pct"/>
          </w:tcPr>
          <w:p w14:paraId="188D64EA" w14:textId="074FB4BC" w:rsidR="00D4049C" w:rsidRDefault="00D4049C" w:rsidP="00C90A72">
            <w:r>
              <w:t>Chief Financial Officer</w:t>
            </w:r>
          </w:p>
        </w:tc>
      </w:tr>
      <w:tr w:rsidR="00D4049C" w14:paraId="7447E366" w14:textId="77777777" w:rsidTr="006D3B57">
        <w:trPr>
          <w:cantSplit/>
        </w:trPr>
        <w:tc>
          <w:tcPr>
            <w:tcW w:w="1250" w:type="pct"/>
          </w:tcPr>
          <w:p w14:paraId="5A578879" w14:textId="77777777" w:rsidR="00D4049C" w:rsidRDefault="00D4049C" w:rsidP="00C90A72">
            <w:r>
              <w:t>19.3 Develop and communicate opportunities for procurement of goods and services from Aboriginal and Torres Strait Islander businesses to staff.</w:t>
            </w:r>
          </w:p>
        </w:tc>
        <w:tc>
          <w:tcPr>
            <w:tcW w:w="1250" w:type="pct"/>
          </w:tcPr>
          <w:p w14:paraId="6B1B776D" w14:textId="77777777" w:rsidR="00D4049C" w:rsidRDefault="00D4049C" w:rsidP="00C90A72">
            <w:r>
              <w:t>December 2020</w:t>
            </w:r>
          </w:p>
        </w:tc>
        <w:tc>
          <w:tcPr>
            <w:tcW w:w="1250" w:type="pct"/>
          </w:tcPr>
          <w:p w14:paraId="7982AB00" w14:textId="24B02C49" w:rsidR="00D4049C" w:rsidRDefault="00B31A26" w:rsidP="00C90A72">
            <w:r>
              <w:t>March 2021</w:t>
            </w:r>
          </w:p>
        </w:tc>
        <w:tc>
          <w:tcPr>
            <w:tcW w:w="1249" w:type="pct"/>
          </w:tcPr>
          <w:p w14:paraId="17C178E7" w14:textId="6731B892" w:rsidR="00D4049C" w:rsidRDefault="00D4049C" w:rsidP="00C90A72">
            <w:r>
              <w:t>Chief Financial Officer</w:t>
            </w:r>
          </w:p>
        </w:tc>
      </w:tr>
      <w:tr w:rsidR="00D4049C" w14:paraId="1F5B036B" w14:textId="77777777" w:rsidTr="006D3B57">
        <w:trPr>
          <w:cantSplit/>
        </w:trPr>
        <w:tc>
          <w:tcPr>
            <w:tcW w:w="1250" w:type="pct"/>
          </w:tcPr>
          <w:p w14:paraId="04EBA3B7" w14:textId="77777777" w:rsidR="00D4049C" w:rsidRDefault="00D4049C" w:rsidP="00C90A72">
            <w:r>
              <w:t>19.4 Review and update procurement practices to remove barriers to procuring goods and services from Aboriginal and Torres Strait Islander businesses.</w:t>
            </w:r>
          </w:p>
        </w:tc>
        <w:tc>
          <w:tcPr>
            <w:tcW w:w="1250" w:type="pct"/>
          </w:tcPr>
          <w:p w14:paraId="5EF44712" w14:textId="77777777" w:rsidR="00D4049C" w:rsidRDefault="00D4049C" w:rsidP="00C90A72">
            <w:r>
              <w:t>December 2020</w:t>
            </w:r>
          </w:p>
        </w:tc>
        <w:tc>
          <w:tcPr>
            <w:tcW w:w="1250" w:type="pct"/>
          </w:tcPr>
          <w:p w14:paraId="17F5A435" w14:textId="47AF17B7" w:rsidR="00D4049C" w:rsidRDefault="00B31A26" w:rsidP="00C90A72">
            <w:r>
              <w:t>March 2021</w:t>
            </w:r>
          </w:p>
        </w:tc>
        <w:tc>
          <w:tcPr>
            <w:tcW w:w="1249" w:type="pct"/>
          </w:tcPr>
          <w:p w14:paraId="5C576217" w14:textId="79E9C348" w:rsidR="00D4049C" w:rsidRDefault="00D4049C" w:rsidP="00C90A72">
            <w:r>
              <w:t>Chief Financial Officer</w:t>
            </w:r>
          </w:p>
        </w:tc>
      </w:tr>
      <w:tr w:rsidR="00D4049C" w14:paraId="747080E3" w14:textId="77777777" w:rsidTr="006D3B57">
        <w:trPr>
          <w:cantSplit/>
        </w:trPr>
        <w:tc>
          <w:tcPr>
            <w:tcW w:w="1250" w:type="pct"/>
          </w:tcPr>
          <w:p w14:paraId="019EEB67" w14:textId="77777777" w:rsidR="00D4049C" w:rsidRDefault="00D4049C" w:rsidP="00C90A72">
            <w:r>
              <w:t>19.5 Develop commercial relationships with Aboriginal and/or Torres Strait Islander businesses.</w:t>
            </w:r>
          </w:p>
        </w:tc>
        <w:tc>
          <w:tcPr>
            <w:tcW w:w="1250" w:type="pct"/>
          </w:tcPr>
          <w:p w14:paraId="48B9857D" w14:textId="77777777" w:rsidR="00D4049C" w:rsidRDefault="00D4049C" w:rsidP="00C90A72">
            <w:r>
              <w:t>December 2020</w:t>
            </w:r>
          </w:p>
        </w:tc>
        <w:tc>
          <w:tcPr>
            <w:tcW w:w="1250" w:type="pct"/>
          </w:tcPr>
          <w:p w14:paraId="7C755707" w14:textId="232D97BB" w:rsidR="00D4049C" w:rsidRDefault="00B31A26" w:rsidP="00C90A72">
            <w:r>
              <w:t>March 2021</w:t>
            </w:r>
          </w:p>
        </w:tc>
        <w:tc>
          <w:tcPr>
            <w:tcW w:w="1249" w:type="pct"/>
          </w:tcPr>
          <w:p w14:paraId="1042F9A9" w14:textId="6E7793FE" w:rsidR="00D4049C" w:rsidRDefault="00D4049C" w:rsidP="00C90A72">
            <w:r>
              <w:t>Chief Financial Officer</w:t>
            </w:r>
          </w:p>
        </w:tc>
      </w:tr>
    </w:tbl>
    <w:p w14:paraId="1B0D8305" w14:textId="797A21D3" w:rsidR="00135DA0" w:rsidRDefault="006B1BC7" w:rsidP="006D3B57">
      <w:pPr>
        <w:pStyle w:val="Tableheading"/>
        <w:keepNext/>
        <w:rPr>
          <w:lang w:eastAsia="en-AU"/>
        </w:rPr>
      </w:pPr>
      <w:r>
        <w:rPr>
          <w:lang w:eastAsia="en-AU"/>
        </w:rPr>
        <w:lastRenderedPageBreak/>
        <w:t xml:space="preserve">Action 20 – </w:t>
      </w:r>
      <w:r>
        <w:t>Strengthen access to legal assistance to respond to Aboriginal and Torres Strait Islander civil and family law needs</w:t>
      </w:r>
    </w:p>
    <w:tbl>
      <w:tblPr>
        <w:tblStyle w:val="TableGrid"/>
        <w:tblW w:w="5000" w:type="pct"/>
        <w:tblLook w:val="04A0" w:firstRow="1" w:lastRow="0" w:firstColumn="1" w:lastColumn="0" w:noHBand="0" w:noVBand="1"/>
      </w:tblPr>
      <w:tblGrid>
        <w:gridCol w:w="3258"/>
        <w:gridCol w:w="3257"/>
        <w:gridCol w:w="3255"/>
      </w:tblGrid>
      <w:tr w:rsidR="00135DA0" w:rsidRPr="006B1BC7" w14:paraId="5AC58C0F" w14:textId="77777777" w:rsidTr="006D3B57">
        <w:trPr>
          <w:cantSplit/>
          <w:tblHeader/>
        </w:trPr>
        <w:tc>
          <w:tcPr>
            <w:tcW w:w="1667" w:type="pct"/>
            <w:shd w:val="clear" w:color="auto" w:fill="E2EFD9" w:themeFill="accent6" w:themeFillTint="33"/>
          </w:tcPr>
          <w:p w14:paraId="0B183964" w14:textId="77777777" w:rsidR="00135DA0" w:rsidRPr="006B1BC7" w:rsidRDefault="00135DA0" w:rsidP="00C90A72">
            <w:pPr>
              <w:rPr>
                <w:b/>
              </w:rPr>
            </w:pPr>
            <w:r w:rsidRPr="006B1BC7">
              <w:rPr>
                <w:b/>
              </w:rPr>
              <w:t>Deliverable</w:t>
            </w:r>
          </w:p>
        </w:tc>
        <w:tc>
          <w:tcPr>
            <w:tcW w:w="1667" w:type="pct"/>
            <w:shd w:val="clear" w:color="auto" w:fill="E2EFD9" w:themeFill="accent6" w:themeFillTint="33"/>
          </w:tcPr>
          <w:p w14:paraId="3B5E72E4" w14:textId="77777777" w:rsidR="00135DA0" w:rsidRPr="006B1BC7" w:rsidRDefault="00135DA0" w:rsidP="00C90A72">
            <w:pPr>
              <w:rPr>
                <w:b/>
              </w:rPr>
            </w:pPr>
            <w:r w:rsidRPr="006B1BC7">
              <w:rPr>
                <w:b/>
              </w:rPr>
              <w:t>Timeline</w:t>
            </w:r>
          </w:p>
        </w:tc>
        <w:tc>
          <w:tcPr>
            <w:tcW w:w="1667" w:type="pct"/>
            <w:shd w:val="clear" w:color="auto" w:fill="E2EFD9" w:themeFill="accent6" w:themeFillTint="33"/>
          </w:tcPr>
          <w:p w14:paraId="316A6C32" w14:textId="77777777" w:rsidR="00135DA0" w:rsidRPr="006B1BC7" w:rsidRDefault="00135DA0" w:rsidP="00C90A72">
            <w:pPr>
              <w:rPr>
                <w:b/>
              </w:rPr>
            </w:pPr>
            <w:r w:rsidRPr="006B1BC7">
              <w:rPr>
                <w:b/>
              </w:rPr>
              <w:t>Responsibility</w:t>
            </w:r>
          </w:p>
        </w:tc>
      </w:tr>
      <w:tr w:rsidR="00135DA0" w:rsidRPr="00DB6246" w14:paraId="14355D67" w14:textId="77777777" w:rsidTr="006D3B57">
        <w:trPr>
          <w:cantSplit/>
        </w:trPr>
        <w:tc>
          <w:tcPr>
            <w:tcW w:w="1667" w:type="pct"/>
          </w:tcPr>
          <w:p w14:paraId="679B09BE" w14:textId="77777777" w:rsidR="00135DA0" w:rsidRPr="009817F3" w:rsidRDefault="00135DA0" w:rsidP="00C90A72">
            <w:r>
              <w:t xml:space="preserve">20.1 Improve access to Legal Help for Aboriginal and Torres Strait Islander clients by establishing and implementing a priority line. </w:t>
            </w:r>
          </w:p>
        </w:tc>
        <w:tc>
          <w:tcPr>
            <w:tcW w:w="1667" w:type="pct"/>
          </w:tcPr>
          <w:p w14:paraId="41D1A640" w14:textId="77777777" w:rsidR="00135DA0" w:rsidRPr="00DB6246" w:rsidRDefault="00135DA0" w:rsidP="00C90A72">
            <w:r>
              <w:t>December 2020</w:t>
            </w:r>
          </w:p>
        </w:tc>
        <w:tc>
          <w:tcPr>
            <w:tcW w:w="1667" w:type="pct"/>
          </w:tcPr>
          <w:p w14:paraId="22E3B221" w14:textId="77777777" w:rsidR="00135DA0" w:rsidRPr="00DB6246" w:rsidRDefault="00135DA0" w:rsidP="00C90A72">
            <w:r>
              <w:t xml:space="preserve">Associate Director, </w:t>
            </w:r>
            <w:proofErr w:type="gramStart"/>
            <w:r>
              <w:t>Access</w:t>
            </w:r>
            <w:proofErr w:type="gramEnd"/>
            <w:r>
              <w:t xml:space="preserve"> and Equity</w:t>
            </w:r>
          </w:p>
        </w:tc>
      </w:tr>
      <w:tr w:rsidR="00135DA0" w14:paraId="360F8A7C" w14:textId="77777777" w:rsidTr="006D3B57">
        <w:trPr>
          <w:cantSplit/>
        </w:trPr>
        <w:tc>
          <w:tcPr>
            <w:tcW w:w="1667" w:type="pct"/>
          </w:tcPr>
          <w:p w14:paraId="5E4D01D9" w14:textId="77777777" w:rsidR="00135DA0" w:rsidRDefault="00135DA0" w:rsidP="00C90A72">
            <w:r>
              <w:t>20.2 Develop and promote Aboriginal and Torres Strait Islander specific VLA Legal Help cards for clients, Aboriginal Community Controlled Organisations and Community Legal Centres.</w:t>
            </w:r>
          </w:p>
        </w:tc>
        <w:tc>
          <w:tcPr>
            <w:tcW w:w="1667" w:type="pct"/>
          </w:tcPr>
          <w:p w14:paraId="4B4CBBF8" w14:textId="77777777" w:rsidR="00135DA0" w:rsidRDefault="00135DA0" w:rsidP="00C90A72">
            <w:r>
              <w:t>February 2020</w:t>
            </w:r>
          </w:p>
        </w:tc>
        <w:tc>
          <w:tcPr>
            <w:tcW w:w="1667" w:type="pct"/>
          </w:tcPr>
          <w:p w14:paraId="59D406A3" w14:textId="77777777" w:rsidR="00135DA0" w:rsidRDefault="00135DA0" w:rsidP="00C90A72">
            <w:r>
              <w:t xml:space="preserve">Associate Director, </w:t>
            </w:r>
            <w:proofErr w:type="gramStart"/>
            <w:r>
              <w:t>Access</w:t>
            </w:r>
            <w:proofErr w:type="gramEnd"/>
            <w:r>
              <w:t xml:space="preserve"> and Equity</w:t>
            </w:r>
          </w:p>
        </w:tc>
      </w:tr>
      <w:tr w:rsidR="00135DA0" w14:paraId="5B7C1CCF" w14:textId="77777777" w:rsidTr="006D3B57">
        <w:trPr>
          <w:cantSplit/>
        </w:trPr>
        <w:tc>
          <w:tcPr>
            <w:tcW w:w="1667" w:type="pct"/>
          </w:tcPr>
          <w:p w14:paraId="0D4086C6" w14:textId="77777777" w:rsidR="00135DA0" w:rsidRDefault="00135DA0" w:rsidP="00C90A72">
            <w:r>
              <w:t>20.3 Develop practical civil and family law resources for working with Aboriginal and Torres Strait Islander clients.</w:t>
            </w:r>
          </w:p>
        </w:tc>
        <w:tc>
          <w:tcPr>
            <w:tcW w:w="1667" w:type="pct"/>
          </w:tcPr>
          <w:p w14:paraId="7F7F1798" w14:textId="77777777" w:rsidR="00135DA0" w:rsidRDefault="00135DA0" w:rsidP="00C90A72">
            <w:r>
              <w:t>February 2021</w:t>
            </w:r>
          </w:p>
        </w:tc>
        <w:tc>
          <w:tcPr>
            <w:tcW w:w="1667" w:type="pct"/>
          </w:tcPr>
          <w:p w14:paraId="49B90EDD" w14:textId="77777777" w:rsidR="00135DA0" w:rsidRDefault="00135DA0" w:rsidP="00C90A72">
            <w:r>
              <w:t xml:space="preserve">Associate Director, </w:t>
            </w:r>
            <w:proofErr w:type="gramStart"/>
            <w:r>
              <w:t>Access</w:t>
            </w:r>
            <w:proofErr w:type="gramEnd"/>
            <w:r>
              <w:t xml:space="preserve"> and Equity</w:t>
            </w:r>
          </w:p>
        </w:tc>
      </w:tr>
    </w:tbl>
    <w:p w14:paraId="436A19F3" w14:textId="5005B97B" w:rsidR="00135DA0" w:rsidRDefault="006B1BC7" w:rsidP="006B1BC7">
      <w:pPr>
        <w:pStyle w:val="Tableheading"/>
        <w:rPr>
          <w:lang w:eastAsia="en-AU"/>
        </w:rPr>
      </w:pPr>
      <w:r>
        <w:rPr>
          <w:lang w:eastAsia="en-AU"/>
        </w:rPr>
        <w:t xml:space="preserve">Action 21 – </w:t>
      </w:r>
      <w:r>
        <w:t>Explore the opportunity to expand the Aboriginal Community Engagement Officers Program</w:t>
      </w:r>
    </w:p>
    <w:tbl>
      <w:tblPr>
        <w:tblStyle w:val="TableGrid"/>
        <w:tblW w:w="5000" w:type="pct"/>
        <w:tblLook w:val="04A0" w:firstRow="1" w:lastRow="0" w:firstColumn="1" w:lastColumn="0" w:noHBand="0" w:noVBand="1"/>
      </w:tblPr>
      <w:tblGrid>
        <w:gridCol w:w="2443"/>
        <w:gridCol w:w="2443"/>
        <w:gridCol w:w="2443"/>
        <w:gridCol w:w="2441"/>
      </w:tblGrid>
      <w:tr w:rsidR="00810023" w:rsidRPr="006B1BC7" w14:paraId="133A96ED" w14:textId="77777777" w:rsidTr="006D3B57">
        <w:trPr>
          <w:cantSplit/>
          <w:tblHeader/>
        </w:trPr>
        <w:tc>
          <w:tcPr>
            <w:tcW w:w="1250" w:type="pct"/>
            <w:shd w:val="clear" w:color="auto" w:fill="E2EFD9" w:themeFill="accent6" w:themeFillTint="33"/>
          </w:tcPr>
          <w:p w14:paraId="519FC24B" w14:textId="77777777" w:rsidR="00810023" w:rsidRPr="006B1BC7" w:rsidRDefault="00810023" w:rsidP="00C90A72">
            <w:pPr>
              <w:rPr>
                <w:b/>
              </w:rPr>
            </w:pPr>
            <w:r w:rsidRPr="006B1BC7">
              <w:rPr>
                <w:b/>
              </w:rPr>
              <w:t>Deliverable</w:t>
            </w:r>
          </w:p>
        </w:tc>
        <w:tc>
          <w:tcPr>
            <w:tcW w:w="1250" w:type="pct"/>
            <w:shd w:val="clear" w:color="auto" w:fill="E2EFD9" w:themeFill="accent6" w:themeFillTint="33"/>
          </w:tcPr>
          <w:p w14:paraId="78ED87A4" w14:textId="3CF76F12" w:rsidR="00810023" w:rsidRPr="006B1BC7" w:rsidRDefault="00810023" w:rsidP="00C90A72">
            <w:pPr>
              <w:rPr>
                <w:b/>
              </w:rPr>
            </w:pPr>
            <w:r>
              <w:rPr>
                <w:b/>
              </w:rPr>
              <w:t xml:space="preserve">Original </w:t>
            </w:r>
            <w:r w:rsidRPr="006B1BC7">
              <w:rPr>
                <w:b/>
              </w:rPr>
              <w:t>Timeline</w:t>
            </w:r>
          </w:p>
        </w:tc>
        <w:tc>
          <w:tcPr>
            <w:tcW w:w="1250" w:type="pct"/>
            <w:shd w:val="clear" w:color="auto" w:fill="E2EFD9" w:themeFill="accent6" w:themeFillTint="33"/>
          </w:tcPr>
          <w:p w14:paraId="1BC13E59" w14:textId="2E7ABC18" w:rsidR="00810023" w:rsidRPr="006B1BC7" w:rsidRDefault="00810023" w:rsidP="00C90A72">
            <w:pPr>
              <w:rPr>
                <w:b/>
              </w:rPr>
            </w:pPr>
            <w:r>
              <w:rPr>
                <w:b/>
              </w:rPr>
              <w:t xml:space="preserve">Revised Timeline </w:t>
            </w:r>
          </w:p>
        </w:tc>
        <w:tc>
          <w:tcPr>
            <w:tcW w:w="1249" w:type="pct"/>
            <w:shd w:val="clear" w:color="auto" w:fill="E2EFD9" w:themeFill="accent6" w:themeFillTint="33"/>
          </w:tcPr>
          <w:p w14:paraId="4B799AF5" w14:textId="2E84125D" w:rsidR="00810023" w:rsidRPr="006B1BC7" w:rsidRDefault="00810023" w:rsidP="00C90A72">
            <w:pPr>
              <w:rPr>
                <w:b/>
              </w:rPr>
            </w:pPr>
            <w:r w:rsidRPr="006B1BC7">
              <w:rPr>
                <w:b/>
              </w:rPr>
              <w:t>Responsibility</w:t>
            </w:r>
          </w:p>
        </w:tc>
      </w:tr>
      <w:tr w:rsidR="00810023" w:rsidRPr="00DB6246" w14:paraId="551F7FEE" w14:textId="77777777" w:rsidTr="006D3B57">
        <w:trPr>
          <w:cantSplit/>
        </w:trPr>
        <w:tc>
          <w:tcPr>
            <w:tcW w:w="1250" w:type="pct"/>
          </w:tcPr>
          <w:p w14:paraId="49BCC77B" w14:textId="77777777" w:rsidR="00810023" w:rsidRPr="009817F3" w:rsidRDefault="00810023" w:rsidP="00C90A72">
            <w:r>
              <w:t>21.1 Evaluate the Aboriginal Community Engagement Officers program with a view to strengthening and expanding it across VLA officers, based on evaluation outcomes.</w:t>
            </w:r>
          </w:p>
        </w:tc>
        <w:tc>
          <w:tcPr>
            <w:tcW w:w="1250" w:type="pct"/>
          </w:tcPr>
          <w:p w14:paraId="6A3D9B2A" w14:textId="77777777" w:rsidR="00810023" w:rsidRPr="00DB6246" w:rsidRDefault="00810023" w:rsidP="00C90A72">
            <w:r>
              <w:t>January 2021</w:t>
            </w:r>
          </w:p>
        </w:tc>
        <w:tc>
          <w:tcPr>
            <w:tcW w:w="1250" w:type="pct"/>
          </w:tcPr>
          <w:p w14:paraId="7B600786" w14:textId="161C16CD" w:rsidR="00810023" w:rsidRDefault="00D07140" w:rsidP="00C90A72">
            <w:r>
              <w:t>June 2021</w:t>
            </w:r>
          </w:p>
        </w:tc>
        <w:tc>
          <w:tcPr>
            <w:tcW w:w="1249" w:type="pct"/>
          </w:tcPr>
          <w:p w14:paraId="58768029" w14:textId="2E7FE424" w:rsidR="00810023" w:rsidRPr="00DB6246" w:rsidRDefault="00810023" w:rsidP="00C90A72">
            <w:r>
              <w:t>Associate Director, Aboriginal Services</w:t>
            </w:r>
          </w:p>
        </w:tc>
      </w:tr>
      <w:tr w:rsidR="00810023" w:rsidRPr="00DB6246" w14:paraId="0A95E017" w14:textId="77777777" w:rsidTr="006D3B57">
        <w:trPr>
          <w:cantSplit/>
        </w:trPr>
        <w:tc>
          <w:tcPr>
            <w:tcW w:w="1250" w:type="pct"/>
          </w:tcPr>
          <w:p w14:paraId="347BC1E7" w14:textId="77777777" w:rsidR="00810023" w:rsidRDefault="00810023" w:rsidP="00C90A72">
            <w:r>
              <w:t>21.2 Research and compile a position paper on the benefits and estimated costs of increasing the Aboriginal Community Engagement Officers program to other VLA offices, following the evaluation.</w:t>
            </w:r>
          </w:p>
        </w:tc>
        <w:tc>
          <w:tcPr>
            <w:tcW w:w="1250" w:type="pct"/>
          </w:tcPr>
          <w:p w14:paraId="0ACA78BD" w14:textId="77777777" w:rsidR="00810023" w:rsidRDefault="00810023" w:rsidP="00C90A72">
            <w:r>
              <w:t>May 2021</w:t>
            </w:r>
          </w:p>
        </w:tc>
        <w:tc>
          <w:tcPr>
            <w:tcW w:w="1250" w:type="pct"/>
          </w:tcPr>
          <w:p w14:paraId="494D413F" w14:textId="375EF894" w:rsidR="00810023" w:rsidRDefault="00A85C71" w:rsidP="00C90A72">
            <w:r>
              <w:t>November 2021</w:t>
            </w:r>
          </w:p>
        </w:tc>
        <w:tc>
          <w:tcPr>
            <w:tcW w:w="1249" w:type="pct"/>
          </w:tcPr>
          <w:p w14:paraId="14869885" w14:textId="743C531C" w:rsidR="00810023" w:rsidRDefault="00810023" w:rsidP="00C90A72">
            <w:r>
              <w:t>Associate Director, Aboriginal Services</w:t>
            </w:r>
          </w:p>
        </w:tc>
      </w:tr>
    </w:tbl>
    <w:p w14:paraId="32C2878E" w14:textId="620D2210" w:rsidR="00135DA0" w:rsidRDefault="006B1BC7" w:rsidP="006B1BC7">
      <w:pPr>
        <w:pStyle w:val="Tableheading"/>
        <w:rPr>
          <w:lang w:eastAsia="en-AU"/>
        </w:rPr>
      </w:pPr>
      <w:r>
        <w:rPr>
          <w:lang w:eastAsia="en-AU"/>
        </w:rPr>
        <w:lastRenderedPageBreak/>
        <w:t xml:space="preserve">Action 22 – </w:t>
      </w:r>
      <w:r>
        <w:t>Investigate opportunities for VLA to increase Aboriginal and Torres Strait Islander client access to civil law services</w:t>
      </w:r>
    </w:p>
    <w:tbl>
      <w:tblPr>
        <w:tblStyle w:val="TableGrid"/>
        <w:tblW w:w="5000" w:type="pct"/>
        <w:tblLook w:val="04A0" w:firstRow="1" w:lastRow="0" w:firstColumn="1" w:lastColumn="0" w:noHBand="0" w:noVBand="1"/>
      </w:tblPr>
      <w:tblGrid>
        <w:gridCol w:w="2443"/>
        <w:gridCol w:w="2443"/>
        <w:gridCol w:w="2443"/>
        <w:gridCol w:w="2441"/>
      </w:tblGrid>
      <w:tr w:rsidR="00A85C71" w:rsidRPr="006B1BC7" w14:paraId="511A6C1C" w14:textId="77777777" w:rsidTr="006D3B57">
        <w:trPr>
          <w:cantSplit/>
          <w:tblHeader/>
        </w:trPr>
        <w:tc>
          <w:tcPr>
            <w:tcW w:w="1250" w:type="pct"/>
            <w:shd w:val="clear" w:color="auto" w:fill="E2EFD9" w:themeFill="accent6" w:themeFillTint="33"/>
          </w:tcPr>
          <w:p w14:paraId="0A8F9E15" w14:textId="77777777" w:rsidR="00A85C71" w:rsidRPr="006B1BC7" w:rsidRDefault="00A85C71" w:rsidP="00C90A72">
            <w:pPr>
              <w:rPr>
                <w:b/>
              </w:rPr>
            </w:pPr>
            <w:r w:rsidRPr="006B1BC7">
              <w:rPr>
                <w:b/>
              </w:rPr>
              <w:t>Deliverable</w:t>
            </w:r>
          </w:p>
        </w:tc>
        <w:tc>
          <w:tcPr>
            <w:tcW w:w="1250" w:type="pct"/>
            <w:shd w:val="clear" w:color="auto" w:fill="E2EFD9" w:themeFill="accent6" w:themeFillTint="33"/>
          </w:tcPr>
          <w:p w14:paraId="42B04A0B" w14:textId="789C7D31" w:rsidR="00A85C71" w:rsidRPr="006B1BC7" w:rsidRDefault="00A85C71" w:rsidP="00C90A72">
            <w:pPr>
              <w:rPr>
                <w:b/>
              </w:rPr>
            </w:pPr>
            <w:r>
              <w:rPr>
                <w:b/>
              </w:rPr>
              <w:t xml:space="preserve">Original </w:t>
            </w:r>
            <w:r w:rsidRPr="006B1BC7">
              <w:rPr>
                <w:b/>
              </w:rPr>
              <w:t>Timeline</w:t>
            </w:r>
          </w:p>
        </w:tc>
        <w:tc>
          <w:tcPr>
            <w:tcW w:w="1250" w:type="pct"/>
            <w:shd w:val="clear" w:color="auto" w:fill="E2EFD9" w:themeFill="accent6" w:themeFillTint="33"/>
          </w:tcPr>
          <w:p w14:paraId="6CB2A6CC" w14:textId="3CB0A409" w:rsidR="00A85C71" w:rsidRPr="006B1BC7" w:rsidRDefault="00A85C71" w:rsidP="00C90A72">
            <w:pPr>
              <w:rPr>
                <w:b/>
              </w:rPr>
            </w:pPr>
            <w:r>
              <w:rPr>
                <w:b/>
              </w:rPr>
              <w:t>Revised Timeline</w:t>
            </w:r>
          </w:p>
        </w:tc>
        <w:tc>
          <w:tcPr>
            <w:tcW w:w="1249" w:type="pct"/>
            <w:shd w:val="clear" w:color="auto" w:fill="E2EFD9" w:themeFill="accent6" w:themeFillTint="33"/>
          </w:tcPr>
          <w:p w14:paraId="00156D9A" w14:textId="4695678F" w:rsidR="00A85C71" w:rsidRPr="006B1BC7" w:rsidRDefault="00A85C71" w:rsidP="00C90A72">
            <w:pPr>
              <w:rPr>
                <w:b/>
              </w:rPr>
            </w:pPr>
            <w:r w:rsidRPr="006B1BC7">
              <w:rPr>
                <w:b/>
              </w:rPr>
              <w:t>Responsibility</w:t>
            </w:r>
          </w:p>
        </w:tc>
      </w:tr>
      <w:tr w:rsidR="00A85C71" w:rsidRPr="00DB6246" w14:paraId="473DE067" w14:textId="77777777" w:rsidTr="006D3B57">
        <w:trPr>
          <w:cantSplit/>
        </w:trPr>
        <w:tc>
          <w:tcPr>
            <w:tcW w:w="1250" w:type="pct"/>
          </w:tcPr>
          <w:p w14:paraId="7DB24CBB" w14:textId="77777777" w:rsidR="00A85C71" w:rsidRPr="009817F3" w:rsidRDefault="00A85C71" w:rsidP="00C90A72">
            <w:r>
              <w:t>22.1 Research and document the benefits of establishing an Aboriginal Civil Justice team to undertake outreach in Aboriginal and Torres Strait Islander communities in Victoria.</w:t>
            </w:r>
          </w:p>
        </w:tc>
        <w:tc>
          <w:tcPr>
            <w:tcW w:w="1250" w:type="pct"/>
          </w:tcPr>
          <w:p w14:paraId="3C369240" w14:textId="77777777" w:rsidR="00A85C71" w:rsidRPr="00DB6246" w:rsidRDefault="00A85C71" w:rsidP="00C90A72">
            <w:r>
              <w:t>June 2020</w:t>
            </w:r>
          </w:p>
        </w:tc>
        <w:tc>
          <w:tcPr>
            <w:tcW w:w="1250" w:type="pct"/>
          </w:tcPr>
          <w:p w14:paraId="2A6DC45B" w14:textId="22B6B9F5" w:rsidR="00A85C71" w:rsidRDefault="00A85C71" w:rsidP="00C90A72">
            <w:r>
              <w:t>December 2020</w:t>
            </w:r>
          </w:p>
        </w:tc>
        <w:tc>
          <w:tcPr>
            <w:tcW w:w="1249" w:type="pct"/>
          </w:tcPr>
          <w:p w14:paraId="149585E2" w14:textId="562A28D8" w:rsidR="00A85C71" w:rsidRPr="00DB6246" w:rsidRDefault="00A85C71" w:rsidP="00C90A72">
            <w:r>
              <w:t xml:space="preserve">Executive Director, Civil Justice, </w:t>
            </w:r>
            <w:proofErr w:type="gramStart"/>
            <w:r>
              <w:t>Access</w:t>
            </w:r>
            <w:proofErr w:type="gramEnd"/>
            <w:r>
              <w:t xml:space="preserve"> and Equity</w:t>
            </w:r>
          </w:p>
        </w:tc>
      </w:tr>
      <w:tr w:rsidR="00A85C71" w:rsidRPr="00DB6246" w14:paraId="6C4B6FD3" w14:textId="77777777" w:rsidTr="006D3B57">
        <w:trPr>
          <w:cantSplit/>
        </w:trPr>
        <w:tc>
          <w:tcPr>
            <w:tcW w:w="1250" w:type="pct"/>
          </w:tcPr>
          <w:p w14:paraId="2BD6BD31" w14:textId="77777777" w:rsidR="00A85C71" w:rsidRDefault="00A85C71" w:rsidP="00C90A72">
            <w:r>
              <w:t>22.2 Explore the opportunity to collaborate with practice partners and Aboriginal Community Controlled Organisations to establish integrated civil law services.</w:t>
            </w:r>
          </w:p>
        </w:tc>
        <w:tc>
          <w:tcPr>
            <w:tcW w:w="1250" w:type="pct"/>
          </w:tcPr>
          <w:p w14:paraId="6824B83F" w14:textId="77777777" w:rsidR="00A85C71" w:rsidRDefault="00A85C71" w:rsidP="00C90A72">
            <w:r>
              <w:t>December 2020</w:t>
            </w:r>
          </w:p>
        </w:tc>
        <w:tc>
          <w:tcPr>
            <w:tcW w:w="1250" w:type="pct"/>
          </w:tcPr>
          <w:p w14:paraId="6B9B8644" w14:textId="75DB5659" w:rsidR="00A85C71" w:rsidRDefault="00A15F0A" w:rsidP="00C90A72">
            <w:r>
              <w:t>June 2021</w:t>
            </w:r>
          </w:p>
        </w:tc>
        <w:tc>
          <w:tcPr>
            <w:tcW w:w="1249" w:type="pct"/>
          </w:tcPr>
          <w:p w14:paraId="63BD329C" w14:textId="4FC5A018" w:rsidR="00A85C71" w:rsidRDefault="00A85C71" w:rsidP="00C90A72">
            <w:r>
              <w:t xml:space="preserve">Executive Director, Civil Justice, </w:t>
            </w:r>
            <w:proofErr w:type="gramStart"/>
            <w:r>
              <w:t>Access</w:t>
            </w:r>
            <w:proofErr w:type="gramEnd"/>
            <w:r>
              <w:t xml:space="preserve"> and Equity</w:t>
            </w:r>
          </w:p>
        </w:tc>
      </w:tr>
      <w:tr w:rsidR="00A85C71" w:rsidRPr="00DB6246" w14:paraId="50578541" w14:textId="77777777" w:rsidTr="006D3B57">
        <w:trPr>
          <w:cantSplit/>
        </w:trPr>
        <w:tc>
          <w:tcPr>
            <w:tcW w:w="1250" w:type="pct"/>
          </w:tcPr>
          <w:p w14:paraId="250DD3BC" w14:textId="77777777" w:rsidR="00A85C71" w:rsidRDefault="00A85C71" w:rsidP="00C90A72">
            <w:r>
              <w:t>22.3 Explore the opportunity for the Aboriginal Civil Justice team staffing model to include designated non-legal roles for Aboriginal and Torres Strait Islander peoples.</w:t>
            </w:r>
          </w:p>
        </w:tc>
        <w:tc>
          <w:tcPr>
            <w:tcW w:w="1250" w:type="pct"/>
          </w:tcPr>
          <w:p w14:paraId="1E80A44C" w14:textId="77777777" w:rsidR="00A85C71" w:rsidRDefault="00A85C71" w:rsidP="00C90A72">
            <w:r>
              <w:t>December 2020</w:t>
            </w:r>
          </w:p>
        </w:tc>
        <w:tc>
          <w:tcPr>
            <w:tcW w:w="1250" w:type="pct"/>
          </w:tcPr>
          <w:p w14:paraId="313159B6" w14:textId="531D65E1" w:rsidR="00A85C71" w:rsidRDefault="00A66CA6" w:rsidP="00C90A72">
            <w:r>
              <w:t>June 2021</w:t>
            </w:r>
          </w:p>
        </w:tc>
        <w:tc>
          <w:tcPr>
            <w:tcW w:w="1249" w:type="pct"/>
          </w:tcPr>
          <w:p w14:paraId="482BB8A6" w14:textId="5DB62EE1" w:rsidR="00A85C71" w:rsidRDefault="00A85C71" w:rsidP="00C90A72">
            <w:r>
              <w:t xml:space="preserve">Executive Director, Civil Justice, </w:t>
            </w:r>
            <w:proofErr w:type="gramStart"/>
            <w:r>
              <w:t>Access</w:t>
            </w:r>
            <w:proofErr w:type="gramEnd"/>
            <w:r>
              <w:t xml:space="preserve"> and Equity</w:t>
            </w:r>
          </w:p>
        </w:tc>
      </w:tr>
      <w:tr w:rsidR="00A85C71" w:rsidRPr="00DB6246" w14:paraId="4EAECE70" w14:textId="77777777" w:rsidTr="006D3B57">
        <w:trPr>
          <w:cantSplit/>
        </w:trPr>
        <w:tc>
          <w:tcPr>
            <w:tcW w:w="1250" w:type="pct"/>
          </w:tcPr>
          <w:p w14:paraId="489FFD5B" w14:textId="77777777" w:rsidR="00A85C71" w:rsidRDefault="00A85C71" w:rsidP="00C90A72">
            <w:r>
              <w:t>22.4 Explore opportunities to obtain funding for a pilot Aboriginal Civil Justice team.</w:t>
            </w:r>
          </w:p>
        </w:tc>
        <w:tc>
          <w:tcPr>
            <w:tcW w:w="1250" w:type="pct"/>
          </w:tcPr>
          <w:p w14:paraId="3CC777BB" w14:textId="77777777" w:rsidR="00A85C71" w:rsidRDefault="00A85C71" w:rsidP="00C90A72">
            <w:r>
              <w:t>December 2020</w:t>
            </w:r>
          </w:p>
        </w:tc>
        <w:tc>
          <w:tcPr>
            <w:tcW w:w="1250" w:type="pct"/>
          </w:tcPr>
          <w:p w14:paraId="7DE7E1D2" w14:textId="29DA529D" w:rsidR="00A85C71" w:rsidRDefault="00A66CA6" w:rsidP="00C90A72">
            <w:r>
              <w:t>June 2021</w:t>
            </w:r>
          </w:p>
        </w:tc>
        <w:tc>
          <w:tcPr>
            <w:tcW w:w="1249" w:type="pct"/>
          </w:tcPr>
          <w:p w14:paraId="4B491B72" w14:textId="592F128F" w:rsidR="00A85C71" w:rsidRDefault="00A85C71" w:rsidP="00C90A72">
            <w:r>
              <w:t xml:space="preserve">Executive Director, Civil Justice, </w:t>
            </w:r>
            <w:proofErr w:type="gramStart"/>
            <w:r>
              <w:t>Access</w:t>
            </w:r>
            <w:proofErr w:type="gramEnd"/>
            <w:r>
              <w:t xml:space="preserve"> and Equity</w:t>
            </w:r>
          </w:p>
        </w:tc>
      </w:tr>
    </w:tbl>
    <w:p w14:paraId="2332795A" w14:textId="3C9B2537" w:rsidR="00135DA0" w:rsidRDefault="006B1BC7" w:rsidP="006D3B57">
      <w:pPr>
        <w:pStyle w:val="Tableheading"/>
        <w:keepNext/>
        <w:rPr>
          <w:lang w:eastAsia="en-AU"/>
        </w:rPr>
      </w:pPr>
      <w:r>
        <w:rPr>
          <w:lang w:eastAsia="en-AU"/>
        </w:rPr>
        <w:lastRenderedPageBreak/>
        <w:t xml:space="preserve">Action 23 – </w:t>
      </w:r>
      <w:r>
        <w:t>Explore opportunities to increase the development of integrated or co-located services</w:t>
      </w:r>
    </w:p>
    <w:tbl>
      <w:tblPr>
        <w:tblStyle w:val="TableGrid"/>
        <w:tblW w:w="5000" w:type="pct"/>
        <w:tblLook w:val="04A0" w:firstRow="1" w:lastRow="0" w:firstColumn="1" w:lastColumn="0" w:noHBand="0" w:noVBand="1"/>
      </w:tblPr>
      <w:tblGrid>
        <w:gridCol w:w="2443"/>
        <w:gridCol w:w="2443"/>
        <w:gridCol w:w="2443"/>
        <w:gridCol w:w="2441"/>
      </w:tblGrid>
      <w:tr w:rsidR="00A66CA6" w:rsidRPr="006B1BC7" w14:paraId="6C750781" w14:textId="77777777" w:rsidTr="006D3B57">
        <w:trPr>
          <w:cantSplit/>
          <w:tblHeader/>
        </w:trPr>
        <w:tc>
          <w:tcPr>
            <w:tcW w:w="1250" w:type="pct"/>
            <w:shd w:val="clear" w:color="auto" w:fill="E2EFD9" w:themeFill="accent6" w:themeFillTint="33"/>
          </w:tcPr>
          <w:p w14:paraId="705046F8" w14:textId="77777777" w:rsidR="00A66CA6" w:rsidRPr="006B1BC7" w:rsidRDefault="00A66CA6" w:rsidP="00C90A72">
            <w:pPr>
              <w:rPr>
                <w:b/>
              </w:rPr>
            </w:pPr>
            <w:r w:rsidRPr="006B1BC7">
              <w:rPr>
                <w:b/>
              </w:rPr>
              <w:t>Deliverable</w:t>
            </w:r>
          </w:p>
        </w:tc>
        <w:tc>
          <w:tcPr>
            <w:tcW w:w="1250" w:type="pct"/>
            <w:shd w:val="clear" w:color="auto" w:fill="E2EFD9" w:themeFill="accent6" w:themeFillTint="33"/>
          </w:tcPr>
          <w:p w14:paraId="52BF8DF5" w14:textId="181799CD" w:rsidR="00A66CA6" w:rsidRPr="006B1BC7" w:rsidRDefault="00A66CA6" w:rsidP="00C90A72">
            <w:pPr>
              <w:rPr>
                <w:b/>
              </w:rPr>
            </w:pPr>
            <w:r>
              <w:rPr>
                <w:b/>
              </w:rPr>
              <w:t xml:space="preserve">Original </w:t>
            </w:r>
            <w:r w:rsidRPr="006B1BC7">
              <w:rPr>
                <w:b/>
              </w:rPr>
              <w:t>Timeline</w:t>
            </w:r>
          </w:p>
        </w:tc>
        <w:tc>
          <w:tcPr>
            <w:tcW w:w="1250" w:type="pct"/>
            <w:shd w:val="clear" w:color="auto" w:fill="E2EFD9" w:themeFill="accent6" w:themeFillTint="33"/>
          </w:tcPr>
          <w:p w14:paraId="027869C2" w14:textId="068C15FC" w:rsidR="00A66CA6" w:rsidRPr="006B1BC7" w:rsidRDefault="00A66CA6" w:rsidP="00C90A72">
            <w:pPr>
              <w:rPr>
                <w:b/>
              </w:rPr>
            </w:pPr>
            <w:r>
              <w:rPr>
                <w:b/>
              </w:rPr>
              <w:t>Revised Timeline</w:t>
            </w:r>
          </w:p>
        </w:tc>
        <w:tc>
          <w:tcPr>
            <w:tcW w:w="1249" w:type="pct"/>
            <w:shd w:val="clear" w:color="auto" w:fill="E2EFD9" w:themeFill="accent6" w:themeFillTint="33"/>
          </w:tcPr>
          <w:p w14:paraId="19B5BF35" w14:textId="3F643600" w:rsidR="00A66CA6" w:rsidRPr="006B1BC7" w:rsidRDefault="00A66CA6" w:rsidP="00C90A72">
            <w:pPr>
              <w:rPr>
                <w:b/>
              </w:rPr>
            </w:pPr>
            <w:r w:rsidRPr="006B1BC7">
              <w:rPr>
                <w:b/>
              </w:rPr>
              <w:t>Responsibility</w:t>
            </w:r>
          </w:p>
        </w:tc>
      </w:tr>
      <w:tr w:rsidR="00A66CA6" w:rsidRPr="00DB6246" w14:paraId="793FBF25" w14:textId="77777777" w:rsidTr="006D3B57">
        <w:trPr>
          <w:cantSplit/>
        </w:trPr>
        <w:tc>
          <w:tcPr>
            <w:tcW w:w="1250" w:type="pct"/>
          </w:tcPr>
          <w:p w14:paraId="60ADC2FE" w14:textId="77777777" w:rsidR="00A66CA6" w:rsidRPr="009817F3" w:rsidRDefault="00A66CA6" w:rsidP="00C90A72">
            <w:r>
              <w:t>23.1 Draw on the findings of the mid-term evaluation of VLA’s health justice partnership in the Mallee and consider further opportunities for similar partnerships across Victoria.</w:t>
            </w:r>
          </w:p>
        </w:tc>
        <w:tc>
          <w:tcPr>
            <w:tcW w:w="1250" w:type="pct"/>
          </w:tcPr>
          <w:p w14:paraId="051E701B" w14:textId="77777777" w:rsidR="00A66CA6" w:rsidRPr="00DB6246" w:rsidRDefault="00A66CA6" w:rsidP="00C90A72">
            <w:r>
              <w:t>January 2021</w:t>
            </w:r>
          </w:p>
        </w:tc>
        <w:tc>
          <w:tcPr>
            <w:tcW w:w="1250" w:type="pct"/>
          </w:tcPr>
          <w:p w14:paraId="5099F526" w14:textId="6297DD41" w:rsidR="00A66CA6" w:rsidRDefault="00D1794E" w:rsidP="00C90A72">
            <w:r>
              <w:t>July 2021</w:t>
            </w:r>
          </w:p>
        </w:tc>
        <w:tc>
          <w:tcPr>
            <w:tcW w:w="1249" w:type="pct"/>
          </w:tcPr>
          <w:p w14:paraId="7BBF6983" w14:textId="6E51BBAE" w:rsidR="00A66CA6" w:rsidRPr="00DB6246" w:rsidRDefault="00A66CA6" w:rsidP="00C90A72">
            <w:r>
              <w:t xml:space="preserve">Executive Director, </w:t>
            </w:r>
            <w:proofErr w:type="gramStart"/>
            <w:r>
              <w:t>Services</w:t>
            </w:r>
            <w:proofErr w:type="gramEnd"/>
            <w:r>
              <w:t xml:space="preserve"> and Innovation</w:t>
            </w:r>
          </w:p>
        </w:tc>
      </w:tr>
      <w:tr w:rsidR="00A66CA6" w:rsidRPr="00DB6246" w14:paraId="5ABE31E2" w14:textId="77777777" w:rsidTr="006D3B57">
        <w:trPr>
          <w:cantSplit/>
        </w:trPr>
        <w:tc>
          <w:tcPr>
            <w:tcW w:w="1250" w:type="pct"/>
          </w:tcPr>
          <w:p w14:paraId="1D94F8B0" w14:textId="77777777" w:rsidR="00A66CA6" w:rsidRDefault="00A66CA6" w:rsidP="00C90A72">
            <w:r>
              <w:t xml:space="preserve">23.2 Explore, </w:t>
            </w:r>
            <w:proofErr w:type="gramStart"/>
            <w:r>
              <w:t>identify</w:t>
            </w:r>
            <w:proofErr w:type="gramEnd"/>
            <w:r>
              <w:t xml:space="preserve"> and consider establishing partnerships to integrate or co-locate VLA’s services with organisations that are providing complex wrap-around services for Aboriginal and Torres Strait Islander clients.</w:t>
            </w:r>
          </w:p>
        </w:tc>
        <w:tc>
          <w:tcPr>
            <w:tcW w:w="1250" w:type="pct"/>
          </w:tcPr>
          <w:p w14:paraId="7715305B" w14:textId="77777777" w:rsidR="00A66CA6" w:rsidRDefault="00A66CA6" w:rsidP="00C90A72">
            <w:r>
              <w:t>January 2021</w:t>
            </w:r>
          </w:p>
        </w:tc>
        <w:tc>
          <w:tcPr>
            <w:tcW w:w="1250" w:type="pct"/>
          </w:tcPr>
          <w:p w14:paraId="48ACA568" w14:textId="3749063C" w:rsidR="00A66CA6" w:rsidRDefault="007C48B2" w:rsidP="00C90A72">
            <w:r>
              <w:t>July 2021</w:t>
            </w:r>
          </w:p>
        </w:tc>
        <w:tc>
          <w:tcPr>
            <w:tcW w:w="1249" w:type="pct"/>
          </w:tcPr>
          <w:p w14:paraId="02ED0AA6" w14:textId="45397790" w:rsidR="00A66CA6" w:rsidRDefault="00A66CA6" w:rsidP="00C90A72">
            <w:r>
              <w:t xml:space="preserve">Executive Director, </w:t>
            </w:r>
            <w:proofErr w:type="gramStart"/>
            <w:r>
              <w:t>Services</w:t>
            </w:r>
            <w:proofErr w:type="gramEnd"/>
            <w:r>
              <w:t xml:space="preserve"> and Innovation</w:t>
            </w:r>
          </w:p>
        </w:tc>
      </w:tr>
      <w:tr w:rsidR="00A66CA6" w:rsidRPr="00DB6246" w14:paraId="0006EC3B" w14:textId="77777777" w:rsidTr="006D3B57">
        <w:trPr>
          <w:cantSplit/>
        </w:trPr>
        <w:tc>
          <w:tcPr>
            <w:tcW w:w="1250" w:type="pct"/>
          </w:tcPr>
          <w:p w14:paraId="4D8C920E" w14:textId="77777777" w:rsidR="00A66CA6" w:rsidRDefault="00A66CA6" w:rsidP="00C90A72">
            <w:r>
              <w:t>23.3 Engage with state and commonwealth health and justice agencies to obtain funding for integrated or co-located service partnerships.</w:t>
            </w:r>
          </w:p>
        </w:tc>
        <w:tc>
          <w:tcPr>
            <w:tcW w:w="1250" w:type="pct"/>
          </w:tcPr>
          <w:p w14:paraId="24CC0398" w14:textId="77777777" w:rsidR="00A66CA6" w:rsidRDefault="00A66CA6" w:rsidP="00C90A72">
            <w:r>
              <w:t>May 2021</w:t>
            </w:r>
          </w:p>
        </w:tc>
        <w:tc>
          <w:tcPr>
            <w:tcW w:w="1250" w:type="pct"/>
          </w:tcPr>
          <w:p w14:paraId="024F0818" w14:textId="44C48ECC" w:rsidR="00A66CA6" w:rsidRDefault="000E2112" w:rsidP="00C90A72">
            <w:r>
              <w:t>November 2021</w:t>
            </w:r>
          </w:p>
        </w:tc>
        <w:tc>
          <w:tcPr>
            <w:tcW w:w="1249" w:type="pct"/>
          </w:tcPr>
          <w:p w14:paraId="41B2B642" w14:textId="3FF05739" w:rsidR="00A66CA6" w:rsidRDefault="00A66CA6" w:rsidP="00C90A72">
            <w:r>
              <w:t xml:space="preserve">Executive Director, </w:t>
            </w:r>
            <w:proofErr w:type="gramStart"/>
            <w:r>
              <w:t>Services</w:t>
            </w:r>
            <w:proofErr w:type="gramEnd"/>
            <w:r>
              <w:t xml:space="preserve"> and Innovation</w:t>
            </w:r>
          </w:p>
        </w:tc>
      </w:tr>
    </w:tbl>
    <w:p w14:paraId="17005ABE" w14:textId="77777777" w:rsidR="006B1BC7" w:rsidRDefault="006B1BC7">
      <w:pPr>
        <w:spacing w:after="0" w:line="240" w:lineRule="auto"/>
        <w:rPr>
          <w:b/>
          <w:sz w:val="24"/>
          <w:lang w:eastAsia="en-AU"/>
        </w:rPr>
      </w:pPr>
      <w:r>
        <w:rPr>
          <w:lang w:eastAsia="en-AU"/>
        </w:rPr>
        <w:br w:type="page"/>
      </w:r>
    </w:p>
    <w:p w14:paraId="7402E9E4" w14:textId="1BAEABC5" w:rsidR="006B1BC7" w:rsidRDefault="006B1BC7" w:rsidP="006B1BC7">
      <w:pPr>
        <w:pStyle w:val="Tableheading"/>
        <w:rPr>
          <w:lang w:eastAsia="en-AU"/>
        </w:rPr>
      </w:pPr>
      <w:r>
        <w:rPr>
          <w:lang w:eastAsia="en-AU"/>
        </w:rPr>
        <w:lastRenderedPageBreak/>
        <w:t xml:space="preserve">Action 24 – </w:t>
      </w:r>
      <w:r>
        <w:t>Strengthen the referral processes between VLA and Aboriginal legal services and other non-legal Aboriginal Community Controlled Organisations</w:t>
      </w:r>
    </w:p>
    <w:tbl>
      <w:tblPr>
        <w:tblStyle w:val="TableGrid"/>
        <w:tblW w:w="5000" w:type="pct"/>
        <w:tblLook w:val="04A0" w:firstRow="1" w:lastRow="0" w:firstColumn="1" w:lastColumn="0" w:noHBand="0" w:noVBand="1"/>
      </w:tblPr>
      <w:tblGrid>
        <w:gridCol w:w="3258"/>
        <w:gridCol w:w="3257"/>
        <w:gridCol w:w="3255"/>
      </w:tblGrid>
      <w:tr w:rsidR="00135DA0" w:rsidRPr="006B1BC7" w14:paraId="46A88190" w14:textId="77777777" w:rsidTr="006B1BC7">
        <w:trPr>
          <w:tblHeader/>
        </w:trPr>
        <w:tc>
          <w:tcPr>
            <w:tcW w:w="1667" w:type="pct"/>
            <w:shd w:val="clear" w:color="auto" w:fill="E2EFD9" w:themeFill="accent6" w:themeFillTint="33"/>
          </w:tcPr>
          <w:p w14:paraId="3BBB761B" w14:textId="77777777" w:rsidR="00135DA0" w:rsidRPr="006B1BC7" w:rsidRDefault="00135DA0" w:rsidP="00C90A72">
            <w:pPr>
              <w:rPr>
                <w:b/>
              </w:rPr>
            </w:pPr>
            <w:r w:rsidRPr="006B1BC7">
              <w:rPr>
                <w:b/>
              </w:rPr>
              <w:t>Deliverable</w:t>
            </w:r>
          </w:p>
        </w:tc>
        <w:tc>
          <w:tcPr>
            <w:tcW w:w="1667" w:type="pct"/>
            <w:shd w:val="clear" w:color="auto" w:fill="E2EFD9" w:themeFill="accent6" w:themeFillTint="33"/>
          </w:tcPr>
          <w:p w14:paraId="21AEB663" w14:textId="77777777" w:rsidR="00135DA0" w:rsidRPr="006B1BC7" w:rsidRDefault="00135DA0" w:rsidP="00C90A72">
            <w:pPr>
              <w:rPr>
                <w:b/>
              </w:rPr>
            </w:pPr>
            <w:r w:rsidRPr="006B1BC7">
              <w:rPr>
                <w:b/>
              </w:rPr>
              <w:t>Timeline</w:t>
            </w:r>
          </w:p>
        </w:tc>
        <w:tc>
          <w:tcPr>
            <w:tcW w:w="1667" w:type="pct"/>
            <w:shd w:val="clear" w:color="auto" w:fill="E2EFD9" w:themeFill="accent6" w:themeFillTint="33"/>
          </w:tcPr>
          <w:p w14:paraId="4697BFDE" w14:textId="77777777" w:rsidR="00135DA0" w:rsidRPr="006B1BC7" w:rsidRDefault="00135DA0" w:rsidP="00C90A72">
            <w:pPr>
              <w:rPr>
                <w:b/>
              </w:rPr>
            </w:pPr>
            <w:r w:rsidRPr="006B1BC7">
              <w:rPr>
                <w:b/>
              </w:rPr>
              <w:t>Responsibility</w:t>
            </w:r>
          </w:p>
        </w:tc>
      </w:tr>
      <w:tr w:rsidR="00135DA0" w:rsidRPr="00DB6246" w14:paraId="48C0281E" w14:textId="77777777" w:rsidTr="006B1BC7">
        <w:tc>
          <w:tcPr>
            <w:tcW w:w="1667" w:type="pct"/>
          </w:tcPr>
          <w:p w14:paraId="497F49F4" w14:textId="77777777" w:rsidR="00135DA0" w:rsidRPr="009817F3" w:rsidRDefault="00135DA0" w:rsidP="00C90A72">
            <w:r>
              <w:t>24.1 Maintain referrals between VLA, Aboriginal legal services and, where appropriate, to other Aboriginal Community Controlled Organisations.</w:t>
            </w:r>
          </w:p>
        </w:tc>
        <w:tc>
          <w:tcPr>
            <w:tcW w:w="1667" w:type="pct"/>
          </w:tcPr>
          <w:p w14:paraId="3344EAE9" w14:textId="77777777" w:rsidR="00135DA0" w:rsidRPr="00DB6246" w:rsidRDefault="00135DA0" w:rsidP="00C90A72">
            <w:r>
              <w:t>June annually</w:t>
            </w:r>
          </w:p>
        </w:tc>
        <w:tc>
          <w:tcPr>
            <w:tcW w:w="1667" w:type="pct"/>
          </w:tcPr>
          <w:p w14:paraId="75F4BB3E" w14:textId="77777777" w:rsidR="00135DA0" w:rsidRPr="00DB6246" w:rsidRDefault="00135DA0" w:rsidP="00C90A72">
            <w:r>
              <w:t xml:space="preserve">Associate Director, </w:t>
            </w:r>
            <w:proofErr w:type="gramStart"/>
            <w:r>
              <w:t>Access</w:t>
            </w:r>
            <w:proofErr w:type="gramEnd"/>
            <w:r>
              <w:t xml:space="preserve"> and Equity</w:t>
            </w:r>
          </w:p>
        </w:tc>
      </w:tr>
      <w:tr w:rsidR="00135DA0" w:rsidRPr="00DB6246" w14:paraId="4B1791D6" w14:textId="77777777" w:rsidTr="006B1BC7">
        <w:tc>
          <w:tcPr>
            <w:tcW w:w="1667" w:type="pct"/>
          </w:tcPr>
          <w:p w14:paraId="0ECFE4A3" w14:textId="77777777" w:rsidR="00135DA0" w:rsidRDefault="00135DA0" w:rsidP="00C90A72">
            <w:r>
              <w:t>24.2 Explore and identify additional Aboriginal Community Controlled Organisations to establish and increase warm referral pathways or agreements.</w:t>
            </w:r>
          </w:p>
        </w:tc>
        <w:tc>
          <w:tcPr>
            <w:tcW w:w="1667" w:type="pct"/>
          </w:tcPr>
          <w:p w14:paraId="5882FD9B" w14:textId="77777777" w:rsidR="00135DA0" w:rsidRDefault="00135DA0" w:rsidP="00C90A72">
            <w:r>
              <w:t>June annually</w:t>
            </w:r>
          </w:p>
        </w:tc>
        <w:tc>
          <w:tcPr>
            <w:tcW w:w="1667" w:type="pct"/>
          </w:tcPr>
          <w:p w14:paraId="34480C95" w14:textId="77777777" w:rsidR="00135DA0" w:rsidRDefault="00135DA0" w:rsidP="00C90A72">
            <w:r>
              <w:t xml:space="preserve">Associate Director, </w:t>
            </w:r>
            <w:proofErr w:type="gramStart"/>
            <w:r>
              <w:t>Access</w:t>
            </w:r>
            <w:proofErr w:type="gramEnd"/>
            <w:r>
              <w:t xml:space="preserve"> and Equity</w:t>
            </w:r>
          </w:p>
        </w:tc>
      </w:tr>
      <w:tr w:rsidR="00135DA0" w:rsidRPr="00DB6246" w14:paraId="1A070FEA" w14:textId="77777777" w:rsidTr="006B1BC7">
        <w:tc>
          <w:tcPr>
            <w:tcW w:w="1667" w:type="pct"/>
          </w:tcPr>
          <w:p w14:paraId="6242932F" w14:textId="77777777" w:rsidR="00135DA0" w:rsidRDefault="00135DA0" w:rsidP="00C90A72">
            <w:r>
              <w:t>24.3 Evaluate referral process with a view to strengthening referrals to Aboriginal legal services and Aboriginal Community Controlled Organisations.</w:t>
            </w:r>
          </w:p>
        </w:tc>
        <w:tc>
          <w:tcPr>
            <w:tcW w:w="1667" w:type="pct"/>
          </w:tcPr>
          <w:p w14:paraId="2F15671D" w14:textId="77777777" w:rsidR="00135DA0" w:rsidRDefault="00135DA0" w:rsidP="00C90A72">
            <w:r>
              <w:t>May 2021</w:t>
            </w:r>
          </w:p>
        </w:tc>
        <w:tc>
          <w:tcPr>
            <w:tcW w:w="1667" w:type="pct"/>
          </w:tcPr>
          <w:p w14:paraId="632192BC" w14:textId="77777777" w:rsidR="00135DA0" w:rsidRDefault="00135DA0" w:rsidP="00C90A72">
            <w:r>
              <w:t xml:space="preserve">Associate Director, </w:t>
            </w:r>
            <w:proofErr w:type="gramStart"/>
            <w:r>
              <w:t>Access</w:t>
            </w:r>
            <w:proofErr w:type="gramEnd"/>
            <w:r>
              <w:t xml:space="preserve"> and Equity</w:t>
            </w:r>
          </w:p>
        </w:tc>
      </w:tr>
    </w:tbl>
    <w:p w14:paraId="1BFA40C7" w14:textId="3F8E2AF2" w:rsidR="00135DA0" w:rsidRDefault="006B1BC7" w:rsidP="006B1BC7">
      <w:pPr>
        <w:pStyle w:val="Tableheading"/>
        <w:rPr>
          <w:lang w:eastAsia="en-AU"/>
        </w:rPr>
      </w:pPr>
      <w:r>
        <w:rPr>
          <w:lang w:eastAsia="en-AU"/>
        </w:rPr>
        <w:t xml:space="preserve">Action 25 – </w:t>
      </w:r>
      <w:r>
        <w:t>Explore strategic advocacy opportunities with Aboriginal legal services</w:t>
      </w:r>
    </w:p>
    <w:tbl>
      <w:tblPr>
        <w:tblStyle w:val="TableGrid"/>
        <w:tblW w:w="5000" w:type="pct"/>
        <w:tblLook w:val="04A0" w:firstRow="1" w:lastRow="0" w:firstColumn="1" w:lastColumn="0" w:noHBand="0" w:noVBand="1"/>
      </w:tblPr>
      <w:tblGrid>
        <w:gridCol w:w="3258"/>
        <w:gridCol w:w="3257"/>
        <w:gridCol w:w="3255"/>
      </w:tblGrid>
      <w:tr w:rsidR="00135DA0" w:rsidRPr="006B1BC7" w14:paraId="53E6FD3A" w14:textId="77777777" w:rsidTr="006D3B57">
        <w:trPr>
          <w:cantSplit/>
          <w:tblHeader/>
        </w:trPr>
        <w:tc>
          <w:tcPr>
            <w:tcW w:w="1667" w:type="pct"/>
            <w:shd w:val="clear" w:color="auto" w:fill="E2EFD9" w:themeFill="accent6" w:themeFillTint="33"/>
          </w:tcPr>
          <w:p w14:paraId="2756D0B1" w14:textId="77777777" w:rsidR="00135DA0" w:rsidRPr="006B1BC7" w:rsidRDefault="00135DA0" w:rsidP="00C90A72">
            <w:pPr>
              <w:rPr>
                <w:b/>
              </w:rPr>
            </w:pPr>
            <w:r w:rsidRPr="006B1BC7">
              <w:rPr>
                <w:b/>
              </w:rPr>
              <w:t>Deliverable</w:t>
            </w:r>
          </w:p>
        </w:tc>
        <w:tc>
          <w:tcPr>
            <w:tcW w:w="1667" w:type="pct"/>
            <w:shd w:val="clear" w:color="auto" w:fill="E2EFD9" w:themeFill="accent6" w:themeFillTint="33"/>
          </w:tcPr>
          <w:p w14:paraId="4890CB33" w14:textId="77777777" w:rsidR="00135DA0" w:rsidRPr="006B1BC7" w:rsidRDefault="00135DA0" w:rsidP="00C90A72">
            <w:pPr>
              <w:rPr>
                <w:b/>
              </w:rPr>
            </w:pPr>
            <w:r w:rsidRPr="006B1BC7">
              <w:rPr>
                <w:b/>
              </w:rPr>
              <w:t>Timeline</w:t>
            </w:r>
          </w:p>
        </w:tc>
        <w:tc>
          <w:tcPr>
            <w:tcW w:w="1667" w:type="pct"/>
            <w:shd w:val="clear" w:color="auto" w:fill="E2EFD9" w:themeFill="accent6" w:themeFillTint="33"/>
          </w:tcPr>
          <w:p w14:paraId="75D05202" w14:textId="77777777" w:rsidR="00135DA0" w:rsidRPr="006B1BC7" w:rsidRDefault="00135DA0" w:rsidP="00C90A72">
            <w:pPr>
              <w:rPr>
                <w:b/>
              </w:rPr>
            </w:pPr>
            <w:r w:rsidRPr="006B1BC7">
              <w:rPr>
                <w:b/>
              </w:rPr>
              <w:t>Responsibility</w:t>
            </w:r>
          </w:p>
        </w:tc>
      </w:tr>
      <w:tr w:rsidR="00135DA0" w:rsidRPr="00DB6246" w14:paraId="48DE3082" w14:textId="77777777" w:rsidTr="006D3B57">
        <w:trPr>
          <w:cantSplit/>
        </w:trPr>
        <w:tc>
          <w:tcPr>
            <w:tcW w:w="1667" w:type="pct"/>
          </w:tcPr>
          <w:p w14:paraId="5F8D867D" w14:textId="77777777" w:rsidR="00135DA0" w:rsidRPr="009817F3" w:rsidRDefault="00135DA0" w:rsidP="00C90A72">
            <w:r>
              <w:t>25.1 Explore collaborative partnerships with Aboriginal legal services where possible to undertake strategic advocacy.</w:t>
            </w:r>
          </w:p>
        </w:tc>
        <w:tc>
          <w:tcPr>
            <w:tcW w:w="1667" w:type="pct"/>
          </w:tcPr>
          <w:p w14:paraId="536D633E" w14:textId="77777777" w:rsidR="00135DA0" w:rsidRPr="00DB6246" w:rsidRDefault="00135DA0" w:rsidP="00C90A72">
            <w:r>
              <w:t>June annually</w:t>
            </w:r>
          </w:p>
        </w:tc>
        <w:tc>
          <w:tcPr>
            <w:tcW w:w="1667" w:type="pct"/>
          </w:tcPr>
          <w:p w14:paraId="268528B4" w14:textId="77777777" w:rsidR="00135DA0" w:rsidRDefault="00135DA0" w:rsidP="00C90A72">
            <w:r>
              <w:t>Executive Director, Criminal Law</w:t>
            </w:r>
          </w:p>
          <w:p w14:paraId="5D77396F" w14:textId="77777777" w:rsidR="00135DA0" w:rsidRDefault="00135DA0" w:rsidP="00C90A72">
            <w:r>
              <w:t>Executive Director, Family, Youth and Children’s Law</w:t>
            </w:r>
          </w:p>
          <w:p w14:paraId="41E3526E" w14:textId="77777777" w:rsidR="00135DA0" w:rsidRPr="00DB6246" w:rsidRDefault="00135DA0" w:rsidP="00C90A72">
            <w:r>
              <w:t xml:space="preserve">Executive Director, Civil Justice, </w:t>
            </w:r>
            <w:proofErr w:type="gramStart"/>
            <w:r>
              <w:t>Access</w:t>
            </w:r>
            <w:proofErr w:type="gramEnd"/>
            <w:r>
              <w:t xml:space="preserve"> and Equity</w:t>
            </w:r>
          </w:p>
        </w:tc>
      </w:tr>
      <w:tr w:rsidR="00135DA0" w:rsidRPr="00DB6246" w14:paraId="5BF4D573" w14:textId="77777777" w:rsidTr="006D3B57">
        <w:trPr>
          <w:cantSplit/>
        </w:trPr>
        <w:tc>
          <w:tcPr>
            <w:tcW w:w="1667" w:type="pct"/>
          </w:tcPr>
          <w:p w14:paraId="0EF7D04F" w14:textId="77777777" w:rsidR="00135DA0" w:rsidRDefault="00135DA0" w:rsidP="00C90A72">
            <w:r>
              <w:t>25.2 Support Aboriginal legal services, where possible, to be a collective voice in lobbying for constructive changes in the law to address systemic injustices.</w:t>
            </w:r>
          </w:p>
        </w:tc>
        <w:tc>
          <w:tcPr>
            <w:tcW w:w="1667" w:type="pct"/>
          </w:tcPr>
          <w:p w14:paraId="53FF1B73" w14:textId="77777777" w:rsidR="00135DA0" w:rsidRDefault="00135DA0" w:rsidP="00C90A72">
            <w:r>
              <w:t>June annually</w:t>
            </w:r>
          </w:p>
        </w:tc>
        <w:tc>
          <w:tcPr>
            <w:tcW w:w="1667" w:type="pct"/>
          </w:tcPr>
          <w:p w14:paraId="7CCCDFD1" w14:textId="77777777" w:rsidR="00135DA0" w:rsidRDefault="00135DA0" w:rsidP="00C90A72">
            <w:r>
              <w:t>Executive Director, Criminal Law</w:t>
            </w:r>
          </w:p>
          <w:p w14:paraId="5AB35B59" w14:textId="77777777" w:rsidR="00135DA0" w:rsidRDefault="00135DA0" w:rsidP="00C90A72">
            <w:r>
              <w:t>Executive Director, Family, Youth and Children’s Law</w:t>
            </w:r>
          </w:p>
          <w:p w14:paraId="2DC43A14" w14:textId="77777777" w:rsidR="00135DA0" w:rsidRDefault="00135DA0" w:rsidP="00C90A72">
            <w:r>
              <w:t xml:space="preserve">Executive Director, Civil Justice, </w:t>
            </w:r>
            <w:proofErr w:type="gramStart"/>
            <w:r>
              <w:t>Access</w:t>
            </w:r>
            <w:proofErr w:type="gramEnd"/>
            <w:r>
              <w:t xml:space="preserve"> and Equity</w:t>
            </w:r>
          </w:p>
        </w:tc>
      </w:tr>
      <w:tr w:rsidR="00135DA0" w:rsidRPr="00DB6246" w14:paraId="5C5E013E" w14:textId="77777777" w:rsidTr="006D3B57">
        <w:trPr>
          <w:cantSplit/>
        </w:trPr>
        <w:tc>
          <w:tcPr>
            <w:tcW w:w="1667" w:type="pct"/>
          </w:tcPr>
          <w:p w14:paraId="5AAD81DB" w14:textId="77777777" w:rsidR="00135DA0" w:rsidRDefault="00135DA0" w:rsidP="00C90A72">
            <w:r>
              <w:lastRenderedPageBreak/>
              <w:t>25.3 Ensure policy and law reform submissions which affect Aboriginal and Torres Strait Islander clients have the involvement of Aboriginal Services to ensure appropriate consideration of cultural issues.</w:t>
            </w:r>
          </w:p>
        </w:tc>
        <w:tc>
          <w:tcPr>
            <w:tcW w:w="1667" w:type="pct"/>
          </w:tcPr>
          <w:p w14:paraId="4D5B89AC" w14:textId="77777777" w:rsidR="00135DA0" w:rsidRDefault="00135DA0" w:rsidP="00C90A72">
            <w:r>
              <w:t>June annually</w:t>
            </w:r>
          </w:p>
        </w:tc>
        <w:tc>
          <w:tcPr>
            <w:tcW w:w="1667" w:type="pct"/>
          </w:tcPr>
          <w:p w14:paraId="4BBD6087" w14:textId="77777777" w:rsidR="00135DA0" w:rsidRDefault="00135DA0" w:rsidP="00C90A72">
            <w:r>
              <w:t>Executive Director, Criminal Law</w:t>
            </w:r>
          </w:p>
          <w:p w14:paraId="3B2CFB1A" w14:textId="77777777" w:rsidR="00135DA0" w:rsidRDefault="00135DA0" w:rsidP="00C90A72">
            <w:r>
              <w:t>Executive Director, Family, Youth and Children’s Law</w:t>
            </w:r>
          </w:p>
          <w:p w14:paraId="47A9E90A" w14:textId="77777777" w:rsidR="00135DA0" w:rsidRDefault="00135DA0" w:rsidP="00C90A72">
            <w:r>
              <w:t xml:space="preserve">Executive Director, Civil Justice, </w:t>
            </w:r>
            <w:proofErr w:type="gramStart"/>
            <w:r>
              <w:t>Access</w:t>
            </w:r>
            <w:proofErr w:type="gramEnd"/>
            <w:r>
              <w:t xml:space="preserve"> and Equity</w:t>
            </w:r>
          </w:p>
        </w:tc>
      </w:tr>
      <w:tr w:rsidR="00135DA0" w:rsidRPr="00DB6246" w14:paraId="3352DF23" w14:textId="77777777" w:rsidTr="006D3B57">
        <w:trPr>
          <w:cantSplit/>
        </w:trPr>
        <w:tc>
          <w:tcPr>
            <w:tcW w:w="1667" w:type="pct"/>
          </w:tcPr>
          <w:p w14:paraId="1D6294D9" w14:textId="77777777" w:rsidR="00135DA0" w:rsidRDefault="00135DA0" w:rsidP="00C90A72">
            <w:r>
              <w:t>25.4 Explore collaborative partnerships with Aboriginal legal services and Aboriginal Community Controlled Organisations to increase access to VLA’s services.</w:t>
            </w:r>
          </w:p>
        </w:tc>
        <w:tc>
          <w:tcPr>
            <w:tcW w:w="1667" w:type="pct"/>
          </w:tcPr>
          <w:p w14:paraId="69F4FCD4" w14:textId="77777777" w:rsidR="00135DA0" w:rsidRDefault="00135DA0" w:rsidP="00C90A72">
            <w:r>
              <w:t>June annually</w:t>
            </w:r>
          </w:p>
        </w:tc>
        <w:tc>
          <w:tcPr>
            <w:tcW w:w="1667" w:type="pct"/>
          </w:tcPr>
          <w:p w14:paraId="76945376" w14:textId="77777777" w:rsidR="00135DA0" w:rsidRDefault="00135DA0" w:rsidP="00C90A72">
            <w:r>
              <w:t>Associate Director, Aboriginal Services</w:t>
            </w:r>
          </w:p>
        </w:tc>
      </w:tr>
    </w:tbl>
    <w:p w14:paraId="0D471291" w14:textId="33873E17" w:rsidR="00135DA0" w:rsidRDefault="006B1BC7" w:rsidP="006B1BC7">
      <w:pPr>
        <w:pStyle w:val="Tableheading"/>
        <w:rPr>
          <w:lang w:eastAsia="en-AU"/>
        </w:rPr>
      </w:pPr>
      <w:r>
        <w:rPr>
          <w:lang w:eastAsia="en-AU"/>
        </w:rPr>
        <w:t xml:space="preserve">Action 26 – </w:t>
      </w:r>
      <w:r>
        <w:t>Increase access to VLA services for Aboriginal and Torres Strait Islander peoples</w:t>
      </w:r>
    </w:p>
    <w:tbl>
      <w:tblPr>
        <w:tblStyle w:val="TableGrid"/>
        <w:tblW w:w="5000" w:type="pct"/>
        <w:tblLook w:val="04A0" w:firstRow="1" w:lastRow="0" w:firstColumn="1" w:lastColumn="0" w:noHBand="0" w:noVBand="1"/>
      </w:tblPr>
      <w:tblGrid>
        <w:gridCol w:w="2443"/>
        <w:gridCol w:w="2443"/>
        <w:gridCol w:w="2443"/>
        <w:gridCol w:w="2441"/>
      </w:tblGrid>
      <w:tr w:rsidR="00BA43D5" w:rsidRPr="006B1BC7" w14:paraId="3E8E1627" w14:textId="77777777" w:rsidTr="006D3B57">
        <w:trPr>
          <w:cantSplit/>
          <w:tblHeader/>
        </w:trPr>
        <w:tc>
          <w:tcPr>
            <w:tcW w:w="1250" w:type="pct"/>
            <w:shd w:val="clear" w:color="auto" w:fill="E2EFD9" w:themeFill="accent6" w:themeFillTint="33"/>
          </w:tcPr>
          <w:p w14:paraId="00D5DB39" w14:textId="77777777" w:rsidR="00BA43D5" w:rsidRPr="006B1BC7" w:rsidRDefault="00BA43D5" w:rsidP="00C90A72">
            <w:pPr>
              <w:rPr>
                <w:b/>
              </w:rPr>
            </w:pPr>
            <w:r w:rsidRPr="006B1BC7">
              <w:rPr>
                <w:b/>
              </w:rPr>
              <w:t>Deliverable</w:t>
            </w:r>
          </w:p>
        </w:tc>
        <w:tc>
          <w:tcPr>
            <w:tcW w:w="1250" w:type="pct"/>
            <w:shd w:val="clear" w:color="auto" w:fill="E2EFD9" w:themeFill="accent6" w:themeFillTint="33"/>
          </w:tcPr>
          <w:p w14:paraId="2747CC96" w14:textId="1C6F0242" w:rsidR="00BA43D5" w:rsidRPr="006B1BC7" w:rsidRDefault="00BA43D5" w:rsidP="00C90A72">
            <w:pPr>
              <w:rPr>
                <w:b/>
              </w:rPr>
            </w:pPr>
            <w:r>
              <w:rPr>
                <w:b/>
              </w:rPr>
              <w:t xml:space="preserve">Original </w:t>
            </w:r>
            <w:r w:rsidRPr="006B1BC7">
              <w:rPr>
                <w:b/>
              </w:rPr>
              <w:t>Timeline</w:t>
            </w:r>
          </w:p>
        </w:tc>
        <w:tc>
          <w:tcPr>
            <w:tcW w:w="1250" w:type="pct"/>
            <w:shd w:val="clear" w:color="auto" w:fill="E2EFD9" w:themeFill="accent6" w:themeFillTint="33"/>
          </w:tcPr>
          <w:p w14:paraId="779FA1AF" w14:textId="319C016D" w:rsidR="00BA43D5" w:rsidRPr="006B1BC7" w:rsidRDefault="00BA43D5" w:rsidP="00C90A72">
            <w:pPr>
              <w:rPr>
                <w:b/>
              </w:rPr>
            </w:pPr>
            <w:r>
              <w:rPr>
                <w:b/>
              </w:rPr>
              <w:t>Revised Timeline</w:t>
            </w:r>
          </w:p>
        </w:tc>
        <w:tc>
          <w:tcPr>
            <w:tcW w:w="1249" w:type="pct"/>
            <w:shd w:val="clear" w:color="auto" w:fill="E2EFD9" w:themeFill="accent6" w:themeFillTint="33"/>
          </w:tcPr>
          <w:p w14:paraId="088056C9" w14:textId="1310692D" w:rsidR="00BA43D5" w:rsidRPr="006B1BC7" w:rsidRDefault="00BA43D5" w:rsidP="00C90A72">
            <w:pPr>
              <w:rPr>
                <w:b/>
              </w:rPr>
            </w:pPr>
            <w:r w:rsidRPr="006B1BC7">
              <w:rPr>
                <w:b/>
              </w:rPr>
              <w:t>Responsibility</w:t>
            </w:r>
          </w:p>
        </w:tc>
      </w:tr>
      <w:tr w:rsidR="00BA43D5" w:rsidRPr="00DB6246" w14:paraId="4F9F2ECB" w14:textId="77777777" w:rsidTr="006D3B57">
        <w:trPr>
          <w:cantSplit/>
        </w:trPr>
        <w:tc>
          <w:tcPr>
            <w:tcW w:w="1250" w:type="pct"/>
          </w:tcPr>
          <w:p w14:paraId="6BF4B00B" w14:textId="77777777" w:rsidR="00BA43D5" w:rsidRPr="009817F3" w:rsidRDefault="00BA43D5" w:rsidP="00C90A72">
            <w:r>
              <w:t>26.1 Explore collaborative partnerships with the Aboriginal Justice Caucus of the Aboriginal Justice Forum for community guidance to increase access to VLA’s services.</w:t>
            </w:r>
          </w:p>
        </w:tc>
        <w:tc>
          <w:tcPr>
            <w:tcW w:w="1250" w:type="pct"/>
          </w:tcPr>
          <w:p w14:paraId="25127E4C" w14:textId="77777777" w:rsidR="00BA43D5" w:rsidRPr="00DB6246" w:rsidRDefault="00BA43D5" w:rsidP="00C90A72">
            <w:r>
              <w:t>September annually</w:t>
            </w:r>
          </w:p>
        </w:tc>
        <w:tc>
          <w:tcPr>
            <w:tcW w:w="1250" w:type="pct"/>
          </w:tcPr>
          <w:p w14:paraId="3A8DBC5B" w14:textId="77777777" w:rsidR="00BA43D5" w:rsidRDefault="00BA43D5" w:rsidP="00C90A72"/>
        </w:tc>
        <w:tc>
          <w:tcPr>
            <w:tcW w:w="1249" w:type="pct"/>
          </w:tcPr>
          <w:p w14:paraId="5183FD74" w14:textId="6C4552FE" w:rsidR="00BA43D5" w:rsidRPr="00DB6246" w:rsidRDefault="00BA43D5" w:rsidP="00C90A72">
            <w:r>
              <w:t>Associate Director, Aboriginal Services</w:t>
            </w:r>
          </w:p>
        </w:tc>
      </w:tr>
      <w:tr w:rsidR="00BA43D5" w:rsidRPr="00DB6246" w14:paraId="3250B1F5" w14:textId="77777777" w:rsidTr="006D3B57">
        <w:trPr>
          <w:cantSplit/>
        </w:trPr>
        <w:tc>
          <w:tcPr>
            <w:tcW w:w="1250" w:type="pct"/>
          </w:tcPr>
          <w:p w14:paraId="28D311EA" w14:textId="77777777" w:rsidR="00BA43D5" w:rsidRDefault="00BA43D5" w:rsidP="00C90A72">
            <w:r>
              <w:t>26.2 Consider whether our existing eligibility criteria or intake processes create barriers for Aboriginal and Torres Strait Islander clients who would benefit from our services.</w:t>
            </w:r>
          </w:p>
        </w:tc>
        <w:tc>
          <w:tcPr>
            <w:tcW w:w="1250" w:type="pct"/>
          </w:tcPr>
          <w:p w14:paraId="446314A0" w14:textId="77777777" w:rsidR="00BA43D5" w:rsidRDefault="00BA43D5" w:rsidP="00C90A72">
            <w:r>
              <w:t>July 2020</w:t>
            </w:r>
          </w:p>
        </w:tc>
        <w:tc>
          <w:tcPr>
            <w:tcW w:w="1250" w:type="pct"/>
          </w:tcPr>
          <w:p w14:paraId="1804E02B" w14:textId="6A0A6498" w:rsidR="00BA43D5" w:rsidRDefault="001976C4" w:rsidP="00C90A72">
            <w:r>
              <w:t>December 2020</w:t>
            </w:r>
          </w:p>
        </w:tc>
        <w:tc>
          <w:tcPr>
            <w:tcW w:w="1249" w:type="pct"/>
          </w:tcPr>
          <w:p w14:paraId="281B1711" w14:textId="58A0485C" w:rsidR="00BA43D5" w:rsidRDefault="00BA43D5" w:rsidP="00C90A72">
            <w:r>
              <w:t xml:space="preserve">Associate Director, </w:t>
            </w:r>
            <w:proofErr w:type="gramStart"/>
            <w:r>
              <w:t>Access</w:t>
            </w:r>
            <w:proofErr w:type="gramEnd"/>
            <w:r>
              <w:t xml:space="preserve"> and Equity</w:t>
            </w:r>
          </w:p>
        </w:tc>
      </w:tr>
      <w:tr w:rsidR="00BA43D5" w:rsidRPr="00DB6246" w14:paraId="002165E0" w14:textId="77777777" w:rsidTr="006D3B57">
        <w:trPr>
          <w:cantSplit/>
        </w:trPr>
        <w:tc>
          <w:tcPr>
            <w:tcW w:w="1250" w:type="pct"/>
          </w:tcPr>
          <w:p w14:paraId="5CC7C21E" w14:textId="77777777" w:rsidR="00BA43D5" w:rsidRDefault="00BA43D5" w:rsidP="00C90A72">
            <w:r>
              <w:lastRenderedPageBreak/>
              <w:t xml:space="preserve">26.3 Engage VLA’s First Nations Staff Network, Aboriginal legal services, Aboriginal Community Controlled </w:t>
            </w:r>
            <w:proofErr w:type="gramStart"/>
            <w:r>
              <w:t>Organisations</w:t>
            </w:r>
            <w:proofErr w:type="gramEnd"/>
            <w:r>
              <w:t xml:space="preserve"> and people with lived experience in designing and delivering CLE for Aboriginal and Torres Strait Islander peoples.</w:t>
            </w:r>
          </w:p>
        </w:tc>
        <w:tc>
          <w:tcPr>
            <w:tcW w:w="1250" w:type="pct"/>
          </w:tcPr>
          <w:p w14:paraId="766EE8FD" w14:textId="77777777" w:rsidR="00BA43D5" w:rsidRDefault="00BA43D5" w:rsidP="00C90A72">
            <w:r>
              <w:t>June annually</w:t>
            </w:r>
          </w:p>
        </w:tc>
        <w:tc>
          <w:tcPr>
            <w:tcW w:w="1250" w:type="pct"/>
          </w:tcPr>
          <w:p w14:paraId="3530ED59" w14:textId="77777777" w:rsidR="00BA43D5" w:rsidRDefault="00BA43D5" w:rsidP="00C90A72"/>
        </w:tc>
        <w:tc>
          <w:tcPr>
            <w:tcW w:w="1249" w:type="pct"/>
          </w:tcPr>
          <w:p w14:paraId="17ED27ED" w14:textId="5175F47B" w:rsidR="00BA43D5" w:rsidRDefault="00BA43D5" w:rsidP="00C90A72">
            <w:r>
              <w:t xml:space="preserve">Associate Director, </w:t>
            </w:r>
            <w:proofErr w:type="gramStart"/>
            <w:r>
              <w:t>Access</w:t>
            </w:r>
            <w:proofErr w:type="gramEnd"/>
            <w:r>
              <w:t xml:space="preserve"> and Equity</w:t>
            </w:r>
          </w:p>
        </w:tc>
      </w:tr>
    </w:tbl>
    <w:p w14:paraId="797E942A" w14:textId="77777777" w:rsidR="006B1BC7" w:rsidRDefault="006B1BC7">
      <w:pPr>
        <w:spacing w:after="0" w:line="240" w:lineRule="auto"/>
        <w:rPr>
          <w:b/>
          <w:sz w:val="24"/>
          <w:lang w:eastAsia="en-AU"/>
        </w:rPr>
      </w:pPr>
      <w:r>
        <w:rPr>
          <w:lang w:eastAsia="en-AU"/>
        </w:rPr>
        <w:br w:type="page"/>
      </w:r>
    </w:p>
    <w:p w14:paraId="1C4DED63" w14:textId="2E1512CA" w:rsidR="00135DA0" w:rsidRPr="006B1BC7" w:rsidRDefault="006B1BC7" w:rsidP="006B1BC7">
      <w:pPr>
        <w:pStyle w:val="Tableheading"/>
        <w:rPr>
          <w:lang w:eastAsia="en-AU"/>
        </w:rPr>
      </w:pPr>
      <w:r>
        <w:rPr>
          <w:lang w:eastAsia="en-AU"/>
        </w:rPr>
        <w:lastRenderedPageBreak/>
        <w:t xml:space="preserve">Action 27 – </w:t>
      </w:r>
      <w:r>
        <w:t>Increase Community Legal Education (CLE) resources for Aboriginal and Torres Strait Islander peoples</w:t>
      </w:r>
    </w:p>
    <w:tbl>
      <w:tblPr>
        <w:tblStyle w:val="TableGrid"/>
        <w:tblW w:w="5000" w:type="pct"/>
        <w:tblLook w:val="04A0" w:firstRow="1" w:lastRow="0" w:firstColumn="1" w:lastColumn="0" w:noHBand="0" w:noVBand="1"/>
      </w:tblPr>
      <w:tblGrid>
        <w:gridCol w:w="2443"/>
        <w:gridCol w:w="2443"/>
        <w:gridCol w:w="2443"/>
        <w:gridCol w:w="2441"/>
      </w:tblGrid>
      <w:tr w:rsidR="0089063E" w:rsidRPr="006B1BC7" w14:paraId="3CFD57E3" w14:textId="77777777" w:rsidTr="006D3B57">
        <w:trPr>
          <w:cantSplit/>
          <w:tblHeader/>
        </w:trPr>
        <w:tc>
          <w:tcPr>
            <w:tcW w:w="1250" w:type="pct"/>
            <w:shd w:val="clear" w:color="auto" w:fill="E2EFD9" w:themeFill="accent6" w:themeFillTint="33"/>
          </w:tcPr>
          <w:p w14:paraId="79F515FB" w14:textId="77777777" w:rsidR="0089063E" w:rsidRPr="006B1BC7" w:rsidRDefault="0089063E" w:rsidP="00C90A72">
            <w:pPr>
              <w:rPr>
                <w:b/>
              </w:rPr>
            </w:pPr>
            <w:r w:rsidRPr="006B1BC7">
              <w:rPr>
                <w:b/>
              </w:rPr>
              <w:t>Deliverable</w:t>
            </w:r>
          </w:p>
        </w:tc>
        <w:tc>
          <w:tcPr>
            <w:tcW w:w="1250" w:type="pct"/>
            <w:shd w:val="clear" w:color="auto" w:fill="E2EFD9" w:themeFill="accent6" w:themeFillTint="33"/>
          </w:tcPr>
          <w:p w14:paraId="4A594654" w14:textId="54C1962D" w:rsidR="0089063E" w:rsidRPr="006B1BC7" w:rsidRDefault="0089063E" w:rsidP="00C90A72">
            <w:pPr>
              <w:rPr>
                <w:b/>
              </w:rPr>
            </w:pPr>
            <w:r>
              <w:rPr>
                <w:b/>
              </w:rPr>
              <w:t xml:space="preserve">Original </w:t>
            </w:r>
            <w:r w:rsidRPr="006B1BC7">
              <w:rPr>
                <w:b/>
              </w:rPr>
              <w:t>Timeline</w:t>
            </w:r>
          </w:p>
        </w:tc>
        <w:tc>
          <w:tcPr>
            <w:tcW w:w="1250" w:type="pct"/>
            <w:shd w:val="clear" w:color="auto" w:fill="E2EFD9" w:themeFill="accent6" w:themeFillTint="33"/>
          </w:tcPr>
          <w:p w14:paraId="10FC6295" w14:textId="27EC852A" w:rsidR="0089063E" w:rsidRPr="006B1BC7" w:rsidRDefault="0089063E" w:rsidP="00C90A72">
            <w:pPr>
              <w:rPr>
                <w:b/>
              </w:rPr>
            </w:pPr>
            <w:r>
              <w:rPr>
                <w:b/>
              </w:rPr>
              <w:t>Revised Timeline</w:t>
            </w:r>
          </w:p>
        </w:tc>
        <w:tc>
          <w:tcPr>
            <w:tcW w:w="1249" w:type="pct"/>
            <w:shd w:val="clear" w:color="auto" w:fill="E2EFD9" w:themeFill="accent6" w:themeFillTint="33"/>
          </w:tcPr>
          <w:p w14:paraId="5DEBE000" w14:textId="2200BA6B" w:rsidR="0089063E" w:rsidRPr="006B1BC7" w:rsidRDefault="0089063E" w:rsidP="00C90A72">
            <w:pPr>
              <w:rPr>
                <w:b/>
              </w:rPr>
            </w:pPr>
            <w:r w:rsidRPr="006B1BC7">
              <w:rPr>
                <w:b/>
              </w:rPr>
              <w:t>Responsibility</w:t>
            </w:r>
          </w:p>
        </w:tc>
      </w:tr>
      <w:tr w:rsidR="0089063E" w:rsidRPr="00DB6246" w14:paraId="7DA76330" w14:textId="77777777" w:rsidTr="006D3B57">
        <w:trPr>
          <w:cantSplit/>
        </w:trPr>
        <w:tc>
          <w:tcPr>
            <w:tcW w:w="1250" w:type="pct"/>
          </w:tcPr>
          <w:p w14:paraId="5E216AEB" w14:textId="77777777" w:rsidR="0089063E" w:rsidRPr="009817F3" w:rsidRDefault="0089063E" w:rsidP="00C90A72">
            <w:r>
              <w:t>27.1 Develop Aboriginal and Torres Strait Islander resources to be used by VLA, Aboriginal legal services and Aboriginal Community Controlled Organisations to increase legal education in the community.</w:t>
            </w:r>
          </w:p>
        </w:tc>
        <w:tc>
          <w:tcPr>
            <w:tcW w:w="1250" w:type="pct"/>
          </w:tcPr>
          <w:p w14:paraId="430F8FD7" w14:textId="77777777" w:rsidR="0089063E" w:rsidRPr="00DB6246" w:rsidRDefault="0089063E" w:rsidP="00C90A72">
            <w:r>
              <w:t>June annually</w:t>
            </w:r>
          </w:p>
        </w:tc>
        <w:tc>
          <w:tcPr>
            <w:tcW w:w="1250" w:type="pct"/>
          </w:tcPr>
          <w:p w14:paraId="4F193A23" w14:textId="77777777" w:rsidR="0089063E" w:rsidRDefault="0089063E" w:rsidP="00C90A72"/>
        </w:tc>
        <w:tc>
          <w:tcPr>
            <w:tcW w:w="1249" w:type="pct"/>
          </w:tcPr>
          <w:p w14:paraId="470DF61C" w14:textId="0227E217" w:rsidR="0089063E" w:rsidRPr="00DB6246" w:rsidRDefault="0089063E" w:rsidP="00C90A72">
            <w:r>
              <w:t xml:space="preserve">Associate Director, </w:t>
            </w:r>
            <w:proofErr w:type="gramStart"/>
            <w:r>
              <w:t>Access</w:t>
            </w:r>
            <w:proofErr w:type="gramEnd"/>
            <w:r>
              <w:t xml:space="preserve"> and Equity</w:t>
            </w:r>
          </w:p>
        </w:tc>
      </w:tr>
      <w:tr w:rsidR="0089063E" w:rsidRPr="00DB6246" w14:paraId="2EA2EB76" w14:textId="77777777" w:rsidTr="006D3B57">
        <w:trPr>
          <w:cantSplit/>
        </w:trPr>
        <w:tc>
          <w:tcPr>
            <w:tcW w:w="1250" w:type="pct"/>
          </w:tcPr>
          <w:p w14:paraId="19953288" w14:textId="77777777" w:rsidR="0089063E" w:rsidRDefault="0089063E" w:rsidP="00C90A72">
            <w:r>
              <w:t>27.2 Ensure that at least two resources are developed each year to increase CLE materials for Aboriginal and Torres Strait Islander communities.</w:t>
            </w:r>
          </w:p>
        </w:tc>
        <w:tc>
          <w:tcPr>
            <w:tcW w:w="1250" w:type="pct"/>
          </w:tcPr>
          <w:p w14:paraId="0BC05C42" w14:textId="77777777" w:rsidR="0089063E" w:rsidRDefault="0089063E" w:rsidP="00C90A72">
            <w:r>
              <w:t>December annually</w:t>
            </w:r>
          </w:p>
        </w:tc>
        <w:tc>
          <w:tcPr>
            <w:tcW w:w="1250" w:type="pct"/>
          </w:tcPr>
          <w:p w14:paraId="00712AFD" w14:textId="77777777" w:rsidR="0089063E" w:rsidRDefault="0089063E" w:rsidP="00C90A72"/>
        </w:tc>
        <w:tc>
          <w:tcPr>
            <w:tcW w:w="1249" w:type="pct"/>
          </w:tcPr>
          <w:p w14:paraId="6DA00313" w14:textId="3CE38BA6" w:rsidR="0089063E" w:rsidRDefault="0089063E" w:rsidP="00C90A72">
            <w:r>
              <w:t xml:space="preserve">Associate Director, </w:t>
            </w:r>
            <w:proofErr w:type="gramStart"/>
            <w:r>
              <w:t>Access</w:t>
            </w:r>
            <w:proofErr w:type="gramEnd"/>
            <w:r>
              <w:t xml:space="preserve"> and Equity</w:t>
            </w:r>
          </w:p>
        </w:tc>
      </w:tr>
      <w:tr w:rsidR="0089063E" w:rsidRPr="00DB6246" w14:paraId="432D5911" w14:textId="77777777" w:rsidTr="006D3B57">
        <w:trPr>
          <w:cantSplit/>
        </w:trPr>
        <w:tc>
          <w:tcPr>
            <w:tcW w:w="1250" w:type="pct"/>
          </w:tcPr>
          <w:p w14:paraId="3B2FD593" w14:textId="77777777" w:rsidR="0089063E" w:rsidRDefault="0089063E" w:rsidP="00C90A72">
            <w:r>
              <w:t>27.3 Explore opportunities to establish Aboriginal and Torres Strait Islander lived experience focus groups across the diverse practise areas of VLA.</w:t>
            </w:r>
          </w:p>
        </w:tc>
        <w:tc>
          <w:tcPr>
            <w:tcW w:w="1250" w:type="pct"/>
          </w:tcPr>
          <w:p w14:paraId="35213BB9" w14:textId="77777777" w:rsidR="0089063E" w:rsidRDefault="0089063E" w:rsidP="00C90A72">
            <w:r>
              <w:t>December 2020</w:t>
            </w:r>
          </w:p>
        </w:tc>
        <w:tc>
          <w:tcPr>
            <w:tcW w:w="1250" w:type="pct"/>
          </w:tcPr>
          <w:p w14:paraId="56DC1459" w14:textId="07BA17A7" w:rsidR="0089063E" w:rsidRDefault="00605879" w:rsidP="00C90A72">
            <w:r>
              <w:t>June 2021</w:t>
            </w:r>
          </w:p>
        </w:tc>
        <w:tc>
          <w:tcPr>
            <w:tcW w:w="1249" w:type="pct"/>
          </w:tcPr>
          <w:p w14:paraId="56FD0172" w14:textId="33301681" w:rsidR="0089063E" w:rsidRDefault="0089063E" w:rsidP="00C90A72">
            <w:r>
              <w:t xml:space="preserve">Associate Director, </w:t>
            </w:r>
            <w:proofErr w:type="gramStart"/>
            <w:r>
              <w:t>Access</w:t>
            </w:r>
            <w:proofErr w:type="gramEnd"/>
            <w:r>
              <w:t xml:space="preserve"> and Equity</w:t>
            </w:r>
          </w:p>
        </w:tc>
      </w:tr>
    </w:tbl>
    <w:p w14:paraId="3DBEB52C" w14:textId="3155BD56" w:rsidR="00135DA0" w:rsidRDefault="006B1BC7" w:rsidP="006D3B57">
      <w:pPr>
        <w:pStyle w:val="Tableheading"/>
        <w:keepNext/>
        <w:rPr>
          <w:lang w:eastAsia="en-AU"/>
        </w:rPr>
      </w:pPr>
      <w:r>
        <w:rPr>
          <w:lang w:eastAsia="en-AU"/>
        </w:rPr>
        <w:lastRenderedPageBreak/>
        <w:t xml:space="preserve">Action 28 – </w:t>
      </w:r>
      <w:r>
        <w:t>Support Aboriginal self-determination and include lived experience in the design and delivery of VLA services</w:t>
      </w:r>
    </w:p>
    <w:tbl>
      <w:tblPr>
        <w:tblStyle w:val="TableGrid"/>
        <w:tblW w:w="5000" w:type="pct"/>
        <w:tblLook w:val="04A0" w:firstRow="1" w:lastRow="0" w:firstColumn="1" w:lastColumn="0" w:noHBand="0" w:noVBand="1"/>
      </w:tblPr>
      <w:tblGrid>
        <w:gridCol w:w="2443"/>
        <w:gridCol w:w="2443"/>
        <w:gridCol w:w="2443"/>
        <w:gridCol w:w="2441"/>
      </w:tblGrid>
      <w:tr w:rsidR="00605879" w:rsidRPr="006B1BC7" w14:paraId="0D8510BC" w14:textId="77777777" w:rsidTr="006D3B57">
        <w:trPr>
          <w:cantSplit/>
          <w:tblHeader/>
        </w:trPr>
        <w:tc>
          <w:tcPr>
            <w:tcW w:w="1250" w:type="pct"/>
            <w:shd w:val="clear" w:color="auto" w:fill="E2EFD9" w:themeFill="accent6" w:themeFillTint="33"/>
          </w:tcPr>
          <w:p w14:paraId="03C7FA30" w14:textId="77777777" w:rsidR="00605879" w:rsidRPr="006B1BC7" w:rsidRDefault="00605879" w:rsidP="00C90A72">
            <w:pPr>
              <w:rPr>
                <w:b/>
              </w:rPr>
            </w:pPr>
            <w:r w:rsidRPr="006B1BC7">
              <w:rPr>
                <w:b/>
              </w:rPr>
              <w:t>Deliverable</w:t>
            </w:r>
          </w:p>
        </w:tc>
        <w:tc>
          <w:tcPr>
            <w:tcW w:w="1250" w:type="pct"/>
            <w:shd w:val="clear" w:color="auto" w:fill="E2EFD9" w:themeFill="accent6" w:themeFillTint="33"/>
          </w:tcPr>
          <w:p w14:paraId="29D5A502" w14:textId="2B729D40" w:rsidR="00605879" w:rsidRPr="006B1BC7" w:rsidRDefault="00605879" w:rsidP="00C90A72">
            <w:pPr>
              <w:rPr>
                <w:b/>
              </w:rPr>
            </w:pPr>
            <w:r>
              <w:rPr>
                <w:b/>
              </w:rPr>
              <w:t xml:space="preserve">Original </w:t>
            </w:r>
            <w:r w:rsidRPr="006B1BC7">
              <w:rPr>
                <w:b/>
              </w:rPr>
              <w:t>Timeline</w:t>
            </w:r>
          </w:p>
        </w:tc>
        <w:tc>
          <w:tcPr>
            <w:tcW w:w="1250" w:type="pct"/>
            <w:shd w:val="clear" w:color="auto" w:fill="E2EFD9" w:themeFill="accent6" w:themeFillTint="33"/>
          </w:tcPr>
          <w:p w14:paraId="3156478A" w14:textId="254DF329" w:rsidR="00605879" w:rsidRPr="006B1BC7" w:rsidRDefault="00605879" w:rsidP="00C90A72">
            <w:pPr>
              <w:rPr>
                <w:b/>
              </w:rPr>
            </w:pPr>
            <w:r>
              <w:rPr>
                <w:b/>
              </w:rPr>
              <w:t>Revised Timeline</w:t>
            </w:r>
          </w:p>
        </w:tc>
        <w:tc>
          <w:tcPr>
            <w:tcW w:w="1249" w:type="pct"/>
            <w:shd w:val="clear" w:color="auto" w:fill="E2EFD9" w:themeFill="accent6" w:themeFillTint="33"/>
          </w:tcPr>
          <w:p w14:paraId="0427FF98" w14:textId="78AD745F" w:rsidR="00605879" w:rsidRPr="006B1BC7" w:rsidRDefault="00605879" w:rsidP="00C90A72">
            <w:pPr>
              <w:rPr>
                <w:b/>
              </w:rPr>
            </w:pPr>
            <w:r w:rsidRPr="006B1BC7">
              <w:rPr>
                <w:b/>
              </w:rPr>
              <w:t>Responsibility</w:t>
            </w:r>
          </w:p>
        </w:tc>
      </w:tr>
      <w:tr w:rsidR="00605879" w:rsidRPr="00DB6246" w14:paraId="7D82A02E" w14:textId="77777777" w:rsidTr="006D3B57">
        <w:trPr>
          <w:cantSplit/>
        </w:trPr>
        <w:tc>
          <w:tcPr>
            <w:tcW w:w="1250" w:type="pct"/>
          </w:tcPr>
          <w:p w14:paraId="44DFBDB6" w14:textId="77777777" w:rsidR="00605879" w:rsidRPr="009817F3" w:rsidRDefault="00605879" w:rsidP="00C90A72">
            <w:r>
              <w:t xml:space="preserve">28.1 Explore opportunities to include Aboriginal and Torres Strait Islander peoples with lived experience in existing groups, (i.e. the Independent Mental Health Advocacy (IMHA) Speaking from Experience group). </w:t>
            </w:r>
          </w:p>
        </w:tc>
        <w:tc>
          <w:tcPr>
            <w:tcW w:w="1250" w:type="pct"/>
          </w:tcPr>
          <w:p w14:paraId="567DB88C" w14:textId="77777777" w:rsidR="00605879" w:rsidRPr="00DB6246" w:rsidRDefault="00605879" w:rsidP="00C90A72">
            <w:r>
              <w:t>December 2020</w:t>
            </w:r>
          </w:p>
        </w:tc>
        <w:tc>
          <w:tcPr>
            <w:tcW w:w="1250" w:type="pct"/>
          </w:tcPr>
          <w:p w14:paraId="13548953" w14:textId="76E74270" w:rsidR="00605879" w:rsidRDefault="00BE7620" w:rsidP="00C90A72">
            <w:r>
              <w:t>June 2021</w:t>
            </w:r>
          </w:p>
        </w:tc>
        <w:tc>
          <w:tcPr>
            <w:tcW w:w="1249" w:type="pct"/>
          </w:tcPr>
          <w:p w14:paraId="301DAD00" w14:textId="2D5E3CF0" w:rsidR="00605879" w:rsidRPr="00DB6246" w:rsidRDefault="00605879" w:rsidP="00C90A72">
            <w:r>
              <w:t xml:space="preserve">Associate Director, </w:t>
            </w:r>
            <w:proofErr w:type="gramStart"/>
            <w:r>
              <w:t>Access</w:t>
            </w:r>
            <w:proofErr w:type="gramEnd"/>
            <w:r>
              <w:t xml:space="preserve"> and Equity</w:t>
            </w:r>
          </w:p>
        </w:tc>
      </w:tr>
    </w:tbl>
    <w:p w14:paraId="3E67B3FC" w14:textId="77777777" w:rsidR="00135DA0" w:rsidRDefault="00135DA0" w:rsidP="00135DA0">
      <w:pPr>
        <w:spacing w:after="0" w:line="240" w:lineRule="auto"/>
        <w:rPr>
          <w:lang w:eastAsia="en-AU"/>
        </w:rPr>
      </w:pPr>
      <w:r>
        <w:rPr>
          <w:lang w:eastAsia="en-AU"/>
        </w:rPr>
        <w:br w:type="page"/>
      </w:r>
    </w:p>
    <w:p w14:paraId="2B708F2F" w14:textId="77777777" w:rsidR="00135DA0" w:rsidRDefault="00135DA0" w:rsidP="003E19BA">
      <w:pPr>
        <w:pStyle w:val="Heading2"/>
      </w:pPr>
      <w:bookmarkStart w:id="8" w:name="_Toc14094193"/>
      <w:bookmarkStart w:id="9" w:name="_Toc14094287"/>
      <w:r>
        <w:lastRenderedPageBreak/>
        <w:t>Governance</w:t>
      </w:r>
      <w:bookmarkEnd w:id="8"/>
      <w:bookmarkEnd w:id="9"/>
    </w:p>
    <w:p w14:paraId="1831C03D" w14:textId="700CFC7A" w:rsidR="00135DA0" w:rsidRDefault="0045472A" w:rsidP="006D3B57">
      <w:pPr>
        <w:pStyle w:val="Tableheading"/>
        <w:keepNext/>
        <w:rPr>
          <w:lang w:eastAsia="en-AU"/>
        </w:rPr>
      </w:pPr>
      <w:r>
        <w:rPr>
          <w:lang w:eastAsia="en-AU"/>
        </w:rPr>
        <w:t xml:space="preserve">Action 29 – </w:t>
      </w:r>
      <w:r>
        <w:t>Establish and maintain an effective RAP Working Group (RWG) to drive governance of the RAP</w:t>
      </w:r>
    </w:p>
    <w:tbl>
      <w:tblPr>
        <w:tblStyle w:val="TableGrid"/>
        <w:tblW w:w="5000" w:type="pct"/>
        <w:tblLook w:val="04A0" w:firstRow="1" w:lastRow="0" w:firstColumn="1" w:lastColumn="0" w:noHBand="0" w:noVBand="1"/>
      </w:tblPr>
      <w:tblGrid>
        <w:gridCol w:w="3258"/>
        <w:gridCol w:w="3257"/>
        <w:gridCol w:w="3255"/>
      </w:tblGrid>
      <w:tr w:rsidR="00135DA0" w:rsidRPr="00757AEB" w14:paraId="7F4EA5E6" w14:textId="77777777" w:rsidTr="006D3B57">
        <w:trPr>
          <w:cantSplit/>
          <w:tblHeader/>
        </w:trPr>
        <w:tc>
          <w:tcPr>
            <w:tcW w:w="1667" w:type="pct"/>
            <w:shd w:val="clear" w:color="auto" w:fill="FBE4D5" w:themeFill="accent2" w:themeFillTint="33"/>
          </w:tcPr>
          <w:p w14:paraId="229AE223" w14:textId="77777777" w:rsidR="00135DA0" w:rsidRPr="00757AEB" w:rsidRDefault="00135DA0" w:rsidP="00C90A72">
            <w:pPr>
              <w:rPr>
                <w:b/>
              </w:rPr>
            </w:pPr>
            <w:r w:rsidRPr="00757AEB">
              <w:rPr>
                <w:b/>
              </w:rPr>
              <w:t>Deliverable</w:t>
            </w:r>
          </w:p>
        </w:tc>
        <w:tc>
          <w:tcPr>
            <w:tcW w:w="1667" w:type="pct"/>
            <w:shd w:val="clear" w:color="auto" w:fill="FBE4D5" w:themeFill="accent2" w:themeFillTint="33"/>
          </w:tcPr>
          <w:p w14:paraId="2AE21A34" w14:textId="77777777" w:rsidR="00135DA0" w:rsidRPr="00757AEB" w:rsidRDefault="00135DA0" w:rsidP="00C90A72">
            <w:pPr>
              <w:rPr>
                <w:b/>
              </w:rPr>
            </w:pPr>
            <w:r w:rsidRPr="00757AEB">
              <w:rPr>
                <w:b/>
              </w:rPr>
              <w:t>Timeline</w:t>
            </w:r>
          </w:p>
        </w:tc>
        <w:tc>
          <w:tcPr>
            <w:tcW w:w="1667" w:type="pct"/>
            <w:shd w:val="clear" w:color="auto" w:fill="FBE4D5" w:themeFill="accent2" w:themeFillTint="33"/>
          </w:tcPr>
          <w:p w14:paraId="3F140D4A" w14:textId="77777777" w:rsidR="00135DA0" w:rsidRPr="00757AEB" w:rsidRDefault="00135DA0" w:rsidP="00C90A72">
            <w:pPr>
              <w:rPr>
                <w:b/>
              </w:rPr>
            </w:pPr>
            <w:r w:rsidRPr="00757AEB">
              <w:rPr>
                <w:b/>
              </w:rPr>
              <w:t>Responsibility</w:t>
            </w:r>
          </w:p>
        </w:tc>
      </w:tr>
      <w:tr w:rsidR="00135DA0" w:rsidRPr="00DB6246" w14:paraId="3DB1CFCE" w14:textId="77777777" w:rsidTr="006D3B57">
        <w:trPr>
          <w:cantSplit/>
        </w:trPr>
        <w:tc>
          <w:tcPr>
            <w:tcW w:w="1667" w:type="pct"/>
          </w:tcPr>
          <w:p w14:paraId="073F567A" w14:textId="77777777" w:rsidR="00135DA0" w:rsidRPr="009817F3" w:rsidRDefault="00135DA0" w:rsidP="00C90A72">
            <w:r>
              <w:t>29.1 RWG oversees the development, endorsement, launch and implementation of the RAP.</w:t>
            </w:r>
          </w:p>
        </w:tc>
        <w:tc>
          <w:tcPr>
            <w:tcW w:w="1667" w:type="pct"/>
          </w:tcPr>
          <w:p w14:paraId="23E54BC8" w14:textId="77777777" w:rsidR="00135DA0" w:rsidRPr="00DB6246" w:rsidRDefault="00135DA0" w:rsidP="00C90A72">
            <w:r>
              <w:t>June annually</w:t>
            </w:r>
          </w:p>
        </w:tc>
        <w:tc>
          <w:tcPr>
            <w:tcW w:w="1667" w:type="pct"/>
          </w:tcPr>
          <w:p w14:paraId="2E98F9BF" w14:textId="77777777" w:rsidR="00135DA0" w:rsidRPr="00DB6246" w:rsidRDefault="00135DA0" w:rsidP="00C90A72">
            <w:r>
              <w:t>Associate Director, Aboriginal Services</w:t>
            </w:r>
          </w:p>
        </w:tc>
      </w:tr>
      <w:tr w:rsidR="00135DA0" w:rsidRPr="00DB6246" w14:paraId="669B923C" w14:textId="77777777" w:rsidTr="006D3B57">
        <w:trPr>
          <w:cantSplit/>
        </w:trPr>
        <w:tc>
          <w:tcPr>
            <w:tcW w:w="1667" w:type="pct"/>
          </w:tcPr>
          <w:p w14:paraId="697DED3F" w14:textId="77777777" w:rsidR="00135DA0" w:rsidRDefault="00135DA0" w:rsidP="00C90A72">
            <w:r>
              <w:t>29.2 Maintain Aboriginal and Torres Strait Islander representation on the RWG.</w:t>
            </w:r>
          </w:p>
        </w:tc>
        <w:tc>
          <w:tcPr>
            <w:tcW w:w="1667" w:type="pct"/>
          </w:tcPr>
          <w:p w14:paraId="1F037ACE" w14:textId="77777777" w:rsidR="00135DA0" w:rsidRDefault="00135DA0" w:rsidP="00C90A72">
            <w:r>
              <w:t>June annually</w:t>
            </w:r>
          </w:p>
        </w:tc>
        <w:tc>
          <w:tcPr>
            <w:tcW w:w="1667" w:type="pct"/>
          </w:tcPr>
          <w:p w14:paraId="638B0068" w14:textId="77777777" w:rsidR="00135DA0" w:rsidRPr="004D01C4" w:rsidRDefault="00135DA0" w:rsidP="00C90A72">
            <w:pPr>
              <w:rPr>
                <w:b/>
              </w:rPr>
            </w:pPr>
            <w:r>
              <w:t>Associate Director, Aboriginal Services</w:t>
            </w:r>
          </w:p>
        </w:tc>
      </w:tr>
      <w:tr w:rsidR="00135DA0" w:rsidRPr="00DB6246" w14:paraId="10CAF4DB" w14:textId="77777777" w:rsidTr="006D3B57">
        <w:trPr>
          <w:cantSplit/>
        </w:trPr>
        <w:tc>
          <w:tcPr>
            <w:tcW w:w="1667" w:type="pct"/>
          </w:tcPr>
          <w:p w14:paraId="7945FCAF" w14:textId="77777777" w:rsidR="00135DA0" w:rsidRDefault="00135DA0" w:rsidP="00C90A72">
            <w:r>
              <w:t>29.3 Establish and apply terms of reference for the RWG.</w:t>
            </w:r>
          </w:p>
        </w:tc>
        <w:tc>
          <w:tcPr>
            <w:tcW w:w="1667" w:type="pct"/>
          </w:tcPr>
          <w:p w14:paraId="0CFBAD34" w14:textId="77777777" w:rsidR="00135DA0" w:rsidRDefault="00135DA0" w:rsidP="00C90A72">
            <w:r>
              <w:t>December 2019</w:t>
            </w:r>
          </w:p>
        </w:tc>
        <w:tc>
          <w:tcPr>
            <w:tcW w:w="1667" w:type="pct"/>
          </w:tcPr>
          <w:p w14:paraId="2E305F76" w14:textId="77777777" w:rsidR="00135DA0" w:rsidRDefault="00135DA0" w:rsidP="00C90A72">
            <w:r>
              <w:t>Associate Director, Aboriginal Services</w:t>
            </w:r>
          </w:p>
        </w:tc>
      </w:tr>
      <w:tr w:rsidR="00135DA0" w:rsidRPr="00DB6246" w14:paraId="6B4E18EC" w14:textId="77777777" w:rsidTr="006D3B57">
        <w:trPr>
          <w:cantSplit/>
        </w:trPr>
        <w:tc>
          <w:tcPr>
            <w:tcW w:w="1667" w:type="pct"/>
          </w:tcPr>
          <w:p w14:paraId="552037DF" w14:textId="77777777" w:rsidR="00135DA0" w:rsidRDefault="00135DA0" w:rsidP="00C90A72">
            <w:r>
              <w:t>29.4 Meet at least four times per year to drive and monitor RAP implementation.</w:t>
            </w:r>
          </w:p>
        </w:tc>
        <w:tc>
          <w:tcPr>
            <w:tcW w:w="1667" w:type="pct"/>
          </w:tcPr>
          <w:p w14:paraId="500C3656" w14:textId="77777777" w:rsidR="00135DA0" w:rsidRDefault="00135DA0" w:rsidP="00C90A72">
            <w:r>
              <w:t>June annually</w:t>
            </w:r>
          </w:p>
        </w:tc>
        <w:tc>
          <w:tcPr>
            <w:tcW w:w="1667" w:type="pct"/>
          </w:tcPr>
          <w:p w14:paraId="7F8D504A" w14:textId="77777777" w:rsidR="00135DA0" w:rsidRDefault="00135DA0" w:rsidP="00C90A72">
            <w:r>
              <w:t>Associate Director, Aboriginal Services</w:t>
            </w:r>
          </w:p>
        </w:tc>
      </w:tr>
    </w:tbl>
    <w:p w14:paraId="2E1F0142" w14:textId="10ECCC71" w:rsidR="00135DA0" w:rsidRDefault="00757AEB" w:rsidP="00757AEB">
      <w:pPr>
        <w:pStyle w:val="Tableheading"/>
        <w:rPr>
          <w:lang w:eastAsia="en-AU"/>
        </w:rPr>
      </w:pPr>
      <w:r>
        <w:rPr>
          <w:lang w:eastAsia="en-AU"/>
        </w:rPr>
        <w:t xml:space="preserve">Action 30 – </w:t>
      </w:r>
      <w:r>
        <w:t>RAP Champions Network to engage both internally and externally to promote VLA’s RAP 2019–21</w:t>
      </w:r>
    </w:p>
    <w:tbl>
      <w:tblPr>
        <w:tblStyle w:val="TableGrid"/>
        <w:tblW w:w="5000" w:type="pct"/>
        <w:tblLook w:val="04A0" w:firstRow="1" w:lastRow="0" w:firstColumn="1" w:lastColumn="0" w:noHBand="0" w:noVBand="1"/>
      </w:tblPr>
      <w:tblGrid>
        <w:gridCol w:w="3258"/>
        <w:gridCol w:w="3257"/>
        <w:gridCol w:w="3255"/>
      </w:tblGrid>
      <w:tr w:rsidR="00135DA0" w:rsidRPr="00757AEB" w14:paraId="3DB20A36" w14:textId="77777777" w:rsidTr="006D3B57">
        <w:trPr>
          <w:cantSplit/>
          <w:tblHeader/>
        </w:trPr>
        <w:tc>
          <w:tcPr>
            <w:tcW w:w="1667" w:type="pct"/>
            <w:shd w:val="clear" w:color="auto" w:fill="FBE4D5" w:themeFill="accent2" w:themeFillTint="33"/>
          </w:tcPr>
          <w:p w14:paraId="5D72A5BC" w14:textId="77777777" w:rsidR="00135DA0" w:rsidRPr="00757AEB" w:rsidRDefault="00135DA0" w:rsidP="00C90A72">
            <w:pPr>
              <w:rPr>
                <w:b/>
              </w:rPr>
            </w:pPr>
            <w:r w:rsidRPr="00757AEB">
              <w:rPr>
                <w:b/>
              </w:rPr>
              <w:t>Deliverable</w:t>
            </w:r>
          </w:p>
        </w:tc>
        <w:tc>
          <w:tcPr>
            <w:tcW w:w="1667" w:type="pct"/>
            <w:shd w:val="clear" w:color="auto" w:fill="FBE4D5" w:themeFill="accent2" w:themeFillTint="33"/>
          </w:tcPr>
          <w:p w14:paraId="124D0D2B" w14:textId="77777777" w:rsidR="00135DA0" w:rsidRPr="00757AEB" w:rsidRDefault="00135DA0" w:rsidP="00C90A72">
            <w:pPr>
              <w:rPr>
                <w:b/>
              </w:rPr>
            </w:pPr>
            <w:r w:rsidRPr="00757AEB">
              <w:rPr>
                <w:b/>
              </w:rPr>
              <w:t>Timeline</w:t>
            </w:r>
          </w:p>
        </w:tc>
        <w:tc>
          <w:tcPr>
            <w:tcW w:w="1667" w:type="pct"/>
            <w:shd w:val="clear" w:color="auto" w:fill="FBE4D5" w:themeFill="accent2" w:themeFillTint="33"/>
          </w:tcPr>
          <w:p w14:paraId="30FEE55E" w14:textId="77777777" w:rsidR="00135DA0" w:rsidRPr="00757AEB" w:rsidRDefault="00135DA0" w:rsidP="00C90A72">
            <w:pPr>
              <w:rPr>
                <w:b/>
              </w:rPr>
            </w:pPr>
            <w:r w:rsidRPr="00757AEB">
              <w:rPr>
                <w:b/>
              </w:rPr>
              <w:t>Responsibility</w:t>
            </w:r>
          </w:p>
        </w:tc>
      </w:tr>
      <w:tr w:rsidR="00135DA0" w:rsidRPr="00DB6246" w14:paraId="212A27F2" w14:textId="77777777" w:rsidTr="006D3B57">
        <w:trPr>
          <w:cantSplit/>
        </w:trPr>
        <w:tc>
          <w:tcPr>
            <w:tcW w:w="1667" w:type="pct"/>
          </w:tcPr>
          <w:p w14:paraId="723E82E5" w14:textId="77777777" w:rsidR="00135DA0" w:rsidRPr="009817F3" w:rsidRDefault="00135DA0" w:rsidP="00C90A72">
            <w:r>
              <w:t>30.1 Review the RAP Champions Network annually to provide opportunities to refresh and renew the group.</w:t>
            </w:r>
          </w:p>
        </w:tc>
        <w:tc>
          <w:tcPr>
            <w:tcW w:w="1667" w:type="pct"/>
          </w:tcPr>
          <w:p w14:paraId="63307DC1" w14:textId="77777777" w:rsidR="00135DA0" w:rsidRPr="00DB6246" w:rsidRDefault="00135DA0" w:rsidP="00C90A72">
            <w:r>
              <w:t>June annually</w:t>
            </w:r>
          </w:p>
        </w:tc>
        <w:tc>
          <w:tcPr>
            <w:tcW w:w="1667" w:type="pct"/>
          </w:tcPr>
          <w:p w14:paraId="56554AF9" w14:textId="77777777" w:rsidR="00135DA0" w:rsidRPr="00DB6246" w:rsidRDefault="00135DA0" w:rsidP="00C90A72">
            <w:r>
              <w:t>Chief Executive Officer</w:t>
            </w:r>
          </w:p>
        </w:tc>
      </w:tr>
      <w:tr w:rsidR="00135DA0" w:rsidRPr="00DB6246" w14:paraId="7BF15BE7" w14:textId="77777777" w:rsidTr="006D3B57">
        <w:trPr>
          <w:cantSplit/>
        </w:trPr>
        <w:tc>
          <w:tcPr>
            <w:tcW w:w="1667" w:type="pct"/>
          </w:tcPr>
          <w:p w14:paraId="694B418F" w14:textId="77777777" w:rsidR="00135DA0" w:rsidRDefault="00135DA0" w:rsidP="00C90A72">
            <w:r>
              <w:t>30.2 RAP Champions Network will promote VLA’s RAP both internally and externally.</w:t>
            </w:r>
          </w:p>
        </w:tc>
        <w:tc>
          <w:tcPr>
            <w:tcW w:w="1667" w:type="pct"/>
          </w:tcPr>
          <w:p w14:paraId="071EF234" w14:textId="77777777" w:rsidR="00135DA0" w:rsidRDefault="00135DA0" w:rsidP="00C90A72">
            <w:r>
              <w:t>June annually</w:t>
            </w:r>
          </w:p>
        </w:tc>
        <w:tc>
          <w:tcPr>
            <w:tcW w:w="1667" w:type="pct"/>
          </w:tcPr>
          <w:p w14:paraId="493E73E8" w14:textId="77777777" w:rsidR="00135DA0" w:rsidRDefault="00135DA0" w:rsidP="00C90A72">
            <w:r>
              <w:t>Chief Executive Officer</w:t>
            </w:r>
          </w:p>
        </w:tc>
      </w:tr>
      <w:tr w:rsidR="00135DA0" w:rsidRPr="00DB6246" w14:paraId="4A792575" w14:textId="77777777" w:rsidTr="006D3B57">
        <w:trPr>
          <w:cantSplit/>
        </w:trPr>
        <w:tc>
          <w:tcPr>
            <w:tcW w:w="1667" w:type="pct"/>
          </w:tcPr>
          <w:p w14:paraId="755F97D6" w14:textId="77777777" w:rsidR="00135DA0" w:rsidRDefault="00135DA0" w:rsidP="00C90A72">
            <w:r>
              <w:t>30.3 RAP Champions Network will be invited to participate in VLA’s major community events, NAIDOC week and National Reconciliation Week.</w:t>
            </w:r>
          </w:p>
        </w:tc>
        <w:tc>
          <w:tcPr>
            <w:tcW w:w="1667" w:type="pct"/>
          </w:tcPr>
          <w:p w14:paraId="6F50F4BC" w14:textId="77777777" w:rsidR="00135DA0" w:rsidRDefault="00135DA0" w:rsidP="00C90A72">
            <w:r>
              <w:t>May, June annually</w:t>
            </w:r>
          </w:p>
        </w:tc>
        <w:tc>
          <w:tcPr>
            <w:tcW w:w="1667" w:type="pct"/>
          </w:tcPr>
          <w:p w14:paraId="0FC9C437" w14:textId="77777777" w:rsidR="00135DA0" w:rsidRDefault="00135DA0" w:rsidP="00C90A72">
            <w:r>
              <w:t>Chief Executive Officer</w:t>
            </w:r>
          </w:p>
        </w:tc>
      </w:tr>
      <w:tr w:rsidR="00135DA0" w:rsidRPr="00DB6246" w14:paraId="0C6DF639" w14:textId="77777777" w:rsidTr="006D3B57">
        <w:trPr>
          <w:cantSplit/>
        </w:trPr>
        <w:tc>
          <w:tcPr>
            <w:tcW w:w="1667" w:type="pct"/>
          </w:tcPr>
          <w:p w14:paraId="249ECB2E" w14:textId="77777777" w:rsidR="00135DA0" w:rsidRDefault="00135DA0" w:rsidP="00C90A72">
            <w:r>
              <w:t>30.4 RAP Champions Network will meet a minimum of four times per year, and, additionally, will have a minimum of two joint meetings with the First Nations Staff Network.</w:t>
            </w:r>
          </w:p>
        </w:tc>
        <w:tc>
          <w:tcPr>
            <w:tcW w:w="1667" w:type="pct"/>
          </w:tcPr>
          <w:p w14:paraId="7AE556BC" w14:textId="77777777" w:rsidR="00135DA0" w:rsidRDefault="00135DA0" w:rsidP="00C90A72">
            <w:r>
              <w:t>June annually</w:t>
            </w:r>
          </w:p>
        </w:tc>
        <w:tc>
          <w:tcPr>
            <w:tcW w:w="1667" w:type="pct"/>
          </w:tcPr>
          <w:p w14:paraId="4B3D5EE3" w14:textId="77777777" w:rsidR="00135DA0" w:rsidRDefault="00135DA0" w:rsidP="00C90A72">
            <w:r>
              <w:t>Chief Executive Officer</w:t>
            </w:r>
          </w:p>
        </w:tc>
      </w:tr>
      <w:tr w:rsidR="00135DA0" w:rsidRPr="00DB6246" w14:paraId="2C85EAE1" w14:textId="77777777" w:rsidTr="006D3B57">
        <w:trPr>
          <w:cantSplit/>
        </w:trPr>
        <w:tc>
          <w:tcPr>
            <w:tcW w:w="1667" w:type="pct"/>
          </w:tcPr>
          <w:p w14:paraId="718B8E51" w14:textId="77777777" w:rsidR="00135DA0" w:rsidRDefault="00135DA0" w:rsidP="00C90A72">
            <w:r>
              <w:lastRenderedPageBreak/>
              <w:t>30.5 Ensure the Board is engaged with, and briefed on, progress against the RAP – including through direct participation of a Board representative in the RAP Champions Network.</w:t>
            </w:r>
          </w:p>
        </w:tc>
        <w:tc>
          <w:tcPr>
            <w:tcW w:w="1667" w:type="pct"/>
          </w:tcPr>
          <w:p w14:paraId="11DFC0AD" w14:textId="77777777" w:rsidR="00135DA0" w:rsidRDefault="00135DA0" w:rsidP="00C90A72">
            <w:r>
              <w:t>June annually</w:t>
            </w:r>
          </w:p>
        </w:tc>
        <w:tc>
          <w:tcPr>
            <w:tcW w:w="1667" w:type="pct"/>
          </w:tcPr>
          <w:p w14:paraId="4FEF5B14" w14:textId="77777777" w:rsidR="00135DA0" w:rsidRDefault="00135DA0" w:rsidP="00C90A72">
            <w:r>
              <w:t>Chief Executive Officer</w:t>
            </w:r>
          </w:p>
        </w:tc>
      </w:tr>
    </w:tbl>
    <w:p w14:paraId="289080B2" w14:textId="5843E369" w:rsidR="00135DA0" w:rsidRDefault="00757AEB" w:rsidP="00757AEB">
      <w:pPr>
        <w:pStyle w:val="Tableheading"/>
        <w:rPr>
          <w:lang w:eastAsia="en-AU"/>
        </w:rPr>
      </w:pPr>
      <w:r>
        <w:rPr>
          <w:lang w:eastAsia="en-AU"/>
        </w:rPr>
        <w:t xml:space="preserve">Action 31 – </w:t>
      </w:r>
      <w:r>
        <w:t>Provide appropriate support for effective implementation of RAP commitments</w:t>
      </w:r>
    </w:p>
    <w:tbl>
      <w:tblPr>
        <w:tblStyle w:val="TableGrid"/>
        <w:tblW w:w="5000" w:type="pct"/>
        <w:tblLook w:val="04A0" w:firstRow="1" w:lastRow="0" w:firstColumn="1" w:lastColumn="0" w:noHBand="0" w:noVBand="1"/>
      </w:tblPr>
      <w:tblGrid>
        <w:gridCol w:w="2443"/>
        <w:gridCol w:w="2443"/>
        <w:gridCol w:w="2443"/>
        <w:gridCol w:w="2441"/>
      </w:tblGrid>
      <w:tr w:rsidR="00BE7620" w:rsidRPr="00757AEB" w14:paraId="65EE7BAA" w14:textId="77777777" w:rsidTr="006D3B57">
        <w:trPr>
          <w:cantSplit/>
          <w:tblHeader/>
        </w:trPr>
        <w:tc>
          <w:tcPr>
            <w:tcW w:w="1250" w:type="pct"/>
            <w:shd w:val="clear" w:color="auto" w:fill="FBE4D5" w:themeFill="accent2" w:themeFillTint="33"/>
          </w:tcPr>
          <w:p w14:paraId="7FE95589" w14:textId="77777777" w:rsidR="00BE7620" w:rsidRPr="00757AEB" w:rsidRDefault="00BE7620" w:rsidP="00C90A72">
            <w:pPr>
              <w:rPr>
                <w:b/>
              </w:rPr>
            </w:pPr>
            <w:r w:rsidRPr="00757AEB">
              <w:rPr>
                <w:b/>
              </w:rPr>
              <w:t>Deliverable</w:t>
            </w:r>
          </w:p>
        </w:tc>
        <w:tc>
          <w:tcPr>
            <w:tcW w:w="1250" w:type="pct"/>
            <w:shd w:val="clear" w:color="auto" w:fill="FBE4D5" w:themeFill="accent2" w:themeFillTint="33"/>
          </w:tcPr>
          <w:p w14:paraId="35836899" w14:textId="1534705F" w:rsidR="00BE7620" w:rsidRPr="00757AEB" w:rsidRDefault="00BE7620" w:rsidP="00C90A72">
            <w:pPr>
              <w:rPr>
                <w:b/>
              </w:rPr>
            </w:pPr>
            <w:r>
              <w:rPr>
                <w:b/>
              </w:rPr>
              <w:t>O</w:t>
            </w:r>
            <w:r w:rsidR="00BE5812">
              <w:rPr>
                <w:b/>
              </w:rPr>
              <w:t xml:space="preserve">riginal </w:t>
            </w:r>
            <w:r w:rsidRPr="00757AEB">
              <w:rPr>
                <w:b/>
              </w:rPr>
              <w:t>Timeline</w:t>
            </w:r>
          </w:p>
        </w:tc>
        <w:tc>
          <w:tcPr>
            <w:tcW w:w="1250" w:type="pct"/>
            <w:shd w:val="clear" w:color="auto" w:fill="FBE4D5" w:themeFill="accent2" w:themeFillTint="33"/>
          </w:tcPr>
          <w:p w14:paraId="24A05ABF" w14:textId="13AE98C6" w:rsidR="00BE7620" w:rsidRPr="00757AEB" w:rsidRDefault="00BE5812" w:rsidP="00C90A72">
            <w:pPr>
              <w:rPr>
                <w:b/>
              </w:rPr>
            </w:pPr>
            <w:r>
              <w:rPr>
                <w:b/>
              </w:rPr>
              <w:t>Revised Timeline</w:t>
            </w:r>
          </w:p>
        </w:tc>
        <w:tc>
          <w:tcPr>
            <w:tcW w:w="1249" w:type="pct"/>
            <w:shd w:val="clear" w:color="auto" w:fill="FBE4D5" w:themeFill="accent2" w:themeFillTint="33"/>
          </w:tcPr>
          <w:p w14:paraId="0D508AEE" w14:textId="183E2F11" w:rsidR="00BE7620" w:rsidRPr="00757AEB" w:rsidRDefault="00BE7620" w:rsidP="00C90A72">
            <w:pPr>
              <w:rPr>
                <w:b/>
              </w:rPr>
            </w:pPr>
            <w:r w:rsidRPr="00757AEB">
              <w:rPr>
                <w:b/>
              </w:rPr>
              <w:t>Responsibility</w:t>
            </w:r>
          </w:p>
        </w:tc>
      </w:tr>
      <w:tr w:rsidR="00BE7620" w:rsidRPr="00DB6246" w14:paraId="49B45D9A" w14:textId="77777777" w:rsidTr="006D3B57">
        <w:trPr>
          <w:cantSplit/>
        </w:trPr>
        <w:tc>
          <w:tcPr>
            <w:tcW w:w="1250" w:type="pct"/>
          </w:tcPr>
          <w:p w14:paraId="090B133C" w14:textId="77777777" w:rsidR="00BE7620" w:rsidRPr="009817F3" w:rsidRDefault="00BE7620" w:rsidP="00C90A72">
            <w:r>
              <w:t>31.1 Define resourcing needs for RAP implementation.</w:t>
            </w:r>
          </w:p>
        </w:tc>
        <w:tc>
          <w:tcPr>
            <w:tcW w:w="1250" w:type="pct"/>
          </w:tcPr>
          <w:p w14:paraId="08ED9C8C" w14:textId="77777777" w:rsidR="00BE7620" w:rsidRPr="00DB6246" w:rsidRDefault="00BE7620" w:rsidP="00C90A72">
            <w:r>
              <w:t>June annually</w:t>
            </w:r>
          </w:p>
        </w:tc>
        <w:tc>
          <w:tcPr>
            <w:tcW w:w="1250" w:type="pct"/>
          </w:tcPr>
          <w:p w14:paraId="24B3D5E4" w14:textId="112AC508" w:rsidR="00BE7620" w:rsidRDefault="00BE5812" w:rsidP="00C90A72">
            <w:r>
              <w:t xml:space="preserve">December annually </w:t>
            </w:r>
          </w:p>
        </w:tc>
        <w:tc>
          <w:tcPr>
            <w:tcW w:w="1249" w:type="pct"/>
          </w:tcPr>
          <w:p w14:paraId="1E9B5FBB" w14:textId="25B826C3" w:rsidR="00BE7620" w:rsidRPr="00DB6246" w:rsidRDefault="00BE7620" w:rsidP="00C90A72">
            <w:r>
              <w:t>Associate Director, Aboriginal Services</w:t>
            </w:r>
          </w:p>
        </w:tc>
      </w:tr>
      <w:tr w:rsidR="00BE7620" w:rsidRPr="00DB6246" w14:paraId="62BC8FE2" w14:textId="77777777" w:rsidTr="006D3B57">
        <w:trPr>
          <w:cantSplit/>
        </w:trPr>
        <w:tc>
          <w:tcPr>
            <w:tcW w:w="1250" w:type="pct"/>
          </w:tcPr>
          <w:p w14:paraId="2777C087" w14:textId="77777777" w:rsidR="00BE7620" w:rsidRDefault="00BE7620" w:rsidP="00C90A72">
            <w:r>
              <w:t>31.2 Engage senior leaders and other staff in the delivery of RAP commitments.</w:t>
            </w:r>
          </w:p>
        </w:tc>
        <w:tc>
          <w:tcPr>
            <w:tcW w:w="1250" w:type="pct"/>
          </w:tcPr>
          <w:p w14:paraId="3821BDE1" w14:textId="77777777" w:rsidR="00BE7620" w:rsidRDefault="00BE7620" w:rsidP="00C90A72">
            <w:r>
              <w:t>June annually</w:t>
            </w:r>
          </w:p>
        </w:tc>
        <w:tc>
          <w:tcPr>
            <w:tcW w:w="1250" w:type="pct"/>
          </w:tcPr>
          <w:p w14:paraId="78DB999D" w14:textId="77777777" w:rsidR="00BE7620" w:rsidRDefault="00BE7620" w:rsidP="00C90A72"/>
        </w:tc>
        <w:tc>
          <w:tcPr>
            <w:tcW w:w="1249" w:type="pct"/>
          </w:tcPr>
          <w:p w14:paraId="017E3B7B" w14:textId="11B571CE" w:rsidR="00BE7620" w:rsidRDefault="00BE7620" w:rsidP="00C90A72">
            <w:r>
              <w:t>Associate Director, Aboriginal Services</w:t>
            </w:r>
          </w:p>
        </w:tc>
      </w:tr>
      <w:tr w:rsidR="00BE7620" w:rsidRPr="00DB6246" w14:paraId="23B82C0B" w14:textId="77777777" w:rsidTr="006D3B57">
        <w:trPr>
          <w:cantSplit/>
        </w:trPr>
        <w:tc>
          <w:tcPr>
            <w:tcW w:w="1250" w:type="pct"/>
          </w:tcPr>
          <w:p w14:paraId="76E8C5C3" w14:textId="77777777" w:rsidR="00BE7620" w:rsidRDefault="00BE7620" w:rsidP="00C90A72">
            <w:r>
              <w:t>31.3 Define and maintain appropriate systems to track, measure and report on RAP commitments.</w:t>
            </w:r>
          </w:p>
        </w:tc>
        <w:tc>
          <w:tcPr>
            <w:tcW w:w="1250" w:type="pct"/>
          </w:tcPr>
          <w:p w14:paraId="5AF7CE63" w14:textId="77777777" w:rsidR="00BE7620" w:rsidRDefault="00BE7620" w:rsidP="00C90A72">
            <w:r>
              <w:t>June annually</w:t>
            </w:r>
          </w:p>
        </w:tc>
        <w:tc>
          <w:tcPr>
            <w:tcW w:w="1250" w:type="pct"/>
          </w:tcPr>
          <w:p w14:paraId="1F8772C0" w14:textId="77777777" w:rsidR="00BE7620" w:rsidRDefault="00BE7620" w:rsidP="00C90A72"/>
        </w:tc>
        <w:tc>
          <w:tcPr>
            <w:tcW w:w="1249" w:type="pct"/>
          </w:tcPr>
          <w:p w14:paraId="6FB5923D" w14:textId="5B3BC87E" w:rsidR="00BE7620" w:rsidRDefault="00BE7620" w:rsidP="00C90A72">
            <w:r>
              <w:t>Associate Director, Aboriginal Services</w:t>
            </w:r>
          </w:p>
        </w:tc>
      </w:tr>
    </w:tbl>
    <w:p w14:paraId="6B7E5B77" w14:textId="078BD697" w:rsidR="00135DA0" w:rsidRDefault="00757AEB" w:rsidP="00757AEB">
      <w:pPr>
        <w:pStyle w:val="Tableheading"/>
        <w:rPr>
          <w:lang w:eastAsia="en-AU"/>
        </w:rPr>
      </w:pPr>
      <w:r>
        <w:rPr>
          <w:lang w:eastAsia="en-AU"/>
        </w:rPr>
        <w:t xml:space="preserve">Action 32 – </w:t>
      </w:r>
      <w:r>
        <w:t xml:space="preserve">Build accountability and transparency through reporting RAP achievements, </w:t>
      </w:r>
      <w:proofErr w:type="gramStart"/>
      <w:r>
        <w:t>challenges</w:t>
      </w:r>
      <w:proofErr w:type="gramEnd"/>
      <w:r>
        <w:t xml:space="preserve"> and learnings both internally and externally</w:t>
      </w:r>
    </w:p>
    <w:tbl>
      <w:tblPr>
        <w:tblStyle w:val="TableGrid"/>
        <w:tblW w:w="5000" w:type="pct"/>
        <w:tblLook w:val="04A0" w:firstRow="1" w:lastRow="0" w:firstColumn="1" w:lastColumn="0" w:noHBand="0" w:noVBand="1"/>
      </w:tblPr>
      <w:tblGrid>
        <w:gridCol w:w="3258"/>
        <w:gridCol w:w="3257"/>
        <w:gridCol w:w="3255"/>
      </w:tblGrid>
      <w:tr w:rsidR="00135DA0" w:rsidRPr="00757AEB" w14:paraId="4AE016FE" w14:textId="77777777" w:rsidTr="006D3B57">
        <w:trPr>
          <w:cantSplit/>
          <w:tblHeader/>
        </w:trPr>
        <w:tc>
          <w:tcPr>
            <w:tcW w:w="1667" w:type="pct"/>
            <w:shd w:val="clear" w:color="auto" w:fill="FBE4D5" w:themeFill="accent2" w:themeFillTint="33"/>
          </w:tcPr>
          <w:p w14:paraId="694BE6C8" w14:textId="77777777" w:rsidR="00135DA0" w:rsidRPr="00757AEB" w:rsidRDefault="00135DA0" w:rsidP="00C90A72">
            <w:pPr>
              <w:rPr>
                <w:b/>
              </w:rPr>
            </w:pPr>
            <w:r w:rsidRPr="00757AEB">
              <w:rPr>
                <w:b/>
              </w:rPr>
              <w:t>Deliverable</w:t>
            </w:r>
          </w:p>
        </w:tc>
        <w:tc>
          <w:tcPr>
            <w:tcW w:w="1667" w:type="pct"/>
            <w:shd w:val="clear" w:color="auto" w:fill="FBE4D5" w:themeFill="accent2" w:themeFillTint="33"/>
          </w:tcPr>
          <w:p w14:paraId="1FE17AF2" w14:textId="77777777" w:rsidR="00135DA0" w:rsidRPr="00757AEB" w:rsidRDefault="00135DA0" w:rsidP="00C90A72">
            <w:pPr>
              <w:rPr>
                <w:b/>
              </w:rPr>
            </w:pPr>
            <w:r w:rsidRPr="00757AEB">
              <w:rPr>
                <w:b/>
              </w:rPr>
              <w:t>Timeline</w:t>
            </w:r>
          </w:p>
        </w:tc>
        <w:tc>
          <w:tcPr>
            <w:tcW w:w="1667" w:type="pct"/>
            <w:shd w:val="clear" w:color="auto" w:fill="FBE4D5" w:themeFill="accent2" w:themeFillTint="33"/>
          </w:tcPr>
          <w:p w14:paraId="28366C29" w14:textId="77777777" w:rsidR="00135DA0" w:rsidRPr="00757AEB" w:rsidRDefault="00135DA0" w:rsidP="00C90A72">
            <w:pPr>
              <w:rPr>
                <w:b/>
              </w:rPr>
            </w:pPr>
            <w:r w:rsidRPr="00757AEB">
              <w:rPr>
                <w:b/>
              </w:rPr>
              <w:t>Responsibility</w:t>
            </w:r>
          </w:p>
        </w:tc>
      </w:tr>
      <w:tr w:rsidR="00135DA0" w:rsidRPr="00DB6246" w14:paraId="74D49B2B" w14:textId="77777777" w:rsidTr="006D3B57">
        <w:trPr>
          <w:cantSplit/>
        </w:trPr>
        <w:tc>
          <w:tcPr>
            <w:tcW w:w="1667" w:type="pct"/>
          </w:tcPr>
          <w:p w14:paraId="11DEEDA9" w14:textId="77777777" w:rsidR="00135DA0" w:rsidRPr="009817F3" w:rsidRDefault="00135DA0" w:rsidP="00C90A72">
            <w:r>
              <w:t>32.1 Complete and submit the annual RAP Impact Measurement Questionnaire to Reconciliation Australia.</w:t>
            </w:r>
          </w:p>
        </w:tc>
        <w:tc>
          <w:tcPr>
            <w:tcW w:w="1667" w:type="pct"/>
          </w:tcPr>
          <w:p w14:paraId="305028A3" w14:textId="77777777" w:rsidR="00135DA0" w:rsidRPr="00DB6246" w:rsidRDefault="00135DA0" w:rsidP="00C90A72">
            <w:r>
              <w:t>30 September annually</w:t>
            </w:r>
          </w:p>
        </w:tc>
        <w:tc>
          <w:tcPr>
            <w:tcW w:w="1667" w:type="pct"/>
          </w:tcPr>
          <w:p w14:paraId="0E33D08E" w14:textId="77777777" w:rsidR="00135DA0" w:rsidRPr="00DB6246" w:rsidRDefault="00135DA0" w:rsidP="00C90A72">
            <w:r>
              <w:t>Associate Director, Aboriginal Services</w:t>
            </w:r>
          </w:p>
        </w:tc>
      </w:tr>
      <w:tr w:rsidR="00135DA0" w:rsidRPr="00DB6246" w14:paraId="6F2890FC" w14:textId="77777777" w:rsidTr="006D3B57">
        <w:trPr>
          <w:cantSplit/>
        </w:trPr>
        <w:tc>
          <w:tcPr>
            <w:tcW w:w="1667" w:type="pct"/>
          </w:tcPr>
          <w:p w14:paraId="1B51BAAF" w14:textId="77777777" w:rsidR="00135DA0" w:rsidRDefault="00135DA0" w:rsidP="00C90A72">
            <w:r>
              <w:t xml:space="preserve">32.2 Report RAP progress to all staff and senior leaders twice a year. </w:t>
            </w:r>
          </w:p>
        </w:tc>
        <w:tc>
          <w:tcPr>
            <w:tcW w:w="1667" w:type="pct"/>
          </w:tcPr>
          <w:p w14:paraId="29737B01" w14:textId="77777777" w:rsidR="00135DA0" w:rsidRDefault="00135DA0" w:rsidP="00C90A72">
            <w:r>
              <w:t>April and October annually</w:t>
            </w:r>
          </w:p>
        </w:tc>
        <w:tc>
          <w:tcPr>
            <w:tcW w:w="1667" w:type="pct"/>
          </w:tcPr>
          <w:p w14:paraId="4E42AE61" w14:textId="77777777" w:rsidR="00135DA0" w:rsidRDefault="00135DA0" w:rsidP="00C90A72">
            <w:r>
              <w:t>Associate Director, Aboriginal Services</w:t>
            </w:r>
          </w:p>
        </w:tc>
      </w:tr>
      <w:tr w:rsidR="00135DA0" w:rsidRPr="00DB6246" w14:paraId="534262F5" w14:textId="77777777" w:rsidTr="006D3B57">
        <w:trPr>
          <w:cantSplit/>
        </w:trPr>
        <w:tc>
          <w:tcPr>
            <w:tcW w:w="1667" w:type="pct"/>
          </w:tcPr>
          <w:p w14:paraId="024EF3E9" w14:textId="77777777" w:rsidR="00135DA0" w:rsidRDefault="00135DA0" w:rsidP="00C90A72">
            <w:r>
              <w:t xml:space="preserve">32.3 Publicly report our RAP achievements, </w:t>
            </w:r>
            <w:proofErr w:type="gramStart"/>
            <w:r>
              <w:t>challenges</w:t>
            </w:r>
            <w:proofErr w:type="gramEnd"/>
            <w:r>
              <w:t xml:space="preserve"> and learnings, annually.</w:t>
            </w:r>
          </w:p>
        </w:tc>
        <w:tc>
          <w:tcPr>
            <w:tcW w:w="1667" w:type="pct"/>
          </w:tcPr>
          <w:p w14:paraId="29EFD589" w14:textId="77777777" w:rsidR="00135DA0" w:rsidRDefault="00135DA0" w:rsidP="00C90A72">
            <w:r>
              <w:t>June annually</w:t>
            </w:r>
          </w:p>
        </w:tc>
        <w:tc>
          <w:tcPr>
            <w:tcW w:w="1667" w:type="pct"/>
          </w:tcPr>
          <w:p w14:paraId="70DFC2D5" w14:textId="77777777" w:rsidR="00135DA0" w:rsidRDefault="00135DA0" w:rsidP="00C90A72">
            <w:r>
              <w:t>Associate Director, Aboriginal Services</w:t>
            </w:r>
          </w:p>
        </w:tc>
      </w:tr>
      <w:tr w:rsidR="00135DA0" w:rsidRPr="00DB6246" w14:paraId="5D8ABE6D" w14:textId="77777777" w:rsidTr="006D3B57">
        <w:trPr>
          <w:cantSplit/>
        </w:trPr>
        <w:tc>
          <w:tcPr>
            <w:tcW w:w="1667" w:type="pct"/>
          </w:tcPr>
          <w:p w14:paraId="34DB3B54" w14:textId="77777777" w:rsidR="00135DA0" w:rsidRDefault="00135DA0" w:rsidP="00C90A72">
            <w:r>
              <w:lastRenderedPageBreak/>
              <w:t>32.4 Investigate participating in Reconciliation Australia’s biennial Workplace RAP Barometer.</w:t>
            </w:r>
          </w:p>
        </w:tc>
        <w:tc>
          <w:tcPr>
            <w:tcW w:w="1667" w:type="pct"/>
          </w:tcPr>
          <w:p w14:paraId="597FD5B0" w14:textId="77777777" w:rsidR="00135DA0" w:rsidRDefault="00135DA0" w:rsidP="00C90A72">
            <w:r>
              <w:t>May 2020</w:t>
            </w:r>
          </w:p>
        </w:tc>
        <w:tc>
          <w:tcPr>
            <w:tcW w:w="1667" w:type="pct"/>
          </w:tcPr>
          <w:p w14:paraId="1835A86B" w14:textId="77777777" w:rsidR="00135DA0" w:rsidRDefault="00135DA0" w:rsidP="00C90A72">
            <w:r>
              <w:t>Associate Director, Aboriginal Services</w:t>
            </w:r>
          </w:p>
        </w:tc>
      </w:tr>
    </w:tbl>
    <w:p w14:paraId="2EB84639" w14:textId="1BE2AACE" w:rsidR="00135DA0" w:rsidRDefault="00757AEB" w:rsidP="00757AEB">
      <w:pPr>
        <w:pStyle w:val="Tableheading"/>
        <w:rPr>
          <w:lang w:eastAsia="en-AU"/>
        </w:rPr>
      </w:pPr>
      <w:r>
        <w:rPr>
          <w:lang w:eastAsia="en-AU"/>
        </w:rPr>
        <w:t xml:space="preserve">Action 33 – </w:t>
      </w:r>
      <w:r>
        <w:t>Continue our reconciliation journey by developing our next RAP</w:t>
      </w:r>
    </w:p>
    <w:tbl>
      <w:tblPr>
        <w:tblStyle w:val="TableGrid"/>
        <w:tblW w:w="5000" w:type="pct"/>
        <w:tblLook w:val="04A0" w:firstRow="1" w:lastRow="0" w:firstColumn="1" w:lastColumn="0" w:noHBand="0" w:noVBand="1"/>
      </w:tblPr>
      <w:tblGrid>
        <w:gridCol w:w="2443"/>
        <w:gridCol w:w="2443"/>
        <w:gridCol w:w="2443"/>
        <w:gridCol w:w="2441"/>
      </w:tblGrid>
      <w:tr w:rsidR="001916E9" w:rsidRPr="00757AEB" w14:paraId="63E245E3" w14:textId="77777777" w:rsidTr="006D3B57">
        <w:trPr>
          <w:cantSplit/>
          <w:tblHeader/>
        </w:trPr>
        <w:tc>
          <w:tcPr>
            <w:tcW w:w="1250" w:type="pct"/>
            <w:shd w:val="clear" w:color="auto" w:fill="FBE4D5" w:themeFill="accent2" w:themeFillTint="33"/>
          </w:tcPr>
          <w:p w14:paraId="14F751AA" w14:textId="77777777" w:rsidR="001916E9" w:rsidRPr="00757AEB" w:rsidRDefault="001916E9" w:rsidP="00C90A72">
            <w:pPr>
              <w:rPr>
                <w:b/>
              </w:rPr>
            </w:pPr>
            <w:r w:rsidRPr="00757AEB">
              <w:rPr>
                <w:b/>
              </w:rPr>
              <w:t>Deliverable</w:t>
            </w:r>
          </w:p>
        </w:tc>
        <w:tc>
          <w:tcPr>
            <w:tcW w:w="1250" w:type="pct"/>
            <w:shd w:val="clear" w:color="auto" w:fill="FBE4D5" w:themeFill="accent2" w:themeFillTint="33"/>
          </w:tcPr>
          <w:p w14:paraId="6F04A29F" w14:textId="1A8DC674" w:rsidR="001916E9" w:rsidRPr="00757AEB" w:rsidRDefault="001916E9" w:rsidP="00C90A72">
            <w:pPr>
              <w:rPr>
                <w:b/>
              </w:rPr>
            </w:pPr>
            <w:r>
              <w:rPr>
                <w:b/>
              </w:rPr>
              <w:t xml:space="preserve">Original </w:t>
            </w:r>
            <w:r w:rsidRPr="00757AEB">
              <w:rPr>
                <w:b/>
              </w:rPr>
              <w:t>Timeline</w:t>
            </w:r>
          </w:p>
        </w:tc>
        <w:tc>
          <w:tcPr>
            <w:tcW w:w="1250" w:type="pct"/>
            <w:shd w:val="clear" w:color="auto" w:fill="FBE4D5" w:themeFill="accent2" w:themeFillTint="33"/>
          </w:tcPr>
          <w:p w14:paraId="349CA99E" w14:textId="0B1FB3CC" w:rsidR="001916E9" w:rsidRPr="00757AEB" w:rsidRDefault="001916E9" w:rsidP="00C90A72">
            <w:pPr>
              <w:rPr>
                <w:b/>
              </w:rPr>
            </w:pPr>
            <w:r>
              <w:rPr>
                <w:b/>
              </w:rPr>
              <w:t>Revised Timeline</w:t>
            </w:r>
          </w:p>
        </w:tc>
        <w:tc>
          <w:tcPr>
            <w:tcW w:w="1249" w:type="pct"/>
            <w:shd w:val="clear" w:color="auto" w:fill="FBE4D5" w:themeFill="accent2" w:themeFillTint="33"/>
          </w:tcPr>
          <w:p w14:paraId="1FDFB2FD" w14:textId="14D46E6B" w:rsidR="001916E9" w:rsidRPr="00757AEB" w:rsidRDefault="001916E9" w:rsidP="00C90A72">
            <w:pPr>
              <w:rPr>
                <w:b/>
              </w:rPr>
            </w:pPr>
            <w:r w:rsidRPr="00757AEB">
              <w:rPr>
                <w:b/>
              </w:rPr>
              <w:t>Responsibility</w:t>
            </w:r>
          </w:p>
        </w:tc>
      </w:tr>
      <w:tr w:rsidR="001916E9" w:rsidRPr="00DB6246" w14:paraId="181B7804" w14:textId="77777777" w:rsidTr="006D3B57">
        <w:trPr>
          <w:cantSplit/>
        </w:trPr>
        <w:tc>
          <w:tcPr>
            <w:tcW w:w="1250" w:type="pct"/>
          </w:tcPr>
          <w:p w14:paraId="7A9FF538" w14:textId="77777777" w:rsidR="001916E9" w:rsidRPr="009817F3" w:rsidRDefault="001916E9" w:rsidP="00C90A72">
            <w:r>
              <w:t>33.1 Register via Reconciliation Australia’s website to begin developing our next RAP.</w:t>
            </w:r>
          </w:p>
        </w:tc>
        <w:tc>
          <w:tcPr>
            <w:tcW w:w="1250" w:type="pct"/>
          </w:tcPr>
          <w:p w14:paraId="658F6ACA" w14:textId="77777777" w:rsidR="001916E9" w:rsidRPr="00DB6246" w:rsidRDefault="001916E9" w:rsidP="00C90A72">
            <w:r>
              <w:t>January 2021</w:t>
            </w:r>
          </w:p>
        </w:tc>
        <w:tc>
          <w:tcPr>
            <w:tcW w:w="1250" w:type="pct"/>
          </w:tcPr>
          <w:p w14:paraId="6B7605C0" w14:textId="75A6194D" w:rsidR="001916E9" w:rsidRDefault="001916E9" w:rsidP="00C90A72">
            <w:r>
              <w:t>January 2022</w:t>
            </w:r>
          </w:p>
        </w:tc>
        <w:tc>
          <w:tcPr>
            <w:tcW w:w="1249" w:type="pct"/>
          </w:tcPr>
          <w:p w14:paraId="4A00B48E" w14:textId="33B2BFD4" w:rsidR="001916E9" w:rsidRPr="00DB6246" w:rsidRDefault="001916E9" w:rsidP="00C90A72">
            <w:r>
              <w:t>Associate Director, Aboriginal Services</w:t>
            </w:r>
          </w:p>
        </w:tc>
      </w:tr>
    </w:tbl>
    <w:p w14:paraId="156EEA96" w14:textId="77777777" w:rsidR="00A7087F" w:rsidRDefault="00A7087F" w:rsidP="006D3B57"/>
    <w:sectPr w:rsidR="00A7087F" w:rsidSect="007C05C3">
      <w:headerReference w:type="even" r:id="rId19"/>
      <w:headerReference w:type="first" r:id="rId20"/>
      <w:footerReference w:type="first" r:id="rId21"/>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0F34C" w14:textId="77777777" w:rsidR="002F511B" w:rsidRDefault="002F511B">
      <w:r>
        <w:separator/>
      </w:r>
    </w:p>
    <w:p w14:paraId="2FB28D24" w14:textId="77777777" w:rsidR="002F511B" w:rsidRDefault="002F511B"/>
    <w:p w14:paraId="6FDD7272" w14:textId="77777777" w:rsidR="002F511B" w:rsidRDefault="002F511B"/>
  </w:endnote>
  <w:endnote w:type="continuationSeparator" w:id="0">
    <w:p w14:paraId="49810171" w14:textId="77777777" w:rsidR="002F511B" w:rsidRDefault="002F511B">
      <w:r>
        <w:continuationSeparator/>
      </w:r>
    </w:p>
    <w:p w14:paraId="75212C41" w14:textId="77777777" w:rsidR="002F511B" w:rsidRDefault="002F511B"/>
    <w:p w14:paraId="14ABC283" w14:textId="77777777" w:rsidR="002F511B" w:rsidRDefault="002F511B"/>
  </w:endnote>
  <w:endnote w:type="continuationNotice" w:id="1">
    <w:p w14:paraId="08B29A2A" w14:textId="77777777" w:rsidR="002F511B" w:rsidRDefault="002F51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26D17" w14:textId="77777777" w:rsidR="00D50B08" w:rsidRDefault="00D50B08"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4E93D" w14:textId="77777777" w:rsidR="00D50B08" w:rsidRPr="00C97428" w:rsidRDefault="00D50B08" w:rsidP="005375A4">
    <w:pPr>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7F502" w14:textId="54A5F1C1" w:rsidR="00D50B08" w:rsidRDefault="00D50B08" w:rsidP="00674E45">
    <w:pPr>
      <w:pStyle w:val="Filename"/>
      <w:pBdr>
        <w:top w:val="single" w:sz="4" w:space="1" w:color="971A4B"/>
      </w:pBdr>
      <w:tabs>
        <w:tab w:val="clear" w:pos="9240"/>
      </w:tabs>
    </w:pPr>
    <w:r>
      <w:t>Victoria Legal Aid – Reconciliation Action Plan July 2019–January 2022</w:t>
    </w:r>
  </w:p>
  <w:p w14:paraId="60AF258A" w14:textId="77777777" w:rsidR="00D50B08" w:rsidRPr="002B4970" w:rsidRDefault="00D50B08"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8713D" w14:textId="77777777" w:rsidR="00D50B08" w:rsidRDefault="00D50B08" w:rsidP="00674E45">
    <w:pPr>
      <w:pStyle w:val="Filename"/>
      <w:pBdr>
        <w:top w:val="single" w:sz="4" w:space="1" w:color="971A4B"/>
      </w:pBdr>
      <w:tabs>
        <w:tab w:val="clear" w:pos="9240"/>
      </w:tabs>
    </w:pPr>
    <w:r>
      <w:t>Victoria Legal Aid – Reconciliation Action Plan July 2019–July 2021</w:t>
    </w:r>
  </w:p>
  <w:p w14:paraId="6C5CEE60" w14:textId="77777777" w:rsidR="00D50B08" w:rsidRPr="002B4970" w:rsidRDefault="00D50B08"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AF974" w14:textId="77777777" w:rsidR="002F511B" w:rsidRPr="00E9228F" w:rsidRDefault="002F511B" w:rsidP="00E9228F">
      <w:pPr>
        <w:rPr>
          <w:sz w:val="18"/>
          <w:szCs w:val="18"/>
        </w:rPr>
      </w:pPr>
      <w:r w:rsidRPr="006831FC">
        <w:rPr>
          <w:sz w:val="18"/>
        </w:rPr>
        <w:separator/>
      </w:r>
    </w:p>
  </w:footnote>
  <w:footnote w:type="continuationSeparator" w:id="0">
    <w:p w14:paraId="1180FA47" w14:textId="77777777" w:rsidR="002F511B" w:rsidRDefault="002F511B">
      <w:r>
        <w:continuationSeparator/>
      </w:r>
    </w:p>
    <w:p w14:paraId="1C0E2021" w14:textId="77777777" w:rsidR="002F511B" w:rsidRDefault="002F511B"/>
    <w:p w14:paraId="64F35D84" w14:textId="77777777" w:rsidR="002F511B" w:rsidRDefault="002F511B"/>
  </w:footnote>
  <w:footnote w:type="continuationNotice" w:id="1">
    <w:p w14:paraId="2032B936" w14:textId="77777777" w:rsidR="002F511B" w:rsidRDefault="002F51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1F8AB" w14:textId="77777777" w:rsidR="00D50B08" w:rsidRDefault="00D50B08">
    <w:pPr>
      <w:pStyle w:val="Header"/>
    </w:pPr>
    <w:r>
      <w:rPr>
        <w:noProof/>
      </w:rPr>
      <w:pict w14:anchorId="49B6C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85.5pt;height:56.25pt;rotation:315;z-index:-251658238;mso-position-horizontal:center;mso-position-horizontal-relative:margin;mso-position-vertical:center;mso-position-vertical-relative:margin" o:allowincell="f" fillcolor="silver" stroked="f">
          <v:fill opacity=".5"/>
          <v:textpath style="font-family:&quot;Arial Narrow&quot;;font-size:48pt" string="Draft"/>
          <w10:wrap anchorx="margin" anchory="margin"/>
        </v:shape>
      </w:pict>
    </w:r>
    <w:r>
      <w:rPr>
        <w:noProof/>
        <w:lang w:eastAsia="en-AU"/>
      </w:rPr>
      <w:pict w14:anchorId="03B5EABF">
        <v:shape id="PowerPlusWaterMarkObject3" o:spid="_x0000_s2050" type="#_x0000_t136" style="position:absolute;margin-left:0;margin-top:0;width:377.3pt;height:22in;rotation:300;z-index:251658241;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F8158" w14:textId="77777777" w:rsidR="00D50B08" w:rsidRPr="009F7B2D" w:rsidRDefault="00D50B08" w:rsidP="004E0688">
    <w:pPr>
      <w:pStyle w:val="Header"/>
      <w:jc w:val="right"/>
    </w:pPr>
    <w:r>
      <w:rPr>
        <w:noProof/>
        <w:lang w:eastAsia="en-AU"/>
      </w:rPr>
      <w:drawing>
        <wp:inline distT="0" distB="0" distL="0" distR="0" wp14:anchorId="394FBDD0" wp14:editId="43319B85">
          <wp:extent cx="1806575" cy="1445260"/>
          <wp:effectExtent l="0" t="0" r="3175" b="2540"/>
          <wp:docPr id="1" name="Picture 1"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575" cy="14452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006BB" w14:textId="77777777" w:rsidR="00D50B08" w:rsidRDefault="00D50B08" w:rsidP="006E2882">
    <w:pPr>
      <w:spacing w:before="400"/>
      <w:jc w:val="right"/>
    </w:pPr>
    <w:r>
      <w:rPr>
        <w:noProof/>
        <w:lang w:eastAsia="en-AU"/>
      </w:rPr>
      <w:drawing>
        <wp:inline distT="0" distB="0" distL="0" distR="0" wp14:anchorId="612817AE" wp14:editId="5A214A4C">
          <wp:extent cx="2691765" cy="427990"/>
          <wp:effectExtent l="0" t="0" r="0" b="0"/>
          <wp:docPr id="2" name="Picture 2" descr="vla_logo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logo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1765" cy="427990"/>
                  </a:xfrm>
                  <a:prstGeom prst="rect">
                    <a:avLst/>
                  </a:prstGeom>
                  <a:noFill/>
                  <a:ln>
                    <a:noFill/>
                  </a:ln>
                </pic:spPr>
              </pic:pic>
            </a:graphicData>
          </a:graphic>
        </wp:inline>
      </w:drawing>
    </w:r>
    <w:r>
      <w:rPr>
        <w:noProof/>
        <w:lang w:eastAsia="en-AU"/>
      </w:rPr>
      <w:pict w14:anchorId="7B600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377.3pt;height:22in;rotation:300;z-index:251658240;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51264" w14:textId="77777777" w:rsidR="00D50B08" w:rsidRPr="009F7B2D" w:rsidRDefault="00D50B08" w:rsidP="005375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664B30" w14:textId="77777777" w:rsidR="00D50B08" w:rsidRPr="009F7B2D" w:rsidRDefault="00D50B08" w:rsidP="00674E45">
    <w:pPr>
      <w:pStyle w:val="Header"/>
      <w:pBdr>
        <w:bottom w:val="single" w:sz="4" w:space="1" w:color="971A4B"/>
      </w:pBdr>
      <w:tabs>
        <w:tab w:val="clear" w:pos="4604"/>
        <w:tab w:val="clear" w:pos="9214"/>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27FAC" w14:textId="77777777" w:rsidR="00D50B08" w:rsidRDefault="00D50B0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83C1E" w14:textId="77777777" w:rsidR="00D50B08" w:rsidRPr="00665568" w:rsidRDefault="00D50B08" w:rsidP="00674E45">
    <w:pPr>
      <w:pStyle w:val="Header"/>
      <w:pBdr>
        <w:bottom w:val="single" w:sz="4" w:space="1" w:color="971A4B"/>
      </w:pBd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444D1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E7B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2FE303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5F4CC6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96DE0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CE822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67B29A28"/>
    <w:lvl w:ilvl="0">
      <w:start w:val="1"/>
      <w:numFmt w:val="decimal"/>
      <w:lvlText w:val="%1."/>
      <w:lvlJc w:val="left"/>
      <w:pPr>
        <w:tabs>
          <w:tab w:val="num" w:pos="360"/>
        </w:tabs>
        <w:ind w:left="360" w:hanging="360"/>
      </w:pPr>
    </w:lvl>
  </w:abstractNum>
  <w:abstractNum w:abstractNumId="7"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8"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ABC52CA"/>
    <w:multiLevelType w:val="hybridMultilevel"/>
    <w:tmpl w:val="E51CE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1" w15:restartNumberingAfterBreak="0">
    <w:nsid w:val="30BE342A"/>
    <w:multiLevelType w:val="multilevel"/>
    <w:tmpl w:val="AEBAA8D8"/>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42D6D78"/>
    <w:multiLevelType w:val="hybridMultilevel"/>
    <w:tmpl w:val="493E53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0272CF3"/>
    <w:multiLevelType w:val="hybridMultilevel"/>
    <w:tmpl w:val="4E384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59DD487A"/>
    <w:multiLevelType w:val="hybridMultilevel"/>
    <w:tmpl w:val="030C42D0"/>
    <w:lvl w:ilvl="0" w:tplc="FB4ACAAE">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CD6695"/>
    <w:multiLevelType w:val="hybridMultilevel"/>
    <w:tmpl w:val="5B94C15C"/>
    <w:lvl w:ilvl="0" w:tplc="9544DA04">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CFF660F"/>
    <w:multiLevelType w:val="hybridMultilevel"/>
    <w:tmpl w:val="F37A124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2"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3" w15:restartNumberingAfterBreak="0">
    <w:nsid w:val="6CFC59C3"/>
    <w:multiLevelType w:val="hybridMultilevel"/>
    <w:tmpl w:val="BAE09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num w:numId="1">
    <w:abstractNumId w:val="8"/>
  </w:num>
  <w:num w:numId="2">
    <w:abstractNumId w:val="14"/>
  </w:num>
  <w:num w:numId="3">
    <w:abstractNumId w:val="15"/>
  </w:num>
  <w:num w:numId="4">
    <w:abstractNumId w:val="18"/>
  </w:num>
  <w:num w:numId="5">
    <w:abstractNumId w:val="17"/>
  </w:num>
  <w:num w:numId="6">
    <w:abstractNumId w:val="11"/>
  </w:num>
  <w:num w:numId="7">
    <w:abstractNumId w:val="14"/>
  </w:num>
  <w:num w:numId="8">
    <w:abstractNumId w:val="8"/>
  </w:num>
  <w:num w:numId="9">
    <w:abstractNumId w:val="8"/>
  </w:num>
  <w:num w:numId="10">
    <w:abstractNumId w:val="8"/>
  </w:num>
  <w:num w:numId="11">
    <w:abstractNumId w:val="8"/>
  </w:num>
  <w:num w:numId="12">
    <w:abstractNumId w:val="11"/>
  </w:num>
  <w:num w:numId="13">
    <w:abstractNumId w:val="17"/>
  </w:num>
  <w:num w:numId="14">
    <w:abstractNumId w:val="17"/>
  </w:num>
  <w:num w:numId="15">
    <w:abstractNumId w:val="15"/>
  </w:num>
  <w:num w:numId="16">
    <w:abstractNumId w:val="15"/>
  </w:num>
  <w:num w:numId="17">
    <w:abstractNumId w:val="15"/>
  </w:num>
  <w:num w:numId="18">
    <w:abstractNumId w:val="14"/>
  </w:num>
  <w:num w:numId="19">
    <w:abstractNumId w:val="11"/>
  </w:num>
  <w:num w:numId="20">
    <w:abstractNumId w:val="17"/>
  </w:num>
  <w:num w:numId="21">
    <w:abstractNumId w:val="17"/>
  </w:num>
  <w:num w:numId="22">
    <w:abstractNumId w:val="15"/>
  </w:num>
  <w:num w:numId="23">
    <w:abstractNumId w:val="15"/>
  </w:num>
  <w:num w:numId="24">
    <w:abstractNumId w:val="15"/>
  </w:num>
  <w:num w:numId="25">
    <w:abstractNumId w:val="0"/>
  </w:num>
  <w:num w:numId="26">
    <w:abstractNumId w:val="5"/>
  </w:num>
  <w:num w:numId="27">
    <w:abstractNumId w:val="6"/>
  </w:num>
  <w:num w:numId="28">
    <w:abstractNumId w:val="4"/>
  </w:num>
  <w:num w:numId="29">
    <w:abstractNumId w:val="3"/>
  </w:num>
  <w:num w:numId="30">
    <w:abstractNumId w:val="2"/>
  </w:num>
  <w:num w:numId="31">
    <w:abstractNumId w:val="1"/>
  </w:num>
  <w:num w:numId="32">
    <w:abstractNumId w:val="9"/>
  </w:num>
  <w:num w:numId="33">
    <w:abstractNumId w:val="23"/>
  </w:num>
  <w:num w:numId="34">
    <w:abstractNumId w:val="16"/>
  </w:num>
  <w:num w:numId="35">
    <w:abstractNumId w:val="20"/>
  </w:num>
  <w:num w:numId="36">
    <w:abstractNumId w:val="19"/>
  </w:num>
  <w:num w:numId="3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en-AU" w:vendorID="64" w:dllVersion="0" w:nlCheck="1" w:checkStyle="0"/>
  <w:activeWritingStyle w:appName="MSWord" w:lang="en-US" w:vendorID="64" w:dllVersion="0" w:nlCheck="1" w:checkStyle="1"/>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4B"/>
    <w:rsid w:val="00007914"/>
    <w:rsid w:val="00012881"/>
    <w:rsid w:val="000155A6"/>
    <w:rsid w:val="00022C70"/>
    <w:rsid w:val="00022C83"/>
    <w:rsid w:val="00022F62"/>
    <w:rsid w:val="000240FD"/>
    <w:rsid w:val="000257F4"/>
    <w:rsid w:val="00032AF3"/>
    <w:rsid w:val="00037357"/>
    <w:rsid w:val="00044556"/>
    <w:rsid w:val="0005492F"/>
    <w:rsid w:val="00055B69"/>
    <w:rsid w:val="00056D16"/>
    <w:rsid w:val="000579AC"/>
    <w:rsid w:val="000610FC"/>
    <w:rsid w:val="00061235"/>
    <w:rsid w:val="00061535"/>
    <w:rsid w:val="00061609"/>
    <w:rsid w:val="00062699"/>
    <w:rsid w:val="00064B2A"/>
    <w:rsid w:val="00084C6C"/>
    <w:rsid w:val="00086F31"/>
    <w:rsid w:val="000A682A"/>
    <w:rsid w:val="000A711A"/>
    <w:rsid w:val="000B02D8"/>
    <w:rsid w:val="000B0AB6"/>
    <w:rsid w:val="000B278C"/>
    <w:rsid w:val="000B3766"/>
    <w:rsid w:val="000B3A9F"/>
    <w:rsid w:val="000C0B84"/>
    <w:rsid w:val="000D41D7"/>
    <w:rsid w:val="000D4F97"/>
    <w:rsid w:val="000E2112"/>
    <w:rsid w:val="000E4B9B"/>
    <w:rsid w:val="000E7142"/>
    <w:rsid w:val="00101CBD"/>
    <w:rsid w:val="0010619A"/>
    <w:rsid w:val="00114C38"/>
    <w:rsid w:val="00114EE2"/>
    <w:rsid w:val="0011572E"/>
    <w:rsid w:val="00130286"/>
    <w:rsid w:val="001321C3"/>
    <w:rsid w:val="00135DA0"/>
    <w:rsid w:val="0014270F"/>
    <w:rsid w:val="0014314A"/>
    <w:rsid w:val="001479F2"/>
    <w:rsid w:val="0015565C"/>
    <w:rsid w:val="00164B85"/>
    <w:rsid w:val="001676F0"/>
    <w:rsid w:val="00173CCD"/>
    <w:rsid w:val="00175D56"/>
    <w:rsid w:val="001916E9"/>
    <w:rsid w:val="00192A17"/>
    <w:rsid w:val="001976C4"/>
    <w:rsid w:val="001A17AA"/>
    <w:rsid w:val="001B270D"/>
    <w:rsid w:val="001C4BC6"/>
    <w:rsid w:val="001E0A52"/>
    <w:rsid w:val="001E2CF8"/>
    <w:rsid w:val="001E5143"/>
    <w:rsid w:val="001E730B"/>
    <w:rsid w:val="001F5717"/>
    <w:rsid w:val="001F6FFA"/>
    <w:rsid w:val="001F7353"/>
    <w:rsid w:val="0021585A"/>
    <w:rsid w:val="002228E1"/>
    <w:rsid w:val="00232EE8"/>
    <w:rsid w:val="00233ABE"/>
    <w:rsid w:val="00241904"/>
    <w:rsid w:val="002435C9"/>
    <w:rsid w:val="002574E0"/>
    <w:rsid w:val="00262D02"/>
    <w:rsid w:val="0026649B"/>
    <w:rsid w:val="002769FB"/>
    <w:rsid w:val="00285AD4"/>
    <w:rsid w:val="00294136"/>
    <w:rsid w:val="0029727E"/>
    <w:rsid w:val="002A3D1D"/>
    <w:rsid w:val="002A7402"/>
    <w:rsid w:val="002A7F0B"/>
    <w:rsid w:val="002B4970"/>
    <w:rsid w:val="002E64B6"/>
    <w:rsid w:val="002F511B"/>
    <w:rsid w:val="002F6145"/>
    <w:rsid w:val="0030591D"/>
    <w:rsid w:val="00307C02"/>
    <w:rsid w:val="00310AB6"/>
    <w:rsid w:val="00333F26"/>
    <w:rsid w:val="00343DAA"/>
    <w:rsid w:val="00354658"/>
    <w:rsid w:val="0036511B"/>
    <w:rsid w:val="00371282"/>
    <w:rsid w:val="00372327"/>
    <w:rsid w:val="00376112"/>
    <w:rsid w:val="003775EB"/>
    <w:rsid w:val="00383710"/>
    <w:rsid w:val="00384660"/>
    <w:rsid w:val="00394801"/>
    <w:rsid w:val="003A2302"/>
    <w:rsid w:val="003A5726"/>
    <w:rsid w:val="003B6366"/>
    <w:rsid w:val="003C05C1"/>
    <w:rsid w:val="003C25F3"/>
    <w:rsid w:val="003C7A7F"/>
    <w:rsid w:val="003D2C88"/>
    <w:rsid w:val="003D49DE"/>
    <w:rsid w:val="003D4B2B"/>
    <w:rsid w:val="003E17D1"/>
    <w:rsid w:val="003E19BA"/>
    <w:rsid w:val="003E409C"/>
    <w:rsid w:val="003E5D82"/>
    <w:rsid w:val="003F1C1E"/>
    <w:rsid w:val="003F48A9"/>
    <w:rsid w:val="003F4CE1"/>
    <w:rsid w:val="003F55A5"/>
    <w:rsid w:val="003F6005"/>
    <w:rsid w:val="0041181E"/>
    <w:rsid w:val="00423CC7"/>
    <w:rsid w:val="00423DE6"/>
    <w:rsid w:val="004365C6"/>
    <w:rsid w:val="00442DBC"/>
    <w:rsid w:val="00450B51"/>
    <w:rsid w:val="0045435F"/>
    <w:rsid w:val="0045472A"/>
    <w:rsid w:val="00455420"/>
    <w:rsid w:val="00461265"/>
    <w:rsid w:val="00461AE2"/>
    <w:rsid w:val="00462BA5"/>
    <w:rsid w:val="00462C13"/>
    <w:rsid w:val="00463047"/>
    <w:rsid w:val="004637BC"/>
    <w:rsid w:val="0046548B"/>
    <w:rsid w:val="00476047"/>
    <w:rsid w:val="00480038"/>
    <w:rsid w:val="0048037C"/>
    <w:rsid w:val="00481371"/>
    <w:rsid w:val="00493B23"/>
    <w:rsid w:val="00495490"/>
    <w:rsid w:val="00496242"/>
    <w:rsid w:val="004B12B4"/>
    <w:rsid w:val="004C74A0"/>
    <w:rsid w:val="004D3B12"/>
    <w:rsid w:val="004E0688"/>
    <w:rsid w:val="004E2C5B"/>
    <w:rsid w:val="004E511B"/>
    <w:rsid w:val="004E60F2"/>
    <w:rsid w:val="004F1880"/>
    <w:rsid w:val="004F2CD9"/>
    <w:rsid w:val="00513557"/>
    <w:rsid w:val="0051548C"/>
    <w:rsid w:val="00516064"/>
    <w:rsid w:val="00520FB3"/>
    <w:rsid w:val="00521801"/>
    <w:rsid w:val="00522AD8"/>
    <w:rsid w:val="005272D5"/>
    <w:rsid w:val="00527F4B"/>
    <w:rsid w:val="005314CA"/>
    <w:rsid w:val="005375A4"/>
    <w:rsid w:val="0054738D"/>
    <w:rsid w:val="0056148F"/>
    <w:rsid w:val="00564F53"/>
    <w:rsid w:val="005731B6"/>
    <w:rsid w:val="00582064"/>
    <w:rsid w:val="00593A5E"/>
    <w:rsid w:val="005A01BE"/>
    <w:rsid w:val="005A30CE"/>
    <w:rsid w:val="005A7F72"/>
    <w:rsid w:val="005B2676"/>
    <w:rsid w:val="005B4BAD"/>
    <w:rsid w:val="005D103A"/>
    <w:rsid w:val="005D1354"/>
    <w:rsid w:val="005D67FE"/>
    <w:rsid w:val="005E248A"/>
    <w:rsid w:val="005E3CA0"/>
    <w:rsid w:val="005F193F"/>
    <w:rsid w:val="005F3B0C"/>
    <w:rsid w:val="005F7D8E"/>
    <w:rsid w:val="0060449D"/>
    <w:rsid w:val="00604558"/>
    <w:rsid w:val="00605879"/>
    <w:rsid w:val="00605C95"/>
    <w:rsid w:val="00614EEB"/>
    <w:rsid w:val="006260BB"/>
    <w:rsid w:val="00631459"/>
    <w:rsid w:val="00640994"/>
    <w:rsid w:val="00653753"/>
    <w:rsid w:val="00653D29"/>
    <w:rsid w:val="00653DD4"/>
    <w:rsid w:val="00657BC3"/>
    <w:rsid w:val="0066180F"/>
    <w:rsid w:val="00665568"/>
    <w:rsid w:val="00665EEA"/>
    <w:rsid w:val="00670CAA"/>
    <w:rsid w:val="00674E45"/>
    <w:rsid w:val="00675BF8"/>
    <w:rsid w:val="006819A3"/>
    <w:rsid w:val="006831FC"/>
    <w:rsid w:val="00683F81"/>
    <w:rsid w:val="00684E98"/>
    <w:rsid w:val="00687605"/>
    <w:rsid w:val="006A5F7D"/>
    <w:rsid w:val="006B081F"/>
    <w:rsid w:val="006B1BC7"/>
    <w:rsid w:val="006B2384"/>
    <w:rsid w:val="006B7DD2"/>
    <w:rsid w:val="006C3D4C"/>
    <w:rsid w:val="006C4CA7"/>
    <w:rsid w:val="006D3B57"/>
    <w:rsid w:val="006E2882"/>
    <w:rsid w:val="006E2AD6"/>
    <w:rsid w:val="006E2FA2"/>
    <w:rsid w:val="006E3195"/>
    <w:rsid w:val="00707257"/>
    <w:rsid w:val="0071324F"/>
    <w:rsid w:val="00714771"/>
    <w:rsid w:val="007151C8"/>
    <w:rsid w:val="00716188"/>
    <w:rsid w:val="0072015C"/>
    <w:rsid w:val="0072751B"/>
    <w:rsid w:val="00733602"/>
    <w:rsid w:val="00736267"/>
    <w:rsid w:val="00747074"/>
    <w:rsid w:val="0075285A"/>
    <w:rsid w:val="007550FB"/>
    <w:rsid w:val="00756788"/>
    <w:rsid w:val="00757AEB"/>
    <w:rsid w:val="00774F94"/>
    <w:rsid w:val="007767BD"/>
    <w:rsid w:val="0078022B"/>
    <w:rsid w:val="00783185"/>
    <w:rsid w:val="007933F4"/>
    <w:rsid w:val="007966A5"/>
    <w:rsid w:val="007A557E"/>
    <w:rsid w:val="007A5FC3"/>
    <w:rsid w:val="007C05C3"/>
    <w:rsid w:val="007C1D34"/>
    <w:rsid w:val="007C48B2"/>
    <w:rsid w:val="007C7157"/>
    <w:rsid w:val="007D08B2"/>
    <w:rsid w:val="007E4CB8"/>
    <w:rsid w:val="007E54F6"/>
    <w:rsid w:val="007F347D"/>
    <w:rsid w:val="007F52A9"/>
    <w:rsid w:val="007F7A68"/>
    <w:rsid w:val="00800301"/>
    <w:rsid w:val="00810023"/>
    <w:rsid w:val="00826EB9"/>
    <w:rsid w:val="0083009F"/>
    <w:rsid w:val="00830470"/>
    <w:rsid w:val="008341C9"/>
    <w:rsid w:val="00835928"/>
    <w:rsid w:val="00835DCC"/>
    <w:rsid w:val="008377A1"/>
    <w:rsid w:val="008425B2"/>
    <w:rsid w:val="008450E7"/>
    <w:rsid w:val="00850401"/>
    <w:rsid w:val="00853BDA"/>
    <w:rsid w:val="00855D9B"/>
    <w:rsid w:val="0085710F"/>
    <w:rsid w:val="008636CA"/>
    <w:rsid w:val="00885238"/>
    <w:rsid w:val="00887BA4"/>
    <w:rsid w:val="0089063E"/>
    <w:rsid w:val="00896269"/>
    <w:rsid w:val="008B6507"/>
    <w:rsid w:val="008B6EEB"/>
    <w:rsid w:val="008C072E"/>
    <w:rsid w:val="008C2E53"/>
    <w:rsid w:val="008C4E01"/>
    <w:rsid w:val="008D5ADC"/>
    <w:rsid w:val="008E03FF"/>
    <w:rsid w:val="008F1F0B"/>
    <w:rsid w:val="008F36EC"/>
    <w:rsid w:val="008F505C"/>
    <w:rsid w:val="008F726E"/>
    <w:rsid w:val="00911151"/>
    <w:rsid w:val="00911546"/>
    <w:rsid w:val="009118C9"/>
    <w:rsid w:val="0091712D"/>
    <w:rsid w:val="0091770D"/>
    <w:rsid w:val="00917DE9"/>
    <w:rsid w:val="00925672"/>
    <w:rsid w:val="009320F7"/>
    <w:rsid w:val="0093361D"/>
    <w:rsid w:val="00945E43"/>
    <w:rsid w:val="00946548"/>
    <w:rsid w:val="00953ADC"/>
    <w:rsid w:val="0095636C"/>
    <w:rsid w:val="009642AF"/>
    <w:rsid w:val="009655A0"/>
    <w:rsid w:val="009922E5"/>
    <w:rsid w:val="009A12A2"/>
    <w:rsid w:val="009A227B"/>
    <w:rsid w:val="009A23DB"/>
    <w:rsid w:val="009A2930"/>
    <w:rsid w:val="009B1114"/>
    <w:rsid w:val="009C0556"/>
    <w:rsid w:val="009C1230"/>
    <w:rsid w:val="009C12DD"/>
    <w:rsid w:val="009C445F"/>
    <w:rsid w:val="009D3968"/>
    <w:rsid w:val="009E0802"/>
    <w:rsid w:val="009F2795"/>
    <w:rsid w:val="009F2F9E"/>
    <w:rsid w:val="009F7A4E"/>
    <w:rsid w:val="009F7A60"/>
    <w:rsid w:val="00A0284E"/>
    <w:rsid w:val="00A15F0A"/>
    <w:rsid w:val="00A171DA"/>
    <w:rsid w:val="00A25235"/>
    <w:rsid w:val="00A30C8A"/>
    <w:rsid w:val="00A448DA"/>
    <w:rsid w:val="00A5510B"/>
    <w:rsid w:val="00A551BE"/>
    <w:rsid w:val="00A63371"/>
    <w:rsid w:val="00A66CA6"/>
    <w:rsid w:val="00A7087F"/>
    <w:rsid w:val="00A712DE"/>
    <w:rsid w:val="00A7358B"/>
    <w:rsid w:val="00A7595D"/>
    <w:rsid w:val="00A80FFC"/>
    <w:rsid w:val="00A82893"/>
    <w:rsid w:val="00A82BCA"/>
    <w:rsid w:val="00A85C71"/>
    <w:rsid w:val="00A940C0"/>
    <w:rsid w:val="00A94752"/>
    <w:rsid w:val="00AA13B7"/>
    <w:rsid w:val="00AA2CCE"/>
    <w:rsid w:val="00AA5335"/>
    <w:rsid w:val="00AB6BFF"/>
    <w:rsid w:val="00AC27A1"/>
    <w:rsid w:val="00AC2B72"/>
    <w:rsid w:val="00AC464A"/>
    <w:rsid w:val="00AD1CEF"/>
    <w:rsid w:val="00AE093D"/>
    <w:rsid w:val="00AE146B"/>
    <w:rsid w:val="00AE51F3"/>
    <w:rsid w:val="00AF0079"/>
    <w:rsid w:val="00AF56AB"/>
    <w:rsid w:val="00AF5D4C"/>
    <w:rsid w:val="00B0000B"/>
    <w:rsid w:val="00B01519"/>
    <w:rsid w:val="00B021C5"/>
    <w:rsid w:val="00B07747"/>
    <w:rsid w:val="00B10A7F"/>
    <w:rsid w:val="00B1619F"/>
    <w:rsid w:val="00B22672"/>
    <w:rsid w:val="00B23F19"/>
    <w:rsid w:val="00B3060C"/>
    <w:rsid w:val="00B3125C"/>
    <w:rsid w:val="00B31A26"/>
    <w:rsid w:val="00B378A2"/>
    <w:rsid w:val="00B37955"/>
    <w:rsid w:val="00B41378"/>
    <w:rsid w:val="00B56F07"/>
    <w:rsid w:val="00B60A4B"/>
    <w:rsid w:val="00B647BB"/>
    <w:rsid w:val="00B6684A"/>
    <w:rsid w:val="00B70E99"/>
    <w:rsid w:val="00B728AE"/>
    <w:rsid w:val="00B9248C"/>
    <w:rsid w:val="00B93DDD"/>
    <w:rsid w:val="00B97EFB"/>
    <w:rsid w:val="00B97EFF"/>
    <w:rsid w:val="00BA43D5"/>
    <w:rsid w:val="00BA6D49"/>
    <w:rsid w:val="00BC4D4B"/>
    <w:rsid w:val="00BC7C4B"/>
    <w:rsid w:val="00BD1123"/>
    <w:rsid w:val="00BE0E09"/>
    <w:rsid w:val="00BE0E40"/>
    <w:rsid w:val="00BE5812"/>
    <w:rsid w:val="00BE63A6"/>
    <w:rsid w:val="00BE7620"/>
    <w:rsid w:val="00BE7FD7"/>
    <w:rsid w:val="00BF073A"/>
    <w:rsid w:val="00BF1BDA"/>
    <w:rsid w:val="00C01D35"/>
    <w:rsid w:val="00C06AF7"/>
    <w:rsid w:val="00C148F9"/>
    <w:rsid w:val="00C16A13"/>
    <w:rsid w:val="00C171FB"/>
    <w:rsid w:val="00C20338"/>
    <w:rsid w:val="00C22FC4"/>
    <w:rsid w:val="00C27D47"/>
    <w:rsid w:val="00C349DD"/>
    <w:rsid w:val="00C4614D"/>
    <w:rsid w:val="00C564C2"/>
    <w:rsid w:val="00C568E5"/>
    <w:rsid w:val="00C578A3"/>
    <w:rsid w:val="00C627F5"/>
    <w:rsid w:val="00C70818"/>
    <w:rsid w:val="00C74806"/>
    <w:rsid w:val="00C76ACB"/>
    <w:rsid w:val="00C90A72"/>
    <w:rsid w:val="00C915FE"/>
    <w:rsid w:val="00C92955"/>
    <w:rsid w:val="00C96789"/>
    <w:rsid w:val="00CA27C6"/>
    <w:rsid w:val="00CA4F9B"/>
    <w:rsid w:val="00CA5BC6"/>
    <w:rsid w:val="00CA6D36"/>
    <w:rsid w:val="00CA7422"/>
    <w:rsid w:val="00CB5042"/>
    <w:rsid w:val="00CB6506"/>
    <w:rsid w:val="00CC0C03"/>
    <w:rsid w:val="00CC77B0"/>
    <w:rsid w:val="00CE29C1"/>
    <w:rsid w:val="00CE4C2F"/>
    <w:rsid w:val="00CE52ED"/>
    <w:rsid w:val="00CF1809"/>
    <w:rsid w:val="00CF7865"/>
    <w:rsid w:val="00CF7EEA"/>
    <w:rsid w:val="00D07140"/>
    <w:rsid w:val="00D1794E"/>
    <w:rsid w:val="00D2112B"/>
    <w:rsid w:val="00D3008A"/>
    <w:rsid w:val="00D4049C"/>
    <w:rsid w:val="00D42E2A"/>
    <w:rsid w:val="00D43920"/>
    <w:rsid w:val="00D47B4C"/>
    <w:rsid w:val="00D50B08"/>
    <w:rsid w:val="00D51B10"/>
    <w:rsid w:val="00D540C1"/>
    <w:rsid w:val="00D60A46"/>
    <w:rsid w:val="00D622EF"/>
    <w:rsid w:val="00D64351"/>
    <w:rsid w:val="00D7143E"/>
    <w:rsid w:val="00D76439"/>
    <w:rsid w:val="00D77FC5"/>
    <w:rsid w:val="00D835B9"/>
    <w:rsid w:val="00D86BA1"/>
    <w:rsid w:val="00D86C2C"/>
    <w:rsid w:val="00D87556"/>
    <w:rsid w:val="00D917C3"/>
    <w:rsid w:val="00DA7AB8"/>
    <w:rsid w:val="00DB3599"/>
    <w:rsid w:val="00DB51EF"/>
    <w:rsid w:val="00DB7701"/>
    <w:rsid w:val="00DC0715"/>
    <w:rsid w:val="00DC12F9"/>
    <w:rsid w:val="00DC2052"/>
    <w:rsid w:val="00DC3C22"/>
    <w:rsid w:val="00DC5520"/>
    <w:rsid w:val="00DD40DB"/>
    <w:rsid w:val="00DD6C7D"/>
    <w:rsid w:val="00DD6DAD"/>
    <w:rsid w:val="00DD721D"/>
    <w:rsid w:val="00DE3E46"/>
    <w:rsid w:val="00DE722B"/>
    <w:rsid w:val="00DF4036"/>
    <w:rsid w:val="00E00F9A"/>
    <w:rsid w:val="00E04D9C"/>
    <w:rsid w:val="00E1488D"/>
    <w:rsid w:val="00E15C73"/>
    <w:rsid w:val="00E15F96"/>
    <w:rsid w:val="00E24A08"/>
    <w:rsid w:val="00E30C97"/>
    <w:rsid w:val="00E36631"/>
    <w:rsid w:val="00E36CAF"/>
    <w:rsid w:val="00E37D64"/>
    <w:rsid w:val="00E42BD1"/>
    <w:rsid w:val="00E56261"/>
    <w:rsid w:val="00E61A54"/>
    <w:rsid w:val="00E667E8"/>
    <w:rsid w:val="00E72E37"/>
    <w:rsid w:val="00E9228F"/>
    <w:rsid w:val="00E96F91"/>
    <w:rsid w:val="00EA1560"/>
    <w:rsid w:val="00EB1B22"/>
    <w:rsid w:val="00EB2725"/>
    <w:rsid w:val="00EC6B29"/>
    <w:rsid w:val="00ED1543"/>
    <w:rsid w:val="00ED5FF7"/>
    <w:rsid w:val="00EE1259"/>
    <w:rsid w:val="00EE5DC2"/>
    <w:rsid w:val="00EF0EE1"/>
    <w:rsid w:val="00EF30BA"/>
    <w:rsid w:val="00EF7DDD"/>
    <w:rsid w:val="00F03063"/>
    <w:rsid w:val="00F116E5"/>
    <w:rsid w:val="00F125E0"/>
    <w:rsid w:val="00F244BF"/>
    <w:rsid w:val="00F2554F"/>
    <w:rsid w:val="00F25B9E"/>
    <w:rsid w:val="00F31F4C"/>
    <w:rsid w:val="00F320FD"/>
    <w:rsid w:val="00F33A08"/>
    <w:rsid w:val="00F33CCA"/>
    <w:rsid w:val="00F34440"/>
    <w:rsid w:val="00F3505A"/>
    <w:rsid w:val="00F441CB"/>
    <w:rsid w:val="00F470AF"/>
    <w:rsid w:val="00F526FE"/>
    <w:rsid w:val="00F667C0"/>
    <w:rsid w:val="00F708FE"/>
    <w:rsid w:val="00F7343E"/>
    <w:rsid w:val="00F773E8"/>
    <w:rsid w:val="00F8263C"/>
    <w:rsid w:val="00F82AB6"/>
    <w:rsid w:val="00F8381F"/>
    <w:rsid w:val="00F83EC1"/>
    <w:rsid w:val="00F92EA5"/>
    <w:rsid w:val="00F96C67"/>
    <w:rsid w:val="00FA7A45"/>
    <w:rsid w:val="00FB570A"/>
    <w:rsid w:val="00FB7C15"/>
    <w:rsid w:val="00FC2237"/>
    <w:rsid w:val="00FC4A24"/>
    <w:rsid w:val="00FC7073"/>
    <w:rsid w:val="00FD2DAD"/>
    <w:rsid w:val="00FE24F9"/>
    <w:rsid w:val="00FF4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19CBBE"/>
  <w15:chartTrackingRefBased/>
  <w15:docId w15:val="{52C95FD1-5C32-4CC2-957E-939A7CD4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F0B"/>
    <w:pPr>
      <w:spacing w:after="120" w:line="300" w:lineRule="atLeast"/>
    </w:pPr>
    <w:rPr>
      <w:rFonts w:ascii="Arial" w:hAnsi="Arial"/>
      <w:sz w:val="22"/>
      <w:szCs w:val="24"/>
      <w:lang w:eastAsia="en-US"/>
    </w:rPr>
  </w:style>
  <w:style w:type="paragraph" w:styleId="Heading1">
    <w:name w:val="heading 1"/>
    <w:next w:val="Normal"/>
    <w:qFormat/>
    <w:rsid w:val="00674E45"/>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qFormat/>
    <w:rsid w:val="00674E45"/>
    <w:pPr>
      <w:keepNext/>
      <w:spacing w:before="240" w:after="120" w:line="300" w:lineRule="atLeast"/>
      <w:outlineLvl w:val="1"/>
    </w:pPr>
    <w:rPr>
      <w:rFonts w:ascii="Arial" w:hAnsi="Arial" w:cs="Arial"/>
      <w:b/>
      <w:bCs/>
      <w:iCs/>
      <w:color w:val="971A4B"/>
      <w:sz w:val="28"/>
      <w:szCs w:val="28"/>
    </w:rPr>
  </w:style>
  <w:style w:type="paragraph" w:styleId="Heading3">
    <w:name w:val="heading 3"/>
    <w:next w:val="Normal"/>
    <w:qFormat/>
    <w:rsid w:val="002A7F0B"/>
    <w:pPr>
      <w:keepNext/>
      <w:spacing w:before="240" w:after="120" w:line="300" w:lineRule="atLeast"/>
      <w:outlineLvl w:val="2"/>
    </w:pPr>
    <w:rPr>
      <w:rFonts w:ascii="Arial" w:hAnsi="Arial" w:cs="Arial"/>
      <w:b/>
      <w:bCs/>
      <w:sz w:val="26"/>
      <w:szCs w:val="26"/>
    </w:rPr>
  </w:style>
  <w:style w:type="paragraph" w:styleId="Heading4">
    <w:name w:val="heading 4"/>
    <w:basedOn w:val="Heading3"/>
    <w:qFormat/>
    <w:rsid w:val="002A7F0B"/>
    <w:pPr>
      <w:outlineLvl w:val="3"/>
    </w:pPr>
    <w:rPr>
      <w:sz w:val="24"/>
      <w:szCs w:val="24"/>
    </w:rPr>
  </w:style>
  <w:style w:type="paragraph" w:styleId="Heading5">
    <w:name w:val="heading 5"/>
    <w:basedOn w:val="Normal"/>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rsid w:val="00BC7C4B"/>
    <w:pPr>
      <w:numPr>
        <w:numId w:val="19"/>
      </w:numPr>
      <w:spacing w:after="120" w:line="300" w:lineRule="atLeast"/>
      <w:ind w:left="850" w:hanging="340"/>
    </w:pPr>
    <w:rPr>
      <w:rFonts w:ascii="Arial" w:hAnsi="Arial"/>
      <w:sz w:val="22"/>
      <w:szCs w:val="24"/>
      <w:lang w:eastAsia="en-US"/>
    </w:rPr>
  </w:style>
  <w:style w:type="paragraph" w:styleId="ListBullet2">
    <w:name w:val="List Bullet 2"/>
    <w:rsid w:val="002A7F0B"/>
    <w:pPr>
      <w:numPr>
        <w:ilvl w:val="1"/>
        <w:numId w:val="21"/>
      </w:numPr>
      <w:spacing w:after="120" w:line="300" w:lineRule="atLeast"/>
    </w:pPr>
    <w:rPr>
      <w:rFonts w:ascii="Arial" w:hAnsi="Arial"/>
      <w:sz w:val="22"/>
      <w:szCs w:val="24"/>
      <w:lang w:eastAsia="en-US"/>
    </w:rPr>
  </w:style>
  <w:style w:type="paragraph" w:styleId="ListBullet3">
    <w:name w:val="List Bullet 3"/>
    <w:rsid w:val="002A7F0B"/>
    <w:pPr>
      <w:numPr>
        <w:ilvl w:val="2"/>
        <w:numId w:val="21"/>
      </w:numPr>
      <w:spacing w:after="120" w:line="300" w:lineRule="atLeast"/>
    </w:pPr>
    <w:rPr>
      <w:rFonts w:ascii="Arial" w:hAnsi="Arial"/>
      <w:sz w:val="22"/>
      <w:szCs w:val="24"/>
      <w:lang w:eastAsia="en-US"/>
    </w:rPr>
  </w:style>
  <w:style w:type="paragraph" w:customStyle="1" w:styleId="VLA1">
    <w:name w:val="VLA 1."/>
    <w:aliases w:val="2.,3."/>
    <w:rsid w:val="002A7F0B"/>
    <w:pPr>
      <w:numPr>
        <w:numId w:val="24"/>
      </w:numPr>
      <w:spacing w:after="120" w:line="300" w:lineRule="atLeast"/>
    </w:pPr>
    <w:rPr>
      <w:rFonts w:ascii="Arial" w:hAnsi="Arial"/>
      <w:sz w:val="22"/>
      <w:szCs w:val="24"/>
      <w:lang w:eastAsia="en-US"/>
    </w:rPr>
  </w:style>
  <w:style w:type="paragraph" w:customStyle="1" w:styleId="VLAa">
    <w:name w:val="VLA a."/>
    <w:aliases w:val="b.,c."/>
    <w:rsid w:val="002A7F0B"/>
    <w:pPr>
      <w:numPr>
        <w:ilvl w:val="1"/>
        <w:numId w:val="24"/>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24"/>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link w:val="FootnoteTextChar"/>
    <w:uiPriority w:val="99"/>
    <w:rsid w:val="002A7F0B"/>
    <w:pPr>
      <w:ind w:left="284" w:hanging="284"/>
    </w:pPr>
    <w:rPr>
      <w:sz w:val="18"/>
      <w:szCs w:val="20"/>
    </w:rPr>
  </w:style>
  <w:style w:type="paragraph" w:styleId="Header">
    <w:name w:val="heade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uiPriority w:val="59"/>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8"/>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uiPriority w:val="99"/>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rsid w:val="002A7F0B"/>
    <w:pPr>
      <w:tabs>
        <w:tab w:val="right" w:leader="dot" w:pos="9790"/>
      </w:tabs>
      <w:spacing w:before="60" w:after="60"/>
      <w:ind w:left="550" w:right="760"/>
    </w:pPr>
    <w:rPr>
      <w:noProof/>
      <w:sz w:val="20"/>
    </w:rPr>
  </w:style>
  <w:style w:type="paragraph" w:styleId="Footer">
    <w:name w:val="footer"/>
    <w:basedOn w:val="Normal"/>
    <w:link w:val="FooterChar"/>
    <w:uiPriority w:val="99"/>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2A7F0B"/>
    <w:pPr>
      <w:spacing w:before="120" w:after="40" w:line="300" w:lineRule="atLeast"/>
    </w:pPr>
    <w:rPr>
      <w:rFonts w:ascii="Arial" w:hAnsi="Arial" w:cs="Arial"/>
      <w:b/>
      <w:bCs/>
      <w:sz w:val="24"/>
      <w:szCs w:val="26"/>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paragraph" w:styleId="BalloonText">
    <w:name w:val="Balloon Text"/>
    <w:basedOn w:val="Normal"/>
    <w:link w:val="BalloonTextChar"/>
    <w:semiHidden/>
    <w:unhideWhenUsed/>
    <w:rsid w:val="00BC7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C7C4B"/>
    <w:rPr>
      <w:rFonts w:ascii="Segoe UI" w:hAnsi="Segoe UI" w:cs="Segoe UI"/>
      <w:sz w:val="18"/>
      <w:szCs w:val="18"/>
      <w:lang w:eastAsia="en-US"/>
    </w:rPr>
  </w:style>
  <w:style w:type="character" w:styleId="CommentReference">
    <w:name w:val="annotation reference"/>
    <w:basedOn w:val="DefaultParagraphFont"/>
    <w:rsid w:val="00BC7C4B"/>
    <w:rPr>
      <w:sz w:val="16"/>
      <w:szCs w:val="16"/>
    </w:rPr>
  </w:style>
  <w:style w:type="paragraph" w:styleId="CommentText">
    <w:name w:val="annotation text"/>
    <w:basedOn w:val="Normal"/>
    <w:link w:val="CommentTextChar"/>
    <w:rsid w:val="00BC7C4B"/>
    <w:pPr>
      <w:spacing w:line="240" w:lineRule="auto"/>
    </w:pPr>
    <w:rPr>
      <w:sz w:val="20"/>
      <w:szCs w:val="20"/>
    </w:rPr>
  </w:style>
  <w:style w:type="character" w:customStyle="1" w:styleId="CommentTextChar">
    <w:name w:val="Comment Text Char"/>
    <w:basedOn w:val="DefaultParagraphFont"/>
    <w:link w:val="CommentText"/>
    <w:rsid w:val="00BC7C4B"/>
    <w:rPr>
      <w:rFonts w:ascii="Arial" w:hAnsi="Arial"/>
      <w:lang w:eastAsia="en-US"/>
    </w:rPr>
  </w:style>
  <w:style w:type="paragraph" w:styleId="CommentSubject">
    <w:name w:val="annotation subject"/>
    <w:basedOn w:val="CommentText"/>
    <w:next w:val="CommentText"/>
    <w:link w:val="CommentSubjectChar"/>
    <w:rsid w:val="00BC7C4B"/>
    <w:rPr>
      <w:b/>
      <w:bCs/>
    </w:rPr>
  </w:style>
  <w:style w:type="character" w:customStyle="1" w:styleId="CommentSubjectChar">
    <w:name w:val="Comment Subject Char"/>
    <w:basedOn w:val="CommentTextChar"/>
    <w:link w:val="CommentSubject"/>
    <w:rsid w:val="00BC7C4B"/>
    <w:rPr>
      <w:rFonts w:ascii="Arial" w:hAnsi="Arial"/>
      <w:b/>
      <w:bCs/>
      <w:lang w:eastAsia="en-US"/>
    </w:rPr>
  </w:style>
  <w:style w:type="paragraph" w:styleId="ListParagraph">
    <w:name w:val="List Paragraph"/>
    <w:basedOn w:val="Normal"/>
    <w:uiPriority w:val="34"/>
    <w:qFormat/>
    <w:rsid w:val="00BC7C4B"/>
    <w:pPr>
      <w:spacing w:after="0"/>
      <w:ind w:left="720"/>
      <w:contextualSpacing/>
    </w:pPr>
  </w:style>
  <w:style w:type="character" w:styleId="Emphasis">
    <w:name w:val="Emphasis"/>
    <w:basedOn w:val="DefaultParagraphFont"/>
    <w:qFormat/>
    <w:rsid w:val="00D76439"/>
    <w:rPr>
      <w:i/>
      <w:iCs/>
    </w:rPr>
  </w:style>
  <w:style w:type="character" w:customStyle="1" w:styleId="FootnoteTextChar">
    <w:name w:val="Footnote Text Char"/>
    <w:basedOn w:val="DefaultParagraphFont"/>
    <w:link w:val="FootnoteText"/>
    <w:uiPriority w:val="99"/>
    <w:rsid w:val="00D76439"/>
    <w:rPr>
      <w:rFonts w:ascii="Arial" w:hAnsi="Arial"/>
      <w:sz w:val="18"/>
      <w:lang w:eastAsia="en-US"/>
    </w:rPr>
  </w:style>
  <w:style w:type="table" w:styleId="GridTable1Light">
    <w:name w:val="Grid Table 1 Light"/>
    <w:basedOn w:val="TableNormal"/>
    <w:uiPriority w:val="46"/>
    <w:rsid w:val="00D7643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135DA0"/>
    <w:rPr>
      <w:rFonts w:ascii="Arial" w:hAnsi="Arial"/>
      <w:sz w:val="22"/>
      <w:szCs w:val="24"/>
      <w:lang w:eastAsia="en-US"/>
    </w:rPr>
  </w:style>
  <w:style w:type="paragraph" w:customStyle="1" w:styleId="VLALetterText">
    <w:name w:val="VLA Letter Text"/>
    <w:uiPriority w:val="1"/>
    <w:qFormat/>
    <w:rsid w:val="00135DA0"/>
    <w:pPr>
      <w:spacing w:after="120" w:line="300" w:lineRule="atLeast"/>
    </w:pPr>
    <w:rPr>
      <w:rFonts w:ascii="Arial" w:hAnsi="Arial"/>
      <w:sz w:val="22"/>
      <w:szCs w:val="24"/>
      <w:lang w:eastAsia="en-US"/>
    </w:rPr>
  </w:style>
  <w:style w:type="paragraph" w:customStyle="1" w:styleId="Tableheading">
    <w:name w:val="Table heading"/>
    <w:basedOn w:val="Normal"/>
    <w:qFormat/>
    <w:rsid w:val="00044556"/>
    <w:pPr>
      <w:spacing w:before="240"/>
    </w:pPr>
    <w:rPr>
      <w:b/>
      <w:sz w:val="24"/>
    </w:rPr>
  </w:style>
  <w:style w:type="table" w:styleId="TableTheme">
    <w:name w:val="Table Theme"/>
    <w:basedOn w:val="TableNormal"/>
    <w:rsid w:val="00044556"/>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lationshipsshadedbox">
    <w:name w:val="Relationships shaded box"/>
    <w:basedOn w:val="Normal"/>
    <w:qFormat/>
    <w:rsid w:val="0010619A"/>
    <w:pPr>
      <w:pBdr>
        <w:top w:val="single" w:sz="4" w:space="1" w:color="auto"/>
        <w:left w:val="single" w:sz="4" w:space="4" w:color="auto"/>
        <w:bottom w:val="single" w:sz="4" w:space="1" w:color="auto"/>
        <w:right w:val="single" w:sz="4" w:space="4" w:color="auto"/>
      </w:pBdr>
      <w:shd w:val="clear" w:color="D9D9D9" w:themeColor="background1" w:themeShade="D9" w:fill="FFF2CC" w:themeFill="accent4" w:themeFillTint="33"/>
      <w:spacing w:before="120"/>
    </w:pPr>
  </w:style>
  <w:style w:type="paragraph" w:customStyle="1" w:styleId="Respectshadedbox">
    <w:name w:val="Respect shaded box"/>
    <w:basedOn w:val="Normal"/>
    <w:qFormat/>
    <w:rsid w:val="0010619A"/>
    <w:pPr>
      <w:pBdr>
        <w:top w:val="single" w:sz="4" w:space="1" w:color="auto"/>
        <w:left w:val="single" w:sz="4" w:space="4" w:color="auto"/>
        <w:bottom w:val="single" w:sz="4" w:space="1" w:color="auto"/>
        <w:right w:val="single" w:sz="4" w:space="4" w:color="auto"/>
      </w:pBdr>
      <w:shd w:val="clear" w:color="auto" w:fill="DEEAF6" w:themeFill="accent1" w:themeFillTint="33"/>
    </w:pPr>
  </w:style>
  <w:style w:type="paragraph" w:styleId="Subtitle">
    <w:name w:val="Subtitle"/>
    <w:basedOn w:val="Normal"/>
    <w:next w:val="Normal"/>
    <w:link w:val="SubtitleChar"/>
    <w:qFormat/>
    <w:rsid w:val="0010619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10619A"/>
    <w:rPr>
      <w:rFonts w:asciiTheme="minorHAnsi" w:eastAsiaTheme="minorEastAsia" w:hAnsiTheme="minorHAnsi" w:cstheme="minorBidi"/>
      <w:color w:val="5A5A5A" w:themeColor="text1" w:themeTint="A5"/>
      <w:spacing w:val="15"/>
      <w:sz w:val="22"/>
      <w:szCs w:val="22"/>
      <w:lang w:eastAsia="en-US"/>
    </w:rPr>
  </w:style>
  <w:style w:type="paragraph" w:customStyle="1" w:styleId="Opportunitiesshadedbox">
    <w:name w:val="Opportunities shaded box"/>
    <w:basedOn w:val="Normal"/>
    <w:qFormat/>
    <w:rsid w:val="004C74A0"/>
    <w:pPr>
      <w:pBdr>
        <w:top w:val="single" w:sz="4" w:space="1" w:color="auto"/>
        <w:left w:val="single" w:sz="4" w:space="4" w:color="auto"/>
        <w:bottom w:val="single" w:sz="4" w:space="1" w:color="auto"/>
        <w:right w:val="single" w:sz="4" w:space="4" w:color="auto"/>
      </w:pBdr>
      <w:shd w:val="clear" w:color="auto" w:fill="E2EFD9" w:themeFill="accent6" w:themeFillTint="33"/>
    </w:pPr>
  </w:style>
  <w:style w:type="paragraph" w:styleId="Revision">
    <w:name w:val="Revision"/>
    <w:hidden/>
    <w:uiPriority w:val="99"/>
    <w:semiHidden/>
    <w:rsid w:val="00E56261"/>
    <w:rPr>
      <w:rFonts w:ascii="Arial" w:hAnsi="Arial"/>
      <w:sz w:val="22"/>
      <w:szCs w:val="24"/>
      <w:lang w:eastAsia="en-US"/>
    </w:rPr>
  </w:style>
  <w:style w:type="paragraph" w:customStyle="1" w:styleId="Imagetitle">
    <w:name w:val="Image title"/>
    <w:basedOn w:val="Heading4"/>
    <w:qFormat/>
    <w:rsid w:val="00593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9D83A6F58F4E49961191C2B1DF48DF" ma:contentTypeVersion="12" ma:contentTypeDescription="Create a new document." ma:contentTypeScope="" ma:versionID="552d796ec278fbb65065e18c2058b23d">
  <xsd:schema xmlns:xsd="http://www.w3.org/2001/XMLSchema" xmlns:xs="http://www.w3.org/2001/XMLSchema" xmlns:p="http://schemas.microsoft.com/office/2006/metadata/properties" xmlns:ns2="d28afa16-d941-4884-a971-dcbf16555f92" xmlns:ns3="ef775886-7b5c-4383-a016-55f3f90db340" targetNamespace="http://schemas.microsoft.com/office/2006/metadata/properties" ma:root="true" ma:fieldsID="666f9942ecb79b0da49f0c8522bd7a7b" ns2:_="" ns3:_="">
    <xsd:import namespace="d28afa16-d941-4884-a971-dcbf16555f92"/>
    <xsd:import namespace="ef775886-7b5c-4383-a016-55f3f90db3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fa16-d941-4884-a971-dcbf16555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775886-7b5c-4383-a016-55f3f90db3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9276A-941E-4DE9-87B0-5CF088580D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BB7CAB-BE11-47BE-922B-6528E485D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fa16-d941-4884-a971-dcbf16555f92"/>
    <ds:schemaRef ds:uri="ef775886-7b5c-4383-a016-55f3f90db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1DCFC-D04A-49CC-BFE9-857D8A1A3F3E}">
  <ds:schemaRefs>
    <ds:schemaRef ds:uri="http://schemas.microsoft.com/sharepoint/v3/contenttype/forms"/>
  </ds:schemaRefs>
</ds:datastoreItem>
</file>

<file path=customXml/itemProps4.xml><?xml version="1.0" encoding="utf-8"?>
<ds:datastoreItem xmlns:ds="http://schemas.openxmlformats.org/officeDocument/2006/customXml" ds:itemID="{5A4D8E8A-ECC0-44A9-B148-F7D4CC0D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4992</Words>
  <Characters>28458</Characters>
  <DocSecurity>0</DocSecurity>
  <Lines>237</Lines>
  <Paragraphs>66</Paragraphs>
  <ScaleCrop>false</ScaleCrop>
  <HeadingPairs>
    <vt:vector size="2" baseType="variant">
      <vt:variant>
        <vt:lpstr>Title</vt:lpstr>
      </vt:variant>
      <vt:variant>
        <vt:i4>1</vt:i4>
      </vt:variant>
    </vt:vector>
  </HeadingPairs>
  <TitlesOfParts>
    <vt:vector size="1" baseType="lpstr">
      <vt:lpstr>Our Reconciliation Action Plan, July 2019–July 2021, Table of extended deliverables in recognition of the challenges presented by the COVID-19 pandemic</vt:lpstr>
    </vt:vector>
  </TitlesOfParts>
  <Company>Victoria Legal Aid</Company>
  <LinksUpToDate>false</LinksUpToDate>
  <CharactersWithSpaces>33384</CharactersWithSpaces>
  <SharedDoc>false</SharedDoc>
  <HLinks>
    <vt:vector size="60" baseType="variant">
      <vt:variant>
        <vt:i4>2031677</vt:i4>
      </vt:variant>
      <vt:variant>
        <vt:i4>56</vt:i4>
      </vt:variant>
      <vt:variant>
        <vt:i4>0</vt:i4>
      </vt:variant>
      <vt:variant>
        <vt:i4>5</vt:i4>
      </vt:variant>
      <vt:variant>
        <vt:lpwstr/>
      </vt:variant>
      <vt:variant>
        <vt:lpwstr>_Toc14094287</vt:lpwstr>
      </vt:variant>
      <vt:variant>
        <vt:i4>1966141</vt:i4>
      </vt:variant>
      <vt:variant>
        <vt:i4>50</vt:i4>
      </vt:variant>
      <vt:variant>
        <vt:i4>0</vt:i4>
      </vt:variant>
      <vt:variant>
        <vt:i4>5</vt:i4>
      </vt:variant>
      <vt:variant>
        <vt:lpwstr/>
      </vt:variant>
      <vt:variant>
        <vt:lpwstr>_Toc14094286</vt:lpwstr>
      </vt:variant>
      <vt:variant>
        <vt:i4>1900605</vt:i4>
      </vt:variant>
      <vt:variant>
        <vt:i4>44</vt:i4>
      </vt:variant>
      <vt:variant>
        <vt:i4>0</vt:i4>
      </vt:variant>
      <vt:variant>
        <vt:i4>5</vt:i4>
      </vt:variant>
      <vt:variant>
        <vt:lpwstr/>
      </vt:variant>
      <vt:variant>
        <vt:lpwstr>_Toc14094285</vt:lpwstr>
      </vt:variant>
      <vt:variant>
        <vt:i4>1835069</vt:i4>
      </vt:variant>
      <vt:variant>
        <vt:i4>38</vt:i4>
      </vt:variant>
      <vt:variant>
        <vt:i4>0</vt:i4>
      </vt:variant>
      <vt:variant>
        <vt:i4>5</vt:i4>
      </vt:variant>
      <vt:variant>
        <vt:lpwstr/>
      </vt:variant>
      <vt:variant>
        <vt:lpwstr>_Toc14094284</vt:lpwstr>
      </vt:variant>
      <vt:variant>
        <vt:i4>1769533</vt:i4>
      </vt:variant>
      <vt:variant>
        <vt:i4>32</vt:i4>
      </vt:variant>
      <vt:variant>
        <vt:i4>0</vt:i4>
      </vt:variant>
      <vt:variant>
        <vt:i4>5</vt:i4>
      </vt:variant>
      <vt:variant>
        <vt:lpwstr/>
      </vt:variant>
      <vt:variant>
        <vt:lpwstr>_Toc14094283</vt:lpwstr>
      </vt:variant>
      <vt:variant>
        <vt:i4>1703997</vt:i4>
      </vt:variant>
      <vt:variant>
        <vt:i4>26</vt:i4>
      </vt:variant>
      <vt:variant>
        <vt:i4>0</vt:i4>
      </vt:variant>
      <vt:variant>
        <vt:i4>5</vt:i4>
      </vt:variant>
      <vt:variant>
        <vt:lpwstr/>
      </vt:variant>
      <vt:variant>
        <vt:lpwstr>_Toc14094282</vt:lpwstr>
      </vt:variant>
      <vt:variant>
        <vt:i4>1638461</vt:i4>
      </vt:variant>
      <vt:variant>
        <vt:i4>20</vt:i4>
      </vt:variant>
      <vt:variant>
        <vt:i4>0</vt:i4>
      </vt:variant>
      <vt:variant>
        <vt:i4>5</vt:i4>
      </vt:variant>
      <vt:variant>
        <vt:lpwstr/>
      </vt:variant>
      <vt:variant>
        <vt:lpwstr>_Toc14094281</vt:lpwstr>
      </vt:variant>
      <vt:variant>
        <vt:i4>1572925</vt:i4>
      </vt:variant>
      <vt:variant>
        <vt:i4>14</vt:i4>
      </vt:variant>
      <vt:variant>
        <vt:i4>0</vt:i4>
      </vt:variant>
      <vt:variant>
        <vt:i4>5</vt:i4>
      </vt:variant>
      <vt:variant>
        <vt:lpwstr/>
      </vt:variant>
      <vt:variant>
        <vt:lpwstr>_Toc14094280</vt:lpwstr>
      </vt:variant>
      <vt:variant>
        <vt:i4>1114162</vt:i4>
      </vt:variant>
      <vt:variant>
        <vt:i4>8</vt:i4>
      </vt:variant>
      <vt:variant>
        <vt:i4>0</vt:i4>
      </vt:variant>
      <vt:variant>
        <vt:i4>5</vt:i4>
      </vt:variant>
      <vt:variant>
        <vt:lpwstr/>
      </vt:variant>
      <vt:variant>
        <vt:lpwstr>_Toc14094279</vt:lpwstr>
      </vt:variant>
      <vt:variant>
        <vt:i4>1048626</vt:i4>
      </vt:variant>
      <vt:variant>
        <vt:i4>2</vt:i4>
      </vt:variant>
      <vt:variant>
        <vt:i4>0</vt:i4>
      </vt:variant>
      <vt:variant>
        <vt:i4>5</vt:i4>
      </vt:variant>
      <vt:variant>
        <vt:lpwstr/>
      </vt:variant>
      <vt:variant>
        <vt:lpwstr>_Toc14094278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Reconciliation Action Plan, July 2019–July 2021, Table of extended deliverables in recognition of the challenges presented by the COVID-19 pandemic</dc:title>
  <dc:subject/>
  <dc:creator>Victoria Legal Aid</dc:creator>
  <cp:keywords/>
  <dc:description/>
  <dcterms:created xsi:type="dcterms:W3CDTF">2021-04-29T23:55:00Z</dcterms:created>
  <dcterms:modified xsi:type="dcterms:W3CDTF">2021-04-29T23:55:00Z</dcterms:modified>
  <cp:revision>1</cp:revision>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ContentTypeId">
    <vt:lpwstr>0x010100599D83A6F58F4E49961191C2B1DF48DF</vt:lpwstr>
  </op:property>
  <op:property fmtid="{D5CDD505-2E9C-101B-9397-08002B2CF9AE}" pid="4" name="_MarkAsFinal">
    <vt:bool>true</vt:bool>
  </op:property>
</op:Properties>
</file>