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B03D" w14:textId="77777777" w:rsidR="003B51F7" w:rsidRDefault="00627BED" w:rsidP="003B51F7">
      <w:pPr>
        <w:pStyle w:val="Heading1"/>
      </w:pPr>
      <w:r>
        <w:t xml:space="preserve">Victoria Legal Aid </w:t>
      </w:r>
      <w:r w:rsidR="004175B7">
        <w:t>20</w:t>
      </w:r>
      <w:r w:rsidR="00214F4D">
        <w:t>21</w:t>
      </w:r>
      <w:r w:rsidR="004175B7">
        <w:t xml:space="preserve">–22 </w:t>
      </w:r>
      <w:r w:rsidR="003B51F7">
        <w:t>q</w:t>
      </w:r>
      <w:r w:rsidR="004175B7">
        <w:t xml:space="preserve">uarter </w:t>
      </w:r>
      <w:r w:rsidR="003B51F7">
        <w:t>t</w:t>
      </w:r>
      <w:r w:rsidR="00F03192">
        <w:t>wo</w:t>
      </w:r>
      <w:r w:rsidR="00214F4D">
        <w:t xml:space="preserve"> </w:t>
      </w:r>
      <w:r w:rsidR="003B51F7">
        <w:t>r</w:t>
      </w:r>
      <w:r w:rsidR="004175B7">
        <w:t>eport</w:t>
      </w:r>
    </w:p>
    <w:p w14:paraId="4EDF6626" w14:textId="2BE25D0E" w:rsidR="00E50B26" w:rsidRPr="003B51F7" w:rsidRDefault="00F03192" w:rsidP="003B51F7">
      <w:pPr>
        <w:pStyle w:val="Heading1"/>
        <w:spacing w:before="120"/>
        <w:rPr>
          <w:sz w:val="28"/>
          <w:szCs w:val="28"/>
        </w:rPr>
      </w:pPr>
      <w:r w:rsidRPr="003B51F7">
        <w:rPr>
          <w:sz w:val="28"/>
          <w:szCs w:val="28"/>
        </w:rPr>
        <w:t>September</w:t>
      </w:r>
      <w:r w:rsidR="00544E69" w:rsidRPr="003B51F7">
        <w:rPr>
          <w:sz w:val="28"/>
          <w:szCs w:val="28"/>
        </w:rPr>
        <w:t xml:space="preserve"> – </w:t>
      </w:r>
      <w:r w:rsidRPr="003B51F7">
        <w:rPr>
          <w:sz w:val="28"/>
          <w:szCs w:val="28"/>
        </w:rPr>
        <w:t>December</w:t>
      </w:r>
      <w:r w:rsidR="00544E69" w:rsidRPr="003B51F7">
        <w:rPr>
          <w:sz w:val="28"/>
          <w:szCs w:val="28"/>
        </w:rPr>
        <w:t xml:space="preserve"> 20</w:t>
      </w:r>
      <w:r w:rsidRPr="003B51F7">
        <w:rPr>
          <w:sz w:val="28"/>
          <w:szCs w:val="28"/>
        </w:rPr>
        <w:t>21</w:t>
      </w:r>
    </w:p>
    <w:p w14:paraId="25FB6B02" w14:textId="3450BBBA" w:rsidR="00E84672" w:rsidRDefault="00BF1E92" w:rsidP="003B51F7">
      <w:pPr>
        <w:pStyle w:val="Heading2"/>
      </w:pPr>
      <w:r>
        <w:t xml:space="preserve">Message from the </w:t>
      </w:r>
      <w:r w:rsidR="003B51F7">
        <w:t>a</w:t>
      </w:r>
      <w:r w:rsidR="008E45EC" w:rsidRPr="003B51F7">
        <w:t>cting</w:t>
      </w:r>
      <w:r w:rsidR="008E45EC">
        <w:t xml:space="preserve"> </w:t>
      </w:r>
      <w:r w:rsidRPr="001F0CF5">
        <w:t>CEO</w:t>
      </w:r>
    </w:p>
    <w:p w14:paraId="408FA20C" w14:textId="548D6945" w:rsidR="00F75005" w:rsidRDefault="00AD5490" w:rsidP="00553D41">
      <w:pPr>
        <w:spacing w:before="120" w:line="300" w:lineRule="exact"/>
      </w:pPr>
      <w:r w:rsidRPr="00884D13">
        <w:t xml:space="preserve">In October we celebrated our </w:t>
      </w:r>
      <w:hyperlink r:id="rId11" w:history="1">
        <w:r w:rsidRPr="00F64FA2">
          <w:rPr>
            <w:rStyle w:val="Hyperlink"/>
          </w:rPr>
          <w:t>40th anniversary</w:t>
        </w:r>
      </w:hyperlink>
      <w:r w:rsidR="00591AB1">
        <w:t>.</w:t>
      </w:r>
      <w:r w:rsidR="00B16B85">
        <w:t xml:space="preserve"> </w:t>
      </w:r>
      <w:r w:rsidR="00AB3F16">
        <w:t>T</w:t>
      </w:r>
      <w:r w:rsidR="00A034C1">
        <w:t>his</w:t>
      </w:r>
      <w:r w:rsidRPr="00884D13">
        <w:t xml:space="preserve"> milestone gave us the opportunity to reflect on how we've grown</w:t>
      </w:r>
      <w:r w:rsidR="00A034C1">
        <w:t>.</w:t>
      </w:r>
      <w:r w:rsidRPr="00884D13">
        <w:t xml:space="preserve"> </w:t>
      </w:r>
      <w:r w:rsidR="00AB3F16" w:rsidRPr="00A034C1">
        <w:t>Opening our doors at 179 Queen Street in Melbourne in 1981, we began as the Legal Aid Commission</w:t>
      </w:r>
      <w:r w:rsidR="00AB3F16">
        <w:t xml:space="preserve"> </w:t>
      </w:r>
      <w:r w:rsidR="00B57312">
        <w:t>and</w:t>
      </w:r>
      <w:r w:rsidR="0066251E" w:rsidRPr="00884D13">
        <w:t xml:space="preserve"> have </w:t>
      </w:r>
      <w:r w:rsidR="00B57312">
        <w:t xml:space="preserve">since </w:t>
      </w:r>
      <w:r w:rsidR="007E2622">
        <w:t>expanded</w:t>
      </w:r>
      <w:r w:rsidR="004508DF" w:rsidRPr="00884D13">
        <w:t xml:space="preserve"> </w:t>
      </w:r>
      <w:r w:rsidR="0066251E" w:rsidRPr="00884D13">
        <w:t xml:space="preserve">from </w:t>
      </w:r>
      <w:r w:rsidR="004508DF" w:rsidRPr="00884D13">
        <w:t xml:space="preserve">five offices </w:t>
      </w:r>
      <w:r w:rsidR="00591AB1">
        <w:t>to 15</w:t>
      </w:r>
      <w:r w:rsidR="009D5B53">
        <w:t xml:space="preserve"> </w:t>
      </w:r>
      <w:r w:rsidR="001B731A">
        <w:t xml:space="preserve">across Victoria </w:t>
      </w:r>
      <w:r w:rsidR="009D5B53">
        <w:t xml:space="preserve">and seen a </w:t>
      </w:r>
      <w:r w:rsidR="0061187E">
        <w:t xml:space="preserve">corresponding </w:t>
      </w:r>
      <w:r w:rsidR="009D5B53">
        <w:t>growth in the number of private practi</w:t>
      </w:r>
      <w:r w:rsidR="001B5CE5">
        <w:t xml:space="preserve">tioners </w:t>
      </w:r>
      <w:r w:rsidR="006D481D">
        <w:t xml:space="preserve">and </w:t>
      </w:r>
      <w:r w:rsidR="0095793E">
        <w:t>community legal centres</w:t>
      </w:r>
      <w:r w:rsidR="006D481D">
        <w:t xml:space="preserve">, ensuring legal </w:t>
      </w:r>
      <w:r w:rsidR="007A63DE">
        <w:t xml:space="preserve">assistance </w:t>
      </w:r>
      <w:r w:rsidR="00325657">
        <w:t xml:space="preserve">can be accessed </w:t>
      </w:r>
      <w:r w:rsidR="00935D42">
        <w:t xml:space="preserve">by Victorians </w:t>
      </w:r>
      <w:r w:rsidR="007A63DE">
        <w:t xml:space="preserve">across the state. </w:t>
      </w:r>
      <w:r w:rsidR="00B57312">
        <w:t xml:space="preserve"> We have</w:t>
      </w:r>
      <w:r w:rsidRPr="00884D13">
        <w:t xml:space="preserve"> evolved to deliver preventative and early intervention services, non-legal advocacy</w:t>
      </w:r>
      <w:r w:rsidR="00187E17">
        <w:t>,</w:t>
      </w:r>
      <w:r w:rsidRPr="00884D13">
        <w:t xml:space="preserve"> and play a significant role in law reform and sector-wide improvements to increase access to justice.</w:t>
      </w:r>
      <w:r w:rsidR="004508DF" w:rsidRPr="00884D13">
        <w:t xml:space="preserve"> </w:t>
      </w:r>
      <w:r w:rsidR="00AB1DB1">
        <w:t>Th</w:t>
      </w:r>
      <w:r w:rsidR="00C311F0">
        <w:t xml:space="preserve">is means </w:t>
      </w:r>
      <w:r w:rsidR="008B72A3">
        <w:t xml:space="preserve">we are </w:t>
      </w:r>
      <w:r w:rsidR="00057F54">
        <w:t>placing greater focus on prevent</w:t>
      </w:r>
      <w:r w:rsidR="000B628E">
        <w:t xml:space="preserve">ing </w:t>
      </w:r>
      <w:r w:rsidR="00057F54">
        <w:t xml:space="preserve">legal issues from occurring or </w:t>
      </w:r>
      <w:r w:rsidR="00516480">
        <w:t xml:space="preserve">escalating </w:t>
      </w:r>
      <w:r w:rsidR="000B628E">
        <w:t xml:space="preserve">and </w:t>
      </w:r>
      <w:r w:rsidR="003E6EE6">
        <w:t>advocating to change l</w:t>
      </w:r>
      <w:r w:rsidR="008B72A3">
        <w:t xml:space="preserve">aws and </w:t>
      </w:r>
      <w:r w:rsidR="00E05BD1">
        <w:t>systems,</w:t>
      </w:r>
      <w:r w:rsidR="008B72A3">
        <w:t xml:space="preserve"> </w:t>
      </w:r>
      <w:r w:rsidR="006A34AF">
        <w:t>so the</w:t>
      </w:r>
      <w:r w:rsidR="00617A6B">
        <w:t>y are fair</w:t>
      </w:r>
      <w:r w:rsidR="00274532">
        <w:t xml:space="preserve"> for our clients</w:t>
      </w:r>
      <w:r w:rsidR="00617A6B">
        <w:t xml:space="preserve">. </w:t>
      </w:r>
    </w:p>
    <w:p w14:paraId="64832387" w14:textId="280490D5" w:rsidR="00F66516" w:rsidRDefault="004508DF" w:rsidP="00553D41">
      <w:pPr>
        <w:spacing w:before="120" w:line="300" w:lineRule="exact"/>
      </w:pPr>
      <w:r w:rsidRPr="00884D13">
        <w:t xml:space="preserve">Most recently, </w:t>
      </w:r>
      <w:r w:rsidR="00EB40C3" w:rsidRPr="00884D13">
        <w:t>because of</w:t>
      </w:r>
      <w:r w:rsidRPr="00884D13">
        <w:t xml:space="preserve"> the </w:t>
      </w:r>
      <w:r w:rsidR="00F6030C" w:rsidRPr="00884D13">
        <w:t xml:space="preserve">global COVID-19 pandemic, we’ve undergone rapid change to deliver our services </w:t>
      </w:r>
      <w:r w:rsidR="00C3507E" w:rsidRPr="00884D13">
        <w:t>remotely.</w:t>
      </w:r>
      <w:r w:rsidR="006057EB">
        <w:t xml:space="preserve"> </w:t>
      </w:r>
      <w:r w:rsidR="00073FE7">
        <w:t>While our focus shifts to court backlog reduction</w:t>
      </w:r>
      <w:r w:rsidR="005B77AD">
        <w:t xml:space="preserve"> and preparing for the </w:t>
      </w:r>
      <w:r w:rsidR="00E552AC">
        <w:t xml:space="preserve">return </w:t>
      </w:r>
      <w:r w:rsidR="005B77AD">
        <w:t xml:space="preserve">of </w:t>
      </w:r>
      <w:r w:rsidR="00E552AC">
        <w:t>in person</w:t>
      </w:r>
      <w:r w:rsidR="00EC206A">
        <w:t xml:space="preserve"> </w:t>
      </w:r>
      <w:r w:rsidR="000C424C">
        <w:t>services</w:t>
      </w:r>
      <w:r w:rsidR="005B77AD">
        <w:t xml:space="preserve">, we </w:t>
      </w:r>
      <w:r w:rsidR="00AB0386" w:rsidRPr="007541E0">
        <w:t xml:space="preserve">will continue </w:t>
      </w:r>
      <w:r w:rsidR="000206A1">
        <w:t>to provide</w:t>
      </w:r>
      <w:r w:rsidR="00AB0386" w:rsidRPr="007541E0">
        <w:t xml:space="preserve"> </w:t>
      </w:r>
      <w:r w:rsidR="001F7CF8">
        <w:t xml:space="preserve">many of </w:t>
      </w:r>
      <w:r w:rsidR="00AB0386" w:rsidRPr="007541E0">
        <w:t xml:space="preserve">the </w:t>
      </w:r>
      <w:r w:rsidR="00B71664" w:rsidRPr="007541E0">
        <w:t xml:space="preserve">remote </w:t>
      </w:r>
      <w:r w:rsidR="00AB0386" w:rsidRPr="007541E0">
        <w:t>services developed during the pandemic.</w:t>
      </w:r>
      <w:r w:rsidR="00604F07" w:rsidRPr="00604F07">
        <w:rPr>
          <w:rFonts w:cs="Arial"/>
          <w:szCs w:val="22"/>
        </w:rPr>
        <w:t xml:space="preserve"> </w:t>
      </w:r>
      <w:r w:rsidR="00604F07" w:rsidRPr="00541534">
        <w:rPr>
          <w:rFonts w:cs="Arial"/>
          <w:szCs w:val="22"/>
        </w:rPr>
        <w:t>People can now request</w:t>
      </w:r>
      <w:r w:rsidR="00AB0386" w:rsidRPr="007541E0">
        <w:t> </w:t>
      </w:r>
      <w:hyperlink r:id="rId12" w:history="1">
        <w:r w:rsidR="00AB0386" w:rsidRPr="00883BE7">
          <w:rPr>
            <w:rStyle w:val="Hyperlink"/>
          </w:rPr>
          <w:t>Help Before Court</w:t>
        </w:r>
      </w:hyperlink>
      <w:r w:rsidR="002E2D89">
        <w:t xml:space="preserve"> </w:t>
      </w:r>
      <w:r w:rsidR="006E4C1E" w:rsidRPr="00541534">
        <w:rPr>
          <w:rFonts w:cs="Arial"/>
          <w:szCs w:val="22"/>
        </w:rPr>
        <w:t>by using the intake tool, calling</w:t>
      </w:r>
      <w:r w:rsidR="00DD0E32">
        <w:rPr>
          <w:rFonts w:cs="Arial"/>
          <w:szCs w:val="22"/>
        </w:rPr>
        <w:t>,</w:t>
      </w:r>
      <w:r w:rsidR="006E4C1E" w:rsidRPr="00541534">
        <w:rPr>
          <w:rFonts w:cs="Arial"/>
          <w:szCs w:val="22"/>
        </w:rPr>
        <w:t xml:space="preserve"> or using webchat to contact Legal Help or by directly contacting one of our regional offices. </w:t>
      </w:r>
      <w:r w:rsidR="00057919">
        <w:rPr>
          <w:rFonts w:cs="Arial"/>
          <w:szCs w:val="22"/>
        </w:rPr>
        <w:t xml:space="preserve">Since </w:t>
      </w:r>
      <w:r w:rsidR="009D3239">
        <w:rPr>
          <w:rFonts w:cs="Arial"/>
          <w:szCs w:val="22"/>
        </w:rPr>
        <w:t>its</w:t>
      </w:r>
      <w:r w:rsidR="00057919">
        <w:rPr>
          <w:rFonts w:cs="Arial"/>
          <w:szCs w:val="22"/>
        </w:rPr>
        <w:t xml:space="preserve"> launch in October 2020, w</w:t>
      </w:r>
      <w:r w:rsidR="00D8639E">
        <w:rPr>
          <w:rFonts w:cs="Arial"/>
          <w:szCs w:val="22"/>
        </w:rPr>
        <w:t>e</w:t>
      </w:r>
      <w:r w:rsidR="003C78A9">
        <w:rPr>
          <w:rFonts w:cs="Arial"/>
          <w:szCs w:val="22"/>
        </w:rPr>
        <w:t xml:space="preserve"> have provided </w:t>
      </w:r>
      <w:r w:rsidR="00132F41">
        <w:rPr>
          <w:rFonts w:cs="Arial"/>
          <w:szCs w:val="22"/>
        </w:rPr>
        <w:t>Help Before Court</w:t>
      </w:r>
      <w:r w:rsidR="003C78A9">
        <w:rPr>
          <w:rFonts w:cs="Arial"/>
          <w:szCs w:val="22"/>
        </w:rPr>
        <w:t xml:space="preserve"> services to over </w:t>
      </w:r>
      <w:r w:rsidR="0022526B">
        <w:rPr>
          <w:rFonts w:cs="Arial"/>
          <w:szCs w:val="22"/>
        </w:rPr>
        <w:t>10,000</w:t>
      </w:r>
      <w:r w:rsidR="003C78A9" w:rsidDel="0022526B">
        <w:rPr>
          <w:rFonts w:cs="Arial"/>
          <w:szCs w:val="22"/>
        </w:rPr>
        <w:t xml:space="preserve"> </w:t>
      </w:r>
      <w:r w:rsidR="003C78A9">
        <w:rPr>
          <w:rFonts w:cs="Arial"/>
          <w:szCs w:val="22"/>
        </w:rPr>
        <w:t>clients</w:t>
      </w:r>
      <w:r w:rsidR="000175D5">
        <w:rPr>
          <w:rFonts w:cs="Arial"/>
          <w:szCs w:val="22"/>
        </w:rPr>
        <w:t xml:space="preserve">. </w:t>
      </w:r>
      <w:r w:rsidR="006E4C1E" w:rsidRPr="00541534">
        <w:rPr>
          <w:rFonts w:cs="Arial"/>
          <w:szCs w:val="22"/>
        </w:rPr>
        <w:t xml:space="preserve">No matter which pathway, </w:t>
      </w:r>
      <w:r w:rsidR="001C6E7B">
        <w:rPr>
          <w:rFonts w:cs="Arial"/>
          <w:szCs w:val="22"/>
        </w:rPr>
        <w:t xml:space="preserve">clients </w:t>
      </w:r>
      <w:r w:rsidR="00867BCC">
        <w:rPr>
          <w:rFonts w:cs="Arial"/>
          <w:szCs w:val="22"/>
        </w:rPr>
        <w:t xml:space="preserve">can get </w:t>
      </w:r>
      <w:r w:rsidR="001C6E7B">
        <w:rPr>
          <w:rFonts w:cs="Arial"/>
          <w:szCs w:val="22"/>
        </w:rPr>
        <w:t xml:space="preserve">assistance </w:t>
      </w:r>
      <w:r w:rsidR="00C84747">
        <w:rPr>
          <w:rFonts w:cs="Arial"/>
          <w:szCs w:val="22"/>
        </w:rPr>
        <w:t xml:space="preserve">and advice </w:t>
      </w:r>
      <w:r w:rsidR="00816722">
        <w:rPr>
          <w:rFonts w:cs="Arial"/>
          <w:szCs w:val="22"/>
        </w:rPr>
        <w:t xml:space="preserve">before their </w:t>
      </w:r>
      <w:r w:rsidR="009E0A1C">
        <w:rPr>
          <w:rFonts w:cs="Arial"/>
          <w:szCs w:val="22"/>
        </w:rPr>
        <w:t xml:space="preserve">court day </w:t>
      </w:r>
      <w:r w:rsidR="002205DE">
        <w:rPr>
          <w:rFonts w:cs="Arial"/>
          <w:szCs w:val="22"/>
        </w:rPr>
        <w:t xml:space="preserve">so they are better prepared or to </w:t>
      </w:r>
      <w:r w:rsidR="002B6BED">
        <w:rPr>
          <w:rFonts w:cs="Arial"/>
          <w:szCs w:val="22"/>
        </w:rPr>
        <w:t xml:space="preserve">see if we can resolve </w:t>
      </w:r>
      <w:r w:rsidR="00A86617">
        <w:rPr>
          <w:rFonts w:cs="Arial"/>
          <w:szCs w:val="22"/>
        </w:rPr>
        <w:t xml:space="preserve">their matter </w:t>
      </w:r>
      <w:r w:rsidR="00A73B8C">
        <w:rPr>
          <w:rFonts w:cs="Arial"/>
          <w:szCs w:val="22"/>
        </w:rPr>
        <w:t>before court</w:t>
      </w:r>
      <w:r w:rsidR="002205DE">
        <w:rPr>
          <w:rFonts w:cs="Arial"/>
          <w:szCs w:val="22"/>
        </w:rPr>
        <w:t xml:space="preserve">. </w:t>
      </w:r>
      <w:r w:rsidR="00013550">
        <w:t xml:space="preserve">We remain concerned about the length of time many clients have spent on remand during the pandemic and are pleased to see the return of jury trials. </w:t>
      </w:r>
    </w:p>
    <w:p w14:paraId="694A369D" w14:textId="128F59A9" w:rsidR="00AB0386" w:rsidRPr="003B6809" w:rsidRDefault="00963DD2" w:rsidP="00553D41">
      <w:pPr>
        <w:spacing w:before="120" w:line="300" w:lineRule="exact"/>
        <w:rPr>
          <w:rFonts w:cs="Arial"/>
        </w:rPr>
      </w:pPr>
      <w:r>
        <w:t xml:space="preserve">The </w:t>
      </w:r>
      <w:r w:rsidR="005F740A">
        <w:t xml:space="preserve">appointment of 11 </w:t>
      </w:r>
      <w:r w:rsidR="00AA6A96">
        <w:t xml:space="preserve">judicial </w:t>
      </w:r>
      <w:r w:rsidR="00231E8E">
        <w:t xml:space="preserve">officers and 42 registrars </w:t>
      </w:r>
      <w:r w:rsidR="00F207F7">
        <w:t xml:space="preserve">to the newly amalgamated Federal Circuit and Family Court </w:t>
      </w:r>
      <w:r w:rsidR="0041102B">
        <w:t xml:space="preserve">of Australia </w:t>
      </w:r>
      <w:r w:rsidR="00231E8E">
        <w:t xml:space="preserve">and the </w:t>
      </w:r>
      <w:r>
        <w:t xml:space="preserve">creation of a new case </w:t>
      </w:r>
      <w:r w:rsidR="00210988">
        <w:t>management</w:t>
      </w:r>
      <w:r>
        <w:t xml:space="preserve"> pathway </w:t>
      </w:r>
      <w:r w:rsidR="00276234">
        <w:t xml:space="preserve">are </w:t>
      </w:r>
      <w:r w:rsidR="00EE3559">
        <w:t>significant</w:t>
      </w:r>
      <w:r w:rsidR="00276234">
        <w:t xml:space="preserve"> </w:t>
      </w:r>
      <w:r w:rsidR="00D03895">
        <w:t xml:space="preserve">and important </w:t>
      </w:r>
      <w:r w:rsidR="00276234">
        <w:t>reforms</w:t>
      </w:r>
      <w:r w:rsidR="00126302">
        <w:t xml:space="preserve">. We have </w:t>
      </w:r>
      <w:r w:rsidR="00135C32">
        <w:t xml:space="preserve">updated our guidelines and fees and </w:t>
      </w:r>
      <w:r w:rsidR="00EE3559">
        <w:t xml:space="preserve">continue our work with the federal government </w:t>
      </w:r>
      <w:r w:rsidR="00A11BA0">
        <w:t xml:space="preserve">to ensure we </w:t>
      </w:r>
      <w:r w:rsidR="00720D81">
        <w:t>receive adequate</w:t>
      </w:r>
      <w:r w:rsidR="00A11BA0">
        <w:t xml:space="preserve"> funding to continue to support the Court. </w:t>
      </w:r>
      <w:r w:rsidR="00013550">
        <w:t xml:space="preserve"> </w:t>
      </w:r>
    </w:p>
    <w:p w14:paraId="1F656AEB" w14:textId="2D58FB3F" w:rsidR="00AB0386" w:rsidRPr="00553D41" w:rsidRDefault="00AB0386" w:rsidP="00553D41">
      <w:pPr>
        <w:spacing w:before="120" w:line="300" w:lineRule="exact"/>
      </w:pPr>
      <w:r w:rsidRPr="007541E0">
        <w:t xml:space="preserve">We </w:t>
      </w:r>
      <w:r w:rsidR="0040333B">
        <w:t xml:space="preserve">have also </w:t>
      </w:r>
      <w:r w:rsidRPr="007541E0">
        <w:t xml:space="preserve">launched our </w:t>
      </w:r>
      <w:hyperlink r:id="rId13" w:history="1">
        <w:r w:rsidRPr="00A57096">
          <w:rPr>
            <w:rStyle w:val="Hyperlink"/>
          </w:rPr>
          <w:t>Disability Action Plan</w:t>
        </w:r>
      </w:hyperlink>
      <w:r w:rsidR="00206948">
        <w:rPr>
          <w:rStyle w:val="Hyperlink"/>
        </w:rPr>
        <w:t xml:space="preserve"> (DAP)</w:t>
      </w:r>
      <w:r w:rsidRPr="007541E0">
        <w:t>, co-designed with people with disability, which will help us support our clients’ needs more holistically and reduce discrimination.</w:t>
      </w:r>
      <w:r w:rsidR="00370F9E">
        <w:t xml:space="preserve"> </w:t>
      </w:r>
      <w:r w:rsidR="00370F9E" w:rsidRPr="00370F9E">
        <w:t>Our organisation believes in equal participation by all people in our community. As a significant provider of legal services in Victoria we have a responsibility to address barriers and challenges that restrict the access of many Victorians to the justice system, including people with disability</w:t>
      </w:r>
      <w:r w:rsidR="00370F9E">
        <w:t>.</w:t>
      </w:r>
      <w:r w:rsidRPr="007541E0">
        <w:t xml:space="preserve"> This plan adds to the suite of plans under our new Inclusion Framework, such as our Cultural Diversity and Inclusion Strategy, our Anti-Racism Plan, our Reconciliation Action Plan </w:t>
      </w:r>
      <w:proofErr w:type="gramStart"/>
      <w:r w:rsidRPr="007541E0">
        <w:t>2</w:t>
      </w:r>
      <w:proofErr w:type="gramEnd"/>
      <w:r w:rsidRPr="007541E0">
        <w:t xml:space="preserve"> and our Gender Equality Action Plan.</w:t>
      </w:r>
      <w:r w:rsidR="0053390B">
        <w:t xml:space="preserve"> </w:t>
      </w:r>
      <w:r w:rsidR="0053390B" w:rsidRPr="0053390B">
        <w:t>Our implementation of the commitments in the DAP will help us to create a safer and disability-positive culture that will benefit our staff and those who use our services.</w:t>
      </w:r>
    </w:p>
    <w:p w14:paraId="7F23CF3D" w14:textId="2D3945A9" w:rsidR="00566CF6" w:rsidRPr="007541E0" w:rsidRDefault="00566CF6" w:rsidP="00553D41">
      <w:pPr>
        <w:spacing w:before="120" w:line="300" w:lineRule="exact"/>
        <w:rPr>
          <w:rFonts w:cs="Arial"/>
          <w:b/>
          <w:bCs/>
          <w:iCs/>
          <w:color w:val="971A4B"/>
          <w:sz w:val="24"/>
          <w:lang w:eastAsia="en-AU"/>
        </w:rPr>
      </w:pPr>
      <w:r w:rsidRPr="007541E0">
        <w:rPr>
          <w:sz w:val="20"/>
          <w:szCs w:val="22"/>
        </w:rPr>
        <w:br w:type="page"/>
      </w:r>
    </w:p>
    <w:p w14:paraId="1C7CBEA9" w14:textId="41589A4A" w:rsidR="00E43EE2" w:rsidRDefault="009E5C83" w:rsidP="00597600">
      <w:pPr>
        <w:pStyle w:val="Heading2"/>
      </w:pPr>
      <w:r>
        <w:lastRenderedPageBreak/>
        <w:t>Client Services</w:t>
      </w:r>
      <w:r w:rsidR="007F609B">
        <w:t xml:space="preserve"> </w:t>
      </w:r>
      <w:r w:rsidR="004175B7" w:rsidRPr="004175B7">
        <w:t xml:space="preserve"> </w:t>
      </w:r>
    </w:p>
    <w:p w14:paraId="292FAF7A" w14:textId="6381BCA1" w:rsidR="00983D91" w:rsidRDefault="00D34BDA" w:rsidP="003B51F7">
      <w:r w:rsidRPr="007B7000">
        <w:t xml:space="preserve">The most recent Victorian lockdown, ending in late October 2021, has </w:t>
      </w:r>
      <w:r w:rsidR="003120E3">
        <w:t>affected</w:t>
      </w:r>
      <w:r w:rsidRPr="007B7000">
        <w:t xml:space="preserve"> service results for </w:t>
      </w:r>
      <w:r w:rsidR="002B0440">
        <w:t>q</w:t>
      </w:r>
      <w:r w:rsidRPr="007B7000">
        <w:t xml:space="preserve">uarter </w:t>
      </w:r>
      <w:r w:rsidR="002B0440">
        <w:t>t</w:t>
      </w:r>
      <w:r w:rsidRPr="007B7000">
        <w:t>wo 2021</w:t>
      </w:r>
      <w:r w:rsidR="00FE4729">
        <w:rPr>
          <w:lang w:eastAsia="en-AU"/>
        </w:rPr>
        <w:t>–</w:t>
      </w:r>
      <w:r w:rsidRPr="007B7000">
        <w:t xml:space="preserve">22. </w:t>
      </w:r>
      <w:r w:rsidRPr="00F25E9F">
        <w:t xml:space="preserve">Throughout the pandemic we adapted our services for multiple modes of delivery to ensure clients </w:t>
      </w:r>
      <w:r w:rsidR="003120E3">
        <w:t>could continue</w:t>
      </w:r>
      <w:r w:rsidRPr="00F25E9F">
        <w:t xml:space="preserve"> to access legal and non-legal services. </w:t>
      </w:r>
    </w:p>
    <w:p w14:paraId="2EE17DC9" w14:textId="54C17A93" w:rsidR="00D34BDA" w:rsidRPr="003B51F7" w:rsidRDefault="00983D91" w:rsidP="003B51F7">
      <w:r>
        <w:t xml:space="preserve">The </w:t>
      </w:r>
      <w:r w:rsidR="00A47AAD">
        <w:t>projected service figures f</w:t>
      </w:r>
      <w:r>
        <w:t xml:space="preserve">or </w:t>
      </w:r>
      <w:r w:rsidR="00A47AAD">
        <w:t>q</w:t>
      </w:r>
      <w:r>
        <w:t xml:space="preserve">uarter three </w:t>
      </w:r>
      <w:r w:rsidR="00A47AAD">
        <w:t>2021</w:t>
      </w:r>
      <w:r w:rsidR="00FE4729">
        <w:rPr>
          <w:lang w:eastAsia="en-AU"/>
        </w:rPr>
        <w:t>–</w:t>
      </w:r>
      <w:r w:rsidR="00A47AAD">
        <w:t xml:space="preserve">22 </w:t>
      </w:r>
      <w:proofErr w:type="gramStart"/>
      <w:r w:rsidR="00A47AAD">
        <w:t>are</w:t>
      </w:r>
      <w:proofErr w:type="gramEnd"/>
      <w:r w:rsidR="00A47AAD">
        <w:t xml:space="preserve"> </w:t>
      </w:r>
      <w:r w:rsidR="00D62B52">
        <w:t>contingent on the courts resuming full operations.</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7"/>
        <w:gridCol w:w="2001"/>
        <w:gridCol w:w="2285"/>
        <w:gridCol w:w="2283"/>
      </w:tblGrid>
      <w:tr w:rsidR="00B21D50" w:rsidRPr="000E7EED" w14:paraId="5105FACB" w14:textId="61515848" w:rsidTr="003B51F7">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0" w:type="pct"/>
            <w:shd w:val="clear" w:color="auto" w:fill="C3AFCC"/>
          </w:tcPr>
          <w:p w14:paraId="02AC0E7C" w14:textId="77777777" w:rsidR="0096755F" w:rsidRPr="000E7EED" w:rsidRDefault="0096755F"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1DB462B9" w14:textId="18FD7C67" w:rsidR="0096755F" w:rsidRPr="000E7EED" w:rsidRDefault="0096755F" w:rsidP="55245693">
            <w:pPr>
              <w:jc w:val="center"/>
              <w:rPr>
                <w:b/>
                <w:color w:val="000000" w:themeColor="text1"/>
              </w:rPr>
            </w:pPr>
            <w:r w:rsidRPr="55245693">
              <w:rPr>
                <w:b/>
                <w:color w:val="000000" w:themeColor="text1"/>
              </w:rPr>
              <w:t>Q</w:t>
            </w:r>
            <w:r w:rsidR="00F03192">
              <w:rPr>
                <w:b/>
                <w:color w:val="000000" w:themeColor="text1"/>
              </w:rPr>
              <w:t>1</w:t>
            </w:r>
          </w:p>
          <w:p w14:paraId="2C3C051D" w14:textId="78FB921B" w:rsidR="0096755F" w:rsidRPr="000E7EED" w:rsidRDefault="0096755F" w:rsidP="0039260E">
            <w:pPr>
              <w:jc w:val="center"/>
              <w:rPr>
                <w:color w:val="000000" w:themeColor="text1"/>
              </w:rPr>
            </w:pPr>
            <w:r w:rsidRPr="000E7EED">
              <w:rPr>
                <w:b/>
                <w:color w:val="000000" w:themeColor="text1"/>
              </w:rPr>
              <w:t>20</w:t>
            </w:r>
            <w:r>
              <w:rPr>
                <w:b/>
                <w:color w:val="000000" w:themeColor="text1"/>
              </w:rPr>
              <w:t>2</w:t>
            </w:r>
            <w:r w:rsidR="00F03192">
              <w:rPr>
                <w:b/>
                <w:color w:val="000000" w:themeColor="text1"/>
              </w:rPr>
              <w:t>1</w:t>
            </w:r>
            <w:r>
              <w:rPr>
                <w:b/>
                <w:color w:val="000000" w:themeColor="text1"/>
              </w:rPr>
              <w:t>-2</w:t>
            </w:r>
            <w:r w:rsidR="00F03192">
              <w:rPr>
                <w:b/>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47FD7D32" w14:textId="1E9E1F88" w:rsidR="0096755F" w:rsidRDefault="0096755F" w:rsidP="55245693">
            <w:pPr>
              <w:jc w:val="center"/>
              <w:rPr>
                <w:b/>
                <w:color w:val="000000" w:themeColor="text1"/>
              </w:rPr>
            </w:pPr>
            <w:r w:rsidRPr="55245693">
              <w:rPr>
                <w:b/>
                <w:color w:val="000000" w:themeColor="text1"/>
              </w:rPr>
              <w:t>Q</w:t>
            </w:r>
            <w:r w:rsidR="00F03192">
              <w:rPr>
                <w:b/>
                <w:color w:val="000000" w:themeColor="text1"/>
              </w:rPr>
              <w:t>2</w:t>
            </w:r>
          </w:p>
          <w:p w14:paraId="62B8B011" w14:textId="012E1272" w:rsidR="0096755F" w:rsidRPr="00A76427" w:rsidRDefault="0096755F" w:rsidP="0039260E">
            <w:pPr>
              <w:jc w:val="center"/>
              <w:rPr>
                <w:b/>
                <w:color w:val="000000" w:themeColor="text1"/>
              </w:rPr>
            </w:pPr>
            <w:r w:rsidRPr="000E7EED">
              <w:rPr>
                <w:b/>
                <w:color w:val="000000" w:themeColor="text1"/>
              </w:rPr>
              <w:t>20</w:t>
            </w:r>
            <w:r>
              <w:rPr>
                <w:b/>
                <w:color w:val="000000" w:themeColor="text1"/>
              </w:rPr>
              <w:t>2</w:t>
            </w:r>
            <w:r w:rsidR="00F03192">
              <w:rPr>
                <w:b/>
                <w:color w:val="000000" w:themeColor="text1"/>
              </w:rPr>
              <w:t>1</w:t>
            </w:r>
            <w:r>
              <w:rPr>
                <w:b/>
                <w:color w:val="000000" w:themeColor="text1"/>
              </w:rPr>
              <w:t>-2</w:t>
            </w:r>
            <w:r w:rsidR="00F03192">
              <w:rPr>
                <w:b/>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C3AFCC"/>
          </w:tcPr>
          <w:p w14:paraId="6B1834FE" w14:textId="40CB2751" w:rsidR="0096755F" w:rsidRDefault="0096755F" w:rsidP="55245693">
            <w:pPr>
              <w:jc w:val="center"/>
              <w:rPr>
                <w:b/>
                <w:bCs w:val="0"/>
                <w:color w:val="000000" w:themeColor="text1"/>
              </w:rPr>
            </w:pPr>
            <w:r>
              <w:rPr>
                <w:b/>
                <w:color w:val="000000" w:themeColor="text1"/>
              </w:rPr>
              <w:t>Q</w:t>
            </w:r>
            <w:r w:rsidR="00F03192">
              <w:rPr>
                <w:b/>
                <w:color w:val="000000" w:themeColor="text1"/>
              </w:rPr>
              <w:t>3</w:t>
            </w:r>
            <w:r w:rsidR="00440B64">
              <w:rPr>
                <w:b/>
                <w:color w:val="000000" w:themeColor="text1"/>
              </w:rPr>
              <w:t xml:space="preserve"> 20</w:t>
            </w:r>
            <w:r w:rsidR="009F38F4">
              <w:rPr>
                <w:b/>
                <w:color w:val="000000" w:themeColor="text1"/>
              </w:rPr>
              <w:t>21-22</w:t>
            </w:r>
          </w:p>
          <w:p w14:paraId="08B49C60" w14:textId="4461BA4C" w:rsidR="0096755F" w:rsidRPr="55245693" w:rsidRDefault="0096755F" w:rsidP="55245693">
            <w:pPr>
              <w:jc w:val="center"/>
              <w:rPr>
                <w:b/>
                <w:color w:val="000000" w:themeColor="text1"/>
              </w:rPr>
            </w:pPr>
            <w:r>
              <w:rPr>
                <w:b/>
                <w:color w:val="000000" w:themeColor="text1"/>
              </w:rPr>
              <w:t>projection</w:t>
            </w:r>
          </w:p>
        </w:tc>
      </w:tr>
      <w:tr w:rsidR="0096755F" w:rsidRPr="000E7EED" w14:paraId="712E240F" w14:textId="13DFB6AA" w:rsidTr="003B51F7">
        <w:trPr>
          <w:cnfStyle w:val="000000100000" w:firstRow="0" w:lastRow="0" w:firstColumn="0" w:lastColumn="0" w:oddVBand="0" w:evenVBand="0" w:oddHBand="1" w:evenHBand="0" w:firstRowFirstColumn="0" w:firstRowLastColumn="0" w:lastRowFirstColumn="0" w:lastRowLastColumn="0"/>
          <w:cantSplit/>
          <w:trHeight w:val="566"/>
        </w:trPr>
        <w:tc>
          <w:tcPr>
            <w:cnfStyle w:val="000010000000" w:firstRow="0" w:lastRow="0" w:firstColumn="0" w:lastColumn="0" w:oddVBand="1" w:evenVBand="0" w:oddHBand="0" w:evenHBand="0" w:firstRowFirstColumn="0" w:firstRowLastColumn="0" w:lastRowFirstColumn="0" w:lastRowLastColumn="0"/>
            <w:tcW w:w="1740" w:type="pct"/>
          </w:tcPr>
          <w:p w14:paraId="6D73261E" w14:textId="77777777" w:rsidR="0096755F" w:rsidRPr="000E7EED" w:rsidRDefault="0096755F"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tcPr>
          <w:p w14:paraId="758A4E12" w14:textId="174C241C" w:rsidR="0096755F" w:rsidRPr="000E7EED" w:rsidRDefault="00D54410" w:rsidP="00D54410">
            <w:pPr>
              <w:jc w:val="center"/>
              <w:rPr>
                <w:color w:val="000000" w:themeColor="text1"/>
              </w:rPr>
            </w:pPr>
            <w:r>
              <w:t>26,092</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tcPr>
          <w:p w14:paraId="5C50A8F1" w14:textId="316F9B17" w:rsidR="0096755F" w:rsidRPr="0021615C" w:rsidRDefault="00A912F9" w:rsidP="0043466F">
            <w:pPr>
              <w:jc w:val="center"/>
            </w:pPr>
            <w:r>
              <w:t>16,</w:t>
            </w:r>
            <w:r w:rsidR="00500E95">
              <w:t>729</w:t>
            </w:r>
          </w:p>
        </w:tc>
        <w:tc>
          <w:tcPr>
            <w:cnfStyle w:val="000001000000" w:firstRow="0" w:lastRow="0" w:firstColumn="0" w:lastColumn="0" w:oddVBand="0" w:evenVBand="1" w:oddHBand="0" w:evenHBand="0" w:firstRowFirstColumn="0" w:firstRowLastColumn="0" w:lastRowFirstColumn="0" w:lastRowLastColumn="0"/>
            <w:tcW w:w="1133" w:type="pct"/>
            <w:shd w:val="clear" w:color="auto" w:fill="auto"/>
          </w:tcPr>
          <w:p w14:paraId="086F5C8C" w14:textId="30E7CC60" w:rsidR="0096755F" w:rsidRDefault="00500E95" w:rsidP="00500E95">
            <w:pPr>
              <w:jc w:val="center"/>
            </w:pPr>
            <w:r>
              <w:t>19,577</w:t>
            </w:r>
          </w:p>
        </w:tc>
      </w:tr>
    </w:tbl>
    <w:p w14:paraId="494057E0" w14:textId="1FCD4CBA" w:rsidR="003D2C32" w:rsidRDefault="00992799" w:rsidP="00992799">
      <w:pPr>
        <w:spacing w:before="120"/>
      </w:pPr>
      <w:bookmarkStart w:id="1" w:name="_Hlk52886498"/>
      <w:bookmarkEnd w:id="0"/>
      <w:r>
        <w:t xml:space="preserve">Unique client numbers are </w:t>
      </w:r>
      <w:r w:rsidR="00500E95">
        <w:t>lower</w:t>
      </w:r>
      <w:r>
        <w:t xml:space="preserve"> in quarter two compared to quarter one 2021</w:t>
      </w:r>
      <w:r>
        <w:rPr>
          <w:lang w:eastAsia="en-AU"/>
        </w:rPr>
        <w:t>–</w:t>
      </w:r>
      <w:r>
        <w:t xml:space="preserve">22 (Table 1.1). </w:t>
      </w:r>
      <w:r w:rsidR="00F3110C">
        <w:t>The number of</w:t>
      </w:r>
      <w:r w:rsidR="00D33679">
        <w:t xml:space="preserve"> unique clients we see</w:t>
      </w:r>
      <w:r>
        <w:t xml:space="preserve"> </w:t>
      </w:r>
      <w:r w:rsidR="00CA1212">
        <w:t>depends</w:t>
      </w:r>
      <w:r>
        <w:t xml:space="preserve"> on</w:t>
      </w:r>
      <w:r w:rsidR="00D33679">
        <w:t xml:space="preserve"> the operation of</w:t>
      </w:r>
      <w:r>
        <w:t xml:space="preserve"> courts</w:t>
      </w:r>
      <w:r w:rsidR="00EF7ACD">
        <w:t>,</w:t>
      </w:r>
      <w:r w:rsidR="005C503D">
        <w:t xml:space="preserve"> which continue</w:t>
      </w:r>
      <w:r w:rsidR="00F82A0A">
        <w:t>d</w:t>
      </w:r>
      <w:r w:rsidR="005C503D">
        <w:t xml:space="preserve"> to be affected by </w:t>
      </w:r>
      <w:r w:rsidR="00C50D4C">
        <w:t>government restrictions</w:t>
      </w:r>
      <w:r w:rsidR="00DE429E">
        <w:t>.</w:t>
      </w:r>
      <w:r w:rsidR="00572742">
        <w:t xml:space="preserve"> As </w:t>
      </w:r>
      <w:r w:rsidR="00D57E84">
        <w:t xml:space="preserve">these </w:t>
      </w:r>
      <w:r w:rsidR="00F82A0A" w:rsidDel="00D57E84">
        <w:t xml:space="preserve">restrictions </w:t>
      </w:r>
      <w:r w:rsidR="00F82A0A">
        <w:t xml:space="preserve">ease and </w:t>
      </w:r>
      <w:r w:rsidR="00572742">
        <w:t xml:space="preserve">more </w:t>
      </w:r>
      <w:r w:rsidR="008D2C4F">
        <w:t xml:space="preserve">in-person </w:t>
      </w:r>
      <w:r w:rsidR="00572742">
        <w:t xml:space="preserve">court services </w:t>
      </w:r>
      <w:r w:rsidR="00D8287B">
        <w:t xml:space="preserve">resume </w:t>
      </w:r>
      <w:r w:rsidR="00572742">
        <w:t>we anticipate the n</w:t>
      </w:r>
      <w:r w:rsidR="008F02E6">
        <w:t>umber of</w:t>
      </w:r>
      <w:r w:rsidR="00572742">
        <w:t xml:space="preserve"> unique clients per quarter will</w:t>
      </w:r>
      <w:r w:rsidR="001B2C12">
        <w:t xml:space="preserve"> gradually</w:t>
      </w:r>
      <w:r w:rsidR="00572742">
        <w:t xml:space="preserve"> return to pre-pandemic levels.</w:t>
      </w:r>
    </w:p>
    <w:p w14:paraId="71C1B22F" w14:textId="3C1DFF6F" w:rsidR="00E43EE2" w:rsidRDefault="007C1487" w:rsidP="00E43EE2">
      <w:pPr>
        <w:pStyle w:val="Tableheader"/>
      </w:pPr>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22"/>
        <w:gridCol w:w="1659"/>
        <w:gridCol w:w="1659"/>
        <w:gridCol w:w="1916"/>
        <w:gridCol w:w="1916"/>
      </w:tblGrid>
      <w:tr w:rsidR="00B21D50" w:rsidRPr="000E7EED" w14:paraId="610BF466" w14:textId="21499514" w:rsidTr="003B51F7">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2922" w:type="dxa"/>
            <w:shd w:val="clear" w:color="auto" w:fill="C4B0CC"/>
          </w:tcPr>
          <w:p w14:paraId="685BCF7D" w14:textId="306AA6B1" w:rsidR="0096755F" w:rsidRPr="000E7EED" w:rsidRDefault="0096755F" w:rsidP="0039260E">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659" w:type="dxa"/>
            <w:shd w:val="clear" w:color="auto" w:fill="C3AFCC"/>
          </w:tcPr>
          <w:p w14:paraId="7CEF1135" w14:textId="57655427" w:rsidR="0096755F" w:rsidRPr="55245693" w:rsidRDefault="0096755F" w:rsidP="55245693">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C3AFCC"/>
          </w:tcPr>
          <w:p w14:paraId="2533E8EB" w14:textId="7B190EF9" w:rsidR="0096755F" w:rsidRPr="000E7EED" w:rsidRDefault="0096755F" w:rsidP="55245693">
            <w:pPr>
              <w:jc w:val="center"/>
              <w:rPr>
                <w:b/>
                <w:color w:val="000000" w:themeColor="text1"/>
              </w:rPr>
            </w:pPr>
            <w:r w:rsidRPr="55245693">
              <w:rPr>
                <w:b/>
                <w:color w:val="000000" w:themeColor="text1"/>
              </w:rPr>
              <w:t>Q</w:t>
            </w:r>
            <w:r w:rsidR="009F38F4">
              <w:rPr>
                <w:b/>
                <w:color w:val="000000" w:themeColor="text1"/>
              </w:rPr>
              <w:t>1</w:t>
            </w:r>
          </w:p>
          <w:p w14:paraId="537B5889" w14:textId="50BD9D93" w:rsidR="0096755F" w:rsidRPr="000E7EED" w:rsidRDefault="0096755F" w:rsidP="0039260E">
            <w:pPr>
              <w:jc w:val="center"/>
              <w:rPr>
                <w:color w:val="000000" w:themeColor="text1"/>
              </w:rPr>
            </w:pPr>
            <w:r w:rsidRPr="000E7EED">
              <w:rPr>
                <w:b/>
                <w:color w:val="000000" w:themeColor="text1"/>
              </w:rPr>
              <w:t>20</w:t>
            </w:r>
            <w:r>
              <w:rPr>
                <w:b/>
                <w:color w:val="000000" w:themeColor="text1"/>
              </w:rPr>
              <w:t>2</w:t>
            </w:r>
            <w:r w:rsidR="009F38F4">
              <w:rPr>
                <w:b/>
                <w:color w:val="000000" w:themeColor="text1"/>
              </w:rPr>
              <w:t>1</w:t>
            </w:r>
            <w:r>
              <w:rPr>
                <w:b/>
                <w:color w:val="000000" w:themeColor="text1"/>
              </w:rPr>
              <w:t>-2</w:t>
            </w:r>
            <w:r w:rsidR="009F38F4">
              <w:rPr>
                <w:b/>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C3AFCC"/>
          </w:tcPr>
          <w:p w14:paraId="471B57D4" w14:textId="0C91503F" w:rsidR="0096755F" w:rsidRDefault="0096755F" w:rsidP="55245693">
            <w:pPr>
              <w:jc w:val="center"/>
              <w:rPr>
                <w:b/>
                <w:color w:val="000000" w:themeColor="text1"/>
              </w:rPr>
            </w:pPr>
            <w:r w:rsidRPr="55245693">
              <w:rPr>
                <w:b/>
                <w:color w:val="000000" w:themeColor="text1"/>
              </w:rPr>
              <w:t>Q</w:t>
            </w:r>
            <w:r w:rsidR="009F38F4">
              <w:rPr>
                <w:b/>
                <w:color w:val="000000" w:themeColor="text1"/>
              </w:rPr>
              <w:t>2</w:t>
            </w:r>
          </w:p>
          <w:p w14:paraId="7F054B76" w14:textId="6F4ECD0C" w:rsidR="0096755F" w:rsidRPr="00A76427" w:rsidRDefault="0096755F" w:rsidP="0039260E">
            <w:pPr>
              <w:jc w:val="center"/>
              <w:rPr>
                <w:b/>
                <w:color w:val="000000" w:themeColor="text1"/>
              </w:rPr>
            </w:pPr>
            <w:r w:rsidRPr="000E7EED">
              <w:rPr>
                <w:b/>
                <w:color w:val="000000" w:themeColor="text1"/>
              </w:rPr>
              <w:t>20</w:t>
            </w:r>
            <w:r>
              <w:rPr>
                <w:b/>
                <w:color w:val="000000" w:themeColor="text1"/>
              </w:rPr>
              <w:t>2</w:t>
            </w:r>
            <w:r w:rsidR="009F38F4">
              <w:rPr>
                <w:b/>
                <w:color w:val="000000" w:themeColor="text1"/>
              </w:rPr>
              <w:t>1</w:t>
            </w:r>
            <w:r>
              <w:rPr>
                <w:b/>
                <w:color w:val="000000" w:themeColor="text1"/>
              </w:rPr>
              <w:t>-2</w:t>
            </w:r>
            <w:r w:rsidR="009F38F4">
              <w:rPr>
                <w:b/>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C3AFCC"/>
          </w:tcPr>
          <w:p w14:paraId="0A454959" w14:textId="02E53504" w:rsidR="0096755F" w:rsidRDefault="0096755F" w:rsidP="55245693">
            <w:pPr>
              <w:jc w:val="center"/>
              <w:rPr>
                <w:b/>
                <w:bCs w:val="0"/>
                <w:color w:val="000000" w:themeColor="text1"/>
              </w:rPr>
            </w:pPr>
            <w:r>
              <w:rPr>
                <w:b/>
                <w:color w:val="000000" w:themeColor="text1"/>
              </w:rPr>
              <w:t>Q</w:t>
            </w:r>
            <w:r w:rsidR="00B16A6C">
              <w:rPr>
                <w:b/>
                <w:color w:val="000000" w:themeColor="text1"/>
              </w:rPr>
              <w:t>3</w:t>
            </w:r>
            <w:r w:rsidR="00177673">
              <w:rPr>
                <w:b/>
                <w:color w:val="000000" w:themeColor="text1"/>
              </w:rPr>
              <w:t xml:space="preserve"> 20</w:t>
            </w:r>
            <w:r w:rsidR="00B16A6C">
              <w:rPr>
                <w:b/>
                <w:color w:val="000000" w:themeColor="text1"/>
              </w:rPr>
              <w:t>21-22</w:t>
            </w:r>
          </w:p>
          <w:p w14:paraId="1EE8EA13" w14:textId="5F110553" w:rsidR="0096755F" w:rsidRPr="55245693" w:rsidRDefault="0096755F" w:rsidP="55245693">
            <w:pPr>
              <w:jc w:val="center"/>
              <w:rPr>
                <w:b/>
                <w:color w:val="000000" w:themeColor="text1"/>
              </w:rPr>
            </w:pPr>
            <w:r>
              <w:rPr>
                <w:b/>
                <w:color w:val="000000" w:themeColor="text1"/>
              </w:rPr>
              <w:t>projection</w:t>
            </w:r>
          </w:p>
        </w:tc>
      </w:tr>
      <w:tr w:rsidR="004D79A1" w:rsidRPr="000E7EED" w14:paraId="673A80E6" w14:textId="68688B27" w:rsidTr="003B51F7">
        <w:trPr>
          <w:cnfStyle w:val="000000100000" w:firstRow="0" w:lastRow="0" w:firstColumn="0" w:lastColumn="0" w:oddVBand="0" w:evenVBand="0" w:oddHBand="1" w:evenHBand="0" w:firstRowFirstColumn="0" w:firstRowLastColumn="0" w:lastRowFirstColumn="0" w:lastRowLastColumn="0"/>
          <w:cantSplit/>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22ABC519" w14:textId="103D0FC9" w:rsidR="004D79A1" w:rsidRPr="001F0CF5" w:rsidRDefault="004D79A1" w:rsidP="004D79A1">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659" w:type="dxa"/>
          </w:tcPr>
          <w:p w14:paraId="50E1615B" w14:textId="185CA98D" w:rsidR="004D79A1" w:rsidRPr="000E7EED" w:rsidRDefault="004D79A1" w:rsidP="004D79A1">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shd w:val="clear" w:color="auto" w:fill="auto"/>
            <w:vAlign w:val="center"/>
          </w:tcPr>
          <w:p w14:paraId="32B513F8" w14:textId="45277CBB" w:rsidR="004D79A1" w:rsidRPr="000E7EED" w:rsidRDefault="004D79A1" w:rsidP="004D79A1">
            <w:pPr>
              <w:jc w:val="center"/>
              <w:rPr>
                <w:color w:val="000000" w:themeColor="text1"/>
              </w:rPr>
            </w:pPr>
            <w:r>
              <w:t>36,145</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tcPr>
          <w:p w14:paraId="12828136" w14:textId="58636FEC" w:rsidR="004D79A1" w:rsidRPr="0021615C" w:rsidRDefault="00CE4BCD" w:rsidP="005E7F5A">
            <w:pPr>
              <w:jc w:val="center"/>
            </w:pPr>
            <w:r>
              <w:t>33,</w:t>
            </w:r>
            <w:r w:rsidR="00E61EE4">
              <w:t>698</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tcPr>
          <w:p w14:paraId="0DAF5679" w14:textId="57994329" w:rsidR="004D79A1" w:rsidRDefault="0006233A" w:rsidP="00647B06">
            <w:pPr>
              <w:jc w:val="center"/>
            </w:pPr>
            <w:r>
              <w:t>36,663</w:t>
            </w:r>
          </w:p>
        </w:tc>
      </w:tr>
      <w:tr w:rsidR="004D79A1" w:rsidRPr="000E7EED" w14:paraId="1B8D8858" w14:textId="1A952ABD" w:rsidTr="003B51F7">
        <w:trPr>
          <w:cnfStyle w:val="000000010000" w:firstRow="0" w:lastRow="0" w:firstColumn="0" w:lastColumn="0" w:oddVBand="0" w:evenVBand="0" w:oddHBand="0" w:evenHBand="1" w:firstRowFirstColumn="0" w:firstRowLastColumn="0" w:lastRowFirstColumn="0" w:lastRowLastColumn="0"/>
          <w:cantSplit/>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6FE97750" w14:textId="77777777" w:rsidR="004D79A1" w:rsidRPr="001F0CF5" w:rsidRDefault="004D79A1" w:rsidP="004D79A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tcBorders>
          </w:tcPr>
          <w:p w14:paraId="6A9325D5" w14:textId="17639081" w:rsidR="004D79A1" w:rsidRPr="000E7EED" w:rsidRDefault="004D79A1" w:rsidP="004D79A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2A1F3A44" w14:textId="16E8F55E" w:rsidR="004D79A1" w:rsidRPr="000E7EED" w:rsidRDefault="004D79A1" w:rsidP="004D79A1">
            <w:pPr>
              <w:jc w:val="center"/>
              <w:rPr>
                <w:color w:val="000000" w:themeColor="text1"/>
              </w:rPr>
            </w:pPr>
            <w:r>
              <w:t>10,783</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tcPr>
          <w:p w14:paraId="0B0B0D09" w14:textId="5B81CDF6" w:rsidR="004D79A1" w:rsidRPr="0021615C" w:rsidRDefault="00E61EE4" w:rsidP="005E7F5A">
            <w:pPr>
              <w:jc w:val="center"/>
            </w:pPr>
            <w:r>
              <w:t>8,882</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tcPr>
          <w:p w14:paraId="679552C6" w14:textId="1EFF3866" w:rsidR="004D79A1" w:rsidRDefault="0006233A" w:rsidP="00647B06">
            <w:pPr>
              <w:jc w:val="center"/>
            </w:pPr>
            <w:r>
              <w:t>10,381</w:t>
            </w:r>
          </w:p>
        </w:tc>
      </w:tr>
      <w:tr w:rsidR="004D79A1" w:rsidRPr="000E7EED" w14:paraId="63EA8C9D" w14:textId="66956605" w:rsidTr="003B51F7">
        <w:trPr>
          <w:cnfStyle w:val="000000100000" w:firstRow="0" w:lastRow="0" w:firstColumn="0" w:lastColumn="0" w:oddVBand="0" w:evenVBand="0" w:oddHBand="1" w:evenHBand="0" w:firstRowFirstColumn="0" w:firstRowLastColumn="0" w:lastRowFirstColumn="0" w:lastRowLastColumn="0"/>
          <w:cantSplit/>
          <w:trHeight w:val="581"/>
        </w:trPr>
        <w:tc>
          <w:tcPr>
            <w:cnfStyle w:val="000010000000" w:firstRow="0" w:lastRow="0" w:firstColumn="0" w:lastColumn="0" w:oddVBand="1" w:evenVBand="0" w:oddHBand="0" w:evenHBand="0" w:firstRowFirstColumn="0" w:firstRowLastColumn="0" w:lastRowFirstColumn="0" w:lastRowLastColumn="0"/>
            <w:tcW w:w="2922" w:type="dxa"/>
            <w:vMerge w:val="restart"/>
          </w:tcPr>
          <w:p w14:paraId="343F4B5B" w14:textId="11A27AD7" w:rsidR="004D79A1" w:rsidRPr="001F0CF5" w:rsidRDefault="004D79A1" w:rsidP="004D79A1">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659" w:type="dxa"/>
          </w:tcPr>
          <w:p w14:paraId="2AA551BD" w14:textId="762B83B8" w:rsidR="004D79A1" w:rsidRPr="000E7EED" w:rsidRDefault="004D79A1" w:rsidP="004D79A1">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1659" w:type="dxa"/>
            <w:tcBorders>
              <w:top w:val="single" w:sz="4" w:space="0" w:color="auto"/>
            </w:tcBorders>
            <w:shd w:val="clear" w:color="auto" w:fill="auto"/>
            <w:vAlign w:val="center"/>
          </w:tcPr>
          <w:p w14:paraId="7B3AC051" w14:textId="0219CC0D" w:rsidR="004D79A1" w:rsidRPr="000E7EED" w:rsidRDefault="004D79A1" w:rsidP="004D79A1">
            <w:pPr>
              <w:jc w:val="center"/>
              <w:rPr>
                <w:color w:val="000000" w:themeColor="text1"/>
              </w:rPr>
            </w:pPr>
            <w:r>
              <w:t>21,602</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tcPr>
          <w:p w14:paraId="0C7F4A16" w14:textId="67C7E1DE" w:rsidR="004D79A1" w:rsidRPr="0021615C" w:rsidRDefault="008A0396" w:rsidP="005E7F5A">
            <w:pPr>
              <w:jc w:val="center"/>
            </w:pPr>
            <w:r>
              <w:t>2</w:t>
            </w:r>
            <w:r w:rsidR="00E61EE4">
              <w:t>1,880</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tcPr>
          <w:p w14:paraId="0C77C3D5" w14:textId="61E75C8C" w:rsidR="004D79A1" w:rsidRDefault="0006233A" w:rsidP="00647B06">
            <w:pPr>
              <w:jc w:val="center"/>
            </w:pPr>
            <w:r>
              <w:t>15,</w:t>
            </w:r>
            <w:r w:rsidR="00647B06">
              <w:t>643</w:t>
            </w:r>
          </w:p>
        </w:tc>
      </w:tr>
      <w:tr w:rsidR="004D79A1" w:rsidRPr="000E7EED" w14:paraId="7DCD8807" w14:textId="69A07913" w:rsidTr="003B51F7">
        <w:trPr>
          <w:cnfStyle w:val="000000010000" w:firstRow="0" w:lastRow="0" w:firstColumn="0" w:lastColumn="0" w:oddVBand="0" w:evenVBand="0" w:oddHBand="0" w:evenHBand="1" w:firstRowFirstColumn="0" w:firstRowLastColumn="0" w:lastRowFirstColumn="0" w:lastRowLastColumn="0"/>
          <w:cantSplit/>
          <w:trHeight w:val="581"/>
        </w:trPr>
        <w:tc>
          <w:tcPr>
            <w:cnfStyle w:val="000010000000" w:firstRow="0" w:lastRow="0" w:firstColumn="0" w:lastColumn="0" w:oddVBand="1" w:evenVBand="0" w:oddHBand="0" w:evenHBand="0" w:firstRowFirstColumn="0" w:firstRowLastColumn="0" w:lastRowFirstColumn="0" w:lastRowLastColumn="0"/>
            <w:tcW w:w="2922" w:type="dxa"/>
            <w:vMerge/>
          </w:tcPr>
          <w:p w14:paraId="58C5451E" w14:textId="77777777" w:rsidR="004D79A1" w:rsidRDefault="004D79A1" w:rsidP="004D79A1">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659" w:type="dxa"/>
            <w:tcBorders>
              <w:top w:val="single" w:sz="4" w:space="0" w:color="7F7F7F" w:themeColor="text1" w:themeTint="80"/>
              <w:bottom w:val="single" w:sz="4" w:space="0" w:color="7F7F7F" w:themeColor="text1" w:themeTint="80"/>
            </w:tcBorders>
          </w:tcPr>
          <w:p w14:paraId="22F965B2" w14:textId="769783D4" w:rsidR="004D79A1" w:rsidRPr="000E7EED" w:rsidRDefault="004D79A1" w:rsidP="004D79A1">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1659" w:type="dxa"/>
            <w:tcBorders>
              <w:bottom w:val="none" w:sz="0" w:space="0" w:color="auto"/>
            </w:tcBorders>
            <w:shd w:val="clear" w:color="auto" w:fill="auto"/>
            <w:vAlign w:val="center"/>
          </w:tcPr>
          <w:p w14:paraId="54BF1051" w14:textId="32B5CB57" w:rsidR="004D79A1" w:rsidRPr="000E7EED" w:rsidRDefault="004D79A1" w:rsidP="004D79A1">
            <w:pPr>
              <w:jc w:val="center"/>
              <w:rPr>
                <w:color w:val="000000" w:themeColor="text1"/>
              </w:rPr>
            </w:pPr>
            <w:r>
              <w:t>10,261</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tcPr>
          <w:p w14:paraId="40E1C52C" w14:textId="2AA1F23F" w:rsidR="004D79A1" w:rsidRPr="0021615C" w:rsidRDefault="00E61EE4" w:rsidP="005E7F5A">
            <w:pPr>
              <w:jc w:val="center"/>
            </w:pPr>
            <w:r>
              <w:t>8,453</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tcPr>
          <w:p w14:paraId="4C51BEAB" w14:textId="3C4A6B60" w:rsidR="004D79A1" w:rsidRDefault="00647B06" w:rsidP="00647B06">
            <w:pPr>
              <w:jc w:val="center"/>
            </w:pPr>
            <w:r>
              <w:t>9,343</w:t>
            </w:r>
          </w:p>
        </w:tc>
      </w:tr>
      <w:tr w:rsidR="00D617E0" w:rsidRPr="000E7EED" w14:paraId="158AADBC" w14:textId="77777777" w:rsidTr="003B51F7">
        <w:trPr>
          <w:cnfStyle w:val="000000100000" w:firstRow="0" w:lastRow="0" w:firstColumn="0" w:lastColumn="0" w:oddVBand="0" w:evenVBand="0" w:oddHBand="1" w:evenHBand="0" w:firstRowFirstColumn="0" w:firstRowLastColumn="0" w:lastRowFirstColumn="0" w:lastRowLastColumn="0"/>
          <w:cantSplit/>
          <w:trHeight w:val="581"/>
        </w:trPr>
        <w:tc>
          <w:tcPr>
            <w:cnfStyle w:val="000010000000" w:firstRow="0" w:lastRow="0" w:firstColumn="0" w:lastColumn="0" w:oddVBand="1" w:evenVBand="0" w:oddHBand="0" w:evenHBand="0" w:firstRowFirstColumn="0" w:firstRowLastColumn="0" w:lastRowFirstColumn="0" w:lastRowLastColumn="0"/>
            <w:tcW w:w="2922" w:type="dxa"/>
          </w:tcPr>
          <w:p w14:paraId="4CDC4050" w14:textId="41436F06" w:rsidR="00D617E0" w:rsidRDefault="00072FA2" w:rsidP="004D79A1">
            <w:pPr>
              <w:rPr>
                <w:color w:val="000000" w:themeColor="text1"/>
              </w:rPr>
            </w:pPr>
            <w:r>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1659" w:type="dxa"/>
          </w:tcPr>
          <w:p w14:paraId="389C20F1" w14:textId="78A28DC7" w:rsidR="00D617E0" w:rsidRDefault="002C6FB9" w:rsidP="004D79A1">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1659" w:type="dxa"/>
            <w:tcBorders>
              <w:bottom w:val="single" w:sz="4" w:space="0" w:color="7F7F7F" w:themeColor="text1" w:themeTint="80"/>
            </w:tcBorders>
            <w:shd w:val="clear" w:color="auto" w:fill="auto"/>
            <w:vAlign w:val="center"/>
          </w:tcPr>
          <w:p w14:paraId="58A89C42" w14:textId="728F9E21" w:rsidR="00D617E0" w:rsidRDefault="0006233A" w:rsidP="004D79A1">
            <w:pPr>
              <w:jc w:val="center"/>
            </w:pPr>
            <w:r>
              <w:t>11:42</w:t>
            </w:r>
          </w:p>
        </w:tc>
        <w:tc>
          <w:tcPr>
            <w:cnfStyle w:val="000001000000" w:firstRow="0" w:lastRow="0" w:firstColumn="0" w:lastColumn="0" w:oddVBand="0" w:evenVBand="1" w:oddHBand="0" w:evenHBand="0" w:firstRowFirstColumn="0" w:firstRowLastColumn="0" w:lastRowFirstColumn="0" w:lastRowLastColumn="0"/>
            <w:tcW w:w="1916" w:type="dxa"/>
            <w:shd w:val="clear" w:color="auto" w:fill="D9D9D9" w:themeFill="background1" w:themeFillShade="D9"/>
          </w:tcPr>
          <w:p w14:paraId="577F8098" w14:textId="19536FE2" w:rsidR="00E62D99" w:rsidRPr="0021615C" w:rsidRDefault="00E62D99" w:rsidP="00E62D99">
            <w:pPr>
              <w:jc w:val="center"/>
            </w:pPr>
            <w:r>
              <w:br/>
            </w:r>
            <w:r w:rsidR="00E61EE4">
              <w:t>9</w:t>
            </w:r>
            <w:r>
              <w:t>:4</w:t>
            </w:r>
            <w:r w:rsidR="00E61EE4">
              <w:t>2</w:t>
            </w:r>
          </w:p>
        </w:tc>
        <w:tc>
          <w:tcPr>
            <w:cnfStyle w:val="000010000000" w:firstRow="0" w:lastRow="0" w:firstColumn="0" w:lastColumn="0" w:oddVBand="1" w:evenVBand="0" w:oddHBand="0" w:evenHBand="0" w:firstRowFirstColumn="0" w:firstRowLastColumn="0" w:lastRowFirstColumn="0" w:lastRowLastColumn="0"/>
            <w:tcW w:w="1916" w:type="dxa"/>
            <w:shd w:val="clear" w:color="auto" w:fill="auto"/>
          </w:tcPr>
          <w:p w14:paraId="51752148" w14:textId="3FE0C3FB" w:rsidR="00D617E0" w:rsidRDefault="00647B06" w:rsidP="00647B06">
            <w:pPr>
              <w:jc w:val="center"/>
            </w:pPr>
            <w:r>
              <w:br/>
              <w:t>12:20</w:t>
            </w:r>
          </w:p>
        </w:tc>
      </w:tr>
    </w:tbl>
    <w:bookmarkEnd w:id="1"/>
    <w:bookmarkEnd w:id="2"/>
    <w:p w14:paraId="639ADDDF" w14:textId="1598C090" w:rsidR="00967134" w:rsidRDefault="00967134" w:rsidP="00967134">
      <w:pPr>
        <w:spacing w:before="120"/>
      </w:pPr>
      <w:r>
        <w:t xml:space="preserve">Legal Help is the main provider of information and advice services at VLA. In quarter </w:t>
      </w:r>
      <w:r w:rsidR="003213B5">
        <w:t>two</w:t>
      </w:r>
      <w:r>
        <w:t xml:space="preserve"> there was a </w:t>
      </w:r>
      <w:r w:rsidR="00320C11">
        <w:t>4</w:t>
      </w:r>
      <w:r w:rsidR="00E62EE2">
        <w:t>.</w:t>
      </w:r>
      <w:r w:rsidR="00320C11">
        <w:t>8</w:t>
      </w:r>
      <w:r>
        <w:t xml:space="preserve"> per cent </w:t>
      </w:r>
      <w:r w:rsidR="00E62EE2">
        <w:t>de</w:t>
      </w:r>
      <w:r>
        <w:t>creas</w:t>
      </w:r>
      <w:r w:rsidR="00E62EE2">
        <w:t>e</w:t>
      </w:r>
      <w:r>
        <w:t xml:space="preserve"> in the total number of Legal Help sessions delivered (Table 1.2)</w:t>
      </w:r>
      <w:r w:rsidR="00E62EE2">
        <w:t xml:space="preserve"> compared to quarter one</w:t>
      </w:r>
      <w:r w:rsidR="00A85CDF">
        <w:t xml:space="preserve">. </w:t>
      </w:r>
      <w:r w:rsidR="0063179E">
        <w:t>This corresponds with</w:t>
      </w:r>
      <w:r w:rsidR="00863034" w:rsidDel="0063179E">
        <w:t xml:space="preserve"> </w:t>
      </w:r>
      <w:r w:rsidR="00320C11">
        <w:t xml:space="preserve">a </w:t>
      </w:r>
      <w:r w:rsidR="00E254BE">
        <w:t xml:space="preserve">9.3 per cent decrease in the </w:t>
      </w:r>
      <w:r w:rsidR="00B94603">
        <w:t xml:space="preserve">total </w:t>
      </w:r>
      <w:r w:rsidR="00E254BE">
        <w:t>number of requests</w:t>
      </w:r>
      <w:r w:rsidR="00A85CDF">
        <w:t>, which could be due t</w:t>
      </w:r>
      <w:r w:rsidR="00B808D9">
        <w:t>o continuing restrictions at courts</w:t>
      </w:r>
      <w:r w:rsidR="00E254BE">
        <w:t>.</w:t>
      </w:r>
      <w:r w:rsidR="00DC29E3" w:rsidRPr="00DC29E3">
        <w:t xml:space="preserve"> </w:t>
      </w:r>
    </w:p>
    <w:p w14:paraId="473EA2D5" w14:textId="627167C7" w:rsidR="00967134" w:rsidRDefault="00344D35" w:rsidP="00967134">
      <w:pPr>
        <w:spacing w:before="120"/>
      </w:pPr>
      <w:r>
        <w:t xml:space="preserve">The average wait time for clients contacting the service has decreased for the quarter </w:t>
      </w:r>
      <w:r w:rsidRPr="0064690D">
        <w:t xml:space="preserve">by </w:t>
      </w:r>
      <w:r w:rsidR="00C41268">
        <w:t>two</w:t>
      </w:r>
      <w:r w:rsidRPr="003B0615">
        <w:t xml:space="preserve"> </w:t>
      </w:r>
      <w:r w:rsidRPr="0064690D">
        <w:t>minutes</w:t>
      </w:r>
      <w:r w:rsidR="00C41268">
        <w:t xml:space="preserve"> </w:t>
      </w:r>
      <w:r>
        <w:t>compared to the previous quarter (Table 1.2).</w:t>
      </w:r>
      <w:r w:rsidR="00EF6F3B">
        <w:t xml:space="preserve"> </w:t>
      </w:r>
      <w:r w:rsidR="00FD356F">
        <w:t xml:space="preserve">The establishment of priority phone lines and </w:t>
      </w:r>
      <w:r w:rsidDel="00EE728B">
        <w:t xml:space="preserve">the </w:t>
      </w:r>
      <w:r w:rsidR="00FD356F">
        <w:t xml:space="preserve">expansion of </w:t>
      </w:r>
      <w:r w:rsidR="00E33FEC">
        <w:t xml:space="preserve">webchat services </w:t>
      </w:r>
      <w:r w:rsidR="000B2E4D">
        <w:t xml:space="preserve">has </w:t>
      </w:r>
      <w:r w:rsidR="00885334">
        <w:t xml:space="preserve">increased Legal Help’s capacity to respond to </w:t>
      </w:r>
      <w:r w:rsidR="00DA6385">
        <w:t>requests for assistance in a timely manner.</w:t>
      </w:r>
      <w:r w:rsidR="00553D41">
        <w:t xml:space="preserve"> </w:t>
      </w:r>
      <w:r w:rsidR="00DA6385">
        <w:t>However, w</w:t>
      </w:r>
      <w:r w:rsidR="00372537" w:rsidRPr="00032F3D">
        <w:t xml:space="preserve">e expect that there will continue to be pressure on wait times over coming months due to </w:t>
      </w:r>
      <w:r w:rsidR="00124851">
        <w:t>staff turnover</w:t>
      </w:r>
      <w:r w:rsidR="00F5470C">
        <w:t xml:space="preserve"> and the </w:t>
      </w:r>
      <w:r w:rsidR="00372537" w:rsidRPr="00032F3D">
        <w:t>impacts of the pandemic</w:t>
      </w:r>
      <w:r w:rsidR="007210FC">
        <w:t xml:space="preserve"> </w:t>
      </w:r>
      <w:r w:rsidR="00221CB5">
        <w:t xml:space="preserve">on unplanned </w:t>
      </w:r>
      <w:r w:rsidR="009F2720">
        <w:t>absences</w:t>
      </w:r>
      <w:r w:rsidR="009647D1">
        <w:t xml:space="preserve">. </w:t>
      </w:r>
      <w:r w:rsidR="00372537" w:rsidRPr="00032F3D">
        <w:t xml:space="preserve"> </w:t>
      </w:r>
      <w:r w:rsidR="009647D1">
        <w:t>T</w:t>
      </w:r>
      <w:r w:rsidR="00372537" w:rsidRPr="00032F3D">
        <w:t>he increased complexity of issues experienced by clients seeking assistance</w:t>
      </w:r>
      <w:r w:rsidR="00372537">
        <w:t xml:space="preserve"> and ongoing upgrades to the systems we use to understand and respond to client needs</w:t>
      </w:r>
      <w:r w:rsidR="009647D1">
        <w:t xml:space="preserve"> will also </w:t>
      </w:r>
      <w:r w:rsidR="00E4139A">
        <w:t xml:space="preserve">affect </w:t>
      </w:r>
      <w:r w:rsidR="009647D1">
        <w:t xml:space="preserve">Legal Help’s </w:t>
      </w:r>
      <w:r w:rsidR="00454817">
        <w:t>ability to</w:t>
      </w:r>
      <w:r w:rsidR="008E3032">
        <w:t xml:space="preserve"> answer requests for assistance as </w:t>
      </w:r>
      <w:r w:rsidR="00C160F8">
        <w:t>demand increase</w:t>
      </w:r>
      <w:r w:rsidR="00D177B9">
        <w:t>s</w:t>
      </w:r>
      <w:r w:rsidR="00372537" w:rsidRPr="00032F3D">
        <w:t>.</w:t>
      </w:r>
    </w:p>
    <w:p w14:paraId="548B2E87" w14:textId="27205ACD"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B21D50" w14:paraId="4E36734E" w14:textId="6F69B069" w:rsidTr="003B51F7">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69A5DE08" w14:textId="77777777" w:rsidR="00FA1822" w:rsidRPr="00495A11" w:rsidRDefault="00FA1822" w:rsidP="00B15BE5">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21709836" w14:textId="1882B426" w:rsidR="00FA1822" w:rsidRPr="000E7EED" w:rsidRDefault="00FA1822" w:rsidP="00B15BE5">
            <w:pPr>
              <w:jc w:val="center"/>
              <w:rPr>
                <w:b/>
                <w:color w:val="000000" w:themeColor="text1"/>
              </w:rPr>
            </w:pPr>
            <w:r w:rsidRPr="55245693">
              <w:rPr>
                <w:b/>
                <w:color w:val="000000" w:themeColor="text1"/>
              </w:rPr>
              <w:t>Q</w:t>
            </w:r>
            <w:r w:rsidR="00B16A6C">
              <w:rPr>
                <w:b/>
                <w:color w:val="000000" w:themeColor="text1"/>
              </w:rPr>
              <w:t>1</w:t>
            </w:r>
          </w:p>
          <w:p w14:paraId="1B43C195" w14:textId="62F8ECBC" w:rsidR="00FA1822" w:rsidRPr="00495A11" w:rsidRDefault="00FA1822" w:rsidP="00B15BE5">
            <w:pPr>
              <w:jc w:val="center"/>
              <w:rPr>
                <w:b/>
                <w:color w:val="000000" w:themeColor="text1"/>
              </w:rPr>
            </w:pPr>
            <w:r w:rsidRPr="000E7EED">
              <w:rPr>
                <w:b/>
                <w:color w:val="000000" w:themeColor="text1"/>
              </w:rPr>
              <w:t>20</w:t>
            </w:r>
            <w:r>
              <w:rPr>
                <w:b/>
                <w:color w:val="000000" w:themeColor="text1"/>
              </w:rPr>
              <w:t>2</w:t>
            </w:r>
            <w:r w:rsidR="00B16A6C">
              <w:rPr>
                <w:b/>
                <w:color w:val="000000" w:themeColor="text1"/>
              </w:rPr>
              <w:t>1</w:t>
            </w:r>
            <w:r>
              <w:rPr>
                <w:b/>
                <w:color w:val="000000" w:themeColor="text1"/>
              </w:rPr>
              <w:t>-2</w:t>
            </w:r>
            <w:r w:rsidR="00B16A6C">
              <w:rPr>
                <w:b/>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5970D48B" w14:textId="346A4ACA" w:rsidR="00FA1822" w:rsidRDefault="00FA1822" w:rsidP="00B15BE5">
            <w:pPr>
              <w:jc w:val="center"/>
              <w:rPr>
                <w:b/>
                <w:color w:val="000000" w:themeColor="text1"/>
              </w:rPr>
            </w:pPr>
            <w:r w:rsidRPr="55245693">
              <w:rPr>
                <w:b/>
                <w:color w:val="000000" w:themeColor="text1"/>
              </w:rPr>
              <w:t>Q</w:t>
            </w:r>
            <w:r w:rsidR="00B16A6C">
              <w:rPr>
                <w:b/>
                <w:color w:val="000000" w:themeColor="text1"/>
              </w:rPr>
              <w:t>2</w:t>
            </w:r>
          </w:p>
          <w:p w14:paraId="1AE9CE31" w14:textId="28163623" w:rsidR="00FA1822" w:rsidRPr="00495A11" w:rsidRDefault="00FA1822" w:rsidP="00B15BE5">
            <w:pPr>
              <w:jc w:val="center"/>
              <w:rPr>
                <w:b/>
                <w:color w:val="000000" w:themeColor="text1"/>
              </w:rPr>
            </w:pPr>
            <w:r w:rsidRPr="000E7EED">
              <w:rPr>
                <w:b/>
                <w:color w:val="000000" w:themeColor="text1"/>
              </w:rPr>
              <w:t>20</w:t>
            </w:r>
            <w:r>
              <w:rPr>
                <w:b/>
                <w:color w:val="000000" w:themeColor="text1"/>
              </w:rPr>
              <w:t>2</w:t>
            </w:r>
            <w:r w:rsidR="00B16A6C">
              <w:rPr>
                <w:b/>
                <w:color w:val="000000" w:themeColor="text1"/>
              </w:rPr>
              <w:t>1</w:t>
            </w:r>
            <w:r>
              <w:rPr>
                <w:b/>
                <w:color w:val="000000" w:themeColor="text1"/>
              </w:rPr>
              <w:t>-2</w:t>
            </w:r>
            <w:r w:rsidR="00B16A6C">
              <w:rPr>
                <w:b/>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2B042F11" w14:textId="1DE5B5C2" w:rsidR="00FA1822" w:rsidRDefault="00FA1822" w:rsidP="00B15BE5">
            <w:pPr>
              <w:jc w:val="center"/>
              <w:rPr>
                <w:b/>
                <w:bCs w:val="0"/>
                <w:color w:val="000000" w:themeColor="text1"/>
              </w:rPr>
            </w:pPr>
            <w:r>
              <w:rPr>
                <w:b/>
                <w:color w:val="000000" w:themeColor="text1"/>
              </w:rPr>
              <w:t>Q</w:t>
            </w:r>
            <w:r w:rsidR="00B16A6C">
              <w:rPr>
                <w:b/>
                <w:color w:val="000000" w:themeColor="text1"/>
              </w:rPr>
              <w:t>3</w:t>
            </w:r>
            <w:r w:rsidR="00177673">
              <w:rPr>
                <w:b/>
                <w:color w:val="000000" w:themeColor="text1"/>
              </w:rPr>
              <w:t xml:space="preserve"> 20</w:t>
            </w:r>
            <w:r w:rsidR="00B16A6C">
              <w:rPr>
                <w:b/>
                <w:color w:val="000000" w:themeColor="text1"/>
              </w:rPr>
              <w:t>21</w:t>
            </w:r>
            <w:r w:rsidR="006132F4">
              <w:rPr>
                <w:b/>
                <w:color w:val="000000" w:themeColor="text1"/>
              </w:rPr>
              <w:t>–2</w:t>
            </w:r>
            <w:r w:rsidR="00B16A6C">
              <w:rPr>
                <w:b/>
                <w:color w:val="000000" w:themeColor="text1"/>
              </w:rPr>
              <w:t>2</w:t>
            </w:r>
          </w:p>
          <w:p w14:paraId="44A1A4EE" w14:textId="4A874FBE" w:rsidR="00FA1822" w:rsidRPr="55245693" w:rsidRDefault="00FA1822" w:rsidP="00B15BE5">
            <w:pPr>
              <w:jc w:val="center"/>
              <w:rPr>
                <w:b/>
                <w:color w:val="000000" w:themeColor="text1"/>
              </w:rPr>
            </w:pPr>
            <w:r>
              <w:rPr>
                <w:b/>
                <w:color w:val="000000" w:themeColor="text1"/>
              </w:rPr>
              <w:t>projection</w:t>
            </w:r>
          </w:p>
        </w:tc>
      </w:tr>
      <w:tr w:rsidR="0018320D" w:rsidRPr="0021615C" w14:paraId="17F5CA1B" w14:textId="084127E4" w:rsidTr="003B51F7">
        <w:trPr>
          <w:cnfStyle w:val="000000100000" w:firstRow="0" w:lastRow="0" w:firstColumn="0" w:lastColumn="0" w:oddVBand="0" w:evenVBand="0" w:oddHBand="1" w:evenHBand="0" w:firstRowFirstColumn="0" w:firstRowLastColumn="0" w:lastRowFirstColumn="0" w:lastRowLastColumn="0"/>
          <w:cantSplit/>
          <w:trHeight w:val="531"/>
        </w:trPr>
        <w:tc>
          <w:tcPr>
            <w:cnfStyle w:val="000010000000" w:firstRow="0" w:lastRow="0" w:firstColumn="0" w:lastColumn="0" w:oddVBand="1" w:evenVBand="0" w:oddHBand="0" w:evenHBand="0" w:firstRowFirstColumn="0" w:firstRowLastColumn="0" w:lastRowFirstColumn="0" w:lastRowLastColumn="0"/>
            <w:tcW w:w="1748" w:type="pct"/>
          </w:tcPr>
          <w:p w14:paraId="19F24B7C" w14:textId="49986B26" w:rsidR="0018320D" w:rsidRPr="000E7EED" w:rsidRDefault="0018320D" w:rsidP="0018320D">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vAlign w:val="center"/>
          </w:tcPr>
          <w:p w14:paraId="7F4686D8" w14:textId="1E9943A9" w:rsidR="0018320D" w:rsidRPr="000E7EED" w:rsidRDefault="0018320D" w:rsidP="0018320D">
            <w:pPr>
              <w:jc w:val="center"/>
              <w:rPr>
                <w:color w:val="000000" w:themeColor="text1"/>
              </w:rPr>
            </w:pPr>
            <w:r>
              <w:t>28,663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30C32A25" w14:textId="674E7624" w:rsidR="0018320D" w:rsidRPr="0021615C" w:rsidRDefault="009C0163" w:rsidP="000B6B17">
            <w:pPr>
              <w:jc w:val="center"/>
            </w:pPr>
            <w:r>
              <w:t>27</w:t>
            </w:r>
            <w:r w:rsidR="00541B47">
              <w:t>,</w:t>
            </w:r>
            <w:r>
              <w:t>0</w:t>
            </w:r>
            <w:r w:rsidR="00541B47">
              <w:t>7</w:t>
            </w:r>
            <w:r>
              <w:t>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46A3F8BF" w14:textId="13759416" w:rsidR="0018320D" w:rsidRDefault="009C0163" w:rsidP="009C0163">
            <w:pPr>
              <w:jc w:val="center"/>
            </w:pPr>
            <w:r>
              <w:t>24,980</w:t>
            </w:r>
          </w:p>
        </w:tc>
      </w:tr>
      <w:tr w:rsidR="0018320D" w14:paraId="63D578F8" w14:textId="1B8A8397" w:rsidTr="003B51F7">
        <w:trPr>
          <w:cnfStyle w:val="000000010000" w:firstRow="0" w:lastRow="0" w:firstColumn="0" w:lastColumn="0" w:oddVBand="0" w:evenVBand="0" w:oddHBand="0" w:evenHBand="1" w:firstRowFirstColumn="0" w:firstRowLastColumn="0" w:lastRowFirstColumn="0" w:lastRowLastColumn="0"/>
          <w:cantSplit/>
          <w:trHeight w:val="194"/>
        </w:trPr>
        <w:tc>
          <w:tcPr>
            <w:cnfStyle w:val="000010000000" w:firstRow="0" w:lastRow="0" w:firstColumn="0" w:lastColumn="0" w:oddVBand="1" w:evenVBand="0" w:oddHBand="0" w:evenHBand="0" w:firstRowFirstColumn="0" w:firstRowLastColumn="0" w:lastRowFirstColumn="0" w:lastRowLastColumn="0"/>
            <w:tcW w:w="1748" w:type="pct"/>
          </w:tcPr>
          <w:p w14:paraId="3941F306" w14:textId="4F191B1A" w:rsidR="0018320D" w:rsidRPr="000E7EED" w:rsidRDefault="0018320D" w:rsidP="0018320D">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321509DE" w14:textId="78C55EB1" w:rsidR="0018320D" w:rsidRPr="000E7EED" w:rsidRDefault="0018320D" w:rsidP="0018320D">
            <w:pPr>
              <w:jc w:val="center"/>
              <w:rPr>
                <w:color w:val="000000" w:themeColor="text1"/>
              </w:rPr>
            </w:pPr>
            <w:r>
              <w:rPr>
                <w:color w:val="000000" w:themeColor="text1"/>
              </w:rPr>
              <w:t>9,806</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2B478A5" w14:textId="590464C2" w:rsidR="0018320D" w:rsidRPr="000E7EED" w:rsidRDefault="009C0163" w:rsidP="000B6B17">
            <w:pPr>
              <w:jc w:val="center"/>
              <w:rPr>
                <w:color w:val="000000" w:themeColor="text1"/>
              </w:rPr>
            </w:pPr>
            <w:r>
              <w:rPr>
                <w:color w:val="000000" w:themeColor="text1"/>
              </w:rPr>
              <w:t>9,</w:t>
            </w:r>
            <w:r w:rsidR="005C654A">
              <w:rPr>
                <w:color w:val="000000" w:themeColor="text1"/>
              </w:rPr>
              <w:t>585</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2BE70748" w14:textId="33B08A05" w:rsidR="0018320D" w:rsidRDefault="005C654A" w:rsidP="005C654A">
            <w:pPr>
              <w:jc w:val="center"/>
              <w:rPr>
                <w:color w:val="000000" w:themeColor="text1"/>
              </w:rPr>
            </w:pPr>
            <w:r>
              <w:rPr>
                <w:color w:val="000000" w:themeColor="text1"/>
              </w:rPr>
              <w:t>9,538</w:t>
            </w:r>
          </w:p>
        </w:tc>
      </w:tr>
      <w:tr w:rsidR="0018320D" w14:paraId="6E8F7A5D" w14:textId="5ACA17E4" w:rsidTr="003B51F7">
        <w:trPr>
          <w:cnfStyle w:val="000000100000" w:firstRow="0" w:lastRow="0" w:firstColumn="0" w:lastColumn="0" w:oddVBand="0" w:evenVBand="0" w:oddHBand="1" w:evenHBand="0" w:firstRowFirstColumn="0" w:firstRowLastColumn="0" w:lastRowFirstColumn="0" w:lastRowLastColumn="0"/>
          <w:cantSplit/>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522BC66" w14:textId="09E8A605" w:rsidR="0018320D" w:rsidRDefault="0018320D" w:rsidP="0018320D">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80" w:type="pct"/>
            <w:tcBorders>
              <w:top w:val="single" w:sz="4" w:space="0" w:color="auto"/>
            </w:tcBorders>
            <w:shd w:val="clear" w:color="auto" w:fill="auto"/>
            <w:vAlign w:val="center"/>
          </w:tcPr>
          <w:p w14:paraId="00A2751E" w14:textId="46CEA443" w:rsidR="0018320D" w:rsidRDefault="0018320D" w:rsidP="0018320D">
            <w:pPr>
              <w:jc w:val="center"/>
              <w:rPr>
                <w:color w:val="000000" w:themeColor="text1"/>
              </w:rPr>
            </w:pPr>
            <w:r>
              <w:rPr>
                <w:color w:val="000000" w:themeColor="text1"/>
              </w:rPr>
              <w:t>16</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7373AE20" w14:textId="1FBECC87" w:rsidR="0018320D" w:rsidRDefault="001F7B45" w:rsidP="007A597C">
            <w:pPr>
              <w:jc w:val="center"/>
              <w:rPr>
                <w:color w:val="000000" w:themeColor="text1"/>
              </w:rPr>
            </w:pPr>
            <w:r>
              <w:rPr>
                <w:color w:val="000000" w:themeColor="text1"/>
              </w:rPr>
              <w:t>27</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6036EBB" w14:textId="4E067CB8" w:rsidR="0018320D" w:rsidRDefault="0073110A" w:rsidP="007A597C">
            <w:pPr>
              <w:jc w:val="center"/>
              <w:rPr>
                <w:color w:val="000000" w:themeColor="text1"/>
              </w:rPr>
            </w:pPr>
            <w:r>
              <w:rPr>
                <w:color w:val="000000" w:themeColor="text1"/>
              </w:rPr>
              <w:t>3</w:t>
            </w:r>
          </w:p>
        </w:tc>
      </w:tr>
      <w:tr w:rsidR="0018320D" w14:paraId="517976DD" w14:textId="1CBBBACD" w:rsidTr="003B51F7">
        <w:trPr>
          <w:cnfStyle w:val="000000010000" w:firstRow="0" w:lastRow="0" w:firstColumn="0" w:lastColumn="0" w:oddVBand="0" w:evenVBand="0" w:oddHBand="0" w:evenHBand="1" w:firstRowFirstColumn="0" w:firstRowLastColumn="0" w:lastRowFirstColumn="0" w:lastRowLastColumn="0"/>
          <w:cantSplit/>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E9B5491" w14:textId="77777777" w:rsidR="0018320D" w:rsidRPr="000E7EED" w:rsidRDefault="0018320D" w:rsidP="0018320D">
            <w:pPr>
              <w:rPr>
                <w:color w:val="000000" w:themeColor="text1"/>
              </w:rPr>
            </w:pPr>
            <w:r>
              <w:rPr>
                <w:color w:val="000000" w:themeColor="text1"/>
              </w:rPr>
              <w:t>W</w:t>
            </w:r>
            <w:r w:rsidRPr="000E7EED">
              <w:rPr>
                <w:color w:val="000000" w:themeColor="text1"/>
              </w:rPr>
              <w:t>ebsite</w:t>
            </w:r>
            <w:r>
              <w:rPr>
                <w:color w:val="000000" w:themeColor="text1"/>
              </w:rPr>
              <w:t xml:space="preserve"> sessions</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58083224" w14:textId="008070D7" w:rsidR="0018320D" w:rsidRPr="000E7EED" w:rsidRDefault="0018320D" w:rsidP="0018320D">
            <w:pPr>
              <w:jc w:val="center"/>
              <w:rPr>
                <w:color w:val="000000" w:themeColor="text1"/>
              </w:rPr>
            </w:pPr>
            <w:r>
              <w:rPr>
                <w:color w:val="000000" w:themeColor="text1"/>
              </w:rPr>
              <w:t>695,306</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4D786578" w14:textId="02E20C2A" w:rsidR="0018320D" w:rsidRPr="000E7EED" w:rsidRDefault="00746154" w:rsidP="000B6B17">
            <w:pPr>
              <w:jc w:val="center"/>
              <w:rPr>
                <w:color w:val="000000" w:themeColor="text1"/>
              </w:rPr>
            </w:pPr>
            <w:r>
              <w:rPr>
                <w:color w:val="000000" w:themeColor="text1"/>
              </w:rPr>
              <w:t>669,983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68FA0D28" w14:textId="47A0CE21" w:rsidR="0018320D" w:rsidRDefault="00663442" w:rsidP="00663442">
            <w:pPr>
              <w:jc w:val="center"/>
              <w:rPr>
                <w:color w:val="000000" w:themeColor="text1"/>
              </w:rPr>
            </w:pPr>
            <w:r>
              <w:rPr>
                <w:color w:val="000000" w:themeColor="text1"/>
              </w:rPr>
              <w:t>629,881</w:t>
            </w:r>
          </w:p>
        </w:tc>
      </w:tr>
    </w:tbl>
    <w:p w14:paraId="45BDACDF" w14:textId="77777777" w:rsidR="00F423AD" w:rsidRDefault="00F423AD" w:rsidP="00844BD8">
      <w:pPr>
        <w:pStyle w:val="Tableheader"/>
        <w:spacing w:before="0"/>
        <w:rPr>
          <w:b w:val="0"/>
          <w:bCs w:val="0"/>
          <w:sz w:val="22"/>
          <w:szCs w:val="22"/>
        </w:rPr>
      </w:pPr>
    </w:p>
    <w:p w14:paraId="5EF7BE03" w14:textId="1C5102E7" w:rsidR="00FC6D89" w:rsidRDefault="00CC4CB7" w:rsidP="00844BD8">
      <w:pPr>
        <w:pStyle w:val="Tableheader"/>
        <w:spacing w:before="0"/>
        <w:rPr>
          <w:b w:val="0"/>
          <w:bCs w:val="0"/>
          <w:sz w:val="22"/>
          <w:szCs w:val="22"/>
        </w:rPr>
      </w:pPr>
      <w:r>
        <w:rPr>
          <w:b w:val="0"/>
          <w:bCs w:val="0"/>
          <w:sz w:val="22"/>
          <w:szCs w:val="22"/>
        </w:rPr>
        <w:t>Compared to the previous quarter</w:t>
      </w:r>
      <w:r w:rsidR="00EF7ACD">
        <w:rPr>
          <w:b w:val="0"/>
          <w:bCs w:val="0"/>
          <w:sz w:val="22"/>
          <w:szCs w:val="22"/>
        </w:rPr>
        <w:t>,</w:t>
      </w:r>
      <w:r>
        <w:rPr>
          <w:b w:val="0"/>
          <w:bCs w:val="0"/>
          <w:sz w:val="22"/>
          <w:szCs w:val="22"/>
        </w:rPr>
        <w:t xml:space="preserve"> i</w:t>
      </w:r>
      <w:r w:rsidR="00CD2496">
        <w:rPr>
          <w:b w:val="0"/>
          <w:bCs w:val="0"/>
          <w:sz w:val="22"/>
          <w:szCs w:val="22"/>
        </w:rPr>
        <w:t xml:space="preserve">nformation sessions </w:t>
      </w:r>
      <w:r>
        <w:rPr>
          <w:b w:val="0"/>
          <w:bCs w:val="0"/>
          <w:sz w:val="22"/>
          <w:szCs w:val="22"/>
        </w:rPr>
        <w:t xml:space="preserve">have </w:t>
      </w:r>
      <w:r w:rsidR="00EA2AC2">
        <w:rPr>
          <w:b w:val="0"/>
          <w:bCs w:val="0"/>
          <w:sz w:val="22"/>
          <w:szCs w:val="22"/>
        </w:rPr>
        <w:t>de</w:t>
      </w:r>
      <w:r w:rsidR="00CD2496">
        <w:rPr>
          <w:b w:val="0"/>
          <w:bCs w:val="0"/>
          <w:sz w:val="22"/>
          <w:szCs w:val="22"/>
        </w:rPr>
        <w:t>crease</w:t>
      </w:r>
      <w:r w:rsidR="000B1081">
        <w:rPr>
          <w:b w:val="0"/>
          <w:bCs w:val="0"/>
          <w:sz w:val="22"/>
          <w:szCs w:val="22"/>
        </w:rPr>
        <w:t>d</w:t>
      </w:r>
      <w:r w:rsidR="00CD2496">
        <w:rPr>
          <w:b w:val="0"/>
          <w:bCs w:val="0"/>
          <w:sz w:val="22"/>
          <w:szCs w:val="22"/>
        </w:rPr>
        <w:t xml:space="preserve"> by </w:t>
      </w:r>
      <w:r w:rsidR="00EC6A3E">
        <w:rPr>
          <w:b w:val="0"/>
          <w:bCs w:val="0"/>
          <w:sz w:val="22"/>
          <w:szCs w:val="22"/>
        </w:rPr>
        <w:t>five</w:t>
      </w:r>
      <w:r w:rsidR="00CD2496">
        <w:rPr>
          <w:b w:val="0"/>
          <w:bCs w:val="0"/>
          <w:sz w:val="22"/>
          <w:szCs w:val="22"/>
        </w:rPr>
        <w:t xml:space="preserve"> per cent</w:t>
      </w:r>
      <w:r w:rsidR="00C67F83" w:rsidRPr="00C67F83">
        <w:rPr>
          <w:b w:val="0"/>
          <w:bCs w:val="0"/>
          <w:sz w:val="22"/>
          <w:szCs w:val="22"/>
        </w:rPr>
        <w:t xml:space="preserve"> </w:t>
      </w:r>
      <w:r w:rsidR="00C67F83">
        <w:rPr>
          <w:b w:val="0"/>
          <w:bCs w:val="0"/>
          <w:sz w:val="22"/>
          <w:szCs w:val="22"/>
        </w:rPr>
        <w:t>(Table 1.3).</w:t>
      </w:r>
      <w:r w:rsidR="000B1081">
        <w:rPr>
          <w:b w:val="0"/>
          <w:bCs w:val="0"/>
          <w:sz w:val="22"/>
          <w:szCs w:val="22"/>
        </w:rPr>
        <w:t xml:space="preserve"> </w:t>
      </w:r>
      <w:r w:rsidR="00FE57E7">
        <w:rPr>
          <w:b w:val="0"/>
          <w:bCs w:val="0"/>
          <w:sz w:val="22"/>
          <w:szCs w:val="22"/>
        </w:rPr>
        <w:t>W</w:t>
      </w:r>
      <w:r w:rsidR="000B1081">
        <w:rPr>
          <w:b w:val="0"/>
          <w:bCs w:val="0"/>
          <w:sz w:val="22"/>
          <w:szCs w:val="22"/>
        </w:rPr>
        <w:t xml:space="preserve">ebsite sessions </w:t>
      </w:r>
      <w:r w:rsidR="00FE57E7">
        <w:rPr>
          <w:b w:val="0"/>
          <w:bCs w:val="0"/>
          <w:sz w:val="22"/>
          <w:szCs w:val="22"/>
        </w:rPr>
        <w:t xml:space="preserve">and </w:t>
      </w:r>
      <w:r w:rsidR="003C27A1">
        <w:rPr>
          <w:b w:val="0"/>
          <w:bCs w:val="0"/>
          <w:sz w:val="22"/>
          <w:szCs w:val="22"/>
        </w:rPr>
        <w:t>l</w:t>
      </w:r>
      <w:r w:rsidR="00FE57E7">
        <w:rPr>
          <w:b w:val="0"/>
          <w:bCs w:val="0"/>
          <w:sz w:val="22"/>
          <w:szCs w:val="22"/>
        </w:rPr>
        <w:t xml:space="preserve">egal advice </w:t>
      </w:r>
      <w:r w:rsidR="00C67F83">
        <w:rPr>
          <w:b w:val="0"/>
          <w:bCs w:val="0"/>
          <w:sz w:val="22"/>
          <w:szCs w:val="22"/>
        </w:rPr>
        <w:t>sessions have also seen small decreases</w:t>
      </w:r>
      <w:r w:rsidR="000B1081">
        <w:rPr>
          <w:b w:val="0"/>
          <w:bCs w:val="0"/>
          <w:sz w:val="22"/>
          <w:szCs w:val="22"/>
        </w:rPr>
        <w:t xml:space="preserve"> </w:t>
      </w:r>
      <w:r w:rsidR="00C67F83">
        <w:rPr>
          <w:b w:val="0"/>
          <w:bCs w:val="0"/>
          <w:sz w:val="22"/>
          <w:szCs w:val="22"/>
        </w:rPr>
        <w:t>since the previous quarter</w:t>
      </w:r>
      <w:r w:rsidR="00EF7ACD">
        <w:rPr>
          <w:b w:val="0"/>
          <w:bCs w:val="0"/>
          <w:sz w:val="22"/>
          <w:szCs w:val="22"/>
        </w:rPr>
        <w:t>.</w:t>
      </w:r>
      <w:r w:rsidR="00C67F83">
        <w:rPr>
          <w:b w:val="0"/>
          <w:bCs w:val="0"/>
          <w:sz w:val="22"/>
          <w:szCs w:val="22"/>
        </w:rPr>
        <w:t xml:space="preserve"> </w:t>
      </w:r>
      <w:r w:rsidR="006518AC" w:rsidRPr="006518AC">
        <w:rPr>
          <w:b w:val="0"/>
          <w:bCs w:val="0"/>
          <w:sz w:val="22"/>
          <w:szCs w:val="22"/>
        </w:rPr>
        <w:t xml:space="preserve">We have consistently seen lower levels of demand throughout the pandemic </w:t>
      </w:r>
      <w:r w:rsidR="00167E06">
        <w:rPr>
          <w:b w:val="0"/>
          <w:bCs w:val="0"/>
          <w:sz w:val="22"/>
          <w:szCs w:val="22"/>
        </w:rPr>
        <w:t xml:space="preserve">as matters have been </w:t>
      </w:r>
      <w:r w:rsidR="001D5762">
        <w:rPr>
          <w:b w:val="0"/>
          <w:bCs w:val="0"/>
          <w:sz w:val="22"/>
          <w:szCs w:val="22"/>
        </w:rPr>
        <w:t>deferred</w:t>
      </w:r>
      <w:r w:rsidR="006518AC" w:rsidRPr="006518AC">
        <w:rPr>
          <w:b w:val="0"/>
          <w:bCs w:val="0"/>
          <w:sz w:val="22"/>
          <w:szCs w:val="22"/>
        </w:rPr>
        <w:t xml:space="preserve"> </w:t>
      </w:r>
      <w:r w:rsidR="008F649C">
        <w:rPr>
          <w:b w:val="0"/>
          <w:bCs w:val="0"/>
          <w:sz w:val="22"/>
          <w:szCs w:val="22"/>
        </w:rPr>
        <w:t xml:space="preserve">due to restrictions at court </w:t>
      </w:r>
      <w:r w:rsidR="006518AC" w:rsidRPr="006518AC">
        <w:rPr>
          <w:b w:val="0"/>
          <w:bCs w:val="0"/>
          <w:sz w:val="22"/>
          <w:szCs w:val="22"/>
        </w:rPr>
        <w:t>and expect that trend to continue</w:t>
      </w:r>
      <w:r w:rsidR="00673E8A">
        <w:rPr>
          <w:b w:val="0"/>
          <w:bCs w:val="0"/>
          <w:sz w:val="22"/>
          <w:szCs w:val="22"/>
        </w:rPr>
        <w:t xml:space="preserve"> </w:t>
      </w:r>
      <w:r w:rsidR="00CE6805">
        <w:rPr>
          <w:b w:val="0"/>
          <w:bCs w:val="0"/>
          <w:sz w:val="22"/>
          <w:szCs w:val="22"/>
        </w:rPr>
        <w:t>into quarter three</w:t>
      </w:r>
      <w:r w:rsidR="00673E8A">
        <w:rPr>
          <w:b w:val="0"/>
          <w:bCs w:val="0"/>
          <w:sz w:val="22"/>
          <w:szCs w:val="22"/>
        </w:rPr>
        <w:t xml:space="preserve"> </w:t>
      </w:r>
      <w:r w:rsidR="00CE6805">
        <w:rPr>
          <w:b w:val="0"/>
          <w:bCs w:val="0"/>
          <w:sz w:val="22"/>
          <w:szCs w:val="22"/>
        </w:rPr>
        <w:t>due to the</w:t>
      </w:r>
      <w:r w:rsidR="00673E8A">
        <w:rPr>
          <w:b w:val="0"/>
          <w:bCs w:val="0"/>
          <w:sz w:val="22"/>
          <w:szCs w:val="22"/>
        </w:rPr>
        <w:t xml:space="preserve"> most recent Omicron wave</w:t>
      </w:r>
      <w:r w:rsidR="00844131">
        <w:rPr>
          <w:b w:val="0"/>
          <w:bCs w:val="0"/>
          <w:sz w:val="22"/>
          <w:szCs w:val="22"/>
        </w:rPr>
        <w:t>.</w:t>
      </w:r>
    </w:p>
    <w:p w14:paraId="4164A042" w14:textId="2932D986" w:rsidR="00E24415" w:rsidRDefault="00E24415" w:rsidP="00E24415">
      <w:pPr>
        <w:pStyle w:val="Tableheader"/>
        <w:spacing w:before="0"/>
        <w:rPr>
          <w:b w:val="0"/>
          <w:bCs w:val="0"/>
          <w:sz w:val="22"/>
          <w:szCs w:val="22"/>
        </w:rPr>
      </w:pPr>
      <w:proofErr w:type="gramStart"/>
      <w:r>
        <w:rPr>
          <w:b w:val="0"/>
          <w:bCs w:val="0"/>
          <w:sz w:val="22"/>
          <w:szCs w:val="22"/>
        </w:rPr>
        <w:t>A number of</w:t>
      </w:r>
      <w:proofErr w:type="gramEnd"/>
      <w:r>
        <w:rPr>
          <w:b w:val="0"/>
          <w:bCs w:val="0"/>
          <w:sz w:val="22"/>
          <w:szCs w:val="22"/>
        </w:rPr>
        <w:t xml:space="preserve"> community legal education (CLE) sessions were cancelled in quarter one and were rescheduled for quarter two</w:t>
      </w:r>
      <w:r w:rsidR="0026281B">
        <w:rPr>
          <w:b w:val="0"/>
          <w:bCs w:val="0"/>
          <w:sz w:val="22"/>
          <w:szCs w:val="22"/>
        </w:rPr>
        <w:t xml:space="preserve"> due to ongoing restrictions</w:t>
      </w:r>
      <w:r>
        <w:rPr>
          <w:b w:val="0"/>
          <w:bCs w:val="0"/>
          <w:sz w:val="22"/>
          <w:szCs w:val="22"/>
        </w:rPr>
        <w:t xml:space="preserve">. Several CLE sessions that were planned for quarter three have also been cancelled. The reduced quarter three projection reflects this and the historical trend of lower activity at the start of the </w:t>
      </w:r>
      <w:r w:rsidR="00EB48D5">
        <w:rPr>
          <w:b w:val="0"/>
          <w:bCs w:val="0"/>
          <w:sz w:val="22"/>
          <w:szCs w:val="22"/>
        </w:rPr>
        <w:t xml:space="preserve">calendar </w:t>
      </w:r>
      <w:r>
        <w:rPr>
          <w:b w:val="0"/>
          <w:bCs w:val="0"/>
          <w:sz w:val="22"/>
          <w:szCs w:val="22"/>
        </w:rPr>
        <w:t xml:space="preserve">year due to seasonal closures of services and schools that are </w:t>
      </w:r>
      <w:r w:rsidR="00EB48D5">
        <w:rPr>
          <w:b w:val="0"/>
          <w:bCs w:val="0"/>
          <w:sz w:val="22"/>
          <w:szCs w:val="22"/>
        </w:rPr>
        <w:t>often the</w:t>
      </w:r>
      <w:r>
        <w:rPr>
          <w:b w:val="0"/>
          <w:bCs w:val="0"/>
          <w:sz w:val="22"/>
          <w:szCs w:val="22"/>
        </w:rPr>
        <w:t xml:space="preserve"> audiences for these sessions. </w:t>
      </w:r>
      <w:r w:rsidR="005F6081">
        <w:rPr>
          <w:b w:val="0"/>
          <w:bCs w:val="0"/>
          <w:sz w:val="22"/>
          <w:szCs w:val="22"/>
        </w:rPr>
        <w:t>Despite fewer overall sessions being delivered, r</w:t>
      </w:r>
      <w:r w:rsidR="00EB48D5">
        <w:rPr>
          <w:b w:val="0"/>
          <w:bCs w:val="0"/>
          <w:sz w:val="22"/>
          <w:szCs w:val="22"/>
        </w:rPr>
        <w:t>emote delivery of CLE</w:t>
      </w:r>
      <w:r w:rsidR="005831C0">
        <w:rPr>
          <w:b w:val="0"/>
          <w:bCs w:val="0"/>
          <w:sz w:val="22"/>
          <w:szCs w:val="22"/>
        </w:rPr>
        <w:t xml:space="preserve"> </w:t>
      </w:r>
      <w:r w:rsidR="00DF6E9F">
        <w:rPr>
          <w:b w:val="0"/>
          <w:bCs w:val="0"/>
          <w:sz w:val="22"/>
          <w:szCs w:val="22"/>
        </w:rPr>
        <w:t xml:space="preserve">means that some </w:t>
      </w:r>
      <w:r>
        <w:rPr>
          <w:b w:val="0"/>
          <w:bCs w:val="0"/>
          <w:sz w:val="22"/>
          <w:szCs w:val="22"/>
        </w:rPr>
        <w:t xml:space="preserve">remote sessions </w:t>
      </w:r>
      <w:r w:rsidR="00DF6E9F">
        <w:rPr>
          <w:b w:val="0"/>
          <w:bCs w:val="0"/>
          <w:sz w:val="22"/>
          <w:szCs w:val="22"/>
        </w:rPr>
        <w:t>in quarter t</w:t>
      </w:r>
      <w:r w:rsidR="005F6081">
        <w:rPr>
          <w:b w:val="0"/>
          <w:bCs w:val="0"/>
          <w:sz w:val="22"/>
          <w:szCs w:val="22"/>
        </w:rPr>
        <w:t xml:space="preserve">wo </w:t>
      </w:r>
      <w:r>
        <w:rPr>
          <w:b w:val="0"/>
          <w:bCs w:val="0"/>
          <w:sz w:val="22"/>
          <w:szCs w:val="22"/>
        </w:rPr>
        <w:t>were attended by hundreds of participants</w:t>
      </w:r>
      <w:r w:rsidR="005F6081">
        <w:rPr>
          <w:b w:val="0"/>
          <w:bCs w:val="0"/>
          <w:sz w:val="22"/>
          <w:szCs w:val="22"/>
        </w:rPr>
        <w:t>.</w:t>
      </w:r>
    </w:p>
    <w:p w14:paraId="4B984B6A" w14:textId="77777777" w:rsidR="00CC05F0" w:rsidRPr="002C53EA" w:rsidRDefault="00CC05F0" w:rsidP="00CC05F0">
      <w:pPr>
        <w:pStyle w:val="Heading3"/>
        <w:rPr>
          <w:rFonts w:cs="Times New Roman"/>
          <w:sz w:val="22"/>
          <w:szCs w:val="24"/>
          <w:lang w:eastAsia="en-US"/>
        </w:rPr>
      </w:pPr>
      <w:r w:rsidRPr="002C53EA">
        <w:rPr>
          <w:rFonts w:cs="Times New Roman"/>
          <w:sz w:val="22"/>
          <w:szCs w:val="24"/>
          <w:lang w:eastAsia="en-US"/>
        </w:rPr>
        <w:t>Table 1.</w:t>
      </w:r>
      <w:r>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02"/>
        <w:gridCol w:w="2082"/>
        <w:gridCol w:w="1846"/>
        <w:gridCol w:w="1846"/>
      </w:tblGrid>
      <w:tr w:rsidR="00CC05F0" w14:paraId="1A4768F2" w14:textId="77777777" w:rsidTr="003B51F7">
        <w:trPr>
          <w:cantSplit/>
          <w:trHeight w:val="361"/>
          <w:tblHeader/>
        </w:trPr>
        <w:tc>
          <w:tcPr>
            <w:tcW w:w="2135" w:type="pct"/>
            <w:shd w:val="clear" w:color="auto" w:fill="C4B0CC"/>
            <w:hideMark/>
          </w:tcPr>
          <w:p w14:paraId="2C91F38F" w14:textId="77777777" w:rsidR="00CC05F0" w:rsidRDefault="00CC05F0" w:rsidP="00E01863">
            <w:pPr>
              <w:rPr>
                <w:b/>
                <w:color w:val="000000" w:themeColor="text1"/>
                <w:lang w:eastAsia="en-AU"/>
              </w:rPr>
            </w:pPr>
            <w:r w:rsidRPr="006B69F9">
              <w:rPr>
                <w:b/>
                <w:bCs/>
                <w:color w:val="000000" w:themeColor="text1"/>
                <w:szCs w:val="20"/>
                <w:lang w:eastAsia="en-AU"/>
              </w:rPr>
              <w:t>Specialist resolution and advocacy services</w:t>
            </w:r>
          </w:p>
        </w:tc>
        <w:tc>
          <w:tcPr>
            <w:tcW w:w="1033" w:type="pct"/>
            <w:shd w:val="clear" w:color="auto" w:fill="C4B0CC"/>
          </w:tcPr>
          <w:p w14:paraId="76396FEA" w14:textId="29FA4FEF" w:rsidR="00CC05F0" w:rsidRPr="000E7EED" w:rsidRDefault="00CC05F0" w:rsidP="00E01863">
            <w:pPr>
              <w:jc w:val="center"/>
              <w:rPr>
                <w:b/>
                <w:color w:val="000000" w:themeColor="text1"/>
              </w:rPr>
            </w:pPr>
            <w:r>
              <w:rPr>
                <w:b/>
                <w:color w:val="000000" w:themeColor="text1"/>
              </w:rPr>
              <w:t>Q</w:t>
            </w:r>
            <w:r w:rsidR="00BB33B0">
              <w:rPr>
                <w:b/>
                <w:color w:val="000000" w:themeColor="text1"/>
              </w:rPr>
              <w:t>1</w:t>
            </w:r>
          </w:p>
          <w:p w14:paraId="14876257" w14:textId="63630F37" w:rsidR="00CC05F0" w:rsidRDefault="00CC05F0" w:rsidP="00E01863">
            <w:pPr>
              <w:jc w:val="center"/>
              <w:rPr>
                <w:b/>
                <w:color w:val="000000" w:themeColor="text1"/>
                <w:lang w:eastAsia="en-AU"/>
              </w:rPr>
            </w:pPr>
            <w:r w:rsidRPr="000E7EED">
              <w:rPr>
                <w:b/>
                <w:color w:val="000000" w:themeColor="text1"/>
              </w:rPr>
              <w:t>20</w:t>
            </w:r>
            <w:r>
              <w:rPr>
                <w:b/>
                <w:color w:val="000000" w:themeColor="text1"/>
              </w:rPr>
              <w:t>2</w:t>
            </w:r>
            <w:r w:rsidR="00BB33B0">
              <w:rPr>
                <w:b/>
                <w:color w:val="000000" w:themeColor="text1"/>
              </w:rPr>
              <w:t>1</w:t>
            </w:r>
            <w:r>
              <w:rPr>
                <w:b/>
                <w:color w:val="000000" w:themeColor="text1"/>
              </w:rPr>
              <w:t>-2</w:t>
            </w:r>
            <w:r w:rsidR="00BB33B0">
              <w:rPr>
                <w:b/>
                <w:color w:val="000000" w:themeColor="text1"/>
              </w:rPr>
              <w:t>2</w:t>
            </w:r>
          </w:p>
        </w:tc>
        <w:tc>
          <w:tcPr>
            <w:tcW w:w="916" w:type="pct"/>
            <w:shd w:val="clear" w:color="auto" w:fill="C4B0CC"/>
          </w:tcPr>
          <w:p w14:paraId="28D460AC" w14:textId="5D784DC0" w:rsidR="00CC05F0" w:rsidRDefault="00CC05F0" w:rsidP="00E01863">
            <w:pPr>
              <w:jc w:val="center"/>
              <w:rPr>
                <w:b/>
                <w:color w:val="000000" w:themeColor="text1"/>
              </w:rPr>
            </w:pPr>
            <w:r w:rsidRPr="55245693">
              <w:rPr>
                <w:b/>
                <w:color w:val="000000" w:themeColor="text1"/>
              </w:rPr>
              <w:t>Q</w:t>
            </w:r>
            <w:r w:rsidR="007D46E4">
              <w:rPr>
                <w:b/>
                <w:color w:val="000000" w:themeColor="text1"/>
              </w:rPr>
              <w:t>2</w:t>
            </w:r>
          </w:p>
          <w:p w14:paraId="768D81BE" w14:textId="073AEDB5" w:rsidR="00CC05F0" w:rsidRDefault="00CC05F0" w:rsidP="00E01863">
            <w:pPr>
              <w:jc w:val="center"/>
              <w:rPr>
                <w:b/>
                <w:color w:val="000000" w:themeColor="text1"/>
                <w:lang w:eastAsia="en-AU"/>
              </w:rPr>
            </w:pPr>
            <w:r w:rsidRPr="000E7EED">
              <w:rPr>
                <w:b/>
                <w:color w:val="000000" w:themeColor="text1"/>
              </w:rPr>
              <w:t>20</w:t>
            </w:r>
            <w:r>
              <w:rPr>
                <w:b/>
                <w:color w:val="000000" w:themeColor="text1"/>
              </w:rPr>
              <w:t>2</w:t>
            </w:r>
            <w:r w:rsidR="00BB33B0">
              <w:rPr>
                <w:b/>
                <w:color w:val="000000" w:themeColor="text1"/>
              </w:rPr>
              <w:t>1</w:t>
            </w:r>
            <w:r>
              <w:rPr>
                <w:b/>
                <w:color w:val="000000" w:themeColor="text1"/>
              </w:rPr>
              <w:t>-2</w:t>
            </w:r>
            <w:r w:rsidR="00BB33B0">
              <w:rPr>
                <w:b/>
                <w:color w:val="000000" w:themeColor="text1"/>
              </w:rPr>
              <w:t>2</w:t>
            </w:r>
          </w:p>
        </w:tc>
        <w:tc>
          <w:tcPr>
            <w:tcW w:w="916" w:type="pct"/>
            <w:shd w:val="clear" w:color="auto" w:fill="C4B0CC"/>
          </w:tcPr>
          <w:p w14:paraId="2DB75F5E" w14:textId="200767D7" w:rsidR="00CC05F0" w:rsidRDefault="00CC05F0" w:rsidP="00E01863">
            <w:pPr>
              <w:jc w:val="center"/>
              <w:rPr>
                <w:b/>
                <w:bCs/>
                <w:color w:val="000000" w:themeColor="text1"/>
              </w:rPr>
            </w:pPr>
            <w:r>
              <w:rPr>
                <w:b/>
                <w:color w:val="000000" w:themeColor="text1"/>
              </w:rPr>
              <w:t>Q</w:t>
            </w:r>
            <w:r w:rsidR="003700E1">
              <w:rPr>
                <w:b/>
                <w:color w:val="000000" w:themeColor="text1"/>
              </w:rPr>
              <w:t>3</w:t>
            </w:r>
            <w:r>
              <w:rPr>
                <w:b/>
                <w:color w:val="000000" w:themeColor="text1"/>
              </w:rPr>
              <w:t xml:space="preserve"> 202</w:t>
            </w:r>
            <w:r w:rsidR="003700E1">
              <w:rPr>
                <w:b/>
                <w:color w:val="000000" w:themeColor="text1"/>
              </w:rPr>
              <w:t>1</w:t>
            </w:r>
            <w:r>
              <w:rPr>
                <w:b/>
                <w:color w:val="000000" w:themeColor="text1"/>
              </w:rPr>
              <w:t>-2</w:t>
            </w:r>
            <w:r w:rsidR="003700E1">
              <w:rPr>
                <w:b/>
                <w:color w:val="000000" w:themeColor="text1"/>
              </w:rPr>
              <w:t>2</w:t>
            </w:r>
          </w:p>
          <w:p w14:paraId="6ED27109" w14:textId="77777777" w:rsidR="00CC05F0" w:rsidRDefault="00CC05F0" w:rsidP="00E01863">
            <w:pPr>
              <w:jc w:val="center"/>
              <w:rPr>
                <w:b/>
                <w:color w:val="000000" w:themeColor="text1"/>
                <w:lang w:eastAsia="en-AU"/>
              </w:rPr>
            </w:pPr>
            <w:r>
              <w:rPr>
                <w:b/>
                <w:color w:val="000000" w:themeColor="text1"/>
              </w:rPr>
              <w:t>projection</w:t>
            </w:r>
          </w:p>
        </w:tc>
      </w:tr>
      <w:tr w:rsidR="001B0095" w14:paraId="55234EF0" w14:textId="77777777" w:rsidTr="003B51F7">
        <w:trPr>
          <w:cantSplit/>
          <w:trHeight w:val="531"/>
        </w:trPr>
        <w:tc>
          <w:tcPr>
            <w:tcW w:w="2135" w:type="pct"/>
            <w:tcBorders>
              <w:bottom w:val="single" w:sz="4" w:space="0" w:color="7F7F7F" w:themeColor="text1" w:themeTint="80"/>
            </w:tcBorders>
            <w:hideMark/>
          </w:tcPr>
          <w:p w14:paraId="4091DD5D" w14:textId="77777777" w:rsidR="001B0095" w:rsidRDefault="001B0095" w:rsidP="001B0095">
            <w:pPr>
              <w:rPr>
                <w:color w:val="000000" w:themeColor="text1"/>
                <w:lang w:eastAsia="en-AU"/>
              </w:rPr>
            </w:pPr>
            <w:r>
              <w:rPr>
                <w:color w:val="000000" w:themeColor="text1"/>
                <w:lang w:eastAsia="en-AU"/>
              </w:rPr>
              <w:t>IMHA information and referral sessions</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36E5FD45" w14:textId="02B03049" w:rsidR="001B0095" w:rsidRDefault="001B0095" w:rsidP="001B0095">
            <w:pPr>
              <w:jc w:val="center"/>
              <w:rPr>
                <w:lang w:eastAsia="en-AU"/>
              </w:rPr>
            </w:pPr>
            <w:r>
              <w:rPr>
                <w:lang w:val="en-GB" w:eastAsia="en-AU"/>
              </w:rPr>
              <w:t>6,805</w:t>
            </w:r>
          </w:p>
        </w:tc>
        <w:tc>
          <w:tcPr>
            <w:tcW w:w="916" w:type="pct"/>
            <w:tcBorders>
              <w:bottom w:val="single" w:sz="4" w:space="0" w:color="7F7F7F" w:themeColor="text1" w:themeTint="80"/>
            </w:tcBorders>
            <w:shd w:val="clear" w:color="auto" w:fill="D9D9D9" w:themeFill="background1" w:themeFillShade="D9"/>
            <w:vAlign w:val="center"/>
          </w:tcPr>
          <w:p w14:paraId="30321AA8" w14:textId="2EA82989" w:rsidR="001B0095" w:rsidRDefault="00482635" w:rsidP="001B0095">
            <w:pPr>
              <w:jc w:val="center"/>
              <w:rPr>
                <w:lang w:eastAsia="en-AU"/>
              </w:rPr>
            </w:pPr>
            <w:r>
              <w:rPr>
                <w:lang w:eastAsia="en-AU"/>
              </w:rPr>
              <w:t>5,</w:t>
            </w:r>
            <w:r w:rsidR="003229A4">
              <w:rPr>
                <w:lang w:eastAsia="en-AU"/>
              </w:rPr>
              <w:t>857</w:t>
            </w:r>
          </w:p>
        </w:tc>
        <w:tc>
          <w:tcPr>
            <w:tcW w:w="916" w:type="pct"/>
            <w:tcBorders>
              <w:bottom w:val="single" w:sz="4" w:space="0" w:color="7F7F7F" w:themeColor="text1" w:themeTint="80"/>
            </w:tcBorders>
            <w:shd w:val="clear" w:color="auto" w:fill="auto"/>
            <w:vAlign w:val="center"/>
          </w:tcPr>
          <w:p w14:paraId="0D3569AA" w14:textId="7CF50C5D" w:rsidR="001B0095" w:rsidRDefault="00482635" w:rsidP="001B0095">
            <w:pPr>
              <w:jc w:val="center"/>
              <w:rPr>
                <w:lang w:eastAsia="en-AU"/>
              </w:rPr>
            </w:pPr>
            <w:r>
              <w:rPr>
                <w:lang w:eastAsia="en-AU"/>
              </w:rPr>
              <w:t>n/a</w:t>
            </w:r>
          </w:p>
        </w:tc>
      </w:tr>
      <w:tr w:rsidR="001B0095" w14:paraId="4EA7A6AB" w14:textId="77777777" w:rsidTr="003B51F7">
        <w:trPr>
          <w:cantSplit/>
          <w:trHeight w:val="531"/>
        </w:trPr>
        <w:tc>
          <w:tcPr>
            <w:tcW w:w="2135" w:type="pct"/>
            <w:tcBorders>
              <w:bottom w:val="single" w:sz="4" w:space="0" w:color="7F7F7F" w:themeColor="text1" w:themeTint="80"/>
            </w:tcBorders>
          </w:tcPr>
          <w:p w14:paraId="46981F29" w14:textId="77777777" w:rsidR="001B0095" w:rsidRDefault="001B0095" w:rsidP="001B0095">
            <w:pPr>
              <w:rPr>
                <w:color w:val="000000" w:themeColor="text1"/>
                <w:lang w:eastAsia="en-AU"/>
              </w:rPr>
            </w:pPr>
            <w:r>
              <w:rPr>
                <w:color w:val="000000" w:themeColor="text1"/>
                <w:lang w:eastAsia="en-AU"/>
              </w:rPr>
              <w:t>IMHA advocacy and self-advocacy</w:t>
            </w:r>
          </w:p>
        </w:tc>
        <w:tc>
          <w:tcPr>
            <w:tcW w:w="1033" w:type="pct"/>
            <w:tcBorders>
              <w:top w:val="single" w:sz="4" w:space="0" w:color="auto"/>
              <w:left w:val="single" w:sz="4" w:space="0" w:color="auto"/>
              <w:bottom w:val="single" w:sz="4" w:space="0" w:color="7F7F7F" w:themeColor="text1" w:themeTint="80"/>
              <w:right w:val="single" w:sz="4" w:space="0" w:color="auto"/>
            </w:tcBorders>
            <w:shd w:val="clear" w:color="auto" w:fill="auto"/>
            <w:vAlign w:val="center"/>
          </w:tcPr>
          <w:p w14:paraId="54F036CB" w14:textId="3C3921B5" w:rsidR="001B0095" w:rsidRPr="003E5897" w:rsidRDefault="001B0095" w:rsidP="001B0095">
            <w:pPr>
              <w:jc w:val="center"/>
              <w:rPr>
                <w:lang w:eastAsia="en-AU"/>
              </w:rPr>
            </w:pPr>
            <w:r>
              <w:rPr>
                <w:lang w:val="en-GB" w:eastAsia="en-AU"/>
              </w:rPr>
              <w:t>3,725</w:t>
            </w:r>
          </w:p>
        </w:tc>
        <w:tc>
          <w:tcPr>
            <w:tcW w:w="916" w:type="pct"/>
            <w:tcBorders>
              <w:bottom w:val="single" w:sz="4" w:space="0" w:color="7F7F7F" w:themeColor="text1" w:themeTint="80"/>
            </w:tcBorders>
            <w:shd w:val="clear" w:color="auto" w:fill="D9D9D9" w:themeFill="background1" w:themeFillShade="D9"/>
            <w:vAlign w:val="center"/>
          </w:tcPr>
          <w:p w14:paraId="1E72EDDA" w14:textId="47DE2CF9" w:rsidR="001B0095" w:rsidRPr="003E5897" w:rsidRDefault="003229A4" w:rsidP="001B0095">
            <w:pPr>
              <w:jc w:val="center"/>
              <w:rPr>
                <w:lang w:eastAsia="en-AU"/>
              </w:rPr>
            </w:pPr>
            <w:r>
              <w:rPr>
                <w:lang w:eastAsia="en-AU"/>
              </w:rPr>
              <w:t>3,293</w:t>
            </w:r>
          </w:p>
        </w:tc>
        <w:tc>
          <w:tcPr>
            <w:tcW w:w="916" w:type="pct"/>
            <w:tcBorders>
              <w:bottom w:val="single" w:sz="4" w:space="0" w:color="7F7F7F" w:themeColor="text1" w:themeTint="80"/>
            </w:tcBorders>
            <w:shd w:val="clear" w:color="auto" w:fill="auto"/>
            <w:vAlign w:val="center"/>
          </w:tcPr>
          <w:p w14:paraId="3A1B9172" w14:textId="7BBE3645" w:rsidR="001B0095" w:rsidRPr="00DB6276" w:rsidRDefault="00482635" w:rsidP="001B0095">
            <w:pPr>
              <w:jc w:val="center"/>
              <w:rPr>
                <w:lang w:eastAsia="en-AU"/>
              </w:rPr>
            </w:pPr>
            <w:r>
              <w:rPr>
                <w:lang w:eastAsia="en-AU"/>
              </w:rPr>
              <w:t>n/a</w:t>
            </w:r>
          </w:p>
        </w:tc>
      </w:tr>
      <w:tr w:rsidR="001B0095" w14:paraId="49FBAD53" w14:textId="77777777" w:rsidTr="003B51F7">
        <w:trPr>
          <w:cantSplit/>
          <w:trHeight w:val="194"/>
        </w:trPr>
        <w:tc>
          <w:tcPr>
            <w:tcW w:w="2135" w:type="pct"/>
            <w:tcBorders>
              <w:top w:val="single" w:sz="4" w:space="0" w:color="auto"/>
              <w:bottom w:val="single" w:sz="4" w:space="0" w:color="auto"/>
            </w:tcBorders>
            <w:hideMark/>
          </w:tcPr>
          <w:p w14:paraId="10B1C950" w14:textId="77777777" w:rsidR="001B0095" w:rsidRDefault="001B0095" w:rsidP="001B0095">
            <w:pPr>
              <w:rPr>
                <w:color w:val="000000" w:themeColor="text1"/>
                <w:lang w:eastAsia="en-AU"/>
              </w:rPr>
            </w:pPr>
            <w:r>
              <w:rPr>
                <w:color w:val="000000" w:themeColor="text1"/>
                <w:lang w:eastAsia="en-AU"/>
              </w:rPr>
              <w:t xml:space="preserve">IFAS information and referral sessions </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0F84B7B7" w14:textId="76CEF7A4" w:rsidR="001B0095" w:rsidRDefault="001B0095" w:rsidP="001B0095">
            <w:pPr>
              <w:jc w:val="center"/>
              <w:rPr>
                <w:color w:val="000000" w:themeColor="text1"/>
                <w:lang w:eastAsia="en-AU"/>
              </w:rPr>
            </w:pPr>
            <w:r>
              <w:rPr>
                <w:color w:val="000000" w:themeColor="text1"/>
                <w:lang w:val="en-GB" w:eastAsia="en-AU"/>
              </w:rPr>
              <w:t>451</w:t>
            </w:r>
          </w:p>
        </w:tc>
        <w:tc>
          <w:tcPr>
            <w:tcW w:w="916" w:type="pct"/>
            <w:tcBorders>
              <w:top w:val="single" w:sz="4" w:space="0" w:color="auto"/>
              <w:bottom w:val="single" w:sz="4" w:space="0" w:color="auto"/>
            </w:tcBorders>
            <w:shd w:val="clear" w:color="auto" w:fill="D9D9D9" w:themeFill="background1" w:themeFillShade="D9"/>
            <w:vAlign w:val="center"/>
          </w:tcPr>
          <w:p w14:paraId="71889D0D" w14:textId="73B2B259" w:rsidR="001B0095" w:rsidRDefault="003229A4" w:rsidP="001B0095">
            <w:pPr>
              <w:jc w:val="center"/>
              <w:rPr>
                <w:color w:val="000000" w:themeColor="text1"/>
                <w:lang w:eastAsia="en-AU"/>
              </w:rPr>
            </w:pPr>
            <w:r>
              <w:rPr>
                <w:color w:val="000000" w:themeColor="text1"/>
                <w:lang w:eastAsia="en-AU"/>
              </w:rPr>
              <w:t>434</w:t>
            </w:r>
          </w:p>
        </w:tc>
        <w:tc>
          <w:tcPr>
            <w:tcW w:w="916" w:type="pct"/>
            <w:tcBorders>
              <w:top w:val="single" w:sz="4" w:space="0" w:color="auto"/>
              <w:bottom w:val="single" w:sz="4" w:space="0" w:color="auto"/>
            </w:tcBorders>
            <w:shd w:val="clear" w:color="auto" w:fill="auto"/>
            <w:vAlign w:val="center"/>
          </w:tcPr>
          <w:p w14:paraId="20FDF70F" w14:textId="41223DB4" w:rsidR="001B0095" w:rsidRDefault="00482635" w:rsidP="001B0095">
            <w:pPr>
              <w:jc w:val="center"/>
              <w:rPr>
                <w:lang w:eastAsia="en-AU"/>
              </w:rPr>
            </w:pPr>
            <w:r>
              <w:rPr>
                <w:lang w:eastAsia="en-AU"/>
              </w:rPr>
              <w:t>n/a</w:t>
            </w:r>
          </w:p>
        </w:tc>
      </w:tr>
      <w:tr w:rsidR="001B0095" w14:paraId="4FF9EE2A" w14:textId="77777777" w:rsidTr="003B51F7">
        <w:trPr>
          <w:cantSplit/>
          <w:trHeight w:val="194"/>
        </w:trPr>
        <w:tc>
          <w:tcPr>
            <w:tcW w:w="2135" w:type="pct"/>
            <w:tcBorders>
              <w:top w:val="single" w:sz="4" w:space="0" w:color="auto"/>
              <w:bottom w:val="single" w:sz="4" w:space="0" w:color="auto"/>
            </w:tcBorders>
          </w:tcPr>
          <w:p w14:paraId="57352FCE" w14:textId="77777777" w:rsidR="001B0095" w:rsidRDefault="001B0095" w:rsidP="001B0095">
            <w:pPr>
              <w:rPr>
                <w:color w:val="000000" w:themeColor="text1"/>
                <w:lang w:eastAsia="en-AU"/>
              </w:rPr>
            </w:pPr>
            <w:r>
              <w:rPr>
                <w:color w:val="000000" w:themeColor="text1"/>
                <w:lang w:eastAsia="en-AU"/>
              </w:rPr>
              <w:t>IFAS advocacy and self-advocacy</w:t>
            </w:r>
          </w:p>
        </w:tc>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14:paraId="2E77C5D5" w14:textId="7CFF4C14" w:rsidR="001B0095" w:rsidRPr="006C14A7" w:rsidRDefault="001B0095" w:rsidP="001B0095">
            <w:pPr>
              <w:jc w:val="center"/>
              <w:rPr>
                <w:lang w:eastAsia="en-AU"/>
              </w:rPr>
            </w:pPr>
            <w:r>
              <w:rPr>
                <w:lang w:val="en-GB" w:eastAsia="en-AU"/>
              </w:rPr>
              <w:t>841</w:t>
            </w:r>
          </w:p>
        </w:tc>
        <w:tc>
          <w:tcPr>
            <w:tcW w:w="916" w:type="pct"/>
            <w:tcBorders>
              <w:top w:val="single" w:sz="4" w:space="0" w:color="auto"/>
              <w:bottom w:val="single" w:sz="4" w:space="0" w:color="auto"/>
            </w:tcBorders>
            <w:shd w:val="clear" w:color="auto" w:fill="D9D9D9" w:themeFill="background1" w:themeFillShade="D9"/>
            <w:vAlign w:val="center"/>
          </w:tcPr>
          <w:p w14:paraId="43ED479B" w14:textId="3B11273E" w:rsidR="001B0095" w:rsidRPr="006C14A7" w:rsidRDefault="003229A4" w:rsidP="001B0095">
            <w:pPr>
              <w:jc w:val="center"/>
              <w:rPr>
                <w:lang w:eastAsia="en-AU"/>
              </w:rPr>
            </w:pPr>
            <w:r>
              <w:rPr>
                <w:lang w:eastAsia="en-AU"/>
              </w:rPr>
              <w:t>542</w:t>
            </w:r>
          </w:p>
        </w:tc>
        <w:tc>
          <w:tcPr>
            <w:tcW w:w="916" w:type="pct"/>
            <w:tcBorders>
              <w:top w:val="single" w:sz="4" w:space="0" w:color="auto"/>
              <w:bottom w:val="single" w:sz="4" w:space="0" w:color="auto"/>
            </w:tcBorders>
            <w:shd w:val="clear" w:color="auto" w:fill="auto"/>
            <w:vAlign w:val="center"/>
          </w:tcPr>
          <w:p w14:paraId="00E0ED3D" w14:textId="4C65C914" w:rsidR="001B0095" w:rsidRDefault="00482635" w:rsidP="001B0095">
            <w:pPr>
              <w:jc w:val="center"/>
              <w:rPr>
                <w:lang w:eastAsia="en-AU"/>
              </w:rPr>
            </w:pPr>
            <w:r>
              <w:rPr>
                <w:lang w:eastAsia="en-AU"/>
              </w:rPr>
              <w:t>n/a</w:t>
            </w:r>
          </w:p>
        </w:tc>
      </w:tr>
    </w:tbl>
    <w:p w14:paraId="3E55D7F1" w14:textId="56446B89" w:rsidR="00BE3CC2" w:rsidRPr="0003170B" w:rsidRDefault="00C06B8F" w:rsidP="003B51F7">
      <w:pPr>
        <w:spacing w:before="240"/>
        <w:rPr>
          <w:rFonts w:cs="Arial"/>
          <w:szCs w:val="22"/>
          <w:lang w:eastAsia="en-AU"/>
        </w:rPr>
      </w:pPr>
      <w:r w:rsidRPr="00916F98">
        <w:rPr>
          <w:rFonts w:cs="Arial"/>
          <w:szCs w:val="22"/>
          <w:lang w:eastAsia="en-AU"/>
        </w:rPr>
        <w:t>Spe</w:t>
      </w:r>
      <w:r>
        <w:rPr>
          <w:rFonts w:cs="Arial"/>
          <w:szCs w:val="22"/>
          <w:lang w:eastAsia="en-AU"/>
        </w:rPr>
        <w:t>cialist resolution and advocacy services have become a crucial part of the justice sector and its approach to early intervention and prevention, helping clients to resolve their issue before it gets worse or ends up at court.</w:t>
      </w:r>
      <w:r>
        <w:t xml:space="preserve"> </w:t>
      </w:r>
      <w:r w:rsidR="00203816">
        <w:t>Our</w:t>
      </w:r>
      <w:r>
        <w:t xml:space="preserve"> </w:t>
      </w:r>
      <w:r>
        <w:rPr>
          <w:rFonts w:cs="Arial"/>
          <w:szCs w:val="22"/>
          <w:lang w:eastAsia="en-AU"/>
        </w:rPr>
        <w:t xml:space="preserve">Independent Mental Health Advocacy (IMHA) service and the Independent </w:t>
      </w:r>
      <w:r>
        <w:rPr>
          <w:rFonts w:cs="Arial"/>
          <w:szCs w:val="22"/>
          <w:lang w:eastAsia="en-AU"/>
        </w:rPr>
        <w:lastRenderedPageBreak/>
        <w:t xml:space="preserve">Family Advocacy and Support (IFAS) service have both seen </w:t>
      </w:r>
      <w:r w:rsidR="006C5762">
        <w:rPr>
          <w:rFonts w:cs="Arial"/>
          <w:szCs w:val="22"/>
          <w:lang w:eastAsia="en-AU"/>
        </w:rPr>
        <w:t xml:space="preserve">decreases in services figures this quarter compared to the previous quarter. </w:t>
      </w:r>
      <w:r w:rsidR="00945E7C">
        <w:rPr>
          <w:rFonts w:cs="Arial"/>
          <w:szCs w:val="22"/>
          <w:lang w:eastAsia="en-AU"/>
        </w:rPr>
        <w:t xml:space="preserve">As </w:t>
      </w:r>
      <w:r w:rsidR="001E68C8">
        <w:rPr>
          <w:rFonts w:cs="Arial"/>
          <w:szCs w:val="22"/>
          <w:lang w:eastAsia="en-AU"/>
        </w:rPr>
        <w:t>with our early intervention and preventative services, t</w:t>
      </w:r>
      <w:r w:rsidR="002B4300">
        <w:rPr>
          <w:rFonts w:cs="Arial"/>
          <w:szCs w:val="22"/>
          <w:lang w:eastAsia="en-AU"/>
        </w:rPr>
        <w:t xml:space="preserve">hese services have been </w:t>
      </w:r>
      <w:r w:rsidR="005165D7">
        <w:rPr>
          <w:rFonts w:cs="Arial"/>
          <w:szCs w:val="22"/>
          <w:lang w:eastAsia="en-AU"/>
        </w:rPr>
        <w:t>affected</w:t>
      </w:r>
      <w:r w:rsidR="002B4300">
        <w:rPr>
          <w:rFonts w:cs="Arial"/>
          <w:szCs w:val="22"/>
          <w:lang w:eastAsia="en-AU"/>
        </w:rPr>
        <w:t xml:space="preserve"> by </w:t>
      </w:r>
      <w:r w:rsidR="00F25916">
        <w:rPr>
          <w:rFonts w:cs="Arial"/>
          <w:szCs w:val="22"/>
          <w:lang w:eastAsia="en-AU"/>
        </w:rPr>
        <w:t xml:space="preserve">restrictions </w:t>
      </w:r>
      <w:r w:rsidR="001E68C8">
        <w:rPr>
          <w:rFonts w:cs="Arial"/>
          <w:szCs w:val="22"/>
          <w:lang w:eastAsia="en-AU"/>
        </w:rPr>
        <w:t>at court</w:t>
      </w:r>
      <w:r w:rsidR="0003170B">
        <w:rPr>
          <w:rFonts w:cs="Arial"/>
          <w:szCs w:val="22"/>
          <w:lang w:eastAsia="en-AU"/>
        </w:rPr>
        <w:t xml:space="preserve"> and the recent impact of the Omicron wave on workforces.</w:t>
      </w:r>
    </w:p>
    <w:p w14:paraId="2A1F0837" w14:textId="7F139B2A" w:rsidR="00495A11" w:rsidRPr="00E46959" w:rsidRDefault="007C1487" w:rsidP="00523B7C">
      <w:pPr>
        <w:rPr>
          <w:b/>
          <w:bCs/>
        </w:rPr>
      </w:pPr>
      <w:r w:rsidRPr="00E46959">
        <w:rPr>
          <w:b/>
          <w:bCs/>
        </w:rPr>
        <w:t>Table 1</w:t>
      </w:r>
      <w:r w:rsidR="003700E1">
        <w:rPr>
          <w:b/>
          <w:bCs/>
        </w:rPr>
        <w:t>.</w:t>
      </w:r>
      <w:r w:rsidR="00CC05F0">
        <w:rPr>
          <w:b/>
          <w:bCs/>
        </w:rPr>
        <w:t>5 C</w:t>
      </w:r>
      <w:r w:rsidR="00B84476">
        <w:rPr>
          <w:b/>
          <w:bCs/>
        </w:rPr>
        <w:t>ourt assistance</w:t>
      </w:r>
      <w:r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3"/>
        <w:gridCol w:w="1975"/>
        <w:gridCol w:w="2289"/>
        <w:gridCol w:w="2289"/>
      </w:tblGrid>
      <w:tr w:rsidR="009610AD" w14:paraId="052E6F62" w14:textId="3BBC6511" w:rsidTr="003B51F7">
        <w:trPr>
          <w:cnfStyle w:val="100000000000" w:firstRow="1" w:lastRow="0" w:firstColumn="0" w:lastColumn="0" w:oddVBand="0" w:evenVBand="0" w:oddHBand="0"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8" w:type="pct"/>
            <w:shd w:val="clear" w:color="auto" w:fill="C4B0CC"/>
          </w:tcPr>
          <w:p w14:paraId="038AE825" w14:textId="06782A99" w:rsidR="00FA1822" w:rsidRPr="00495A11" w:rsidRDefault="00FA1822" w:rsidP="008A4971">
            <w:pPr>
              <w:rPr>
                <w:b/>
                <w:bCs w:val="0"/>
                <w:color w:val="000000" w:themeColor="text1"/>
              </w:rPr>
            </w:pPr>
            <w:r>
              <w:rPr>
                <w:b/>
                <w:bCs w:val="0"/>
                <w:color w:val="000000" w:themeColor="text1"/>
              </w:rPr>
              <w:t>Court assistance</w:t>
            </w:r>
            <w:r w:rsidRPr="00495A11">
              <w:rPr>
                <w:b/>
                <w:bCs w:val="0"/>
                <w:color w:val="000000" w:themeColor="text1"/>
              </w:rPr>
              <w:t xml:space="preserve">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C4B0CC"/>
          </w:tcPr>
          <w:p w14:paraId="3389D204" w14:textId="50D333D3" w:rsidR="00FA1822" w:rsidRPr="000E7EED" w:rsidRDefault="00FA1822" w:rsidP="008A4971">
            <w:pPr>
              <w:jc w:val="center"/>
              <w:rPr>
                <w:b/>
                <w:color w:val="000000" w:themeColor="text1"/>
              </w:rPr>
            </w:pPr>
            <w:r w:rsidRPr="55245693">
              <w:rPr>
                <w:b/>
                <w:color w:val="000000" w:themeColor="text1"/>
              </w:rPr>
              <w:t>Q</w:t>
            </w:r>
            <w:r w:rsidR="003700E1">
              <w:rPr>
                <w:b/>
                <w:color w:val="000000" w:themeColor="text1"/>
              </w:rPr>
              <w:t>1</w:t>
            </w:r>
          </w:p>
          <w:p w14:paraId="02F895D5" w14:textId="73F43600" w:rsidR="00FA1822" w:rsidRPr="000E7EED" w:rsidRDefault="00FA1822" w:rsidP="008A4971">
            <w:pPr>
              <w:jc w:val="center"/>
              <w:rPr>
                <w:color w:val="000000" w:themeColor="text1"/>
              </w:rPr>
            </w:pPr>
            <w:r w:rsidRPr="000E7EED">
              <w:rPr>
                <w:b/>
                <w:color w:val="000000" w:themeColor="text1"/>
              </w:rPr>
              <w:t>20</w:t>
            </w:r>
            <w:r>
              <w:rPr>
                <w:b/>
                <w:color w:val="000000" w:themeColor="text1"/>
              </w:rPr>
              <w:t>2</w:t>
            </w:r>
            <w:r w:rsidR="003700E1">
              <w:rPr>
                <w:b/>
                <w:color w:val="000000" w:themeColor="text1"/>
              </w:rPr>
              <w:t>1</w:t>
            </w:r>
            <w:r>
              <w:rPr>
                <w:b/>
                <w:color w:val="000000" w:themeColor="text1"/>
              </w:rPr>
              <w:t>-2</w:t>
            </w:r>
            <w:r w:rsidR="003700E1">
              <w:rPr>
                <w:b/>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0E5004D2" w14:textId="7CA0CBB0" w:rsidR="00FA1822" w:rsidRDefault="00FA1822" w:rsidP="008A4971">
            <w:pPr>
              <w:jc w:val="center"/>
              <w:rPr>
                <w:b/>
                <w:color w:val="000000" w:themeColor="text1"/>
              </w:rPr>
            </w:pPr>
            <w:r w:rsidRPr="55245693">
              <w:rPr>
                <w:b/>
                <w:color w:val="000000" w:themeColor="text1"/>
              </w:rPr>
              <w:t>Q</w:t>
            </w:r>
            <w:r w:rsidR="003700E1">
              <w:rPr>
                <w:b/>
                <w:color w:val="000000" w:themeColor="text1"/>
              </w:rPr>
              <w:t>2</w:t>
            </w:r>
          </w:p>
          <w:p w14:paraId="1FA34AA2" w14:textId="070CA55C" w:rsidR="00FA1822" w:rsidRPr="000E7EED" w:rsidRDefault="00FA1822" w:rsidP="008A4971">
            <w:pPr>
              <w:jc w:val="center"/>
              <w:rPr>
                <w:color w:val="000000" w:themeColor="text1"/>
              </w:rPr>
            </w:pPr>
            <w:r w:rsidRPr="000E7EED">
              <w:rPr>
                <w:b/>
                <w:color w:val="000000" w:themeColor="text1"/>
              </w:rPr>
              <w:t>20</w:t>
            </w:r>
            <w:r>
              <w:rPr>
                <w:b/>
                <w:color w:val="000000" w:themeColor="text1"/>
              </w:rPr>
              <w:t>2</w:t>
            </w:r>
            <w:r w:rsidR="003700E1">
              <w:rPr>
                <w:b/>
                <w:color w:val="000000" w:themeColor="text1"/>
              </w:rPr>
              <w:t>1</w:t>
            </w:r>
            <w:r>
              <w:rPr>
                <w:b/>
                <w:color w:val="000000" w:themeColor="text1"/>
              </w:rPr>
              <w:t>-2</w:t>
            </w:r>
            <w:r w:rsidR="003700E1">
              <w:rPr>
                <w:b/>
                <w:color w:val="000000" w:themeColor="text1"/>
              </w:rPr>
              <w:t>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10FFBCAB" w14:textId="5C1EAE09" w:rsidR="00FA1822" w:rsidRDefault="00FA1822" w:rsidP="008A4971">
            <w:pPr>
              <w:jc w:val="center"/>
              <w:rPr>
                <w:b/>
                <w:bCs w:val="0"/>
                <w:color w:val="000000" w:themeColor="text1"/>
              </w:rPr>
            </w:pPr>
            <w:r>
              <w:rPr>
                <w:b/>
                <w:color w:val="000000" w:themeColor="text1"/>
              </w:rPr>
              <w:t>Q</w:t>
            </w:r>
            <w:r w:rsidR="003700E1">
              <w:rPr>
                <w:b/>
                <w:color w:val="000000" w:themeColor="text1"/>
              </w:rPr>
              <w:t>3</w:t>
            </w:r>
            <w:r w:rsidR="00177673">
              <w:rPr>
                <w:b/>
                <w:color w:val="000000" w:themeColor="text1"/>
              </w:rPr>
              <w:t xml:space="preserve"> 20</w:t>
            </w:r>
            <w:r w:rsidR="003700E1">
              <w:rPr>
                <w:b/>
                <w:color w:val="000000" w:themeColor="text1"/>
              </w:rPr>
              <w:t>21-22</w:t>
            </w:r>
          </w:p>
          <w:p w14:paraId="457E131E" w14:textId="22113049" w:rsidR="00FA1822" w:rsidRPr="55245693" w:rsidRDefault="00FA1822" w:rsidP="008A4971">
            <w:pPr>
              <w:jc w:val="center"/>
              <w:rPr>
                <w:b/>
                <w:color w:val="000000" w:themeColor="text1"/>
              </w:rPr>
            </w:pPr>
            <w:r>
              <w:rPr>
                <w:b/>
                <w:color w:val="000000" w:themeColor="text1"/>
              </w:rPr>
              <w:t>projection</w:t>
            </w:r>
          </w:p>
        </w:tc>
      </w:tr>
      <w:tr w:rsidR="00332A3E" w14:paraId="3C3FE80A" w14:textId="10B04CDA" w:rsidTr="003B51F7">
        <w:trPr>
          <w:cnfStyle w:val="000000100000" w:firstRow="0" w:lastRow="0" w:firstColumn="0" w:lastColumn="0" w:oddVBand="0" w:evenVBand="0" w:oddHBand="1" w:evenHBand="0" w:firstRowFirstColumn="0" w:firstRowLastColumn="0" w:lastRowFirstColumn="0" w:lastRowLastColumn="0"/>
          <w:cantSplit/>
          <w:trHeight w:val="194"/>
        </w:trPr>
        <w:tc>
          <w:tcPr>
            <w:cnfStyle w:val="000010000000" w:firstRow="0" w:lastRow="0" w:firstColumn="0" w:lastColumn="0" w:oddVBand="1" w:evenVBand="0" w:oddHBand="0" w:evenHBand="0" w:firstRowFirstColumn="0" w:firstRowLastColumn="0" w:lastRowFirstColumn="0" w:lastRowLastColumn="0"/>
            <w:tcW w:w="1748" w:type="pct"/>
          </w:tcPr>
          <w:p w14:paraId="6173B22E" w14:textId="77777777" w:rsidR="00332A3E" w:rsidRDefault="00332A3E" w:rsidP="00332A3E">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80" w:type="pct"/>
            <w:shd w:val="clear" w:color="auto" w:fill="auto"/>
            <w:vAlign w:val="center"/>
          </w:tcPr>
          <w:p w14:paraId="2E8775AA" w14:textId="242C54EB" w:rsidR="00332A3E" w:rsidRPr="000E7EED" w:rsidRDefault="00332A3E" w:rsidP="00332A3E">
            <w:pPr>
              <w:jc w:val="center"/>
              <w:rPr>
                <w:color w:val="000000" w:themeColor="text1"/>
              </w:rPr>
            </w:pPr>
            <w:r>
              <w:t>12,647</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7AAB1F72" w14:textId="4FE3E465" w:rsidR="00332A3E" w:rsidRPr="000E7EED" w:rsidRDefault="0068681E" w:rsidP="00725BDC">
            <w:pPr>
              <w:jc w:val="center"/>
              <w:rPr>
                <w:color w:val="000000" w:themeColor="text1"/>
              </w:rPr>
            </w:pPr>
            <w:r>
              <w:rPr>
                <w:color w:val="000000" w:themeColor="text1"/>
              </w:rPr>
              <w:t>1</w:t>
            </w:r>
            <w:r w:rsidR="001F0780">
              <w:rPr>
                <w:color w:val="000000" w:themeColor="text1"/>
              </w:rPr>
              <w:t>3</w:t>
            </w:r>
            <w:r>
              <w:rPr>
                <w:color w:val="000000" w:themeColor="text1"/>
              </w:rPr>
              <w:t>,</w:t>
            </w:r>
            <w:r w:rsidR="001F0780">
              <w:rPr>
                <w:color w:val="000000" w:themeColor="text1"/>
              </w:rPr>
              <w:t>637</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568110B3" w14:textId="432952BB" w:rsidR="00332A3E" w:rsidRPr="000E7EED" w:rsidRDefault="004E67D1" w:rsidP="001F0780">
            <w:pPr>
              <w:jc w:val="center"/>
              <w:rPr>
                <w:color w:val="000000" w:themeColor="text1"/>
              </w:rPr>
            </w:pPr>
            <w:r>
              <w:rPr>
                <w:color w:val="000000" w:themeColor="text1"/>
              </w:rPr>
              <w:t>16,778</w:t>
            </w:r>
          </w:p>
        </w:tc>
      </w:tr>
      <w:tr w:rsidR="00332A3E" w14:paraId="44E57F19" w14:textId="306A8423" w:rsidTr="003B51F7">
        <w:trPr>
          <w:cnfStyle w:val="000000010000" w:firstRow="0" w:lastRow="0" w:firstColumn="0" w:lastColumn="0" w:oddVBand="0" w:evenVBand="0" w:oddHBand="0" w:evenHBand="1" w:firstRowFirstColumn="0" w:firstRowLastColumn="0" w:lastRowFirstColumn="0" w:lastRowLastColumn="0"/>
          <w:cantSplit/>
          <w:trHeight w:val="194"/>
        </w:trPr>
        <w:tc>
          <w:tcPr>
            <w:cnfStyle w:val="000010000000" w:firstRow="0" w:lastRow="0" w:firstColumn="0" w:lastColumn="0" w:oddVBand="1" w:evenVBand="0" w:oddHBand="0" w:evenHBand="0" w:firstRowFirstColumn="0" w:firstRowLastColumn="0" w:lastRowFirstColumn="0" w:lastRowLastColumn="0"/>
            <w:tcW w:w="1748" w:type="pct"/>
          </w:tcPr>
          <w:p w14:paraId="7AB592EF" w14:textId="77777777" w:rsidR="00332A3E" w:rsidRDefault="00332A3E" w:rsidP="00332A3E">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80" w:type="pct"/>
            <w:tcBorders>
              <w:bottom w:val="single" w:sz="4" w:space="0" w:color="7F7F7F" w:themeColor="text1" w:themeTint="80"/>
            </w:tcBorders>
            <w:shd w:val="clear" w:color="auto" w:fill="auto"/>
            <w:vAlign w:val="center"/>
          </w:tcPr>
          <w:p w14:paraId="22D2C9B8" w14:textId="53C2773D" w:rsidR="00332A3E" w:rsidRPr="000E7EED" w:rsidRDefault="00332A3E" w:rsidP="00332A3E">
            <w:pPr>
              <w:jc w:val="center"/>
              <w:rPr>
                <w:color w:val="000000" w:themeColor="text1"/>
              </w:rPr>
            </w:pPr>
            <w:r>
              <w:rPr>
                <w:color w:val="000000" w:themeColor="text1"/>
              </w:rPr>
              <w:t>10,489</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tcPr>
          <w:p w14:paraId="64C623A0" w14:textId="766093DB" w:rsidR="00332A3E" w:rsidRPr="000E7EED" w:rsidRDefault="0068681E" w:rsidP="00725BDC">
            <w:pPr>
              <w:jc w:val="center"/>
              <w:rPr>
                <w:color w:val="000000" w:themeColor="text1"/>
              </w:rPr>
            </w:pPr>
            <w:r>
              <w:rPr>
                <w:color w:val="000000" w:themeColor="text1"/>
              </w:rPr>
              <w:t>9,99</w:t>
            </w:r>
            <w:r w:rsidR="004E67D1">
              <w:rPr>
                <w:color w:val="000000" w:themeColor="text1"/>
              </w:rPr>
              <w:t>4</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015BF5C8" w14:textId="5D6D5D74" w:rsidR="00332A3E" w:rsidRPr="000E7EED" w:rsidRDefault="004E67D1" w:rsidP="004E67D1">
            <w:pPr>
              <w:jc w:val="center"/>
              <w:rPr>
                <w:color w:val="000000" w:themeColor="text1"/>
              </w:rPr>
            </w:pPr>
            <w:r>
              <w:rPr>
                <w:color w:val="000000" w:themeColor="text1"/>
              </w:rPr>
              <w:t>11,915</w:t>
            </w:r>
          </w:p>
        </w:tc>
      </w:tr>
    </w:tbl>
    <w:p w14:paraId="389B7E18" w14:textId="139F7A29" w:rsidR="000B42DC" w:rsidRDefault="00861DD1" w:rsidP="003B51F7">
      <w:pPr>
        <w:spacing w:before="240"/>
        <w:rPr>
          <w:rFonts w:cs="Arial"/>
          <w:b/>
          <w:bCs/>
          <w:iCs/>
          <w:color w:val="971A4B"/>
          <w:sz w:val="28"/>
          <w:szCs w:val="28"/>
          <w:lang w:eastAsia="en-AU"/>
        </w:rPr>
      </w:pPr>
      <w:r>
        <w:t xml:space="preserve">The state’s most recent lockdowns have meant that court operations have not been able to return to higher service levels as planned. This has </w:t>
      </w:r>
      <w:r w:rsidR="00CB5679">
        <w:t>affected</w:t>
      </w:r>
      <w:r>
        <w:t xml:space="preserve"> the number of duty lawyer services</w:t>
      </w:r>
      <w:r w:rsidR="00522F5B">
        <w:t xml:space="preserve"> and grants of legal assistance</w:t>
      </w:r>
      <w:r>
        <w:t xml:space="preserve"> </w:t>
      </w:r>
      <w:r w:rsidRPr="007838FE">
        <w:rPr>
          <w:rFonts w:cs="Arial"/>
          <w:szCs w:val="22"/>
          <w:lang w:eastAsia="en-AU"/>
        </w:rPr>
        <w:t>provided</w:t>
      </w:r>
      <w:r w:rsidR="0090017D">
        <w:t xml:space="preserve"> in quarter two</w:t>
      </w:r>
      <w:r>
        <w:t>.</w:t>
      </w:r>
      <w:r w:rsidR="00C97BB6">
        <w:t xml:space="preserve"> </w:t>
      </w:r>
      <w:r w:rsidR="008B4B9B">
        <w:t>The projected increase of services in quarter three is dependent on the courts becoming fully operational</w:t>
      </w:r>
      <w:r w:rsidR="00704BFA">
        <w:t>.</w:t>
      </w:r>
      <w:r w:rsidR="00B95A36" w:rsidRPr="00B95A36">
        <w:t xml:space="preserve"> </w:t>
      </w:r>
    </w:p>
    <w:p w14:paraId="3BF6BA49" w14:textId="10DC8341" w:rsidR="00604F07" w:rsidRPr="00BE2819" w:rsidRDefault="004175B7" w:rsidP="00604F07">
      <w:pPr>
        <w:pStyle w:val="Heading2"/>
      </w:pPr>
      <w:r>
        <w:t xml:space="preserve">Financial </w:t>
      </w:r>
      <w:r w:rsidR="00B03011">
        <w:t>S</w:t>
      </w:r>
      <w:r>
        <w:t>ummary</w:t>
      </w:r>
      <w:bookmarkStart w:id="3" w:name="_Hlk33006424"/>
      <w:bookmarkStart w:id="4" w:name="_Hlk25835001"/>
      <w:r>
        <w:br/>
      </w:r>
      <w:r w:rsidR="00604F07" w:rsidRPr="35DCE9F1">
        <w:rPr>
          <w:rFonts w:cs="Times New Roman"/>
          <w:b w:val="0"/>
          <w:color w:val="auto"/>
          <w:sz w:val="22"/>
          <w:szCs w:val="22"/>
        </w:rPr>
        <w:t>Our operating position in quarter two was a small deficit of $1.1 million. Overall, we are forecasting a budgeted deficit of approximately $</w:t>
      </w:r>
      <w:r w:rsidR="00AD0746">
        <w:rPr>
          <w:rFonts w:cs="Times New Roman"/>
          <w:b w:val="0"/>
          <w:color w:val="auto"/>
          <w:sz w:val="22"/>
          <w:szCs w:val="22"/>
        </w:rPr>
        <w:t>15.9</w:t>
      </w:r>
      <w:r w:rsidR="00604F07" w:rsidRPr="35DCE9F1">
        <w:rPr>
          <w:rFonts w:cs="Times New Roman"/>
          <w:b w:val="0"/>
          <w:color w:val="auto"/>
          <w:sz w:val="22"/>
          <w:szCs w:val="22"/>
        </w:rPr>
        <w:t xml:space="preserve"> million, which will be fully funded from prior year surpluses.  These surpluses were primarily due to the impacts of COVID-19 on court processes in prior years and the timing of funding for one</w:t>
      </w:r>
      <w:r w:rsidR="002F6AD3">
        <w:rPr>
          <w:rFonts w:cs="Times New Roman"/>
          <w:b w:val="0"/>
          <w:color w:val="auto"/>
          <w:sz w:val="22"/>
          <w:szCs w:val="22"/>
        </w:rPr>
        <w:t>-</w:t>
      </w:r>
      <w:r w:rsidR="00604F07" w:rsidRPr="35DCE9F1">
        <w:rPr>
          <w:rFonts w:cs="Times New Roman"/>
          <w:b w:val="0"/>
          <w:color w:val="auto"/>
          <w:sz w:val="22"/>
          <w:szCs w:val="22"/>
        </w:rPr>
        <w:t>off initiatives to address demand pressures now expected to be delivered in 2021</w:t>
      </w:r>
      <w:r w:rsidR="009924F1">
        <w:t>–</w:t>
      </w:r>
      <w:r w:rsidR="00604F07" w:rsidRPr="35DCE9F1">
        <w:rPr>
          <w:rFonts w:cs="Times New Roman"/>
          <w:b w:val="0"/>
          <w:color w:val="auto"/>
          <w:sz w:val="22"/>
          <w:szCs w:val="22"/>
        </w:rPr>
        <w:t>22.</w:t>
      </w:r>
    </w:p>
    <w:p w14:paraId="03555CBD" w14:textId="76A401B8" w:rsidR="00604F07" w:rsidRDefault="00604F07" w:rsidP="00604F07">
      <w:pPr>
        <w:rPr>
          <w:lang w:eastAsia="en-AU"/>
        </w:rPr>
      </w:pPr>
      <w:r>
        <w:rPr>
          <w:lang w:eastAsia="en-AU"/>
        </w:rPr>
        <w:t xml:space="preserve">Case related expenditure, our largest </w:t>
      </w:r>
      <w:r w:rsidR="00CE6A83">
        <w:rPr>
          <w:lang w:eastAsia="en-AU"/>
        </w:rPr>
        <w:t xml:space="preserve">category of </w:t>
      </w:r>
      <w:r>
        <w:rPr>
          <w:lang w:eastAsia="en-AU"/>
        </w:rPr>
        <w:t xml:space="preserve">expenditure, increased </w:t>
      </w:r>
      <w:r w:rsidR="00CE6A83">
        <w:rPr>
          <w:lang w:eastAsia="en-AU"/>
        </w:rPr>
        <w:t xml:space="preserve">slightly </w:t>
      </w:r>
      <w:r>
        <w:rPr>
          <w:lang w:eastAsia="en-AU"/>
        </w:rPr>
        <w:t xml:space="preserve">from quarter one to $29.9 million. Demand has fluctuated over quarter two as courts adjusted their services to </w:t>
      </w:r>
      <w:r w:rsidR="00615808">
        <w:rPr>
          <w:lang w:eastAsia="en-AU"/>
        </w:rPr>
        <w:t>restrictions</w:t>
      </w:r>
      <w:r w:rsidR="00900DFA">
        <w:rPr>
          <w:lang w:eastAsia="en-AU"/>
        </w:rPr>
        <w:t>.</w:t>
      </w:r>
      <w:r>
        <w:rPr>
          <w:lang w:eastAsia="en-AU"/>
        </w:rPr>
        <w:t xml:space="preserve"> </w:t>
      </w:r>
      <w:r>
        <w:t xml:space="preserve">We anticipate expenditure will gradually return to pre-COVID levels as capacity returns within the court system. </w:t>
      </w:r>
    </w:p>
    <w:p w14:paraId="7CD36672" w14:textId="38DF1292" w:rsidR="00604F07" w:rsidRPr="00F3530F" w:rsidRDefault="00604F07" w:rsidP="00604F07">
      <w:pPr>
        <w:pStyle w:val="VLALetterText"/>
      </w:pPr>
      <w:r>
        <w:t>Our financial future remains challenging, due to increasing demand for our services exceeding our base funding, as well as the reduction in funding from the Public Purpose Fund. Consideration of savings initiatives in 2022</w:t>
      </w:r>
      <w:r w:rsidR="009924F1">
        <w:rPr>
          <w:lang w:eastAsia="en-AU"/>
        </w:rPr>
        <w:t>–</w:t>
      </w:r>
      <w:r>
        <w:t xml:space="preserve">23 will need to occur pending any outcomes from the State </w:t>
      </w:r>
      <w:r w:rsidR="001B03B8">
        <w:t xml:space="preserve">and Federal </w:t>
      </w:r>
      <w:r>
        <w:t>Budget</w:t>
      </w:r>
      <w:r w:rsidR="001B03B8">
        <w:t>s</w:t>
      </w:r>
      <w:r>
        <w:t xml:space="preserve">. We continue to work with the </w:t>
      </w:r>
      <w:r w:rsidR="00FE21B6">
        <w:t xml:space="preserve">Victorian </w:t>
      </w:r>
      <w:r>
        <w:t xml:space="preserve">Department of Justice and Community Safety </w:t>
      </w:r>
      <w:r w:rsidR="00FE21B6">
        <w:t xml:space="preserve">and the Federal Attorney-General’s Department </w:t>
      </w:r>
      <w:r>
        <w:t>to pursue sustainable funding solutions to meet these ongoing financial challenges.</w:t>
      </w:r>
    </w:p>
    <w:p w14:paraId="5C7A41B4" w14:textId="550E0E90" w:rsidR="004175B7" w:rsidRPr="00A4203A" w:rsidRDefault="007014AD" w:rsidP="00604F07">
      <w:pPr>
        <w:pStyle w:val="Heading2"/>
        <w:rPr>
          <w:b w:val="0"/>
          <w:bCs w:val="0"/>
        </w:rPr>
      </w:pPr>
      <w:r>
        <w:rPr>
          <w:rStyle w:val="Heading3Char"/>
          <w:b/>
          <w:bCs/>
        </w:rPr>
        <w:t xml:space="preserve">Table 2.1 </w:t>
      </w:r>
      <w:r w:rsidR="00351328" w:rsidRPr="00A4203A">
        <w:rPr>
          <w:rStyle w:val="Heading3Char"/>
          <w:b/>
          <w:bCs/>
        </w:rPr>
        <w:t>Total</w:t>
      </w:r>
      <w:r w:rsidR="004175B7" w:rsidRPr="00A4203A">
        <w:rPr>
          <w:rStyle w:val="Heading3Char"/>
          <w:b/>
          <w:bCs/>
        </w:rPr>
        <w:t xml:space="preserve"> revenue breakdown</w:t>
      </w:r>
      <w:r w:rsidR="007F609B" w:rsidRPr="00A4203A">
        <w:rPr>
          <w:rStyle w:val="Heading3Char"/>
          <w:b/>
          <w:bCs/>
        </w:rPr>
        <w:t xml:space="preserve"> </w:t>
      </w:r>
      <w:r w:rsidR="00A6458C" w:rsidRPr="00A4203A">
        <w:rPr>
          <w:rStyle w:val="Heading3Char"/>
          <w:b/>
          <w:bCs/>
        </w:rPr>
        <w:t>(</w:t>
      </w:r>
      <w:r w:rsidR="004175B7" w:rsidRPr="00A4203A">
        <w:rPr>
          <w:rStyle w:val="Heading3Char"/>
          <w:b/>
          <w:bCs/>
        </w:rPr>
        <w:t>$’000</w:t>
      </w:r>
      <w:r w:rsidR="004175B7" w:rsidRPr="00A4203A">
        <w:rPr>
          <w:b w:val="0"/>
          <w:bCs w:val="0"/>
        </w:rPr>
        <w:t>)</w:t>
      </w:r>
      <w:r w:rsidR="007F609B" w:rsidRPr="00A4203A">
        <w:rPr>
          <w:b w:val="0"/>
          <w:bCs w:val="0"/>
        </w:rPr>
        <w:t xml:space="preserve"> </w:t>
      </w:r>
    </w:p>
    <w:tbl>
      <w:tblPr>
        <w:tblStyle w:val="PlainTable2"/>
        <w:tblW w:w="4920" w:type="pct"/>
        <w:tblBorders>
          <w:bottom w:val="none" w:sz="0" w:space="0" w:color="auto"/>
          <w:insideH w:val="none" w:sz="0" w:space="0" w:color="auto"/>
        </w:tblBorders>
        <w:tblLook w:val="0620" w:firstRow="1" w:lastRow="0" w:firstColumn="0" w:lastColumn="0" w:noHBand="1" w:noVBand="1"/>
      </w:tblPr>
      <w:tblGrid>
        <w:gridCol w:w="4392"/>
        <w:gridCol w:w="2403"/>
        <w:gridCol w:w="1561"/>
        <w:gridCol w:w="1559"/>
      </w:tblGrid>
      <w:tr w:rsidR="00D97431" w:rsidRPr="000E7EED" w14:paraId="58B780AE" w14:textId="710011E8" w:rsidTr="003B51F7">
        <w:trPr>
          <w:cnfStyle w:val="100000000000" w:firstRow="1" w:lastRow="0" w:firstColumn="0" w:lastColumn="0" w:oddVBand="0" w:evenVBand="0" w:oddHBand="0" w:evenHBand="0" w:firstRowFirstColumn="0" w:firstRowLastColumn="0" w:lastRowFirstColumn="0" w:lastRowLastColumn="0"/>
        </w:trPr>
        <w:tc>
          <w:tcPr>
            <w:tcW w:w="2215" w:type="pct"/>
            <w:tcBorders>
              <w:top w:val="single" w:sz="4" w:space="0" w:color="auto"/>
              <w:left w:val="single" w:sz="4" w:space="0" w:color="auto"/>
              <w:bottom w:val="single" w:sz="4" w:space="0" w:color="auto"/>
            </w:tcBorders>
            <w:shd w:val="clear" w:color="auto" w:fill="C3AFCC"/>
          </w:tcPr>
          <w:p w14:paraId="3C707392" w14:textId="77777777" w:rsidR="007D7220" w:rsidRPr="000E7EED" w:rsidRDefault="007D7220" w:rsidP="00E01863">
            <w:pPr>
              <w:rPr>
                <w:b/>
                <w:color w:val="000000" w:themeColor="text1"/>
              </w:rPr>
            </w:pPr>
            <w:bookmarkStart w:id="5" w:name="_Hlk10632113"/>
            <w:bookmarkStart w:id="6" w:name="_Hlk33006441"/>
            <w:bookmarkEnd w:id="3"/>
            <w:r w:rsidRPr="000E7EED">
              <w:rPr>
                <w:b/>
                <w:color w:val="000000" w:themeColor="text1"/>
              </w:rPr>
              <w:t>Revenue</w:t>
            </w:r>
          </w:p>
        </w:tc>
        <w:tc>
          <w:tcPr>
            <w:tcW w:w="1212" w:type="pct"/>
            <w:tcBorders>
              <w:top w:val="single" w:sz="4" w:space="0" w:color="auto"/>
              <w:bottom w:val="single" w:sz="4" w:space="0" w:color="auto"/>
            </w:tcBorders>
            <w:shd w:val="clear" w:color="auto" w:fill="C3AFCC"/>
          </w:tcPr>
          <w:p w14:paraId="410E70A5" w14:textId="77777777" w:rsidR="007D7220" w:rsidRPr="000E7EED" w:rsidRDefault="007D7220" w:rsidP="00E01863">
            <w:pPr>
              <w:ind w:left="-536"/>
              <w:jc w:val="right"/>
              <w:rPr>
                <w:b/>
                <w:color w:val="000000" w:themeColor="text1"/>
              </w:rPr>
            </w:pPr>
            <w:r>
              <w:rPr>
                <w:b/>
                <w:color w:val="000000" w:themeColor="text1"/>
              </w:rPr>
              <w:t>Q1 2021-22</w:t>
            </w:r>
          </w:p>
        </w:tc>
        <w:tc>
          <w:tcPr>
            <w:tcW w:w="787" w:type="pct"/>
            <w:tcBorders>
              <w:top w:val="single" w:sz="4" w:space="0" w:color="auto"/>
              <w:bottom w:val="single" w:sz="4" w:space="0" w:color="auto"/>
            </w:tcBorders>
            <w:shd w:val="clear" w:color="auto" w:fill="C3AFCC"/>
          </w:tcPr>
          <w:p w14:paraId="62044427" w14:textId="77777777" w:rsidR="007D7220" w:rsidRPr="000E7EED" w:rsidRDefault="007D7220" w:rsidP="00E01863">
            <w:pPr>
              <w:jc w:val="right"/>
              <w:rPr>
                <w:b/>
                <w:color w:val="000000" w:themeColor="text1"/>
              </w:rPr>
            </w:pPr>
            <w:r w:rsidRPr="000E7EED">
              <w:rPr>
                <w:b/>
                <w:color w:val="000000" w:themeColor="text1"/>
              </w:rPr>
              <w:t>Q</w:t>
            </w:r>
            <w:r>
              <w:rPr>
                <w:b/>
                <w:color w:val="000000" w:themeColor="text1"/>
              </w:rPr>
              <w:t>2 2021-22</w:t>
            </w:r>
          </w:p>
        </w:tc>
        <w:tc>
          <w:tcPr>
            <w:tcW w:w="786" w:type="pct"/>
            <w:tcBorders>
              <w:top w:val="single" w:sz="4" w:space="0" w:color="auto"/>
              <w:bottom w:val="single" w:sz="4" w:space="0" w:color="auto"/>
              <w:right w:val="single" w:sz="4" w:space="0" w:color="auto"/>
            </w:tcBorders>
            <w:shd w:val="clear" w:color="auto" w:fill="C3AFCC"/>
          </w:tcPr>
          <w:p w14:paraId="2ABBF229" w14:textId="3807522A" w:rsidR="007D7220" w:rsidRPr="000E7EED" w:rsidRDefault="00F93B77" w:rsidP="00E01863">
            <w:pPr>
              <w:jc w:val="right"/>
              <w:rPr>
                <w:b/>
                <w:color w:val="000000" w:themeColor="text1"/>
              </w:rPr>
            </w:pPr>
            <w:r>
              <w:rPr>
                <w:b/>
                <w:color w:val="000000" w:themeColor="text1"/>
              </w:rPr>
              <w:t>Q3 2021-22 projection</w:t>
            </w:r>
          </w:p>
        </w:tc>
      </w:tr>
      <w:tr w:rsidR="007D7220" w:rsidRPr="000E7EED" w14:paraId="0104E3B2" w14:textId="7764A4D8" w:rsidTr="003B51F7">
        <w:trPr>
          <w:cantSplit/>
        </w:trPr>
        <w:tc>
          <w:tcPr>
            <w:tcW w:w="2215" w:type="pct"/>
            <w:tcBorders>
              <w:top w:val="single" w:sz="4" w:space="0" w:color="auto"/>
              <w:left w:val="single" w:sz="4" w:space="0" w:color="auto"/>
              <w:bottom w:val="single" w:sz="4" w:space="0" w:color="auto"/>
            </w:tcBorders>
          </w:tcPr>
          <w:p w14:paraId="12D07E5D" w14:textId="77777777" w:rsidR="007D7220" w:rsidRPr="000E7EED" w:rsidRDefault="007D7220" w:rsidP="00E01863">
            <w:pPr>
              <w:rPr>
                <w:color w:val="000000" w:themeColor="text1"/>
              </w:rPr>
            </w:pPr>
            <w:r w:rsidRPr="000E7EED">
              <w:rPr>
                <w:color w:val="000000" w:themeColor="text1"/>
              </w:rPr>
              <w:t>Commonwealth – grants</w:t>
            </w:r>
          </w:p>
        </w:tc>
        <w:tc>
          <w:tcPr>
            <w:tcW w:w="1212" w:type="pct"/>
            <w:tcBorders>
              <w:top w:val="single" w:sz="4" w:space="0" w:color="auto"/>
              <w:left w:val="nil"/>
              <w:bottom w:val="single" w:sz="4" w:space="0" w:color="auto"/>
              <w:right w:val="nil"/>
            </w:tcBorders>
            <w:shd w:val="clear" w:color="auto" w:fill="auto"/>
          </w:tcPr>
          <w:p w14:paraId="638C5F85" w14:textId="77777777" w:rsidR="007D7220" w:rsidRPr="008E424E" w:rsidRDefault="007D7220" w:rsidP="00E01863">
            <w:pPr>
              <w:jc w:val="right"/>
            </w:pPr>
            <w:r>
              <w:t>18,289</w:t>
            </w:r>
          </w:p>
        </w:tc>
        <w:tc>
          <w:tcPr>
            <w:tcW w:w="787" w:type="pct"/>
            <w:tcBorders>
              <w:top w:val="single" w:sz="4" w:space="0" w:color="auto"/>
              <w:bottom w:val="single" w:sz="4" w:space="0" w:color="auto"/>
            </w:tcBorders>
            <w:shd w:val="clear" w:color="auto" w:fill="D9D9D9" w:themeFill="background1" w:themeFillShade="D9"/>
          </w:tcPr>
          <w:p w14:paraId="1B3951D4" w14:textId="77777777" w:rsidR="007D7220" w:rsidRPr="008E424E" w:rsidRDefault="007D7220" w:rsidP="00E01863">
            <w:pPr>
              <w:jc w:val="right"/>
            </w:pPr>
            <w:r>
              <w:t>18,535</w:t>
            </w:r>
          </w:p>
        </w:tc>
        <w:tc>
          <w:tcPr>
            <w:tcW w:w="786" w:type="pct"/>
            <w:tcBorders>
              <w:top w:val="single" w:sz="4" w:space="0" w:color="auto"/>
              <w:bottom w:val="single" w:sz="4" w:space="0" w:color="auto"/>
              <w:right w:val="single" w:sz="4" w:space="0" w:color="auto"/>
            </w:tcBorders>
            <w:shd w:val="clear" w:color="auto" w:fill="auto"/>
          </w:tcPr>
          <w:p w14:paraId="6B14EB40" w14:textId="33D56345" w:rsidR="007D7220" w:rsidRDefault="00A967AD" w:rsidP="00E01863">
            <w:pPr>
              <w:jc w:val="right"/>
            </w:pPr>
            <w:r>
              <w:t>19,252</w:t>
            </w:r>
          </w:p>
        </w:tc>
      </w:tr>
      <w:tr w:rsidR="007D7220" w:rsidRPr="000E7EED" w14:paraId="0F0E67DC" w14:textId="187034C2" w:rsidTr="003B51F7">
        <w:trPr>
          <w:cantSplit/>
        </w:trPr>
        <w:tc>
          <w:tcPr>
            <w:tcW w:w="2215" w:type="pct"/>
            <w:tcBorders>
              <w:top w:val="single" w:sz="4" w:space="0" w:color="auto"/>
              <w:left w:val="single" w:sz="4" w:space="0" w:color="auto"/>
              <w:bottom w:val="single" w:sz="4" w:space="0" w:color="auto"/>
            </w:tcBorders>
          </w:tcPr>
          <w:p w14:paraId="339FE78D" w14:textId="77777777" w:rsidR="007D7220" w:rsidRPr="000E7EED" w:rsidRDefault="007D7220" w:rsidP="00E01863">
            <w:pPr>
              <w:rPr>
                <w:color w:val="000000" w:themeColor="text1"/>
              </w:rPr>
            </w:pPr>
            <w:r>
              <w:rPr>
                <w:color w:val="000000" w:themeColor="text1"/>
              </w:rPr>
              <w:t>ECCCF income</w:t>
            </w:r>
          </w:p>
        </w:tc>
        <w:tc>
          <w:tcPr>
            <w:tcW w:w="1212" w:type="pct"/>
            <w:tcBorders>
              <w:top w:val="single" w:sz="4" w:space="0" w:color="auto"/>
              <w:left w:val="nil"/>
              <w:bottom w:val="single" w:sz="4" w:space="0" w:color="auto"/>
              <w:right w:val="nil"/>
            </w:tcBorders>
            <w:shd w:val="clear" w:color="auto" w:fill="auto"/>
          </w:tcPr>
          <w:p w14:paraId="1882D56E" w14:textId="77777777" w:rsidR="007D7220" w:rsidRDefault="007D7220" w:rsidP="00E01863">
            <w:pPr>
              <w:jc w:val="right"/>
            </w:pPr>
            <w:r>
              <w:t>0</w:t>
            </w:r>
          </w:p>
        </w:tc>
        <w:tc>
          <w:tcPr>
            <w:tcW w:w="787" w:type="pct"/>
            <w:tcBorders>
              <w:top w:val="single" w:sz="4" w:space="0" w:color="auto"/>
              <w:bottom w:val="single" w:sz="4" w:space="0" w:color="auto"/>
            </w:tcBorders>
            <w:shd w:val="clear" w:color="auto" w:fill="D9D9D9" w:themeFill="background1" w:themeFillShade="D9"/>
          </w:tcPr>
          <w:p w14:paraId="6E42ADB2" w14:textId="77777777" w:rsidR="007D7220" w:rsidRDefault="007D7220" w:rsidP="00E01863">
            <w:pPr>
              <w:jc w:val="right"/>
            </w:pPr>
            <w:r>
              <w:t>0</w:t>
            </w:r>
          </w:p>
        </w:tc>
        <w:tc>
          <w:tcPr>
            <w:tcW w:w="786" w:type="pct"/>
            <w:tcBorders>
              <w:top w:val="single" w:sz="4" w:space="0" w:color="auto"/>
              <w:bottom w:val="single" w:sz="4" w:space="0" w:color="auto"/>
              <w:right w:val="single" w:sz="4" w:space="0" w:color="auto"/>
            </w:tcBorders>
            <w:shd w:val="clear" w:color="auto" w:fill="auto"/>
          </w:tcPr>
          <w:p w14:paraId="23A4C17B" w14:textId="31B2E824" w:rsidR="007D7220" w:rsidRDefault="00A967AD" w:rsidP="00E01863">
            <w:pPr>
              <w:jc w:val="right"/>
            </w:pPr>
            <w:r>
              <w:t>0</w:t>
            </w:r>
          </w:p>
        </w:tc>
      </w:tr>
      <w:tr w:rsidR="007D7220" w:rsidRPr="000E7EED" w14:paraId="241D73F7" w14:textId="3CE18D0A" w:rsidTr="003B51F7">
        <w:trPr>
          <w:cantSplit/>
        </w:trPr>
        <w:tc>
          <w:tcPr>
            <w:tcW w:w="2215" w:type="pct"/>
            <w:tcBorders>
              <w:top w:val="single" w:sz="4" w:space="0" w:color="auto"/>
              <w:left w:val="single" w:sz="4" w:space="0" w:color="auto"/>
              <w:bottom w:val="single" w:sz="4" w:space="0" w:color="auto"/>
            </w:tcBorders>
          </w:tcPr>
          <w:p w14:paraId="36B32B3B" w14:textId="7D97555E" w:rsidR="007D7220" w:rsidRPr="000E7EED" w:rsidRDefault="007D7220" w:rsidP="00E01863">
            <w:pPr>
              <w:rPr>
                <w:b/>
                <w:color w:val="000000" w:themeColor="text1"/>
              </w:rPr>
            </w:pPr>
            <w:r w:rsidRPr="000E7EED">
              <w:rPr>
                <w:color w:val="000000" w:themeColor="text1"/>
              </w:rPr>
              <w:t>State – grants</w:t>
            </w:r>
          </w:p>
        </w:tc>
        <w:tc>
          <w:tcPr>
            <w:tcW w:w="1212" w:type="pct"/>
            <w:tcBorders>
              <w:top w:val="single" w:sz="4" w:space="0" w:color="auto"/>
              <w:left w:val="nil"/>
              <w:bottom w:val="single" w:sz="4" w:space="0" w:color="auto"/>
              <w:right w:val="nil"/>
            </w:tcBorders>
            <w:shd w:val="clear" w:color="auto" w:fill="auto"/>
          </w:tcPr>
          <w:p w14:paraId="128E34C7" w14:textId="77777777" w:rsidR="007D7220" w:rsidRPr="008E424E" w:rsidRDefault="007D7220" w:rsidP="00E01863">
            <w:pPr>
              <w:jc w:val="right"/>
            </w:pPr>
            <w:r>
              <w:t>44,322</w:t>
            </w:r>
          </w:p>
        </w:tc>
        <w:tc>
          <w:tcPr>
            <w:tcW w:w="787" w:type="pct"/>
            <w:tcBorders>
              <w:top w:val="single" w:sz="4" w:space="0" w:color="auto"/>
              <w:bottom w:val="single" w:sz="4" w:space="0" w:color="auto"/>
            </w:tcBorders>
            <w:shd w:val="clear" w:color="auto" w:fill="D9D9D9" w:themeFill="background1" w:themeFillShade="D9"/>
          </w:tcPr>
          <w:p w14:paraId="748B6E90" w14:textId="77777777" w:rsidR="007D7220" w:rsidRPr="008E424E" w:rsidRDefault="007D7220" w:rsidP="00E01863">
            <w:pPr>
              <w:jc w:val="right"/>
            </w:pPr>
            <w:r>
              <w:t>43,348</w:t>
            </w:r>
          </w:p>
        </w:tc>
        <w:tc>
          <w:tcPr>
            <w:tcW w:w="786" w:type="pct"/>
            <w:tcBorders>
              <w:top w:val="single" w:sz="4" w:space="0" w:color="auto"/>
              <w:bottom w:val="single" w:sz="4" w:space="0" w:color="auto"/>
              <w:right w:val="single" w:sz="4" w:space="0" w:color="auto"/>
            </w:tcBorders>
            <w:shd w:val="clear" w:color="auto" w:fill="auto"/>
          </w:tcPr>
          <w:p w14:paraId="33EC7BC5" w14:textId="0FCD5C17" w:rsidR="007D7220" w:rsidRDefault="00037005" w:rsidP="00E01863">
            <w:pPr>
              <w:jc w:val="right"/>
            </w:pPr>
            <w:r>
              <w:t>45,174</w:t>
            </w:r>
          </w:p>
        </w:tc>
      </w:tr>
      <w:tr w:rsidR="007D7220" w:rsidRPr="000E7EED" w14:paraId="2D28E6CE" w14:textId="2AA2B287" w:rsidTr="003B51F7">
        <w:trPr>
          <w:cantSplit/>
        </w:trPr>
        <w:tc>
          <w:tcPr>
            <w:tcW w:w="2215" w:type="pct"/>
            <w:tcBorders>
              <w:top w:val="single" w:sz="4" w:space="0" w:color="auto"/>
              <w:left w:val="single" w:sz="4" w:space="0" w:color="auto"/>
              <w:bottom w:val="single" w:sz="4" w:space="0" w:color="auto"/>
            </w:tcBorders>
          </w:tcPr>
          <w:p w14:paraId="18F682B4" w14:textId="77777777" w:rsidR="007D7220" w:rsidRPr="000E7EED" w:rsidRDefault="007D7220" w:rsidP="00E01863">
            <w:pPr>
              <w:rPr>
                <w:b/>
                <w:color w:val="000000" w:themeColor="text1"/>
              </w:rPr>
            </w:pPr>
            <w:r w:rsidRPr="000E7EED">
              <w:rPr>
                <w:color w:val="000000" w:themeColor="text1"/>
              </w:rPr>
              <w:t>Public Purpose Fund</w:t>
            </w:r>
          </w:p>
        </w:tc>
        <w:tc>
          <w:tcPr>
            <w:tcW w:w="1212" w:type="pct"/>
            <w:tcBorders>
              <w:top w:val="single" w:sz="4" w:space="0" w:color="auto"/>
              <w:left w:val="nil"/>
              <w:bottom w:val="single" w:sz="4" w:space="0" w:color="auto"/>
              <w:right w:val="nil"/>
            </w:tcBorders>
            <w:shd w:val="clear" w:color="auto" w:fill="auto"/>
          </w:tcPr>
          <w:p w14:paraId="4401012B" w14:textId="77777777" w:rsidR="007D7220" w:rsidRPr="008E424E" w:rsidRDefault="007D7220" w:rsidP="00E01863">
            <w:pPr>
              <w:jc w:val="right"/>
            </w:pPr>
            <w:r>
              <w:t>6,472</w:t>
            </w:r>
          </w:p>
        </w:tc>
        <w:tc>
          <w:tcPr>
            <w:tcW w:w="787" w:type="pct"/>
            <w:tcBorders>
              <w:top w:val="single" w:sz="4" w:space="0" w:color="auto"/>
              <w:bottom w:val="single" w:sz="4" w:space="0" w:color="auto"/>
            </w:tcBorders>
            <w:shd w:val="clear" w:color="auto" w:fill="D9D9D9" w:themeFill="background1" w:themeFillShade="D9"/>
          </w:tcPr>
          <w:p w14:paraId="759696ED" w14:textId="77777777" w:rsidR="007D7220" w:rsidRPr="008E424E" w:rsidRDefault="007D7220" w:rsidP="00E01863">
            <w:pPr>
              <w:jc w:val="right"/>
            </w:pPr>
            <w:r>
              <w:t>6,139</w:t>
            </w:r>
          </w:p>
        </w:tc>
        <w:tc>
          <w:tcPr>
            <w:tcW w:w="786" w:type="pct"/>
            <w:tcBorders>
              <w:top w:val="single" w:sz="4" w:space="0" w:color="auto"/>
              <w:bottom w:val="single" w:sz="4" w:space="0" w:color="auto"/>
              <w:right w:val="single" w:sz="4" w:space="0" w:color="auto"/>
            </w:tcBorders>
            <w:shd w:val="clear" w:color="auto" w:fill="auto"/>
          </w:tcPr>
          <w:p w14:paraId="3EA7A9AD" w14:textId="234434FD" w:rsidR="007D7220" w:rsidRDefault="00037005" w:rsidP="00E01863">
            <w:pPr>
              <w:jc w:val="right"/>
            </w:pPr>
            <w:r>
              <w:t>5,139</w:t>
            </w:r>
          </w:p>
        </w:tc>
      </w:tr>
      <w:tr w:rsidR="007D7220" w:rsidRPr="000E7EED" w14:paraId="26476A24" w14:textId="637DDCA1" w:rsidTr="003B51F7">
        <w:trPr>
          <w:cantSplit/>
        </w:trPr>
        <w:tc>
          <w:tcPr>
            <w:tcW w:w="2215" w:type="pct"/>
            <w:tcBorders>
              <w:top w:val="single" w:sz="4" w:space="0" w:color="auto"/>
              <w:left w:val="single" w:sz="4" w:space="0" w:color="auto"/>
              <w:bottom w:val="single" w:sz="4" w:space="0" w:color="auto"/>
            </w:tcBorders>
          </w:tcPr>
          <w:p w14:paraId="152B251C" w14:textId="77777777" w:rsidR="007D7220" w:rsidRPr="000E7EED" w:rsidRDefault="007D7220" w:rsidP="00E01863">
            <w:pPr>
              <w:rPr>
                <w:b/>
                <w:color w:val="000000" w:themeColor="text1"/>
              </w:rPr>
            </w:pPr>
            <w:r w:rsidRPr="000E7EED">
              <w:rPr>
                <w:color w:val="000000" w:themeColor="text1"/>
              </w:rPr>
              <w:t>Case revenue</w:t>
            </w:r>
          </w:p>
        </w:tc>
        <w:tc>
          <w:tcPr>
            <w:tcW w:w="1212" w:type="pct"/>
            <w:tcBorders>
              <w:top w:val="single" w:sz="4" w:space="0" w:color="auto"/>
              <w:left w:val="nil"/>
              <w:bottom w:val="single" w:sz="4" w:space="0" w:color="auto"/>
              <w:right w:val="nil"/>
            </w:tcBorders>
            <w:shd w:val="clear" w:color="auto" w:fill="auto"/>
          </w:tcPr>
          <w:p w14:paraId="333B6675" w14:textId="77777777" w:rsidR="007D7220" w:rsidRPr="008E424E" w:rsidRDefault="007D7220" w:rsidP="00E01863">
            <w:pPr>
              <w:jc w:val="right"/>
            </w:pPr>
            <w:r>
              <w:t>1,391</w:t>
            </w:r>
          </w:p>
        </w:tc>
        <w:tc>
          <w:tcPr>
            <w:tcW w:w="787" w:type="pct"/>
            <w:tcBorders>
              <w:top w:val="single" w:sz="4" w:space="0" w:color="auto"/>
              <w:bottom w:val="single" w:sz="4" w:space="0" w:color="auto"/>
            </w:tcBorders>
            <w:shd w:val="clear" w:color="auto" w:fill="D9D9D9" w:themeFill="background1" w:themeFillShade="D9"/>
          </w:tcPr>
          <w:p w14:paraId="08D674B1" w14:textId="77777777" w:rsidR="007D7220" w:rsidRPr="008E424E" w:rsidRDefault="007D7220" w:rsidP="00E01863">
            <w:pPr>
              <w:jc w:val="right"/>
            </w:pPr>
            <w:r>
              <w:t>1,108</w:t>
            </w:r>
          </w:p>
        </w:tc>
        <w:tc>
          <w:tcPr>
            <w:tcW w:w="786" w:type="pct"/>
            <w:tcBorders>
              <w:top w:val="single" w:sz="4" w:space="0" w:color="auto"/>
              <w:bottom w:val="single" w:sz="4" w:space="0" w:color="auto"/>
              <w:right w:val="single" w:sz="4" w:space="0" w:color="auto"/>
            </w:tcBorders>
            <w:shd w:val="clear" w:color="auto" w:fill="auto"/>
          </w:tcPr>
          <w:p w14:paraId="6E85FDC7" w14:textId="244A104A" w:rsidR="007D7220" w:rsidRDefault="00037005" w:rsidP="00E01863">
            <w:pPr>
              <w:jc w:val="right"/>
            </w:pPr>
            <w:r>
              <w:t>1,378</w:t>
            </w:r>
          </w:p>
        </w:tc>
      </w:tr>
      <w:tr w:rsidR="007D7220" w:rsidRPr="000E7EED" w14:paraId="215DBF0D" w14:textId="6A494A93" w:rsidTr="003B51F7">
        <w:trPr>
          <w:cantSplit/>
        </w:trPr>
        <w:tc>
          <w:tcPr>
            <w:tcW w:w="2215" w:type="pct"/>
            <w:tcBorders>
              <w:top w:val="single" w:sz="4" w:space="0" w:color="auto"/>
              <w:left w:val="single" w:sz="4" w:space="0" w:color="auto"/>
              <w:bottom w:val="single" w:sz="4" w:space="0" w:color="auto"/>
            </w:tcBorders>
          </w:tcPr>
          <w:p w14:paraId="1CBFB7A1" w14:textId="77777777" w:rsidR="007D7220" w:rsidRPr="000E7EED" w:rsidRDefault="007D7220" w:rsidP="00E01863">
            <w:pPr>
              <w:rPr>
                <w:b/>
                <w:color w:val="000000" w:themeColor="text1"/>
              </w:rPr>
            </w:pPr>
            <w:r w:rsidRPr="000E7EED">
              <w:rPr>
                <w:color w:val="000000" w:themeColor="text1"/>
              </w:rPr>
              <w:t>Other income</w:t>
            </w:r>
          </w:p>
        </w:tc>
        <w:tc>
          <w:tcPr>
            <w:tcW w:w="1212" w:type="pct"/>
            <w:tcBorders>
              <w:top w:val="single" w:sz="4" w:space="0" w:color="auto"/>
              <w:left w:val="nil"/>
              <w:bottom w:val="single" w:sz="4" w:space="0" w:color="auto"/>
              <w:right w:val="nil"/>
            </w:tcBorders>
            <w:shd w:val="clear" w:color="auto" w:fill="auto"/>
          </w:tcPr>
          <w:p w14:paraId="01F45915" w14:textId="77777777" w:rsidR="007D7220" w:rsidRPr="008E424E" w:rsidRDefault="007D7220" w:rsidP="00E01863">
            <w:pPr>
              <w:jc w:val="right"/>
            </w:pPr>
            <w:r>
              <w:t>72</w:t>
            </w:r>
          </w:p>
        </w:tc>
        <w:tc>
          <w:tcPr>
            <w:tcW w:w="787" w:type="pct"/>
            <w:tcBorders>
              <w:top w:val="single" w:sz="4" w:space="0" w:color="auto"/>
              <w:bottom w:val="single" w:sz="4" w:space="0" w:color="auto"/>
            </w:tcBorders>
            <w:shd w:val="clear" w:color="auto" w:fill="D9D9D9" w:themeFill="background1" w:themeFillShade="D9"/>
          </w:tcPr>
          <w:p w14:paraId="160A39F2" w14:textId="77777777" w:rsidR="007D7220" w:rsidRPr="008E424E" w:rsidRDefault="007D7220" w:rsidP="00E01863">
            <w:pPr>
              <w:jc w:val="right"/>
            </w:pPr>
            <w:r>
              <w:t>77</w:t>
            </w:r>
          </w:p>
        </w:tc>
        <w:tc>
          <w:tcPr>
            <w:tcW w:w="786" w:type="pct"/>
            <w:tcBorders>
              <w:top w:val="single" w:sz="4" w:space="0" w:color="auto"/>
              <w:bottom w:val="single" w:sz="4" w:space="0" w:color="auto"/>
              <w:right w:val="single" w:sz="4" w:space="0" w:color="auto"/>
            </w:tcBorders>
            <w:shd w:val="clear" w:color="auto" w:fill="auto"/>
          </w:tcPr>
          <w:p w14:paraId="18BEE1AA" w14:textId="1846DADD" w:rsidR="007D7220" w:rsidRDefault="00037005" w:rsidP="00E01863">
            <w:pPr>
              <w:jc w:val="right"/>
            </w:pPr>
            <w:r>
              <w:t>57</w:t>
            </w:r>
          </w:p>
        </w:tc>
      </w:tr>
      <w:tr w:rsidR="007D7220" w:rsidRPr="000E7EED" w14:paraId="139FF178" w14:textId="6990AE35" w:rsidTr="003B51F7">
        <w:trPr>
          <w:cantSplit/>
        </w:trPr>
        <w:tc>
          <w:tcPr>
            <w:tcW w:w="2215" w:type="pct"/>
            <w:tcBorders>
              <w:top w:val="single" w:sz="4" w:space="0" w:color="auto"/>
              <w:left w:val="single" w:sz="4" w:space="0" w:color="auto"/>
              <w:bottom w:val="single" w:sz="4" w:space="0" w:color="auto"/>
            </w:tcBorders>
            <w:shd w:val="clear" w:color="auto" w:fill="D9D9D9" w:themeFill="background1" w:themeFillShade="D9"/>
          </w:tcPr>
          <w:p w14:paraId="247720CE" w14:textId="77777777" w:rsidR="007D7220" w:rsidRPr="000E7EED" w:rsidRDefault="007D7220" w:rsidP="00E01863">
            <w:pPr>
              <w:rPr>
                <w:b/>
                <w:color w:val="000000" w:themeColor="text1"/>
              </w:rPr>
            </w:pPr>
            <w:r w:rsidRPr="000E7EED">
              <w:rPr>
                <w:b/>
                <w:color w:val="000000" w:themeColor="text1"/>
              </w:rPr>
              <w:lastRenderedPageBreak/>
              <w:t>Total revenue</w:t>
            </w:r>
          </w:p>
        </w:tc>
        <w:tc>
          <w:tcPr>
            <w:tcW w:w="1212" w:type="pct"/>
            <w:tcBorders>
              <w:top w:val="single" w:sz="4" w:space="0" w:color="auto"/>
              <w:left w:val="nil"/>
              <w:bottom w:val="single" w:sz="4" w:space="0" w:color="auto"/>
              <w:right w:val="nil"/>
            </w:tcBorders>
            <w:shd w:val="clear" w:color="auto" w:fill="D9D9D9" w:themeFill="background1" w:themeFillShade="D9"/>
          </w:tcPr>
          <w:p w14:paraId="09323277" w14:textId="77777777" w:rsidR="007D7220" w:rsidRPr="008E424E" w:rsidRDefault="007D7220" w:rsidP="00E01863">
            <w:pPr>
              <w:jc w:val="right"/>
              <w:rPr>
                <w:b/>
                <w:bCs/>
              </w:rPr>
            </w:pPr>
            <w:r>
              <w:rPr>
                <w:b/>
                <w:bCs/>
              </w:rPr>
              <w:t>70,546</w:t>
            </w:r>
          </w:p>
        </w:tc>
        <w:tc>
          <w:tcPr>
            <w:tcW w:w="787" w:type="pct"/>
            <w:tcBorders>
              <w:top w:val="single" w:sz="4" w:space="0" w:color="auto"/>
              <w:bottom w:val="single" w:sz="4" w:space="0" w:color="auto"/>
            </w:tcBorders>
            <w:shd w:val="clear" w:color="auto" w:fill="D9D9D9" w:themeFill="background1" w:themeFillShade="D9"/>
          </w:tcPr>
          <w:p w14:paraId="65C6B879" w14:textId="77777777" w:rsidR="007D7220" w:rsidRPr="00B457A7" w:rsidRDefault="007D7220" w:rsidP="00E01863">
            <w:pPr>
              <w:jc w:val="right"/>
              <w:rPr>
                <w:b/>
                <w:bCs/>
              </w:rPr>
            </w:pPr>
            <w:r>
              <w:rPr>
                <w:b/>
                <w:bCs/>
              </w:rPr>
              <w:t>69,206</w:t>
            </w:r>
          </w:p>
        </w:tc>
        <w:tc>
          <w:tcPr>
            <w:tcW w:w="786" w:type="pct"/>
            <w:tcBorders>
              <w:top w:val="single" w:sz="4" w:space="0" w:color="auto"/>
              <w:bottom w:val="single" w:sz="4" w:space="0" w:color="auto"/>
              <w:right w:val="single" w:sz="4" w:space="0" w:color="auto"/>
            </w:tcBorders>
            <w:shd w:val="clear" w:color="auto" w:fill="D9D9D9" w:themeFill="background1" w:themeFillShade="D9"/>
          </w:tcPr>
          <w:p w14:paraId="6E7815FF" w14:textId="33DD358A" w:rsidR="007D7220" w:rsidRDefault="00037005" w:rsidP="00E01863">
            <w:pPr>
              <w:jc w:val="right"/>
              <w:rPr>
                <w:b/>
                <w:bCs/>
              </w:rPr>
            </w:pPr>
            <w:r>
              <w:rPr>
                <w:b/>
                <w:bCs/>
              </w:rPr>
              <w:t>71,000</w:t>
            </w:r>
          </w:p>
        </w:tc>
      </w:tr>
    </w:tbl>
    <w:p w14:paraId="4982F0A4" w14:textId="2D02F839" w:rsidR="004175B7" w:rsidRPr="000E7EED" w:rsidRDefault="007014AD" w:rsidP="004175B7">
      <w:pPr>
        <w:pStyle w:val="Heading3"/>
      </w:pPr>
      <w:r>
        <w:t xml:space="preserve">Table 2.2 </w:t>
      </w:r>
      <w:r w:rsidR="004175B7" w:rsidRPr="000E7EED">
        <w:t>Total expenditure breakdown</w:t>
      </w:r>
      <w:r w:rsidR="004175B7">
        <w:t xml:space="preserve"> </w:t>
      </w:r>
      <w:r w:rsidR="004175B7" w:rsidRPr="00A64A96">
        <w:t>($,000)</w:t>
      </w:r>
    </w:p>
    <w:tbl>
      <w:tblPr>
        <w:tblStyle w:val="PlainTable2"/>
        <w:tblW w:w="4944" w:type="pct"/>
        <w:tblBorders>
          <w:bottom w:val="none" w:sz="0" w:space="0" w:color="auto"/>
          <w:insideH w:val="none" w:sz="0" w:space="0" w:color="auto"/>
        </w:tblBorders>
        <w:tblLook w:val="0620" w:firstRow="1" w:lastRow="0" w:firstColumn="0" w:lastColumn="0" w:noHBand="1" w:noVBand="1"/>
      </w:tblPr>
      <w:tblGrid>
        <w:gridCol w:w="4393"/>
        <w:gridCol w:w="2358"/>
        <w:gridCol w:w="1612"/>
        <w:gridCol w:w="1610"/>
      </w:tblGrid>
      <w:tr w:rsidR="009610AD" w:rsidRPr="000E7EED" w14:paraId="0717FD5D" w14:textId="3ED7B087" w:rsidTr="003B51F7">
        <w:trPr>
          <w:cnfStyle w:val="100000000000" w:firstRow="1" w:lastRow="0" w:firstColumn="0" w:lastColumn="0" w:oddVBand="0" w:evenVBand="0" w:oddHBand="0" w:evenHBand="0" w:firstRowFirstColumn="0" w:firstRowLastColumn="0" w:lastRowFirstColumn="0" w:lastRowLastColumn="0"/>
        </w:trPr>
        <w:tc>
          <w:tcPr>
            <w:tcW w:w="2202" w:type="pct"/>
            <w:tcBorders>
              <w:top w:val="single" w:sz="4" w:space="0" w:color="auto"/>
              <w:bottom w:val="single" w:sz="4" w:space="0" w:color="auto"/>
            </w:tcBorders>
            <w:shd w:val="clear" w:color="auto" w:fill="C3AFCC"/>
          </w:tcPr>
          <w:p w14:paraId="41B4AE42" w14:textId="77777777" w:rsidR="00F93B77" w:rsidRPr="000E7EED" w:rsidRDefault="00F93B77" w:rsidP="00E01863">
            <w:pPr>
              <w:rPr>
                <w:b/>
                <w:color w:val="000000" w:themeColor="text1"/>
              </w:rPr>
            </w:pPr>
            <w:bookmarkStart w:id="7" w:name="_Hlk33006456"/>
            <w:bookmarkEnd w:id="4"/>
            <w:bookmarkEnd w:id="5"/>
            <w:bookmarkEnd w:id="6"/>
            <w:r w:rsidRPr="000E7EED">
              <w:rPr>
                <w:b/>
                <w:color w:val="000000" w:themeColor="text1"/>
              </w:rPr>
              <w:t>Expenditure</w:t>
            </w:r>
          </w:p>
        </w:tc>
        <w:tc>
          <w:tcPr>
            <w:tcW w:w="1182" w:type="pct"/>
            <w:tcBorders>
              <w:top w:val="single" w:sz="4" w:space="0" w:color="auto"/>
              <w:bottom w:val="single" w:sz="4" w:space="0" w:color="auto"/>
            </w:tcBorders>
            <w:shd w:val="clear" w:color="auto" w:fill="C3AFCC"/>
          </w:tcPr>
          <w:p w14:paraId="4B8DECB2" w14:textId="77777777" w:rsidR="00F93B77" w:rsidRPr="000E7EED" w:rsidRDefault="00F93B77" w:rsidP="00E01863">
            <w:pPr>
              <w:jc w:val="right"/>
              <w:rPr>
                <w:b/>
                <w:color w:val="000000" w:themeColor="text1"/>
              </w:rPr>
            </w:pPr>
            <w:r>
              <w:rPr>
                <w:b/>
                <w:color w:val="000000" w:themeColor="text1"/>
              </w:rPr>
              <w:t>Q1 2021-22</w:t>
            </w:r>
          </w:p>
        </w:tc>
        <w:tc>
          <w:tcPr>
            <w:tcW w:w="808" w:type="pct"/>
            <w:tcBorders>
              <w:top w:val="single" w:sz="4" w:space="0" w:color="auto"/>
              <w:bottom w:val="single" w:sz="4" w:space="0" w:color="auto"/>
            </w:tcBorders>
            <w:shd w:val="clear" w:color="auto" w:fill="C3AFCC"/>
          </w:tcPr>
          <w:p w14:paraId="1EBE56E3" w14:textId="77777777" w:rsidR="00F93B77" w:rsidRPr="000E7EED" w:rsidRDefault="00F93B77" w:rsidP="00E01863">
            <w:pPr>
              <w:jc w:val="right"/>
              <w:rPr>
                <w:b/>
                <w:color w:val="000000" w:themeColor="text1"/>
              </w:rPr>
            </w:pPr>
            <w:r w:rsidRPr="000E7EED">
              <w:rPr>
                <w:b/>
                <w:color w:val="000000" w:themeColor="text1"/>
              </w:rPr>
              <w:t>Q</w:t>
            </w:r>
            <w:r>
              <w:rPr>
                <w:b/>
                <w:color w:val="000000" w:themeColor="text1"/>
              </w:rPr>
              <w:t>2 2021-22</w:t>
            </w:r>
          </w:p>
        </w:tc>
        <w:tc>
          <w:tcPr>
            <w:tcW w:w="807" w:type="pct"/>
            <w:tcBorders>
              <w:top w:val="single" w:sz="4" w:space="0" w:color="auto"/>
              <w:bottom w:val="single" w:sz="4" w:space="0" w:color="auto"/>
            </w:tcBorders>
            <w:shd w:val="clear" w:color="auto" w:fill="C3AFCC"/>
          </w:tcPr>
          <w:p w14:paraId="739C033B" w14:textId="66346C6C" w:rsidR="00F93B77" w:rsidRPr="000E7EED" w:rsidRDefault="00F93B77" w:rsidP="00E01863">
            <w:pPr>
              <w:jc w:val="right"/>
              <w:rPr>
                <w:b/>
                <w:color w:val="000000" w:themeColor="text1"/>
              </w:rPr>
            </w:pPr>
            <w:r>
              <w:rPr>
                <w:b/>
                <w:color w:val="000000" w:themeColor="text1"/>
              </w:rPr>
              <w:t>Q3 2021-22 projection</w:t>
            </w:r>
          </w:p>
        </w:tc>
      </w:tr>
      <w:tr w:rsidR="00F93B77" w:rsidRPr="000E7EED" w14:paraId="6DAB590E" w14:textId="51C0FF8D" w:rsidTr="003B51F7">
        <w:trPr>
          <w:cantSplit/>
        </w:trPr>
        <w:tc>
          <w:tcPr>
            <w:tcW w:w="2202" w:type="pct"/>
            <w:tcBorders>
              <w:top w:val="single" w:sz="4" w:space="0" w:color="auto"/>
              <w:left w:val="single" w:sz="4" w:space="0" w:color="auto"/>
              <w:bottom w:val="single" w:sz="4" w:space="0" w:color="auto"/>
            </w:tcBorders>
          </w:tcPr>
          <w:p w14:paraId="3E5F836B" w14:textId="77777777" w:rsidR="00F93B77" w:rsidRPr="000E7EED" w:rsidRDefault="00F93B77" w:rsidP="00E01863">
            <w:pPr>
              <w:rPr>
                <w:color w:val="000000" w:themeColor="text1"/>
              </w:rPr>
            </w:pPr>
            <w:r w:rsidRPr="000E7EED">
              <w:rPr>
                <w:color w:val="000000" w:themeColor="text1"/>
              </w:rPr>
              <w:t>Case expenditure</w:t>
            </w:r>
            <w:r>
              <w:rPr>
                <w:color w:val="000000" w:themeColor="text1"/>
              </w:rPr>
              <w:t xml:space="preserve"> (including ECCCF)</w:t>
            </w:r>
          </w:p>
        </w:tc>
        <w:tc>
          <w:tcPr>
            <w:tcW w:w="1182" w:type="pct"/>
            <w:tcBorders>
              <w:top w:val="single" w:sz="4" w:space="0" w:color="auto"/>
              <w:bottom w:val="single" w:sz="4" w:space="0" w:color="auto"/>
              <w:right w:val="nil"/>
            </w:tcBorders>
            <w:shd w:val="clear" w:color="auto" w:fill="auto"/>
          </w:tcPr>
          <w:p w14:paraId="71418745" w14:textId="77777777" w:rsidR="00F93B77" w:rsidRPr="008E424E" w:rsidRDefault="00F93B77" w:rsidP="00E01863">
            <w:pPr>
              <w:jc w:val="right"/>
            </w:pPr>
            <w:r>
              <w:t>(28,271)</w:t>
            </w:r>
          </w:p>
        </w:tc>
        <w:tc>
          <w:tcPr>
            <w:tcW w:w="808" w:type="pct"/>
            <w:tcBorders>
              <w:top w:val="single" w:sz="4" w:space="0" w:color="auto"/>
              <w:bottom w:val="single" w:sz="4" w:space="0" w:color="auto"/>
            </w:tcBorders>
            <w:shd w:val="clear" w:color="auto" w:fill="D9D9D9" w:themeFill="background1" w:themeFillShade="D9"/>
          </w:tcPr>
          <w:p w14:paraId="79EF5561" w14:textId="77777777" w:rsidR="00F93B77" w:rsidRPr="008E424E" w:rsidRDefault="00F93B77" w:rsidP="00E01863">
            <w:pPr>
              <w:jc w:val="right"/>
            </w:pPr>
            <w:r>
              <w:t>(29,870)</w:t>
            </w:r>
          </w:p>
        </w:tc>
        <w:tc>
          <w:tcPr>
            <w:tcW w:w="807" w:type="pct"/>
            <w:tcBorders>
              <w:top w:val="single" w:sz="4" w:space="0" w:color="auto"/>
              <w:bottom w:val="single" w:sz="4" w:space="0" w:color="auto"/>
              <w:right w:val="single" w:sz="4" w:space="0" w:color="auto"/>
            </w:tcBorders>
            <w:shd w:val="clear" w:color="auto" w:fill="auto"/>
          </w:tcPr>
          <w:p w14:paraId="7418B716" w14:textId="29C6FB9A" w:rsidR="00F93B77" w:rsidRDefault="002F6BDA" w:rsidP="00E01863">
            <w:pPr>
              <w:jc w:val="right"/>
            </w:pPr>
            <w:r>
              <w:t>(36,468)</w:t>
            </w:r>
          </w:p>
        </w:tc>
      </w:tr>
      <w:tr w:rsidR="00F93B77" w:rsidRPr="000E7EED" w14:paraId="2F893871" w14:textId="2AE575B7" w:rsidTr="003B51F7">
        <w:trPr>
          <w:cantSplit/>
        </w:trPr>
        <w:tc>
          <w:tcPr>
            <w:tcW w:w="2202" w:type="pct"/>
            <w:tcBorders>
              <w:top w:val="single" w:sz="4" w:space="0" w:color="auto"/>
              <w:left w:val="single" w:sz="4" w:space="0" w:color="auto"/>
              <w:bottom w:val="single" w:sz="4" w:space="0" w:color="auto"/>
            </w:tcBorders>
          </w:tcPr>
          <w:p w14:paraId="618460CD" w14:textId="77777777" w:rsidR="00F93B77" w:rsidRPr="000E7EED" w:rsidRDefault="00F93B77" w:rsidP="00E01863">
            <w:pPr>
              <w:rPr>
                <w:b/>
                <w:color w:val="000000" w:themeColor="text1"/>
              </w:rPr>
            </w:pPr>
            <w:r w:rsidRPr="000E7EED">
              <w:rPr>
                <w:color w:val="000000" w:themeColor="text1"/>
              </w:rPr>
              <w:t>Community legal centre payments</w:t>
            </w:r>
          </w:p>
        </w:tc>
        <w:tc>
          <w:tcPr>
            <w:tcW w:w="1182" w:type="pct"/>
            <w:tcBorders>
              <w:top w:val="single" w:sz="4" w:space="0" w:color="auto"/>
              <w:bottom w:val="single" w:sz="4" w:space="0" w:color="auto"/>
              <w:right w:val="nil"/>
            </w:tcBorders>
            <w:shd w:val="clear" w:color="auto" w:fill="auto"/>
          </w:tcPr>
          <w:p w14:paraId="2E8275E9" w14:textId="77777777" w:rsidR="00F93B77" w:rsidRPr="008E424E" w:rsidRDefault="00F93B77" w:rsidP="00E01863">
            <w:pPr>
              <w:jc w:val="right"/>
            </w:pPr>
            <w:r>
              <w:t>(10,418)</w:t>
            </w:r>
          </w:p>
        </w:tc>
        <w:tc>
          <w:tcPr>
            <w:tcW w:w="808" w:type="pct"/>
            <w:tcBorders>
              <w:top w:val="single" w:sz="4" w:space="0" w:color="auto"/>
              <w:bottom w:val="single" w:sz="4" w:space="0" w:color="auto"/>
            </w:tcBorders>
            <w:shd w:val="clear" w:color="auto" w:fill="D9D9D9" w:themeFill="background1" w:themeFillShade="D9"/>
          </w:tcPr>
          <w:p w14:paraId="5DF23286" w14:textId="77777777" w:rsidR="00F93B77" w:rsidRPr="008E424E" w:rsidRDefault="00F93B77" w:rsidP="00E01863">
            <w:pPr>
              <w:jc w:val="right"/>
            </w:pPr>
            <w:r>
              <w:t>(10,643)</w:t>
            </w:r>
          </w:p>
        </w:tc>
        <w:tc>
          <w:tcPr>
            <w:tcW w:w="807" w:type="pct"/>
            <w:tcBorders>
              <w:top w:val="single" w:sz="4" w:space="0" w:color="auto"/>
              <w:bottom w:val="single" w:sz="4" w:space="0" w:color="auto"/>
              <w:right w:val="single" w:sz="4" w:space="0" w:color="auto"/>
            </w:tcBorders>
            <w:shd w:val="clear" w:color="auto" w:fill="auto"/>
          </w:tcPr>
          <w:p w14:paraId="3FE1A6E0" w14:textId="32FD4D48" w:rsidR="00F93B77" w:rsidRDefault="002F6BDA" w:rsidP="00E01863">
            <w:pPr>
              <w:jc w:val="right"/>
            </w:pPr>
            <w:r>
              <w:t>(10,687)</w:t>
            </w:r>
          </w:p>
        </w:tc>
      </w:tr>
      <w:tr w:rsidR="00F93B77" w:rsidRPr="000E7EED" w14:paraId="6AE53978" w14:textId="05D08868" w:rsidTr="003B51F7">
        <w:trPr>
          <w:cantSplit/>
        </w:trPr>
        <w:tc>
          <w:tcPr>
            <w:tcW w:w="2202" w:type="pct"/>
            <w:tcBorders>
              <w:top w:val="single" w:sz="4" w:space="0" w:color="auto"/>
              <w:left w:val="single" w:sz="4" w:space="0" w:color="auto"/>
              <w:bottom w:val="single" w:sz="4" w:space="0" w:color="auto"/>
            </w:tcBorders>
          </w:tcPr>
          <w:p w14:paraId="3E4700E5" w14:textId="77777777" w:rsidR="00F93B77" w:rsidRPr="000E7EED" w:rsidRDefault="00F93B77" w:rsidP="00E01863">
            <w:pPr>
              <w:rPr>
                <w:b/>
                <w:color w:val="000000" w:themeColor="text1"/>
              </w:rPr>
            </w:pPr>
            <w:r w:rsidRPr="000E7EED">
              <w:rPr>
                <w:color w:val="000000" w:themeColor="text1"/>
              </w:rPr>
              <w:t>Staff costs</w:t>
            </w:r>
          </w:p>
        </w:tc>
        <w:tc>
          <w:tcPr>
            <w:tcW w:w="1182" w:type="pct"/>
            <w:tcBorders>
              <w:top w:val="single" w:sz="4" w:space="0" w:color="auto"/>
              <w:bottom w:val="single" w:sz="4" w:space="0" w:color="auto"/>
              <w:right w:val="nil"/>
            </w:tcBorders>
            <w:shd w:val="clear" w:color="auto" w:fill="auto"/>
          </w:tcPr>
          <w:p w14:paraId="44FA33B9" w14:textId="77777777" w:rsidR="00F93B77" w:rsidRPr="008E424E" w:rsidRDefault="00F93B77" w:rsidP="00E01863">
            <w:pPr>
              <w:jc w:val="right"/>
            </w:pPr>
            <w:r>
              <w:t>(24,272)</w:t>
            </w:r>
          </w:p>
        </w:tc>
        <w:tc>
          <w:tcPr>
            <w:tcW w:w="808" w:type="pct"/>
            <w:tcBorders>
              <w:top w:val="single" w:sz="4" w:space="0" w:color="auto"/>
              <w:bottom w:val="single" w:sz="4" w:space="0" w:color="auto"/>
            </w:tcBorders>
            <w:shd w:val="clear" w:color="auto" w:fill="D9D9D9" w:themeFill="background1" w:themeFillShade="D9"/>
          </w:tcPr>
          <w:p w14:paraId="4D9F1493" w14:textId="77777777" w:rsidR="00F93B77" w:rsidRPr="008E424E" w:rsidRDefault="00F93B77" w:rsidP="00E01863">
            <w:pPr>
              <w:jc w:val="right"/>
            </w:pPr>
            <w:r>
              <w:t>(23,990)</w:t>
            </w:r>
          </w:p>
        </w:tc>
        <w:tc>
          <w:tcPr>
            <w:tcW w:w="807" w:type="pct"/>
            <w:tcBorders>
              <w:top w:val="single" w:sz="4" w:space="0" w:color="auto"/>
              <w:bottom w:val="single" w:sz="4" w:space="0" w:color="auto"/>
              <w:right w:val="single" w:sz="4" w:space="0" w:color="auto"/>
            </w:tcBorders>
            <w:shd w:val="clear" w:color="auto" w:fill="auto"/>
          </w:tcPr>
          <w:p w14:paraId="2C0DBFF2" w14:textId="0545CBDC" w:rsidR="00F93B77" w:rsidRDefault="002F6BDA" w:rsidP="00E01863">
            <w:pPr>
              <w:jc w:val="right"/>
            </w:pPr>
            <w:r>
              <w:t>(23,991)</w:t>
            </w:r>
          </w:p>
        </w:tc>
      </w:tr>
      <w:tr w:rsidR="00F93B77" w:rsidRPr="000E7EED" w14:paraId="2BC9ADD1" w14:textId="1CC0A9A2" w:rsidTr="003B51F7">
        <w:trPr>
          <w:cantSplit/>
        </w:trPr>
        <w:tc>
          <w:tcPr>
            <w:tcW w:w="2202" w:type="pct"/>
            <w:tcBorders>
              <w:top w:val="single" w:sz="4" w:space="0" w:color="auto"/>
              <w:left w:val="single" w:sz="4" w:space="0" w:color="auto"/>
              <w:bottom w:val="single" w:sz="4" w:space="0" w:color="auto"/>
            </w:tcBorders>
          </w:tcPr>
          <w:p w14:paraId="76DAAA46" w14:textId="77777777" w:rsidR="00F93B77" w:rsidRPr="000E7EED" w:rsidRDefault="00F93B77" w:rsidP="00E01863">
            <w:pPr>
              <w:rPr>
                <w:b/>
                <w:color w:val="000000" w:themeColor="text1"/>
              </w:rPr>
            </w:pPr>
            <w:r w:rsidRPr="000E7EED">
              <w:rPr>
                <w:color w:val="000000" w:themeColor="text1"/>
              </w:rPr>
              <w:t>Administration</w:t>
            </w:r>
          </w:p>
        </w:tc>
        <w:tc>
          <w:tcPr>
            <w:tcW w:w="1182" w:type="pct"/>
            <w:tcBorders>
              <w:top w:val="single" w:sz="4" w:space="0" w:color="auto"/>
              <w:bottom w:val="single" w:sz="4" w:space="0" w:color="auto"/>
              <w:right w:val="nil"/>
            </w:tcBorders>
            <w:shd w:val="clear" w:color="auto" w:fill="auto"/>
          </w:tcPr>
          <w:p w14:paraId="3DC33F08" w14:textId="77777777" w:rsidR="00F93B77" w:rsidRPr="008E424E" w:rsidRDefault="00F93B77" w:rsidP="00E01863">
            <w:pPr>
              <w:jc w:val="right"/>
            </w:pPr>
            <w:r>
              <w:t>(4,651)</w:t>
            </w:r>
          </w:p>
        </w:tc>
        <w:tc>
          <w:tcPr>
            <w:tcW w:w="808" w:type="pct"/>
            <w:tcBorders>
              <w:top w:val="single" w:sz="4" w:space="0" w:color="auto"/>
              <w:bottom w:val="single" w:sz="4" w:space="0" w:color="auto"/>
            </w:tcBorders>
            <w:shd w:val="clear" w:color="auto" w:fill="D9D9D9" w:themeFill="background1" w:themeFillShade="D9"/>
          </w:tcPr>
          <w:p w14:paraId="0655FCA3" w14:textId="0CBF9127" w:rsidR="00F93B77" w:rsidRPr="008E424E" w:rsidRDefault="00F93B77" w:rsidP="00E01863">
            <w:pPr>
              <w:jc w:val="right"/>
            </w:pPr>
            <w:r>
              <w:t>(5,209)</w:t>
            </w:r>
          </w:p>
        </w:tc>
        <w:tc>
          <w:tcPr>
            <w:tcW w:w="807" w:type="pct"/>
            <w:tcBorders>
              <w:top w:val="single" w:sz="4" w:space="0" w:color="auto"/>
              <w:bottom w:val="single" w:sz="4" w:space="0" w:color="auto"/>
              <w:right w:val="single" w:sz="4" w:space="0" w:color="auto"/>
            </w:tcBorders>
            <w:shd w:val="clear" w:color="auto" w:fill="auto"/>
          </w:tcPr>
          <w:p w14:paraId="263877E8" w14:textId="62E76310" w:rsidR="00F93B77" w:rsidRDefault="002F6BDA" w:rsidP="00E01863">
            <w:pPr>
              <w:jc w:val="right"/>
            </w:pPr>
            <w:r>
              <w:t>(6,901)</w:t>
            </w:r>
          </w:p>
        </w:tc>
      </w:tr>
      <w:tr w:rsidR="00F93B77" w:rsidRPr="000E7EED" w14:paraId="6E8220BC" w14:textId="7AFBF900" w:rsidTr="003B51F7">
        <w:trPr>
          <w:cantSplit/>
        </w:trPr>
        <w:tc>
          <w:tcPr>
            <w:tcW w:w="2202" w:type="pct"/>
            <w:tcBorders>
              <w:top w:val="single" w:sz="4" w:space="0" w:color="auto"/>
              <w:left w:val="single" w:sz="4" w:space="0" w:color="auto"/>
              <w:bottom w:val="single" w:sz="4" w:space="0" w:color="auto"/>
            </w:tcBorders>
            <w:shd w:val="clear" w:color="auto" w:fill="D9D9D9" w:themeFill="background1" w:themeFillShade="D9"/>
          </w:tcPr>
          <w:p w14:paraId="731DF208" w14:textId="77777777" w:rsidR="00F93B77" w:rsidRPr="000E7EED" w:rsidRDefault="00F93B77" w:rsidP="00E01863">
            <w:pPr>
              <w:rPr>
                <w:b/>
                <w:color w:val="000000" w:themeColor="text1"/>
              </w:rPr>
            </w:pPr>
            <w:r w:rsidRPr="000E7EED">
              <w:rPr>
                <w:b/>
                <w:color w:val="000000" w:themeColor="text1"/>
              </w:rPr>
              <w:t>Total expenditure</w:t>
            </w:r>
            <w:r>
              <w:rPr>
                <w:b/>
                <w:color w:val="000000" w:themeColor="text1"/>
              </w:rPr>
              <w:t xml:space="preserve"> (Excluding COVID and Bushfire)</w:t>
            </w:r>
          </w:p>
        </w:tc>
        <w:tc>
          <w:tcPr>
            <w:tcW w:w="1182" w:type="pct"/>
            <w:tcBorders>
              <w:top w:val="single" w:sz="4" w:space="0" w:color="auto"/>
              <w:bottom w:val="single" w:sz="4" w:space="0" w:color="auto"/>
              <w:right w:val="nil"/>
            </w:tcBorders>
            <w:shd w:val="clear" w:color="auto" w:fill="D9D9D9" w:themeFill="background1" w:themeFillShade="D9"/>
          </w:tcPr>
          <w:p w14:paraId="5EDB0534" w14:textId="77777777" w:rsidR="00F93B77" w:rsidRPr="002F6BDA" w:rsidRDefault="00F93B77" w:rsidP="00E01863">
            <w:pPr>
              <w:jc w:val="right"/>
              <w:rPr>
                <w:b/>
                <w:bCs/>
              </w:rPr>
            </w:pPr>
            <w:r w:rsidRPr="002F6BDA">
              <w:rPr>
                <w:b/>
                <w:bCs/>
              </w:rPr>
              <w:t>(67,612)</w:t>
            </w:r>
          </w:p>
        </w:tc>
        <w:tc>
          <w:tcPr>
            <w:tcW w:w="808" w:type="pct"/>
            <w:tcBorders>
              <w:top w:val="single" w:sz="4" w:space="0" w:color="auto"/>
              <w:bottom w:val="single" w:sz="4" w:space="0" w:color="auto"/>
            </w:tcBorders>
            <w:shd w:val="clear" w:color="auto" w:fill="D9D9D9" w:themeFill="background1" w:themeFillShade="D9"/>
          </w:tcPr>
          <w:p w14:paraId="1363961A" w14:textId="708DA686" w:rsidR="00F93B77" w:rsidRPr="002F6BDA" w:rsidRDefault="00F93B77" w:rsidP="00E01863">
            <w:pPr>
              <w:jc w:val="right"/>
              <w:rPr>
                <w:b/>
                <w:bCs/>
              </w:rPr>
            </w:pPr>
            <w:r w:rsidRPr="002F6BDA">
              <w:rPr>
                <w:b/>
                <w:bCs/>
              </w:rPr>
              <w:t>(6</w:t>
            </w:r>
            <w:r w:rsidR="008D5030">
              <w:rPr>
                <w:b/>
                <w:bCs/>
              </w:rPr>
              <w:t>9</w:t>
            </w:r>
            <w:r w:rsidRPr="002F6BDA">
              <w:rPr>
                <w:b/>
                <w:bCs/>
              </w:rPr>
              <w:t>,712)</w:t>
            </w:r>
          </w:p>
        </w:tc>
        <w:tc>
          <w:tcPr>
            <w:tcW w:w="807" w:type="pct"/>
            <w:tcBorders>
              <w:top w:val="single" w:sz="4" w:space="0" w:color="auto"/>
              <w:bottom w:val="single" w:sz="4" w:space="0" w:color="auto"/>
              <w:right w:val="single" w:sz="4" w:space="0" w:color="auto"/>
            </w:tcBorders>
            <w:shd w:val="clear" w:color="auto" w:fill="D9D9D9" w:themeFill="background1" w:themeFillShade="D9"/>
          </w:tcPr>
          <w:p w14:paraId="2F8C665E" w14:textId="1EFE3E0F" w:rsidR="00F93B77" w:rsidRPr="002F6BDA" w:rsidRDefault="002F6BDA" w:rsidP="00E01863">
            <w:pPr>
              <w:jc w:val="right"/>
              <w:rPr>
                <w:b/>
                <w:bCs/>
              </w:rPr>
            </w:pPr>
            <w:r w:rsidRPr="002F6BDA">
              <w:rPr>
                <w:b/>
                <w:bCs/>
              </w:rPr>
              <w:t>(78,047)</w:t>
            </w:r>
          </w:p>
        </w:tc>
      </w:tr>
      <w:tr w:rsidR="00F93B77" w:rsidRPr="000E7EED" w14:paraId="75D69899" w14:textId="6A98875B" w:rsidTr="003B51F7">
        <w:trPr>
          <w:cantSplit/>
        </w:trPr>
        <w:tc>
          <w:tcPr>
            <w:tcW w:w="2202" w:type="pct"/>
            <w:tcBorders>
              <w:top w:val="single" w:sz="4" w:space="0" w:color="auto"/>
              <w:left w:val="single" w:sz="4" w:space="0" w:color="auto"/>
              <w:bottom w:val="single" w:sz="4" w:space="0" w:color="auto"/>
            </w:tcBorders>
            <w:shd w:val="clear" w:color="auto" w:fill="auto"/>
          </w:tcPr>
          <w:p w14:paraId="112EBC78" w14:textId="77777777" w:rsidR="00F93B77" w:rsidRDefault="00F93B77" w:rsidP="00E01863">
            <w:pPr>
              <w:rPr>
                <w:bCs/>
                <w:color w:val="000000" w:themeColor="text1"/>
              </w:rPr>
            </w:pPr>
            <w:r>
              <w:rPr>
                <w:bCs/>
                <w:color w:val="000000" w:themeColor="text1"/>
              </w:rPr>
              <w:t>Depreciation and Revaluation</w:t>
            </w:r>
          </w:p>
        </w:tc>
        <w:tc>
          <w:tcPr>
            <w:tcW w:w="1182" w:type="pct"/>
            <w:tcBorders>
              <w:top w:val="single" w:sz="4" w:space="0" w:color="auto"/>
              <w:bottom w:val="single" w:sz="4" w:space="0" w:color="auto"/>
              <w:right w:val="nil"/>
            </w:tcBorders>
            <w:shd w:val="clear" w:color="auto" w:fill="auto"/>
          </w:tcPr>
          <w:p w14:paraId="4900F7EC" w14:textId="77777777" w:rsidR="00F93B77" w:rsidRPr="00B13EF6" w:rsidRDefault="00F93B77" w:rsidP="00E01863">
            <w:pPr>
              <w:jc w:val="right"/>
            </w:pPr>
            <w:r>
              <w:t>(468)</w:t>
            </w:r>
          </w:p>
        </w:tc>
        <w:tc>
          <w:tcPr>
            <w:tcW w:w="808" w:type="pct"/>
            <w:tcBorders>
              <w:top w:val="single" w:sz="4" w:space="0" w:color="auto"/>
              <w:bottom w:val="single" w:sz="4" w:space="0" w:color="auto"/>
            </w:tcBorders>
            <w:shd w:val="clear" w:color="auto" w:fill="D9D9D9" w:themeFill="background1" w:themeFillShade="D9"/>
          </w:tcPr>
          <w:p w14:paraId="4533F8A5" w14:textId="0C77F900" w:rsidR="00F93B77" w:rsidRPr="000A1E6F" w:rsidRDefault="00F93B77" w:rsidP="00E01863">
            <w:pPr>
              <w:jc w:val="right"/>
            </w:pPr>
            <w:r>
              <w:t>(590)</w:t>
            </w:r>
          </w:p>
        </w:tc>
        <w:tc>
          <w:tcPr>
            <w:tcW w:w="807" w:type="pct"/>
            <w:tcBorders>
              <w:top w:val="single" w:sz="4" w:space="0" w:color="auto"/>
              <w:bottom w:val="single" w:sz="4" w:space="0" w:color="auto"/>
              <w:right w:val="single" w:sz="4" w:space="0" w:color="auto"/>
            </w:tcBorders>
            <w:shd w:val="clear" w:color="auto" w:fill="auto"/>
          </w:tcPr>
          <w:p w14:paraId="788DA74A" w14:textId="076D7405" w:rsidR="00F93B77" w:rsidRDefault="00B9036A" w:rsidP="00E01863">
            <w:pPr>
              <w:jc w:val="right"/>
            </w:pPr>
            <w:r>
              <w:t>(637)</w:t>
            </w:r>
          </w:p>
        </w:tc>
      </w:tr>
      <w:tr w:rsidR="00F93B77" w:rsidRPr="000E7EED" w14:paraId="0C697A4D" w14:textId="7398B7FF" w:rsidTr="003B51F7">
        <w:trPr>
          <w:cantSplit/>
        </w:trPr>
        <w:tc>
          <w:tcPr>
            <w:tcW w:w="2202" w:type="pct"/>
            <w:tcBorders>
              <w:top w:val="single" w:sz="4" w:space="0" w:color="auto"/>
              <w:left w:val="single" w:sz="4" w:space="0" w:color="auto"/>
              <w:bottom w:val="single" w:sz="4" w:space="0" w:color="auto"/>
            </w:tcBorders>
            <w:shd w:val="clear" w:color="auto" w:fill="D9D9D9" w:themeFill="background1" w:themeFillShade="D9"/>
          </w:tcPr>
          <w:p w14:paraId="44A90A70" w14:textId="77777777" w:rsidR="00F93B77" w:rsidRPr="00E5707B" w:rsidRDefault="00F93B77" w:rsidP="00E01863">
            <w:pPr>
              <w:rPr>
                <w:b/>
                <w:color w:val="000000" w:themeColor="text1"/>
              </w:rPr>
            </w:pPr>
            <w:r w:rsidRPr="00E5707B">
              <w:rPr>
                <w:b/>
                <w:color w:val="000000" w:themeColor="text1"/>
              </w:rPr>
              <w:t>Total Expenditure</w:t>
            </w:r>
          </w:p>
        </w:tc>
        <w:tc>
          <w:tcPr>
            <w:tcW w:w="1182" w:type="pct"/>
            <w:tcBorders>
              <w:top w:val="single" w:sz="4" w:space="0" w:color="auto"/>
              <w:bottom w:val="single" w:sz="4" w:space="0" w:color="auto"/>
              <w:right w:val="nil"/>
            </w:tcBorders>
            <w:shd w:val="clear" w:color="auto" w:fill="D9D9D9" w:themeFill="background1" w:themeFillShade="D9"/>
          </w:tcPr>
          <w:p w14:paraId="2402310C" w14:textId="77777777" w:rsidR="00F93B77" w:rsidRPr="00B9036A" w:rsidRDefault="00F93B77" w:rsidP="00E01863">
            <w:pPr>
              <w:jc w:val="right"/>
              <w:rPr>
                <w:b/>
                <w:bCs/>
              </w:rPr>
            </w:pPr>
            <w:r w:rsidRPr="00B9036A">
              <w:rPr>
                <w:b/>
                <w:bCs/>
              </w:rPr>
              <w:t>(68,080)</w:t>
            </w:r>
          </w:p>
        </w:tc>
        <w:tc>
          <w:tcPr>
            <w:tcW w:w="808" w:type="pct"/>
            <w:tcBorders>
              <w:top w:val="single" w:sz="4" w:space="0" w:color="auto"/>
              <w:bottom w:val="single" w:sz="4" w:space="0" w:color="auto"/>
            </w:tcBorders>
            <w:shd w:val="clear" w:color="auto" w:fill="D9D9D9" w:themeFill="background1" w:themeFillShade="D9"/>
          </w:tcPr>
          <w:p w14:paraId="03206258" w14:textId="77777777" w:rsidR="00F93B77" w:rsidRPr="00B9036A" w:rsidRDefault="00F93B77" w:rsidP="00E01863">
            <w:pPr>
              <w:jc w:val="right"/>
              <w:rPr>
                <w:b/>
                <w:bCs/>
              </w:rPr>
            </w:pPr>
            <w:r w:rsidRPr="00B9036A">
              <w:rPr>
                <w:b/>
                <w:bCs/>
              </w:rPr>
              <w:t>(70,302)</w:t>
            </w:r>
          </w:p>
        </w:tc>
        <w:tc>
          <w:tcPr>
            <w:tcW w:w="807" w:type="pct"/>
            <w:tcBorders>
              <w:top w:val="single" w:sz="4" w:space="0" w:color="auto"/>
              <w:bottom w:val="single" w:sz="4" w:space="0" w:color="auto"/>
              <w:right w:val="single" w:sz="4" w:space="0" w:color="auto"/>
            </w:tcBorders>
            <w:shd w:val="clear" w:color="auto" w:fill="D9D9D9" w:themeFill="background1" w:themeFillShade="D9"/>
          </w:tcPr>
          <w:p w14:paraId="44D794D8" w14:textId="7BBA2E03" w:rsidR="00F93B77" w:rsidRDefault="00B9036A" w:rsidP="00E01863">
            <w:pPr>
              <w:jc w:val="right"/>
              <w:rPr>
                <w:b/>
                <w:bCs/>
              </w:rPr>
            </w:pPr>
            <w:r>
              <w:rPr>
                <w:b/>
                <w:bCs/>
              </w:rPr>
              <w:t>(78,684)</w:t>
            </w:r>
          </w:p>
        </w:tc>
      </w:tr>
      <w:bookmarkEnd w:id="7"/>
    </w:tbl>
    <w:p w14:paraId="7AEF38E3" w14:textId="70CF0D8B" w:rsidR="00461300" w:rsidRPr="00123404" w:rsidRDefault="00461300" w:rsidP="00123404">
      <w:pPr>
        <w:spacing w:after="160" w:line="259" w:lineRule="auto"/>
        <w:rPr>
          <w:rFonts w:cs="Arial"/>
          <w:b/>
          <w:color w:val="000000" w:themeColor="text1"/>
          <w:sz w:val="28"/>
          <w:szCs w:val="28"/>
          <w:lang w:eastAsia="en-AU"/>
        </w:rPr>
      </w:pPr>
    </w:p>
    <w:sectPr w:rsidR="00461300" w:rsidRPr="00123404" w:rsidSect="0039260E">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9FC0" w14:textId="77777777" w:rsidR="00834E9D" w:rsidRDefault="00834E9D">
      <w:pPr>
        <w:spacing w:after="0" w:line="240" w:lineRule="auto"/>
      </w:pPr>
      <w:r>
        <w:separator/>
      </w:r>
    </w:p>
  </w:endnote>
  <w:endnote w:type="continuationSeparator" w:id="0">
    <w:p w14:paraId="26574AAA" w14:textId="77777777" w:rsidR="00834E9D" w:rsidRDefault="00834E9D">
      <w:pPr>
        <w:spacing w:after="0" w:line="240" w:lineRule="auto"/>
      </w:pPr>
      <w:r>
        <w:continuationSeparator/>
      </w:r>
    </w:p>
  </w:endnote>
  <w:endnote w:type="continuationNotice" w:id="1">
    <w:p w14:paraId="64E7214E" w14:textId="77777777" w:rsidR="00834E9D" w:rsidRDefault="00834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84ED459">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1497D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A13912B">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4B0DC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FF50" w14:textId="77777777" w:rsidR="00834E9D" w:rsidRDefault="00834E9D">
      <w:pPr>
        <w:spacing w:after="0" w:line="240" w:lineRule="auto"/>
      </w:pPr>
      <w:r>
        <w:separator/>
      </w:r>
    </w:p>
  </w:footnote>
  <w:footnote w:type="continuationSeparator" w:id="0">
    <w:p w14:paraId="55D050E0" w14:textId="77777777" w:rsidR="00834E9D" w:rsidRDefault="00834E9D">
      <w:pPr>
        <w:spacing w:after="0" w:line="240" w:lineRule="auto"/>
      </w:pPr>
      <w:r>
        <w:continuationSeparator/>
      </w:r>
    </w:p>
  </w:footnote>
  <w:footnote w:type="continuationNotice" w:id="1">
    <w:p w14:paraId="3B8F51DA" w14:textId="77777777" w:rsidR="00834E9D" w:rsidRDefault="00834E9D">
      <w:pPr>
        <w:spacing w:after="0" w:line="240" w:lineRule="auto"/>
      </w:pPr>
    </w:p>
  </w:footnote>
  <w:footnote w:id="2">
    <w:p w14:paraId="393D1CF4" w14:textId="77777777" w:rsidR="0096755F" w:rsidRDefault="0096755F"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0047BA96" w:rsidR="0095574A" w:rsidRPr="00B42FDE" w:rsidRDefault="0095574A" w:rsidP="00B42FDE">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5CB84CB">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0E4D41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sidR="003B51F7" w:rsidRPr="003B51F7">
      <w:t xml:space="preserve"> </w:t>
    </w:r>
    <w:r w:rsidR="003B51F7" w:rsidRPr="003B51F7">
      <w:rPr>
        <w:rFonts w:ascii="Arial Bold" w:hAnsi="Arial Bold" w:cs="Arial"/>
        <w:b/>
        <w:noProof/>
        <w:color w:val="B1005D"/>
        <w:sz w:val="18"/>
        <w:szCs w:val="18"/>
        <w:lang w:val="en-US"/>
      </w:rPr>
      <w:t>Victoria Legal Aid 2021–22 quarter two report</w:t>
    </w:r>
    <w:r>
      <w:rPr>
        <w:rFonts w:ascii="Arial Bold" w:hAnsi="Arial Bold" w:cs="Arial"/>
        <w:b/>
        <w:color w:val="B1005D"/>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60291"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1431B52"/>
    <w:multiLevelType w:val="hybridMultilevel"/>
    <w:tmpl w:val="968CE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7"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9"/>
  </w:num>
  <w:num w:numId="4">
    <w:abstractNumId w:val="11"/>
  </w:num>
  <w:num w:numId="5">
    <w:abstractNumId w:val="7"/>
  </w:num>
  <w:num w:numId="6">
    <w:abstractNumId w:val="23"/>
  </w:num>
  <w:num w:numId="7">
    <w:abstractNumId w:val="6"/>
  </w:num>
  <w:num w:numId="8">
    <w:abstractNumId w:val="23"/>
  </w:num>
  <w:num w:numId="9">
    <w:abstractNumId w:val="5"/>
  </w:num>
  <w:num w:numId="10">
    <w:abstractNumId w:val="4"/>
  </w:num>
  <w:num w:numId="11">
    <w:abstractNumId w:val="4"/>
  </w:num>
  <w:num w:numId="12">
    <w:abstractNumId w:val="8"/>
  </w:num>
  <w:num w:numId="13">
    <w:abstractNumId w:val="8"/>
  </w:num>
  <w:num w:numId="14">
    <w:abstractNumId w:val="3"/>
  </w:num>
  <w:num w:numId="15">
    <w:abstractNumId w:val="3"/>
  </w:num>
  <w:num w:numId="16">
    <w:abstractNumId w:val="2"/>
  </w:num>
  <w:num w:numId="17">
    <w:abstractNumId w:val="2"/>
  </w:num>
  <w:num w:numId="18">
    <w:abstractNumId w:val="1"/>
  </w:num>
  <w:num w:numId="19">
    <w:abstractNumId w:val="1"/>
  </w:num>
  <w:num w:numId="20">
    <w:abstractNumId w:val="0"/>
  </w:num>
  <w:num w:numId="21">
    <w:abstractNumId w:val="0"/>
  </w:num>
  <w:num w:numId="22">
    <w:abstractNumId w:val="21"/>
  </w:num>
  <w:num w:numId="23">
    <w:abstractNumId w:val="21"/>
  </w:num>
  <w:num w:numId="24">
    <w:abstractNumId w:val="13"/>
  </w:num>
  <w:num w:numId="25">
    <w:abstractNumId w:val="26"/>
  </w:num>
  <w:num w:numId="26">
    <w:abstractNumId w:val="18"/>
  </w:num>
  <w:num w:numId="27">
    <w:abstractNumId w:val="22"/>
  </w:num>
  <w:num w:numId="28">
    <w:abstractNumId w:val="27"/>
  </w:num>
  <w:num w:numId="29">
    <w:abstractNumId w:val="20"/>
  </w:num>
  <w:num w:numId="30">
    <w:abstractNumId w:val="10"/>
  </w:num>
  <w:num w:numId="31">
    <w:abstractNumId w:val="16"/>
  </w:num>
  <w:num w:numId="32">
    <w:abstractNumId w:val="25"/>
  </w:num>
  <w:num w:numId="33">
    <w:abstractNumId w:val="14"/>
  </w:num>
  <w:num w:numId="34">
    <w:abstractNumId w:val="17"/>
  </w:num>
  <w:num w:numId="35">
    <w:abstractNumId w:val="24"/>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020D"/>
    <w:rsid w:val="00000BAF"/>
    <w:rsid w:val="00001008"/>
    <w:rsid w:val="00001AA9"/>
    <w:rsid w:val="000027B7"/>
    <w:rsid w:val="000036A6"/>
    <w:rsid w:val="0000378A"/>
    <w:rsid w:val="000038D1"/>
    <w:rsid w:val="00004CE9"/>
    <w:rsid w:val="00004D17"/>
    <w:rsid w:val="00004F3D"/>
    <w:rsid w:val="000055D7"/>
    <w:rsid w:val="00005D79"/>
    <w:rsid w:val="00006274"/>
    <w:rsid w:val="000063FE"/>
    <w:rsid w:val="00006CCF"/>
    <w:rsid w:val="00007FD6"/>
    <w:rsid w:val="00010B52"/>
    <w:rsid w:val="00010B80"/>
    <w:rsid w:val="00013550"/>
    <w:rsid w:val="000141D8"/>
    <w:rsid w:val="0001721A"/>
    <w:rsid w:val="00017518"/>
    <w:rsid w:val="000175D5"/>
    <w:rsid w:val="000175F6"/>
    <w:rsid w:val="00017EC1"/>
    <w:rsid w:val="000202D4"/>
    <w:rsid w:val="000206A1"/>
    <w:rsid w:val="00020994"/>
    <w:rsid w:val="00021293"/>
    <w:rsid w:val="00021580"/>
    <w:rsid w:val="00021B97"/>
    <w:rsid w:val="0002304F"/>
    <w:rsid w:val="00023379"/>
    <w:rsid w:val="000236FD"/>
    <w:rsid w:val="00023F89"/>
    <w:rsid w:val="00024FD4"/>
    <w:rsid w:val="00025EB0"/>
    <w:rsid w:val="0002736E"/>
    <w:rsid w:val="00027BEB"/>
    <w:rsid w:val="00027DED"/>
    <w:rsid w:val="0003170B"/>
    <w:rsid w:val="00032F3D"/>
    <w:rsid w:val="00033B72"/>
    <w:rsid w:val="00034264"/>
    <w:rsid w:val="0003482C"/>
    <w:rsid w:val="0003486A"/>
    <w:rsid w:val="00036024"/>
    <w:rsid w:val="00036865"/>
    <w:rsid w:val="00037005"/>
    <w:rsid w:val="00037105"/>
    <w:rsid w:val="000401FE"/>
    <w:rsid w:val="000410CD"/>
    <w:rsid w:val="00043D3D"/>
    <w:rsid w:val="00045B31"/>
    <w:rsid w:val="00045D7C"/>
    <w:rsid w:val="000464B3"/>
    <w:rsid w:val="00046677"/>
    <w:rsid w:val="0005014C"/>
    <w:rsid w:val="00050188"/>
    <w:rsid w:val="00050C7A"/>
    <w:rsid w:val="00053FE2"/>
    <w:rsid w:val="00054451"/>
    <w:rsid w:val="0005475C"/>
    <w:rsid w:val="00054884"/>
    <w:rsid w:val="0005546B"/>
    <w:rsid w:val="00055CFB"/>
    <w:rsid w:val="00055DBF"/>
    <w:rsid w:val="0005677C"/>
    <w:rsid w:val="00056A93"/>
    <w:rsid w:val="00056E86"/>
    <w:rsid w:val="00057919"/>
    <w:rsid w:val="00057F54"/>
    <w:rsid w:val="0006012E"/>
    <w:rsid w:val="000603F6"/>
    <w:rsid w:val="000604A2"/>
    <w:rsid w:val="000605FF"/>
    <w:rsid w:val="00060C67"/>
    <w:rsid w:val="000611B3"/>
    <w:rsid w:val="0006233A"/>
    <w:rsid w:val="00062588"/>
    <w:rsid w:val="000631DD"/>
    <w:rsid w:val="00063EF9"/>
    <w:rsid w:val="00065A6F"/>
    <w:rsid w:val="000660BF"/>
    <w:rsid w:val="000672A7"/>
    <w:rsid w:val="000677F5"/>
    <w:rsid w:val="000679DF"/>
    <w:rsid w:val="00067EE4"/>
    <w:rsid w:val="00070A47"/>
    <w:rsid w:val="00072FA2"/>
    <w:rsid w:val="000731E7"/>
    <w:rsid w:val="00073503"/>
    <w:rsid w:val="00073DC2"/>
    <w:rsid w:val="00073FE7"/>
    <w:rsid w:val="00074B69"/>
    <w:rsid w:val="00075275"/>
    <w:rsid w:val="00076689"/>
    <w:rsid w:val="000776A9"/>
    <w:rsid w:val="00081319"/>
    <w:rsid w:val="0008244C"/>
    <w:rsid w:val="000827C2"/>
    <w:rsid w:val="00082BB4"/>
    <w:rsid w:val="00082E40"/>
    <w:rsid w:val="00083758"/>
    <w:rsid w:val="00084405"/>
    <w:rsid w:val="00086585"/>
    <w:rsid w:val="00086744"/>
    <w:rsid w:val="00087B2F"/>
    <w:rsid w:val="0009036C"/>
    <w:rsid w:val="0009039D"/>
    <w:rsid w:val="00092373"/>
    <w:rsid w:val="0009385A"/>
    <w:rsid w:val="0009511F"/>
    <w:rsid w:val="00096D8A"/>
    <w:rsid w:val="0009711B"/>
    <w:rsid w:val="000A020B"/>
    <w:rsid w:val="000A0339"/>
    <w:rsid w:val="000A0349"/>
    <w:rsid w:val="000A0A68"/>
    <w:rsid w:val="000A1E6F"/>
    <w:rsid w:val="000A2081"/>
    <w:rsid w:val="000A20E1"/>
    <w:rsid w:val="000A25B1"/>
    <w:rsid w:val="000A28EE"/>
    <w:rsid w:val="000A2FBE"/>
    <w:rsid w:val="000A35D6"/>
    <w:rsid w:val="000A3C2D"/>
    <w:rsid w:val="000A3DA5"/>
    <w:rsid w:val="000A41F2"/>
    <w:rsid w:val="000A48BE"/>
    <w:rsid w:val="000A4EA9"/>
    <w:rsid w:val="000A5781"/>
    <w:rsid w:val="000A5DB4"/>
    <w:rsid w:val="000A68E1"/>
    <w:rsid w:val="000A6EDC"/>
    <w:rsid w:val="000A73E4"/>
    <w:rsid w:val="000A7E07"/>
    <w:rsid w:val="000B1081"/>
    <w:rsid w:val="000B1465"/>
    <w:rsid w:val="000B185D"/>
    <w:rsid w:val="000B1E78"/>
    <w:rsid w:val="000B20DD"/>
    <w:rsid w:val="000B2E4D"/>
    <w:rsid w:val="000B2F09"/>
    <w:rsid w:val="000B2F2F"/>
    <w:rsid w:val="000B408D"/>
    <w:rsid w:val="000B40B7"/>
    <w:rsid w:val="000B42DC"/>
    <w:rsid w:val="000B4D70"/>
    <w:rsid w:val="000B628E"/>
    <w:rsid w:val="000B6313"/>
    <w:rsid w:val="000B6A75"/>
    <w:rsid w:val="000B6B17"/>
    <w:rsid w:val="000B6C56"/>
    <w:rsid w:val="000C08C0"/>
    <w:rsid w:val="000C14B8"/>
    <w:rsid w:val="000C19D5"/>
    <w:rsid w:val="000C3306"/>
    <w:rsid w:val="000C424C"/>
    <w:rsid w:val="000C59E6"/>
    <w:rsid w:val="000C5E2B"/>
    <w:rsid w:val="000C6A3A"/>
    <w:rsid w:val="000C7FB4"/>
    <w:rsid w:val="000D1243"/>
    <w:rsid w:val="000D32DA"/>
    <w:rsid w:val="000D3E06"/>
    <w:rsid w:val="000D3E1E"/>
    <w:rsid w:val="000D469D"/>
    <w:rsid w:val="000D6156"/>
    <w:rsid w:val="000D61AB"/>
    <w:rsid w:val="000D64E6"/>
    <w:rsid w:val="000D6CEC"/>
    <w:rsid w:val="000D73DB"/>
    <w:rsid w:val="000E065B"/>
    <w:rsid w:val="000E0EF9"/>
    <w:rsid w:val="000E11BA"/>
    <w:rsid w:val="000E169E"/>
    <w:rsid w:val="000E2347"/>
    <w:rsid w:val="000E3D37"/>
    <w:rsid w:val="000E4249"/>
    <w:rsid w:val="000E5121"/>
    <w:rsid w:val="000E6B10"/>
    <w:rsid w:val="000E76E4"/>
    <w:rsid w:val="000E7883"/>
    <w:rsid w:val="000E79DC"/>
    <w:rsid w:val="000F0014"/>
    <w:rsid w:val="000F0145"/>
    <w:rsid w:val="000F07A7"/>
    <w:rsid w:val="000F122E"/>
    <w:rsid w:val="000F1368"/>
    <w:rsid w:val="000F1980"/>
    <w:rsid w:val="000F2125"/>
    <w:rsid w:val="000F2939"/>
    <w:rsid w:val="000F3295"/>
    <w:rsid w:val="000F45D3"/>
    <w:rsid w:val="000F4900"/>
    <w:rsid w:val="000F4FD3"/>
    <w:rsid w:val="000F7D49"/>
    <w:rsid w:val="000F7EB3"/>
    <w:rsid w:val="000F7F7C"/>
    <w:rsid w:val="00100BB7"/>
    <w:rsid w:val="0010110A"/>
    <w:rsid w:val="0010209B"/>
    <w:rsid w:val="001023C8"/>
    <w:rsid w:val="00102890"/>
    <w:rsid w:val="0010438C"/>
    <w:rsid w:val="001053FB"/>
    <w:rsid w:val="001072B0"/>
    <w:rsid w:val="00110C7E"/>
    <w:rsid w:val="00111862"/>
    <w:rsid w:val="001122D5"/>
    <w:rsid w:val="00112C54"/>
    <w:rsid w:val="00112CA5"/>
    <w:rsid w:val="00114EB2"/>
    <w:rsid w:val="00117124"/>
    <w:rsid w:val="001177BE"/>
    <w:rsid w:val="001202C1"/>
    <w:rsid w:val="00120D4C"/>
    <w:rsid w:val="00123404"/>
    <w:rsid w:val="00123514"/>
    <w:rsid w:val="00124851"/>
    <w:rsid w:val="00124B8E"/>
    <w:rsid w:val="00125593"/>
    <w:rsid w:val="001262D6"/>
    <w:rsid w:val="00126302"/>
    <w:rsid w:val="00126421"/>
    <w:rsid w:val="00130C44"/>
    <w:rsid w:val="00132F41"/>
    <w:rsid w:val="00135657"/>
    <w:rsid w:val="00135929"/>
    <w:rsid w:val="00135A8A"/>
    <w:rsid w:val="00135AFA"/>
    <w:rsid w:val="00135C32"/>
    <w:rsid w:val="00140CB0"/>
    <w:rsid w:val="00141942"/>
    <w:rsid w:val="00141A84"/>
    <w:rsid w:val="00142198"/>
    <w:rsid w:val="001428BB"/>
    <w:rsid w:val="00144601"/>
    <w:rsid w:val="0014474C"/>
    <w:rsid w:val="001450F0"/>
    <w:rsid w:val="001465E4"/>
    <w:rsid w:val="00146657"/>
    <w:rsid w:val="001506FC"/>
    <w:rsid w:val="0015159B"/>
    <w:rsid w:val="0015174B"/>
    <w:rsid w:val="0015181C"/>
    <w:rsid w:val="00151834"/>
    <w:rsid w:val="00151DDF"/>
    <w:rsid w:val="0015466E"/>
    <w:rsid w:val="00154C5A"/>
    <w:rsid w:val="00155264"/>
    <w:rsid w:val="00155591"/>
    <w:rsid w:val="00155A08"/>
    <w:rsid w:val="001571F2"/>
    <w:rsid w:val="001575EE"/>
    <w:rsid w:val="00157C3D"/>
    <w:rsid w:val="0016044B"/>
    <w:rsid w:val="0016078D"/>
    <w:rsid w:val="001616E6"/>
    <w:rsid w:val="00162471"/>
    <w:rsid w:val="001624FD"/>
    <w:rsid w:val="00163488"/>
    <w:rsid w:val="001634DE"/>
    <w:rsid w:val="00163592"/>
    <w:rsid w:val="00163C00"/>
    <w:rsid w:val="001649E0"/>
    <w:rsid w:val="001658A2"/>
    <w:rsid w:val="00165C9E"/>
    <w:rsid w:val="00166EBD"/>
    <w:rsid w:val="00166FF4"/>
    <w:rsid w:val="00167103"/>
    <w:rsid w:val="001677FB"/>
    <w:rsid w:val="00167E06"/>
    <w:rsid w:val="001704A6"/>
    <w:rsid w:val="00171921"/>
    <w:rsid w:val="00171F24"/>
    <w:rsid w:val="001728AA"/>
    <w:rsid w:val="00173563"/>
    <w:rsid w:val="001741E5"/>
    <w:rsid w:val="00174E39"/>
    <w:rsid w:val="00175277"/>
    <w:rsid w:val="001770F6"/>
    <w:rsid w:val="00177331"/>
    <w:rsid w:val="00177673"/>
    <w:rsid w:val="00177814"/>
    <w:rsid w:val="0017798A"/>
    <w:rsid w:val="00177CA1"/>
    <w:rsid w:val="00181099"/>
    <w:rsid w:val="0018149D"/>
    <w:rsid w:val="001815CF"/>
    <w:rsid w:val="001818A4"/>
    <w:rsid w:val="00182EF2"/>
    <w:rsid w:val="0018320D"/>
    <w:rsid w:val="00183C63"/>
    <w:rsid w:val="00184398"/>
    <w:rsid w:val="00185378"/>
    <w:rsid w:val="00185425"/>
    <w:rsid w:val="00186A03"/>
    <w:rsid w:val="00187E17"/>
    <w:rsid w:val="00190038"/>
    <w:rsid w:val="00190A92"/>
    <w:rsid w:val="00191722"/>
    <w:rsid w:val="00192513"/>
    <w:rsid w:val="00192F61"/>
    <w:rsid w:val="00195BEA"/>
    <w:rsid w:val="00196F8E"/>
    <w:rsid w:val="001A0D32"/>
    <w:rsid w:val="001A1DBD"/>
    <w:rsid w:val="001A27AB"/>
    <w:rsid w:val="001A50DB"/>
    <w:rsid w:val="001A60E0"/>
    <w:rsid w:val="001A7527"/>
    <w:rsid w:val="001A76F6"/>
    <w:rsid w:val="001A7CCE"/>
    <w:rsid w:val="001B0095"/>
    <w:rsid w:val="001B03B8"/>
    <w:rsid w:val="001B0812"/>
    <w:rsid w:val="001B09BB"/>
    <w:rsid w:val="001B0F4B"/>
    <w:rsid w:val="001B1CE3"/>
    <w:rsid w:val="001B2B1F"/>
    <w:rsid w:val="001B2C12"/>
    <w:rsid w:val="001B3FB6"/>
    <w:rsid w:val="001B5CE5"/>
    <w:rsid w:val="001B6034"/>
    <w:rsid w:val="001B61A4"/>
    <w:rsid w:val="001B71AC"/>
    <w:rsid w:val="001B724E"/>
    <w:rsid w:val="001B731A"/>
    <w:rsid w:val="001B7F0E"/>
    <w:rsid w:val="001C13AF"/>
    <w:rsid w:val="001C1875"/>
    <w:rsid w:val="001C2183"/>
    <w:rsid w:val="001C2567"/>
    <w:rsid w:val="001C28ED"/>
    <w:rsid w:val="001C37F7"/>
    <w:rsid w:val="001C3838"/>
    <w:rsid w:val="001C4112"/>
    <w:rsid w:val="001C6E7B"/>
    <w:rsid w:val="001C7169"/>
    <w:rsid w:val="001C78D4"/>
    <w:rsid w:val="001C7CB5"/>
    <w:rsid w:val="001C7CC3"/>
    <w:rsid w:val="001D0FA7"/>
    <w:rsid w:val="001D18F4"/>
    <w:rsid w:val="001D1BDD"/>
    <w:rsid w:val="001D277E"/>
    <w:rsid w:val="001D42FF"/>
    <w:rsid w:val="001D4FDD"/>
    <w:rsid w:val="001D5762"/>
    <w:rsid w:val="001E1907"/>
    <w:rsid w:val="001E1C65"/>
    <w:rsid w:val="001E1EB8"/>
    <w:rsid w:val="001E2009"/>
    <w:rsid w:val="001E3A98"/>
    <w:rsid w:val="001E4157"/>
    <w:rsid w:val="001E5773"/>
    <w:rsid w:val="001E5BA0"/>
    <w:rsid w:val="001E68C8"/>
    <w:rsid w:val="001E705F"/>
    <w:rsid w:val="001E7B75"/>
    <w:rsid w:val="001F0780"/>
    <w:rsid w:val="001F0CF5"/>
    <w:rsid w:val="001F1CD9"/>
    <w:rsid w:val="001F30AB"/>
    <w:rsid w:val="001F3E36"/>
    <w:rsid w:val="001F44EE"/>
    <w:rsid w:val="001F485F"/>
    <w:rsid w:val="001F5011"/>
    <w:rsid w:val="001F5598"/>
    <w:rsid w:val="001F73D2"/>
    <w:rsid w:val="001F7B45"/>
    <w:rsid w:val="001F7CF8"/>
    <w:rsid w:val="001F7F7A"/>
    <w:rsid w:val="002002A6"/>
    <w:rsid w:val="00200366"/>
    <w:rsid w:val="00200CDD"/>
    <w:rsid w:val="00200FEB"/>
    <w:rsid w:val="002024CA"/>
    <w:rsid w:val="0020340C"/>
    <w:rsid w:val="00203816"/>
    <w:rsid w:val="002044B7"/>
    <w:rsid w:val="00204ABA"/>
    <w:rsid w:val="00204CCE"/>
    <w:rsid w:val="00205D8F"/>
    <w:rsid w:val="00206948"/>
    <w:rsid w:val="00206DFC"/>
    <w:rsid w:val="002072D3"/>
    <w:rsid w:val="00207A64"/>
    <w:rsid w:val="00207C62"/>
    <w:rsid w:val="002101E6"/>
    <w:rsid w:val="00210988"/>
    <w:rsid w:val="002112F0"/>
    <w:rsid w:val="00212C25"/>
    <w:rsid w:val="00213A3C"/>
    <w:rsid w:val="002141AC"/>
    <w:rsid w:val="002143D0"/>
    <w:rsid w:val="002143DC"/>
    <w:rsid w:val="00214F4D"/>
    <w:rsid w:val="0021586B"/>
    <w:rsid w:val="00215D0D"/>
    <w:rsid w:val="00217775"/>
    <w:rsid w:val="002205DE"/>
    <w:rsid w:val="00220889"/>
    <w:rsid w:val="00221CB5"/>
    <w:rsid w:val="0022503C"/>
    <w:rsid w:val="0022526B"/>
    <w:rsid w:val="002253CE"/>
    <w:rsid w:val="00225EEA"/>
    <w:rsid w:val="002310BB"/>
    <w:rsid w:val="00231769"/>
    <w:rsid w:val="00231AA1"/>
    <w:rsid w:val="00231E8E"/>
    <w:rsid w:val="00232748"/>
    <w:rsid w:val="00232963"/>
    <w:rsid w:val="00233C99"/>
    <w:rsid w:val="00234610"/>
    <w:rsid w:val="00235197"/>
    <w:rsid w:val="002351A0"/>
    <w:rsid w:val="00235822"/>
    <w:rsid w:val="0023599B"/>
    <w:rsid w:val="002362DC"/>
    <w:rsid w:val="00236475"/>
    <w:rsid w:val="002372AE"/>
    <w:rsid w:val="00237B26"/>
    <w:rsid w:val="00241319"/>
    <w:rsid w:val="002434EF"/>
    <w:rsid w:val="002439F5"/>
    <w:rsid w:val="002446AE"/>
    <w:rsid w:val="00244E32"/>
    <w:rsid w:val="00245207"/>
    <w:rsid w:val="00246649"/>
    <w:rsid w:val="00246DAF"/>
    <w:rsid w:val="002513FF"/>
    <w:rsid w:val="00251FD0"/>
    <w:rsid w:val="002538F1"/>
    <w:rsid w:val="00253DED"/>
    <w:rsid w:val="00255BCF"/>
    <w:rsid w:val="002571EE"/>
    <w:rsid w:val="00257CAE"/>
    <w:rsid w:val="00260EDC"/>
    <w:rsid w:val="0026169E"/>
    <w:rsid w:val="00261836"/>
    <w:rsid w:val="0026281B"/>
    <w:rsid w:val="00262C24"/>
    <w:rsid w:val="00263AC9"/>
    <w:rsid w:val="0027091D"/>
    <w:rsid w:val="00274532"/>
    <w:rsid w:val="0027473D"/>
    <w:rsid w:val="00276234"/>
    <w:rsid w:val="00276463"/>
    <w:rsid w:val="00277601"/>
    <w:rsid w:val="002800C6"/>
    <w:rsid w:val="0028048B"/>
    <w:rsid w:val="00283968"/>
    <w:rsid w:val="0028479C"/>
    <w:rsid w:val="00285BE2"/>
    <w:rsid w:val="00286E0C"/>
    <w:rsid w:val="00287D90"/>
    <w:rsid w:val="00291025"/>
    <w:rsid w:val="002915FB"/>
    <w:rsid w:val="00291777"/>
    <w:rsid w:val="00293955"/>
    <w:rsid w:val="00294D79"/>
    <w:rsid w:val="002A4595"/>
    <w:rsid w:val="002A4D73"/>
    <w:rsid w:val="002A595E"/>
    <w:rsid w:val="002A5D88"/>
    <w:rsid w:val="002A713F"/>
    <w:rsid w:val="002A7FC0"/>
    <w:rsid w:val="002B0440"/>
    <w:rsid w:val="002B0B94"/>
    <w:rsid w:val="002B0DCB"/>
    <w:rsid w:val="002B1A23"/>
    <w:rsid w:val="002B2A33"/>
    <w:rsid w:val="002B2B53"/>
    <w:rsid w:val="002B4300"/>
    <w:rsid w:val="002B4CD2"/>
    <w:rsid w:val="002B4DE8"/>
    <w:rsid w:val="002B569A"/>
    <w:rsid w:val="002B575F"/>
    <w:rsid w:val="002B5877"/>
    <w:rsid w:val="002B59EC"/>
    <w:rsid w:val="002B63DF"/>
    <w:rsid w:val="002B690D"/>
    <w:rsid w:val="002B6BED"/>
    <w:rsid w:val="002B7915"/>
    <w:rsid w:val="002B7D3F"/>
    <w:rsid w:val="002C0C17"/>
    <w:rsid w:val="002C1325"/>
    <w:rsid w:val="002C1C38"/>
    <w:rsid w:val="002C3253"/>
    <w:rsid w:val="002C3387"/>
    <w:rsid w:val="002C3623"/>
    <w:rsid w:val="002C3F7D"/>
    <w:rsid w:val="002C4C15"/>
    <w:rsid w:val="002C4EF6"/>
    <w:rsid w:val="002C5A71"/>
    <w:rsid w:val="002C60D8"/>
    <w:rsid w:val="002C68E9"/>
    <w:rsid w:val="002C6FB9"/>
    <w:rsid w:val="002C7FCF"/>
    <w:rsid w:val="002D1206"/>
    <w:rsid w:val="002D1528"/>
    <w:rsid w:val="002D16AB"/>
    <w:rsid w:val="002D1A7F"/>
    <w:rsid w:val="002D26FC"/>
    <w:rsid w:val="002D2718"/>
    <w:rsid w:val="002D29D0"/>
    <w:rsid w:val="002D32FD"/>
    <w:rsid w:val="002D3848"/>
    <w:rsid w:val="002D5177"/>
    <w:rsid w:val="002D6235"/>
    <w:rsid w:val="002D6321"/>
    <w:rsid w:val="002D71EA"/>
    <w:rsid w:val="002D7D1A"/>
    <w:rsid w:val="002E01B7"/>
    <w:rsid w:val="002E042D"/>
    <w:rsid w:val="002E1571"/>
    <w:rsid w:val="002E2D89"/>
    <w:rsid w:val="002E2F1D"/>
    <w:rsid w:val="002E3854"/>
    <w:rsid w:val="002E3ECB"/>
    <w:rsid w:val="002E47E3"/>
    <w:rsid w:val="002E54E1"/>
    <w:rsid w:val="002E65E7"/>
    <w:rsid w:val="002E6C79"/>
    <w:rsid w:val="002E73F7"/>
    <w:rsid w:val="002E7C80"/>
    <w:rsid w:val="002F09CB"/>
    <w:rsid w:val="002F1296"/>
    <w:rsid w:val="002F1BF5"/>
    <w:rsid w:val="002F2D0D"/>
    <w:rsid w:val="002F2EE9"/>
    <w:rsid w:val="002F48D2"/>
    <w:rsid w:val="002F5880"/>
    <w:rsid w:val="002F5F88"/>
    <w:rsid w:val="002F6AD3"/>
    <w:rsid w:val="002F6BDA"/>
    <w:rsid w:val="002F6F44"/>
    <w:rsid w:val="00300639"/>
    <w:rsid w:val="0030160F"/>
    <w:rsid w:val="0030167A"/>
    <w:rsid w:val="003020FD"/>
    <w:rsid w:val="00304024"/>
    <w:rsid w:val="0030444E"/>
    <w:rsid w:val="003048E4"/>
    <w:rsid w:val="00305DA2"/>
    <w:rsid w:val="003076A1"/>
    <w:rsid w:val="00310076"/>
    <w:rsid w:val="00310C74"/>
    <w:rsid w:val="003120E3"/>
    <w:rsid w:val="0031392C"/>
    <w:rsid w:val="0031443C"/>
    <w:rsid w:val="003163A7"/>
    <w:rsid w:val="0031670E"/>
    <w:rsid w:val="00316A23"/>
    <w:rsid w:val="00316C23"/>
    <w:rsid w:val="00320C11"/>
    <w:rsid w:val="003213B5"/>
    <w:rsid w:val="0032193B"/>
    <w:rsid w:val="00321E12"/>
    <w:rsid w:val="003229A4"/>
    <w:rsid w:val="00322A9C"/>
    <w:rsid w:val="00323AF3"/>
    <w:rsid w:val="0032480C"/>
    <w:rsid w:val="00324C66"/>
    <w:rsid w:val="00324F76"/>
    <w:rsid w:val="00325290"/>
    <w:rsid w:val="003252CE"/>
    <w:rsid w:val="00325657"/>
    <w:rsid w:val="00326DF4"/>
    <w:rsid w:val="0032726F"/>
    <w:rsid w:val="00327F07"/>
    <w:rsid w:val="0032A553"/>
    <w:rsid w:val="00330C70"/>
    <w:rsid w:val="00332A3E"/>
    <w:rsid w:val="00332C80"/>
    <w:rsid w:val="00334883"/>
    <w:rsid w:val="00334E27"/>
    <w:rsid w:val="0033630B"/>
    <w:rsid w:val="00336372"/>
    <w:rsid w:val="00336DC3"/>
    <w:rsid w:val="00337D42"/>
    <w:rsid w:val="0034037D"/>
    <w:rsid w:val="0034059D"/>
    <w:rsid w:val="00341964"/>
    <w:rsid w:val="00341D74"/>
    <w:rsid w:val="00342B2F"/>
    <w:rsid w:val="00343B76"/>
    <w:rsid w:val="00344D35"/>
    <w:rsid w:val="003459DF"/>
    <w:rsid w:val="00345D24"/>
    <w:rsid w:val="0034666E"/>
    <w:rsid w:val="003469F4"/>
    <w:rsid w:val="0034756C"/>
    <w:rsid w:val="00347A34"/>
    <w:rsid w:val="00347C4A"/>
    <w:rsid w:val="00347C6E"/>
    <w:rsid w:val="003501C7"/>
    <w:rsid w:val="00350977"/>
    <w:rsid w:val="003509A2"/>
    <w:rsid w:val="00351328"/>
    <w:rsid w:val="00352458"/>
    <w:rsid w:val="0035357E"/>
    <w:rsid w:val="00353F15"/>
    <w:rsid w:val="003551D9"/>
    <w:rsid w:val="00355319"/>
    <w:rsid w:val="00355D8F"/>
    <w:rsid w:val="00355F57"/>
    <w:rsid w:val="00355F8B"/>
    <w:rsid w:val="00356572"/>
    <w:rsid w:val="00356940"/>
    <w:rsid w:val="00356953"/>
    <w:rsid w:val="00356B73"/>
    <w:rsid w:val="00357A25"/>
    <w:rsid w:val="00360731"/>
    <w:rsid w:val="00360981"/>
    <w:rsid w:val="0036202F"/>
    <w:rsid w:val="00363062"/>
    <w:rsid w:val="00363F7C"/>
    <w:rsid w:val="003647F7"/>
    <w:rsid w:val="00364913"/>
    <w:rsid w:val="00364F03"/>
    <w:rsid w:val="003657F9"/>
    <w:rsid w:val="003664EB"/>
    <w:rsid w:val="00367925"/>
    <w:rsid w:val="00367D3F"/>
    <w:rsid w:val="003700E1"/>
    <w:rsid w:val="0037087D"/>
    <w:rsid w:val="00370E8E"/>
    <w:rsid w:val="00370F9E"/>
    <w:rsid w:val="00371C8A"/>
    <w:rsid w:val="0037231C"/>
    <w:rsid w:val="00372537"/>
    <w:rsid w:val="00373258"/>
    <w:rsid w:val="00373791"/>
    <w:rsid w:val="00374835"/>
    <w:rsid w:val="003760A1"/>
    <w:rsid w:val="00376E6F"/>
    <w:rsid w:val="00383421"/>
    <w:rsid w:val="00383675"/>
    <w:rsid w:val="003836E0"/>
    <w:rsid w:val="00385D2C"/>
    <w:rsid w:val="0039260E"/>
    <w:rsid w:val="00393CD9"/>
    <w:rsid w:val="00394BFD"/>
    <w:rsid w:val="00394D5B"/>
    <w:rsid w:val="00395668"/>
    <w:rsid w:val="00395989"/>
    <w:rsid w:val="00396011"/>
    <w:rsid w:val="00396280"/>
    <w:rsid w:val="00396299"/>
    <w:rsid w:val="00396DB5"/>
    <w:rsid w:val="003A003E"/>
    <w:rsid w:val="003A05AC"/>
    <w:rsid w:val="003A1249"/>
    <w:rsid w:val="003A1661"/>
    <w:rsid w:val="003A4647"/>
    <w:rsid w:val="003A4813"/>
    <w:rsid w:val="003A5C29"/>
    <w:rsid w:val="003A660A"/>
    <w:rsid w:val="003B0DC7"/>
    <w:rsid w:val="003B1F42"/>
    <w:rsid w:val="003B33FB"/>
    <w:rsid w:val="003B344F"/>
    <w:rsid w:val="003B400F"/>
    <w:rsid w:val="003B51F7"/>
    <w:rsid w:val="003B530D"/>
    <w:rsid w:val="003B60D1"/>
    <w:rsid w:val="003B62A2"/>
    <w:rsid w:val="003B63F9"/>
    <w:rsid w:val="003B659A"/>
    <w:rsid w:val="003B6809"/>
    <w:rsid w:val="003B7E9B"/>
    <w:rsid w:val="003C10AA"/>
    <w:rsid w:val="003C1576"/>
    <w:rsid w:val="003C1C21"/>
    <w:rsid w:val="003C1E85"/>
    <w:rsid w:val="003C27A1"/>
    <w:rsid w:val="003C3902"/>
    <w:rsid w:val="003C394B"/>
    <w:rsid w:val="003C78A9"/>
    <w:rsid w:val="003D0530"/>
    <w:rsid w:val="003D1743"/>
    <w:rsid w:val="003D2C32"/>
    <w:rsid w:val="003D3F45"/>
    <w:rsid w:val="003D5CB8"/>
    <w:rsid w:val="003D6401"/>
    <w:rsid w:val="003D73C1"/>
    <w:rsid w:val="003E03D5"/>
    <w:rsid w:val="003E05D6"/>
    <w:rsid w:val="003E0D64"/>
    <w:rsid w:val="003E1020"/>
    <w:rsid w:val="003E274C"/>
    <w:rsid w:val="003E2BBD"/>
    <w:rsid w:val="003E33C5"/>
    <w:rsid w:val="003E39CD"/>
    <w:rsid w:val="003E4004"/>
    <w:rsid w:val="003E4AB2"/>
    <w:rsid w:val="003E51EA"/>
    <w:rsid w:val="003E520F"/>
    <w:rsid w:val="003E6C61"/>
    <w:rsid w:val="003E6EE6"/>
    <w:rsid w:val="003E70AF"/>
    <w:rsid w:val="003E7D8A"/>
    <w:rsid w:val="003F084E"/>
    <w:rsid w:val="003F1000"/>
    <w:rsid w:val="003F240A"/>
    <w:rsid w:val="003F26A1"/>
    <w:rsid w:val="003F37EE"/>
    <w:rsid w:val="003F47FD"/>
    <w:rsid w:val="003F4B0E"/>
    <w:rsid w:val="003F6102"/>
    <w:rsid w:val="00402C43"/>
    <w:rsid w:val="004032B6"/>
    <w:rsid w:val="0040333B"/>
    <w:rsid w:val="00403947"/>
    <w:rsid w:val="0041102B"/>
    <w:rsid w:val="0041254B"/>
    <w:rsid w:val="00412C70"/>
    <w:rsid w:val="004134CC"/>
    <w:rsid w:val="00413CFC"/>
    <w:rsid w:val="0041403A"/>
    <w:rsid w:val="004147CD"/>
    <w:rsid w:val="00414B89"/>
    <w:rsid w:val="00416290"/>
    <w:rsid w:val="00416C00"/>
    <w:rsid w:val="00416C26"/>
    <w:rsid w:val="00416E6E"/>
    <w:rsid w:val="004175B7"/>
    <w:rsid w:val="00421702"/>
    <w:rsid w:val="004217A6"/>
    <w:rsid w:val="00421AF8"/>
    <w:rsid w:val="00422D26"/>
    <w:rsid w:val="00423762"/>
    <w:rsid w:val="00424789"/>
    <w:rsid w:val="004257D8"/>
    <w:rsid w:val="0042666D"/>
    <w:rsid w:val="004277B6"/>
    <w:rsid w:val="00430270"/>
    <w:rsid w:val="00432BE9"/>
    <w:rsid w:val="004337A3"/>
    <w:rsid w:val="00434142"/>
    <w:rsid w:val="0043466F"/>
    <w:rsid w:val="004356AE"/>
    <w:rsid w:val="00436149"/>
    <w:rsid w:val="0043683D"/>
    <w:rsid w:val="00436C5F"/>
    <w:rsid w:val="00437071"/>
    <w:rsid w:val="00440A28"/>
    <w:rsid w:val="00440B64"/>
    <w:rsid w:val="00442502"/>
    <w:rsid w:val="00442C02"/>
    <w:rsid w:val="00443737"/>
    <w:rsid w:val="0044409A"/>
    <w:rsid w:val="00445A98"/>
    <w:rsid w:val="00445AD4"/>
    <w:rsid w:val="0044616F"/>
    <w:rsid w:val="00446445"/>
    <w:rsid w:val="004508DF"/>
    <w:rsid w:val="00450A59"/>
    <w:rsid w:val="00450B0F"/>
    <w:rsid w:val="00452060"/>
    <w:rsid w:val="004523C7"/>
    <w:rsid w:val="0045298D"/>
    <w:rsid w:val="00454817"/>
    <w:rsid w:val="00454D77"/>
    <w:rsid w:val="00455D4C"/>
    <w:rsid w:val="00455E0A"/>
    <w:rsid w:val="00456C63"/>
    <w:rsid w:val="00457523"/>
    <w:rsid w:val="00457AA5"/>
    <w:rsid w:val="00460269"/>
    <w:rsid w:val="00460AA6"/>
    <w:rsid w:val="00461300"/>
    <w:rsid w:val="00461367"/>
    <w:rsid w:val="004615CC"/>
    <w:rsid w:val="00461773"/>
    <w:rsid w:val="00462ECC"/>
    <w:rsid w:val="00463A3D"/>
    <w:rsid w:val="00463DB0"/>
    <w:rsid w:val="00466119"/>
    <w:rsid w:val="00466393"/>
    <w:rsid w:val="004702A6"/>
    <w:rsid w:val="0047121C"/>
    <w:rsid w:val="00471EB1"/>
    <w:rsid w:val="00472066"/>
    <w:rsid w:val="00472193"/>
    <w:rsid w:val="0047374C"/>
    <w:rsid w:val="0047388C"/>
    <w:rsid w:val="00473E11"/>
    <w:rsid w:val="00473F45"/>
    <w:rsid w:val="00473F97"/>
    <w:rsid w:val="00475247"/>
    <w:rsid w:val="00476BCB"/>
    <w:rsid w:val="0048057D"/>
    <w:rsid w:val="00481FC3"/>
    <w:rsid w:val="0048219A"/>
    <w:rsid w:val="00482635"/>
    <w:rsid w:val="0048272A"/>
    <w:rsid w:val="00482964"/>
    <w:rsid w:val="00482AAC"/>
    <w:rsid w:val="004850D3"/>
    <w:rsid w:val="004857D0"/>
    <w:rsid w:val="0048605D"/>
    <w:rsid w:val="00486435"/>
    <w:rsid w:val="00486866"/>
    <w:rsid w:val="004877EB"/>
    <w:rsid w:val="00487C30"/>
    <w:rsid w:val="00490053"/>
    <w:rsid w:val="00490D52"/>
    <w:rsid w:val="00490DE6"/>
    <w:rsid w:val="00491598"/>
    <w:rsid w:val="00491E6D"/>
    <w:rsid w:val="0049350B"/>
    <w:rsid w:val="004935BA"/>
    <w:rsid w:val="00494610"/>
    <w:rsid w:val="00494884"/>
    <w:rsid w:val="004950EE"/>
    <w:rsid w:val="00495517"/>
    <w:rsid w:val="00495A11"/>
    <w:rsid w:val="00497571"/>
    <w:rsid w:val="00497BEA"/>
    <w:rsid w:val="00497FF5"/>
    <w:rsid w:val="004A004C"/>
    <w:rsid w:val="004A04EB"/>
    <w:rsid w:val="004A1593"/>
    <w:rsid w:val="004A2273"/>
    <w:rsid w:val="004A239D"/>
    <w:rsid w:val="004A2985"/>
    <w:rsid w:val="004A3A88"/>
    <w:rsid w:val="004A4309"/>
    <w:rsid w:val="004A49BE"/>
    <w:rsid w:val="004A7464"/>
    <w:rsid w:val="004A7A57"/>
    <w:rsid w:val="004B011A"/>
    <w:rsid w:val="004B0854"/>
    <w:rsid w:val="004B0D92"/>
    <w:rsid w:val="004B0F3E"/>
    <w:rsid w:val="004B0FA9"/>
    <w:rsid w:val="004B1346"/>
    <w:rsid w:val="004B1FDA"/>
    <w:rsid w:val="004B210F"/>
    <w:rsid w:val="004B4628"/>
    <w:rsid w:val="004B4C38"/>
    <w:rsid w:val="004B5E81"/>
    <w:rsid w:val="004B5FFD"/>
    <w:rsid w:val="004B6243"/>
    <w:rsid w:val="004B7571"/>
    <w:rsid w:val="004C0DBD"/>
    <w:rsid w:val="004C0DF6"/>
    <w:rsid w:val="004C1A71"/>
    <w:rsid w:val="004C4EE8"/>
    <w:rsid w:val="004C5114"/>
    <w:rsid w:val="004C6480"/>
    <w:rsid w:val="004C7C08"/>
    <w:rsid w:val="004D0E80"/>
    <w:rsid w:val="004D0EAC"/>
    <w:rsid w:val="004D17D5"/>
    <w:rsid w:val="004D185C"/>
    <w:rsid w:val="004D27A0"/>
    <w:rsid w:val="004D3373"/>
    <w:rsid w:val="004D792A"/>
    <w:rsid w:val="004D79A1"/>
    <w:rsid w:val="004D7E51"/>
    <w:rsid w:val="004E01A9"/>
    <w:rsid w:val="004E0666"/>
    <w:rsid w:val="004E0CCB"/>
    <w:rsid w:val="004E1300"/>
    <w:rsid w:val="004E183C"/>
    <w:rsid w:val="004E1939"/>
    <w:rsid w:val="004E2AE3"/>
    <w:rsid w:val="004E2CB8"/>
    <w:rsid w:val="004E2D0A"/>
    <w:rsid w:val="004E2FFB"/>
    <w:rsid w:val="004E3157"/>
    <w:rsid w:val="004E3234"/>
    <w:rsid w:val="004E334B"/>
    <w:rsid w:val="004E35F9"/>
    <w:rsid w:val="004E385D"/>
    <w:rsid w:val="004E485E"/>
    <w:rsid w:val="004E4DA9"/>
    <w:rsid w:val="004E4DF2"/>
    <w:rsid w:val="004E501F"/>
    <w:rsid w:val="004E67D1"/>
    <w:rsid w:val="004E6FC9"/>
    <w:rsid w:val="004E72F9"/>
    <w:rsid w:val="004E779F"/>
    <w:rsid w:val="004F16F6"/>
    <w:rsid w:val="004F1D9E"/>
    <w:rsid w:val="004F27F5"/>
    <w:rsid w:val="004F2C60"/>
    <w:rsid w:val="004F62C5"/>
    <w:rsid w:val="004F7DE5"/>
    <w:rsid w:val="005002AC"/>
    <w:rsid w:val="005007BD"/>
    <w:rsid w:val="00500AAF"/>
    <w:rsid w:val="00500E95"/>
    <w:rsid w:val="00503320"/>
    <w:rsid w:val="00504EBF"/>
    <w:rsid w:val="00506EC4"/>
    <w:rsid w:val="00511D69"/>
    <w:rsid w:val="00512743"/>
    <w:rsid w:val="00513219"/>
    <w:rsid w:val="00515D96"/>
    <w:rsid w:val="00516480"/>
    <w:rsid w:val="005165D7"/>
    <w:rsid w:val="005166FE"/>
    <w:rsid w:val="00517B84"/>
    <w:rsid w:val="005205C9"/>
    <w:rsid w:val="00520617"/>
    <w:rsid w:val="00522105"/>
    <w:rsid w:val="00522BF9"/>
    <w:rsid w:val="00522F5B"/>
    <w:rsid w:val="0052319F"/>
    <w:rsid w:val="005235EA"/>
    <w:rsid w:val="00523B7C"/>
    <w:rsid w:val="005247C8"/>
    <w:rsid w:val="00525332"/>
    <w:rsid w:val="00525FFB"/>
    <w:rsid w:val="0052719A"/>
    <w:rsid w:val="005276A4"/>
    <w:rsid w:val="00527918"/>
    <w:rsid w:val="00530665"/>
    <w:rsid w:val="005316F9"/>
    <w:rsid w:val="0053390B"/>
    <w:rsid w:val="00535524"/>
    <w:rsid w:val="00536214"/>
    <w:rsid w:val="005403A4"/>
    <w:rsid w:val="00540862"/>
    <w:rsid w:val="0054110F"/>
    <w:rsid w:val="00541534"/>
    <w:rsid w:val="00541B47"/>
    <w:rsid w:val="0054261D"/>
    <w:rsid w:val="00542AD7"/>
    <w:rsid w:val="00542C0A"/>
    <w:rsid w:val="00543732"/>
    <w:rsid w:val="00543746"/>
    <w:rsid w:val="00543CB9"/>
    <w:rsid w:val="005447F0"/>
    <w:rsid w:val="00544E69"/>
    <w:rsid w:val="00545569"/>
    <w:rsid w:val="0054726E"/>
    <w:rsid w:val="00547822"/>
    <w:rsid w:val="00547AE4"/>
    <w:rsid w:val="00547AF0"/>
    <w:rsid w:val="00547F69"/>
    <w:rsid w:val="00551721"/>
    <w:rsid w:val="00551836"/>
    <w:rsid w:val="00552BF4"/>
    <w:rsid w:val="00552D48"/>
    <w:rsid w:val="00553070"/>
    <w:rsid w:val="00553D41"/>
    <w:rsid w:val="005541E1"/>
    <w:rsid w:val="00554567"/>
    <w:rsid w:val="00554A05"/>
    <w:rsid w:val="00555BCB"/>
    <w:rsid w:val="005565D8"/>
    <w:rsid w:val="00560543"/>
    <w:rsid w:val="005610D8"/>
    <w:rsid w:val="0056126A"/>
    <w:rsid w:val="00562019"/>
    <w:rsid w:val="00562207"/>
    <w:rsid w:val="00563426"/>
    <w:rsid w:val="00563590"/>
    <w:rsid w:val="00564B37"/>
    <w:rsid w:val="00564F36"/>
    <w:rsid w:val="00565159"/>
    <w:rsid w:val="00565D82"/>
    <w:rsid w:val="00566CF6"/>
    <w:rsid w:val="00566E73"/>
    <w:rsid w:val="00570281"/>
    <w:rsid w:val="00570B70"/>
    <w:rsid w:val="005724B5"/>
    <w:rsid w:val="00572622"/>
    <w:rsid w:val="00572742"/>
    <w:rsid w:val="005730C6"/>
    <w:rsid w:val="005740EB"/>
    <w:rsid w:val="00574958"/>
    <w:rsid w:val="00574A9A"/>
    <w:rsid w:val="00576246"/>
    <w:rsid w:val="00576A5C"/>
    <w:rsid w:val="00577361"/>
    <w:rsid w:val="00580223"/>
    <w:rsid w:val="0058112E"/>
    <w:rsid w:val="00582D75"/>
    <w:rsid w:val="005831C0"/>
    <w:rsid w:val="005832B8"/>
    <w:rsid w:val="00583556"/>
    <w:rsid w:val="00587177"/>
    <w:rsid w:val="0059052A"/>
    <w:rsid w:val="0059100F"/>
    <w:rsid w:val="00591AB1"/>
    <w:rsid w:val="00591ECC"/>
    <w:rsid w:val="00591FCA"/>
    <w:rsid w:val="00592B1E"/>
    <w:rsid w:val="005931DE"/>
    <w:rsid w:val="005934D9"/>
    <w:rsid w:val="00594190"/>
    <w:rsid w:val="00595F36"/>
    <w:rsid w:val="00596166"/>
    <w:rsid w:val="005961A3"/>
    <w:rsid w:val="00596BD2"/>
    <w:rsid w:val="00596D01"/>
    <w:rsid w:val="00597600"/>
    <w:rsid w:val="005A016D"/>
    <w:rsid w:val="005A095E"/>
    <w:rsid w:val="005A1C6A"/>
    <w:rsid w:val="005A2DDE"/>
    <w:rsid w:val="005A3D97"/>
    <w:rsid w:val="005A3E94"/>
    <w:rsid w:val="005A5774"/>
    <w:rsid w:val="005A5B0C"/>
    <w:rsid w:val="005A5E23"/>
    <w:rsid w:val="005A6A8C"/>
    <w:rsid w:val="005A7FE6"/>
    <w:rsid w:val="005B09FF"/>
    <w:rsid w:val="005B0CF5"/>
    <w:rsid w:val="005B1F31"/>
    <w:rsid w:val="005B22A9"/>
    <w:rsid w:val="005B358D"/>
    <w:rsid w:val="005B42C8"/>
    <w:rsid w:val="005B44C6"/>
    <w:rsid w:val="005B468A"/>
    <w:rsid w:val="005B47A0"/>
    <w:rsid w:val="005B50D9"/>
    <w:rsid w:val="005B5EE7"/>
    <w:rsid w:val="005B6218"/>
    <w:rsid w:val="005B6FBA"/>
    <w:rsid w:val="005B6FF6"/>
    <w:rsid w:val="005B77AD"/>
    <w:rsid w:val="005C1248"/>
    <w:rsid w:val="005C143C"/>
    <w:rsid w:val="005C164A"/>
    <w:rsid w:val="005C191C"/>
    <w:rsid w:val="005C503D"/>
    <w:rsid w:val="005C56DF"/>
    <w:rsid w:val="005C61C3"/>
    <w:rsid w:val="005C654A"/>
    <w:rsid w:val="005C6E39"/>
    <w:rsid w:val="005C73C2"/>
    <w:rsid w:val="005C7CDD"/>
    <w:rsid w:val="005D0F34"/>
    <w:rsid w:val="005D2691"/>
    <w:rsid w:val="005D2BA2"/>
    <w:rsid w:val="005D2CB0"/>
    <w:rsid w:val="005D32ED"/>
    <w:rsid w:val="005D41CB"/>
    <w:rsid w:val="005D4922"/>
    <w:rsid w:val="005D7755"/>
    <w:rsid w:val="005E0A41"/>
    <w:rsid w:val="005E0EBE"/>
    <w:rsid w:val="005E179E"/>
    <w:rsid w:val="005E2574"/>
    <w:rsid w:val="005E3A11"/>
    <w:rsid w:val="005E41D9"/>
    <w:rsid w:val="005E566B"/>
    <w:rsid w:val="005E6284"/>
    <w:rsid w:val="005E6D72"/>
    <w:rsid w:val="005E77A9"/>
    <w:rsid w:val="005E7F5A"/>
    <w:rsid w:val="005F0386"/>
    <w:rsid w:val="005F358E"/>
    <w:rsid w:val="005F36C4"/>
    <w:rsid w:val="005F3B1B"/>
    <w:rsid w:val="005F51A0"/>
    <w:rsid w:val="005F6081"/>
    <w:rsid w:val="005F740A"/>
    <w:rsid w:val="006006A5"/>
    <w:rsid w:val="0060234B"/>
    <w:rsid w:val="0060283D"/>
    <w:rsid w:val="00602BBF"/>
    <w:rsid w:val="00602F3C"/>
    <w:rsid w:val="00603B58"/>
    <w:rsid w:val="00604EC1"/>
    <w:rsid w:val="00604F07"/>
    <w:rsid w:val="006057EB"/>
    <w:rsid w:val="00605ECA"/>
    <w:rsid w:val="00606C71"/>
    <w:rsid w:val="0060738E"/>
    <w:rsid w:val="006101F4"/>
    <w:rsid w:val="006109C4"/>
    <w:rsid w:val="00610D53"/>
    <w:rsid w:val="0061187E"/>
    <w:rsid w:val="0061237D"/>
    <w:rsid w:val="00612CE2"/>
    <w:rsid w:val="0061304E"/>
    <w:rsid w:val="006132F4"/>
    <w:rsid w:val="00613D6F"/>
    <w:rsid w:val="006157E5"/>
    <w:rsid w:val="00615808"/>
    <w:rsid w:val="00615B72"/>
    <w:rsid w:val="00617A6B"/>
    <w:rsid w:val="0062038C"/>
    <w:rsid w:val="00620487"/>
    <w:rsid w:val="006204A6"/>
    <w:rsid w:val="00621DD1"/>
    <w:rsid w:val="006222D2"/>
    <w:rsid w:val="00622A45"/>
    <w:rsid w:val="006253E9"/>
    <w:rsid w:val="006256DD"/>
    <w:rsid w:val="00627BED"/>
    <w:rsid w:val="006306CB"/>
    <w:rsid w:val="00631042"/>
    <w:rsid w:val="00631612"/>
    <w:rsid w:val="0063179E"/>
    <w:rsid w:val="00631A1B"/>
    <w:rsid w:val="00632EA2"/>
    <w:rsid w:val="0063300D"/>
    <w:rsid w:val="00633372"/>
    <w:rsid w:val="006338B1"/>
    <w:rsid w:val="0063681A"/>
    <w:rsid w:val="00636C14"/>
    <w:rsid w:val="0063789E"/>
    <w:rsid w:val="006404C6"/>
    <w:rsid w:val="00640D5F"/>
    <w:rsid w:val="00644D5F"/>
    <w:rsid w:val="00646AF4"/>
    <w:rsid w:val="0064714F"/>
    <w:rsid w:val="006472AA"/>
    <w:rsid w:val="006477FC"/>
    <w:rsid w:val="00647B06"/>
    <w:rsid w:val="00647BAB"/>
    <w:rsid w:val="006518AC"/>
    <w:rsid w:val="00651960"/>
    <w:rsid w:val="006520C7"/>
    <w:rsid w:val="006532B7"/>
    <w:rsid w:val="00654575"/>
    <w:rsid w:val="00654EC2"/>
    <w:rsid w:val="00655207"/>
    <w:rsid w:val="00656A30"/>
    <w:rsid w:val="00657170"/>
    <w:rsid w:val="00657456"/>
    <w:rsid w:val="00660690"/>
    <w:rsid w:val="00660A67"/>
    <w:rsid w:val="006613B3"/>
    <w:rsid w:val="0066251E"/>
    <w:rsid w:val="00662DB1"/>
    <w:rsid w:val="00663442"/>
    <w:rsid w:val="006638E2"/>
    <w:rsid w:val="006646EA"/>
    <w:rsid w:val="00665B3A"/>
    <w:rsid w:val="00665C78"/>
    <w:rsid w:val="006663E8"/>
    <w:rsid w:val="00666887"/>
    <w:rsid w:val="006678EA"/>
    <w:rsid w:val="00667CB6"/>
    <w:rsid w:val="00667FB6"/>
    <w:rsid w:val="00667FDF"/>
    <w:rsid w:val="006702EF"/>
    <w:rsid w:val="00671241"/>
    <w:rsid w:val="00671CBE"/>
    <w:rsid w:val="00671F65"/>
    <w:rsid w:val="00673E8A"/>
    <w:rsid w:val="00673FB0"/>
    <w:rsid w:val="006767FC"/>
    <w:rsid w:val="00676B67"/>
    <w:rsid w:val="0067737F"/>
    <w:rsid w:val="00680423"/>
    <w:rsid w:val="00680492"/>
    <w:rsid w:val="00680914"/>
    <w:rsid w:val="006830ED"/>
    <w:rsid w:val="00683403"/>
    <w:rsid w:val="00685F12"/>
    <w:rsid w:val="0068681E"/>
    <w:rsid w:val="00686B6C"/>
    <w:rsid w:val="00687195"/>
    <w:rsid w:val="00687B48"/>
    <w:rsid w:val="006915AB"/>
    <w:rsid w:val="006921D9"/>
    <w:rsid w:val="00693917"/>
    <w:rsid w:val="00694844"/>
    <w:rsid w:val="00694EDB"/>
    <w:rsid w:val="00695B03"/>
    <w:rsid w:val="00696BAB"/>
    <w:rsid w:val="006A0CFF"/>
    <w:rsid w:val="006A1103"/>
    <w:rsid w:val="006A1168"/>
    <w:rsid w:val="006A1EEE"/>
    <w:rsid w:val="006A249C"/>
    <w:rsid w:val="006A3080"/>
    <w:rsid w:val="006A34AF"/>
    <w:rsid w:val="006A39F8"/>
    <w:rsid w:val="006A4CEA"/>
    <w:rsid w:val="006A5279"/>
    <w:rsid w:val="006A6490"/>
    <w:rsid w:val="006A701D"/>
    <w:rsid w:val="006A770F"/>
    <w:rsid w:val="006A7F43"/>
    <w:rsid w:val="006B0101"/>
    <w:rsid w:val="006B1DFD"/>
    <w:rsid w:val="006B287D"/>
    <w:rsid w:val="006B29F7"/>
    <w:rsid w:val="006B4565"/>
    <w:rsid w:val="006C01BA"/>
    <w:rsid w:val="006C09E2"/>
    <w:rsid w:val="006C1C29"/>
    <w:rsid w:val="006C2FA1"/>
    <w:rsid w:val="006C4350"/>
    <w:rsid w:val="006C497C"/>
    <w:rsid w:val="006C515A"/>
    <w:rsid w:val="006C5762"/>
    <w:rsid w:val="006C63C0"/>
    <w:rsid w:val="006C6A0C"/>
    <w:rsid w:val="006D1B06"/>
    <w:rsid w:val="006D217B"/>
    <w:rsid w:val="006D2FD5"/>
    <w:rsid w:val="006D3BE8"/>
    <w:rsid w:val="006D481D"/>
    <w:rsid w:val="006D50A3"/>
    <w:rsid w:val="006D54ED"/>
    <w:rsid w:val="006D5E15"/>
    <w:rsid w:val="006D5F6F"/>
    <w:rsid w:val="006D6468"/>
    <w:rsid w:val="006D690A"/>
    <w:rsid w:val="006D6ABA"/>
    <w:rsid w:val="006E0913"/>
    <w:rsid w:val="006E0929"/>
    <w:rsid w:val="006E0BFF"/>
    <w:rsid w:val="006E2A5E"/>
    <w:rsid w:val="006E4C1E"/>
    <w:rsid w:val="006E5416"/>
    <w:rsid w:val="006E5C22"/>
    <w:rsid w:val="006E64D0"/>
    <w:rsid w:val="006E6AF9"/>
    <w:rsid w:val="006E77F8"/>
    <w:rsid w:val="006F099B"/>
    <w:rsid w:val="006F2909"/>
    <w:rsid w:val="006F3368"/>
    <w:rsid w:val="006F431A"/>
    <w:rsid w:val="006F5102"/>
    <w:rsid w:val="006F5159"/>
    <w:rsid w:val="006F63E1"/>
    <w:rsid w:val="0070035E"/>
    <w:rsid w:val="00700ABD"/>
    <w:rsid w:val="00700D72"/>
    <w:rsid w:val="007014AD"/>
    <w:rsid w:val="00702A3E"/>
    <w:rsid w:val="00702FBA"/>
    <w:rsid w:val="00703090"/>
    <w:rsid w:val="00703339"/>
    <w:rsid w:val="00704249"/>
    <w:rsid w:val="00704BFA"/>
    <w:rsid w:val="00704FA2"/>
    <w:rsid w:val="007056C7"/>
    <w:rsid w:val="00705A73"/>
    <w:rsid w:val="00705E62"/>
    <w:rsid w:val="00707468"/>
    <w:rsid w:val="0071075A"/>
    <w:rsid w:val="00710C6F"/>
    <w:rsid w:val="00711094"/>
    <w:rsid w:val="00711925"/>
    <w:rsid w:val="007125C9"/>
    <w:rsid w:val="00712C8A"/>
    <w:rsid w:val="00712F1E"/>
    <w:rsid w:val="0071320A"/>
    <w:rsid w:val="00714A9C"/>
    <w:rsid w:val="00715C9D"/>
    <w:rsid w:val="00715CA4"/>
    <w:rsid w:val="007171D9"/>
    <w:rsid w:val="00717213"/>
    <w:rsid w:val="00717A11"/>
    <w:rsid w:val="00717C57"/>
    <w:rsid w:val="00720D81"/>
    <w:rsid w:val="007210FC"/>
    <w:rsid w:val="00721864"/>
    <w:rsid w:val="00722469"/>
    <w:rsid w:val="00722588"/>
    <w:rsid w:val="00723283"/>
    <w:rsid w:val="007237D6"/>
    <w:rsid w:val="00723C8D"/>
    <w:rsid w:val="00725A10"/>
    <w:rsid w:val="00725BDC"/>
    <w:rsid w:val="007266ED"/>
    <w:rsid w:val="007308F0"/>
    <w:rsid w:val="00730C15"/>
    <w:rsid w:val="0073110A"/>
    <w:rsid w:val="007323B4"/>
    <w:rsid w:val="00732589"/>
    <w:rsid w:val="00732DC3"/>
    <w:rsid w:val="007334BA"/>
    <w:rsid w:val="007334BB"/>
    <w:rsid w:val="00734F35"/>
    <w:rsid w:val="007362F5"/>
    <w:rsid w:val="00741167"/>
    <w:rsid w:val="007413BF"/>
    <w:rsid w:val="00741881"/>
    <w:rsid w:val="00741FE3"/>
    <w:rsid w:val="007424A3"/>
    <w:rsid w:val="00743071"/>
    <w:rsid w:val="007437ED"/>
    <w:rsid w:val="00744FAD"/>
    <w:rsid w:val="00745EA3"/>
    <w:rsid w:val="00746154"/>
    <w:rsid w:val="00746619"/>
    <w:rsid w:val="00746AFE"/>
    <w:rsid w:val="00747477"/>
    <w:rsid w:val="007505DC"/>
    <w:rsid w:val="00750F7B"/>
    <w:rsid w:val="0075283E"/>
    <w:rsid w:val="00753878"/>
    <w:rsid w:val="00753D5C"/>
    <w:rsid w:val="007541E0"/>
    <w:rsid w:val="00755C4F"/>
    <w:rsid w:val="00756101"/>
    <w:rsid w:val="00757654"/>
    <w:rsid w:val="00757B9F"/>
    <w:rsid w:val="00757F74"/>
    <w:rsid w:val="00762544"/>
    <w:rsid w:val="00762632"/>
    <w:rsid w:val="007626A0"/>
    <w:rsid w:val="007632E7"/>
    <w:rsid w:val="007645ED"/>
    <w:rsid w:val="007646C5"/>
    <w:rsid w:val="00764C66"/>
    <w:rsid w:val="00764E71"/>
    <w:rsid w:val="00764F86"/>
    <w:rsid w:val="0076709F"/>
    <w:rsid w:val="007676C3"/>
    <w:rsid w:val="00767A97"/>
    <w:rsid w:val="0077023F"/>
    <w:rsid w:val="00770ECE"/>
    <w:rsid w:val="00771AF0"/>
    <w:rsid w:val="007729F9"/>
    <w:rsid w:val="00773909"/>
    <w:rsid w:val="00773D8B"/>
    <w:rsid w:val="00774A51"/>
    <w:rsid w:val="00775380"/>
    <w:rsid w:val="00775CDB"/>
    <w:rsid w:val="00775FCB"/>
    <w:rsid w:val="00776D2E"/>
    <w:rsid w:val="007772AD"/>
    <w:rsid w:val="007772B5"/>
    <w:rsid w:val="00777A71"/>
    <w:rsid w:val="0078080F"/>
    <w:rsid w:val="00780E57"/>
    <w:rsid w:val="00781372"/>
    <w:rsid w:val="00781C94"/>
    <w:rsid w:val="00782A5A"/>
    <w:rsid w:val="007838FE"/>
    <w:rsid w:val="00783C07"/>
    <w:rsid w:val="00783C85"/>
    <w:rsid w:val="00784D9D"/>
    <w:rsid w:val="00785644"/>
    <w:rsid w:val="007861D2"/>
    <w:rsid w:val="007878A5"/>
    <w:rsid w:val="0079266F"/>
    <w:rsid w:val="00793377"/>
    <w:rsid w:val="00793CFB"/>
    <w:rsid w:val="007942DC"/>
    <w:rsid w:val="00795F13"/>
    <w:rsid w:val="00796829"/>
    <w:rsid w:val="007A0D69"/>
    <w:rsid w:val="007A1268"/>
    <w:rsid w:val="007A3036"/>
    <w:rsid w:val="007A35DB"/>
    <w:rsid w:val="007A3F28"/>
    <w:rsid w:val="007A597C"/>
    <w:rsid w:val="007A5DD8"/>
    <w:rsid w:val="007A63DE"/>
    <w:rsid w:val="007A647E"/>
    <w:rsid w:val="007A68DF"/>
    <w:rsid w:val="007A700E"/>
    <w:rsid w:val="007A74B0"/>
    <w:rsid w:val="007B0C16"/>
    <w:rsid w:val="007B1F86"/>
    <w:rsid w:val="007B212C"/>
    <w:rsid w:val="007B2429"/>
    <w:rsid w:val="007B2A35"/>
    <w:rsid w:val="007B2D88"/>
    <w:rsid w:val="007B52E6"/>
    <w:rsid w:val="007B5D72"/>
    <w:rsid w:val="007B60DA"/>
    <w:rsid w:val="007B6802"/>
    <w:rsid w:val="007B7000"/>
    <w:rsid w:val="007B7571"/>
    <w:rsid w:val="007B75EB"/>
    <w:rsid w:val="007B79DC"/>
    <w:rsid w:val="007C072A"/>
    <w:rsid w:val="007C1487"/>
    <w:rsid w:val="007C34BB"/>
    <w:rsid w:val="007C459B"/>
    <w:rsid w:val="007C6423"/>
    <w:rsid w:val="007C67D7"/>
    <w:rsid w:val="007D0223"/>
    <w:rsid w:val="007D08F4"/>
    <w:rsid w:val="007D113A"/>
    <w:rsid w:val="007D25AC"/>
    <w:rsid w:val="007D2723"/>
    <w:rsid w:val="007D46E4"/>
    <w:rsid w:val="007D5151"/>
    <w:rsid w:val="007D54C8"/>
    <w:rsid w:val="007D5815"/>
    <w:rsid w:val="007D5A52"/>
    <w:rsid w:val="007D642C"/>
    <w:rsid w:val="007D6975"/>
    <w:rsid w:val="007D7220"/>
    <w:rsid w:val="007D72ED"/>
    <w:rsid w:val="007D7D76"/>
    <w:rsid w:val="007E010B"/>
    <w:rsid w:val="007E1213"/>
    <w:rsid w:val="007E19FF"/>
    <w:rsid w:val="007E2622"/>
    <w:rsid w:val="007E3183"/>
    <w:rsid w:val="007E3698"/>
    <w:rsid w:val="007E39CF"/>
    <w:rsid w:val="007E4486"/>
    <w:rsid w:val="007E454A"/>
    <w:rsid w:val="007E5505"/>
    <w:rsid w:val="007E5DB7"/>
    <w:rsid w:val="007E5E2A"/>
    <w:rsid w:val="007E6815"/>
    <w:rsid w:val="007E6CD5"/>
    <w:rsid w:val="007E7526"/>
    <w:rsid w:val="007E7E17"/>
    <w:rsid w:val="007E7F8C"/>
    <w:rsid w:val="007F045E"/>
    <w:rsid w:val="007F16CF"/>
    <w:rsid w:val="007F221F"/>
    <w:rsid w:val="007F2808"/>
    <w:rsid w:val="007F2B63"/>
    <w:rsid w:val="007F2BE9"/>
    <w:rsid w:val="007F3064"/>
    <w:rsid w:val="007F33FD"/>
    <w:rsid w:val="007F3FBD"/>
    <w:rsid w:val="007F5A5B"/>
    <w:rsid w:val="007F5EA2"/>
    <w:rsid w:val="007F609B"/>
    <w:rsid w:val="007F6AE0"/>
    <w:rsid w:val="007F72B8"/>
    <w:rsid w:val="007F7E77"/>
    <w:rsid w:val="00800885"/>
    <w:rsid w:val="00800CAE"/>
    <w:rsid w:val="00801396"/>
    <w:rsid w:val="008013DD"/>
    <w:rsid w:val="008021EF"/>
    <w:rsid w:val="00802262"/>
    <w:rsid w:val="0080319C"/>
    <w:rsid w:val="0080435C"/>
    <w:rsid w:val="00804816"/>
    <w:rsid w:val="00804E26"/>
    <w:rsid w:val="00805801"/>
    <w:rsid w:val="00806406"/>
    <w:rsid w:val="00806A68"/>
    <w:rsid w:val="0080753F"/>
    <w:rsid w:val="00810938"/>
    <w:rsid w:val="00811B1C"/>
    <w:rsid w:val="00812FAF"/>
    <w:rsid w:val="00816722"/>
    <w:rsid w:val="0082079D"/>
    <w:rsid w:val="008209E9"/>
    <w:rsid w:val="0082142A"/>
    <w:rsid w:val="0082172E"/>
    <w:rsid w:val="00821FD5"/>
    <w:rsid w:val="00827E5E"/>
    <w:rsid w:val="00830051"/>
    <w:rsid w:val="00830C7B"/>
    <w:rsid w:val="00831165"/>
    <w:rsid w:val="008325D0"/>
    <w:rsid w:val="00833D93"/>
    <w:rsid w:val="00833FFB"/>
    <w:rsid w:val="0083442E"/>
    <w:rsid w:val="008346F4"/>
    <w:rsid w:val="00834B59"/>
    <w:rsid w:val="00834E9D"/>
    <w:rsid w:val="00836906"/>
    <w:rsid w:val="00836CC5"/>
    <w:rsid w:val="008400B5"/>
    <w:rsid w:val="0084146E"/>
    <w:rsid w:val="00842198"/>
    <w:rsid w:val="00842639"/>
    <w:rsid w:val="00842682"/>
    <w:rsid w:val="00843EF7"/>
    <w:rsid w:val="00844131"/>
    <w:rsid w:val="008448F7"/>
    <w:rsid w:val="00844B56"/>
    <w:rsid w:val="00844BD8"/>
    <w:rsid w:val="00844D97"/>
    <w:rsid w:val="00845793"/>
    <w:rsid w:val="00845DEF"/>
    <w:rsid w:val="008463CC"/>
    <w:rsid w:val="0084671A"/>
    <w:rsid w:val="0084696D"/>
    <w:rsid w:val="00846F80"/>
    <w:rsid w:val="008502C8"/>
    <w:rsid w:val="00850911"/>
    <w:rsid w:val="00851227"/>
    <w:rsid w:val="00852F8D"/>
    <w:rsid w:val="008540B8"/>
    <w:rsid w:val="0085420E"/>
    <w:rsid w:val="00854CB2"/>
    <w:rsid w:val="00855052"/>
    <w:rsid w:val="00855771"/>
    <w:rsid w:val="00855E03"/>
    <w:rsid w:val="00856F7C"/>
    <w:rsid w:val="008570B8"/>
    <w:rsid w:val="008572B2"/>
    <w:rsid w:val="00857534"/>
    <w:rsid w:val="0085783B"/>
    <w:rsid w:val="00860738"/>
    <w:rsid w:val="00861729"/>
    <w:rsid w:val="00861BA5"/>
    <w:rsid w:val="00861DD1"/>
    <w:rsid w:val="00862576"/>
    <w:rsid w:val="00862EA1"/>
    <w:rsid w:val="00862F37"/>
    <w:rsid w:val="00863034"/>
    <w:rsid w:val="00863C18"/>
    <w:rsid w:val="00863E11"/>
    <w:rsid w:val="00867BCC"/>
    <w:rsid w:val="00867C1D"/>
    <w:rsid w:val="00867E6A"/>
    <w:rsid w:val="00871954"/>
    <w:rsid w:val="00871E8A"/>
    <w:rsid w:val="0087240D"/>
    <w:rsid w:val="00873329"/>
    <w:rsid w:val="008737D6"/>
    <w:rsid w:val="00873A29"/>
    <w:rsid w:val="00873F84"/>
    <w:rsid w:val="0087445C"/>
    <w:rsid w:val="0087507C"/>
    <w:rsid w:val="00876B5E"/>
    <w:rsid w:val="00880C8B"/>
    <w:rsid w:val="00880D4D"/>
    <w:rsid w:val="00881695"/>
    <w:rsid w:val="00882115"/>
    <w:rsid w:val="00882C68"/>
    <w:rsid w:val="0088348B"/>
    <w:rsid w:val="00883643"/>
    <w:rsid w:val="00883BE7"/>
    <w:rsid w:val="00883FB1"/>
    <w:rsid w:val="00884D13"/>
    <w:rsid w:val="00885334"/>
    <w:rsid w:val="00887ABD"/>
    <w:rsid w:val="008912B8"/>
    <w:rsid w:val="008913D1"/>
    <w:rsid w:val="0089161C"/>
    <w:rsid w:val="00891904"/>
    <w:rsid w:val="00892206"/>
    <w:rsid w:val="0089329D"/>
    <w:rsid w:val="008944C3"/>
    <w:rsid w:val="008949E0"/>
    <w:rsid w:val="008954AA"/>
    <w:rsid w:val="008954F3"/>
    <w:rsid w:val="00895D08"/>
    <w:rsid w:val="00895E8F"/>
    <w:rsid w:val="00895FE8"/>
    <w:rsid w:val="00896216"/>
    <w:rsid w:val="0089674D"/>
    <w:rsid w:val="00896DCF"/>
    <w:rsid w:val="00897A78"/>
    <w:rsid w:val="008A0396"/>
    <w:rsid w:val="008A0838"/>
    <w:rsid w:val="008A109B"/>
    <w:rsid w:val="008A1A12"/>
    <w:rsid w:val="008A1D09"/>
    <w:rsid w:val="008A38F5"/>
    <w:rsid w:val="008A4958"/>
    <w:rsid w:val="008A4971"/>
    <w:rsid w:val="008A5543"/>
    <w:rsid w:val="008A761C"/>
    <w:rsid w:val="008A7803"/>
    <w:rsid w:val="008A7CD8"/>
    <w:rsid w:val="008B0491"/>
    <w:rsid w:val="008B4B9B"/>
    <w:rsid w:val="008B51FC"/>
    <w:rsid w:val="008B5C72"/>
    <w:rsid w:val="008B68D9"/>
    <w:rsid w:val="008B72A3"/>
    <w:rsid w:val="008C00E5"/>
    <w:rsid w:val="008C0DFB"/>
    <w:rsid w:val="008C13C0"/>
    <w:rsid w:val="008C2794"/>
    <w:rsid w:val="008C2F98"/>
    <w:rsid w:val="008C3D2D"/>
    <w:rsid w:val="008C4051"/>
    <w:rsid w:val="008C6582"/>
    <w:rsid w:val="008D2C4F"/>
    <w:rsid w:val="008D2FEB"/>
    <w:rsid w:val="008D3BDC"/>
    <w:rsid w:val="008D4083"/>
    <w:rsid w:val="008D47F1"/>
    <w:rsid w:val="008D4BA9"/>
    <w:rsid w:val="008D5030"/>
    <w:rsid w:val="008D658E"/>
    <w:rsid w:val="008D7135"/>
    <w:rsid w:val="008E145A"/>
    <w:rsid w:val="008E20CB"/>
    <w:rsid w:val="008E3032"/>
    <w:rsid w:val="008E45EC"/>
    <w:rsid w:val="008E4A41"/>
    <w:rsid w:val="008E4F33"/>
    <w:rsid w:val="008E5945"/>
    <w:rsid w:val="008E59C3"/>
    <w:rsid w:val="008E6FDB"/>
    <w:rsid w:val="008E74B6"/>
    <w:rsid w:val="008F02E6"/>
    <w:rsid w:val="008F02EB"/>
    <w:rsid w:val="008F1298"/>
    <w:rsid w:val="008F197B"/>
    <w:rsid w:val="008F1B38"/>
    <w:rsid w:val="008F2AA4"/>
    <w:rsid w:val="008F2E0B"/>
    <w:rsid w:val="008F36EC"/>
    <w:rsid w:val="008F38EA"/>
    <w:rsid w:val="008F3942"/>
    <w:rsid w:val="008F3ABE"/>
    <w:rsid w:val="008F3CA9"/>
    <w:rsid w:val="008F649C"/>
    <w:rsid w:val="008F64A5"/>
    <w:rsid w:val="008F68A4"/>
    <w:rsid w:val="0090017D"/>
    <w:rsid w:val="009006C1"/>
    <w:rsid w:val="00900DFA"/>
    <w:rsid w:val="00900F40"/>
    <w:rsid w:val="00901299"/>
    <w:rsid w:val="00901C25"/>
    <w:rsid w:val="009036FA"/>
    <w:rsid w:val="00904855"/>
    <w:rsid w:val="00906B50"/>
    <w:rsid w:val="00906C12"/>
    <w:rsid w:val="00906FB2"/>
    <w:rsid w:val="0091106D"/>
    <w:rsid w:val="009116DC"/>
    <w:rsid w:val="00911A74"/>
    <w:rsid w:val="009130FE"/>
    <w:rsid w:val="0091426E"/>
    <w:rsid w:val="00917F4A"/>
    <w:rsid w:val="00923CA6"/>
    <w:rsid w:val="00923DED"/>
    <w:rsid w:val="00924636"/>
    <w:rsid w:val="00925006"/>
    <w:rsid w:val="00926DDC"/>
    <w:rsid w:val="00927920"/>
    <w:rsid w:val="00930942"/>
    <w:rsid w:val="009314C8"/>
    <w:rsid w:val="00931712"/>
    <w:rsid w:val="0093276F"/>
    <w:rsid w:val="009335A7"/>
    <w:rsid w:val="009340FD"/>
    <w:rsid w:val="00935225"/>
    <w:rsid w:val="0093563D"/>
    <w:rsid w:val="009359F9"/>
    <w:rsid w:val="00935D42"/>
    <w:rsid w:val="00936A17"/>
    <w:rsid w:val="00936B63"/>
    <w:rsid w:val="00936C2A"/>
    <w:rsid w:val="00937739"/>
    <w:rsid w:val="009379C1"/>
    <w:rsid w:val="009402D9"/>
    <w:rsid w:val="00940497"/>
    <w:rsid w:val="0094064E"/>
    <w:rsid w:val="0094105F"/>
    <w:rsid w:val="00941A86"/>
    <w:rsid w:val="0094208C"/>
    <w:rsid w:val="00943069"/>
    <w:rsid w:val="009459B3"/>
    <w:rsid w:val="00945A77"/>
    <w:rsid w:val="00945E28"/>
    <w:rsid w:val="00945E7C"/>
    <w:rsid w:val="00946F17"/>
    <w:rsid w:val="00947AD9"/>
    <w:rsid w:val="00950B63"/>
    <w:rsid w:val="00950DBF"/>
    <w:rsid w:val="00952591"/>
    <w:rsid w:val="00955321"/>
    <w:rsid w:val="0095574A"/>
    <w:rsid w:val="00956FC1"/>
    <w:rsid w:val="00957739"/>
    <w:rsid w:val="0095793E"/>
    <w:rsid w:val="0096107F"/>
    <w:rsid w:val="009610AD"/>
    <w:rsid w:val="00961B68"/>
    <w:rsid w:val="0096228B"/>
    <w:rsid w:val="00962CBC"/>
    <w:rsid w:val="00963DD2"/>
    <w:rsid w:val="009647D1"/>
    <w:rsid w:val="00964BC6"/>
    <w:rsid w:val="00965C14"/>
    <w:rsid w:val="00966A85"/>
    <w:rsid w:val="00967134"/>
    <w:rsid w:val="0096755F"/>
    <w:rsid w:val="00967592"/>
    <w:rsid w:val="0096773F"/>
    <w:rsid w:val="0096789B"/>
    <w:rsid w:val="00967EF9"/>
    <w:rsid w:val="0097154A"/>
    <w:rsid w:val="009719D9"/>
    <w:rsid w:val="0097416B"/>
    <w:rsid w:val="009749F0"/>
    <w:rsid w:val="00975E39"/>
    <w:rsid w:val="00976691"/>
    <w:rsid w:val="00977647"/>
    <w:rsid w:val="0098002D"/>
    <w:rsid w:val="009812F1"/>
    <w:rsid w:val="00983D91"/>
    <w:rsid w:val="00984F12"/>
    <w:rsid w:val="00985345"/>
    <w:rsid w:val="009854E2"/>
    <w:rsid w:val="0098552A"/>
    <w:rsid w:val="00985A92"/>
    <w:rsid w:val="00986F10"/>
    <w:rsid w:val="009871FB"/>
    <w:rsid w:val="00990F07"/>
    <w:rsid w:val="009924F1"/>
    <w:rsid w:val="00992799"/>
    <w:rsid w:val="009938F0"/>
    <w:rsid w:val="0099400E"/>
    <w:rsid w:val="009A0608"/>
    <w:rsid w:val="009A175F"/>
    <w:rsid w:val="009A1D2C"/>
    <w:rsid w:val="009A1FEA"/>
    <w:rsid w:val="009A208C"/>
    <w:rsid w:val="009A2380"/>
    <w:rsid w:val="009A253E"/>
    <w:rsid w:val="009A413A"/>
    <w:rsid w:val="009A57B7"/>
    <w:rsid w:val="009A5AFD"/>
    <w:rsid w:val="009A5E76"/>
    <w:rsid w:val="009A6B95"/>
    <w:rsid w:val="009A6FC5"/>
    <w:rsid w:val="009A75B7"/>
    <w:rsid w:val="009A7877"/>
    <w:rsid w:val="009A7DB6"/>
    <w:rsid w:val="009B03DC"/>
    <w:rsid w:val="009B121F"/>
    <w:rsid w:val="009B1280"/>
    <w:rsid w:val="009B171E"/>
    <w:rsid w:val="009B1D50"/>
    <w:rsid w:val="009B2230"/>
    <w:rsid w:val="009B2CE3"/>
    <w:rsid w:val="009B353A"/>
    <w:rsid w:val="009B35DA"/>
    <w:rsid w:val="009B6176"/>
    <w:rsid w:val="009B6C04"/>
    <w:rsid w:val="009B6CEA"/>
    <w:rsid w:val="009B70BB"/>
    <w:rsid w:val="009C0163"/>
    <w:rsid w:val="009C2FF1"/>
    <w:rsid w:val="009C37FB"/>
    <w:rsid w:val="009C49F3"/>
    <w:rsid w:val="009C4C07"/>
    <w:rsid w:val="009C52A3"/>
    <w:rsid w:val="009C5742"/>
    <w:rsid w:val="009C61A2"/>
    <w:rsid w:val="009C695D"/>
    <w:rsid w:val="009D0455"/>
    <w:rsid w:val="009D1CF7"/>
    <w:rsid w:val="009D3239"/>
    <w:rsid w:val="009D3B79"/>
    <w:rsid w:val="009D3C85"/>
    <w:rsid w:val="009D412E"/>
    <w:rsid w:val="009D5662"/>
    <w:rsid w:val="009D5B53"/>
    <w:rsid w:val="009D5D17"/>
    <w:rsid w:val="009D6AEB"/>
    <w:rsid w:val="009D6B4F"/>
    <w:rsid w:val="009D6F02"/>
    <w:rsid w:val="009E00AD"/>
    <w:rsid w:val="009E0A1C"/>
    <w:rsid w:val="009E0D7C"/>
    <w:rsid w:val="009E1143"/>
    <w:rsid w:val="009E2509"/>
    <w:rsid w:val="009E363F"/>
    <w:rsid w:val="009E3A4C"/>
    <w:rsid w:val="009E41B3"/>
    <w:rsid w:val="009E5B50"/>
    <w:rsid w:val="009E5C83"/>
    <w:rsid w:val="009E65CF"/>
    <w:rsid w:val="009E7A0C"/>
    <w:rsid w:val="009F0163"/>
    <w:rsid w:val="009F1357"/>
    <w:rsid w:val="009F230D"/>
    <w:rsid w:val="009F236F"/>
    <w:rsid w:val="009F2720"/>
    <w:rsid w:val="009F38F4"/>
    <w:rsid w:val="009F3CA7"/>
    <w:rsid w:val="009F3CE0"/>
    <w:rsid w:val="009F3EBE"/>
    <w:rsid w:val="009F4267"/>
    <w:rsid w:val="009F4A2E"/>
    <w:rsid w:val="009F4CBB"/>
    <w:rsid w:val="009F5D11"/>
    <w:rsid w:val="00A00587"/>
    <w:rsid w:val="00A027BE"/>
    <w:rsid w:val="00A034C1"/>
    <w:rsid w:val="00A03634"/>
    <w:rsid w:val="00A05C65"/>
    <w:rsid w:val="00A06AC2"/>
    <w:rsid w:val="00A070B4"/>
    <w:rsid w:val="00A072EB"/>
    <w:rsid w:val="00A07D04"/>
    <w:rsid w:val="00A10087"/>
    <w:rsid w:val="00A10F62"/>
    <w:rsid w:val="00A11066"/>
    <w:rsid w:val="00A11218"/>
    <w:rsid w:val="00A11BA0"/>
    <w:rsid w:val="00A12091"/>
    <w:rsid w:val="00A1247C"/>
    <w:rsid w:val="00A12F56"/>
    <w:rsid w:val="00A133B7"/>
    <w:rsid w:val="00A13BE9"/>
    <w:rsid w:val="00A167DB"/>
    <w:rsid w:val="00A17CBF"/>
    <w:rsid w:val="00A22671"/>
    <w:rsid w:val="00A22B82"/>
    <w:rsid w:val="00A2406E"/>
    <w:rsid w:val="00A25AC5"/>
    <w:rsid w:val="00A26CE0"/>
    <w:rsid w:val="00A274F0"/>
    <w:rsid w:val="00A3024A"/>
    <w:rsid w:val="00A31AC4"/>
    <w:rsid w:val="00A31C97"/>
    <w:rsid w:val="00A31E1A"/>
    <w:rsid w:val="00A31EA9"/>
    <w:rsid w:val="00A32050"/>
    <w:rsid w:val="00A32C13"/>
    <w:rsid w:val="00A34293"/>
    <w:rsid w:val="00A356A8"/>
    <w:rsid w:val="00A35B76"/>
    <w:rsid w:val="00A361F6"/>
    <w:rsid w:val="00A36737"/>
    <w:rsid w:val="00A37B91"/>
    <w:rsid w:val="00A41A71"/>
    <w:rsid w:val="00A4203A"/>
    <w:rsid w:val="00A4285B"/>
    <w:rsid w:val="00A450DC"/>
    <w:rsid w:val="00A45423"/>
    <w:rsid w:val="00A46CE3"/>
    <w:rsid w:val="00A46EAF"/>
    <w:rsid w:val="00A47AAD"/>
    <w:rsid w:val="00A50FD6"/>
    <w:rsid w:val="00A50FEF"/>
    <w:rsid w:val="00A51593"/>
    <w:rsid w:val="00A51B94"/>
    <w:rsid w:val="00A52417"/>
    <w:rsid w:val="00A53A76"/>
    <w:rsid w:val="00A53CD9"/>
    <w:rsid w:val="00A542B4"/>
    <w:rsid w:val="00A553D4"/>
    <w:rsid w:val="00A55BFB"/>
    <w:rsid w:val="00A5602B"/>
    <w:rsid w:val="00A563AD"/>
    <w:rsid w:val="00A57096"/>
    <w:rsid w:val="00A57F78"/>
    <w:rsid w:val="00A611A0"/>
    <w:rsid w:val="00A61AC1"/>
    <w:rsid w:val="00A625D7"/>
    <w:rsid w:val="00A62D07"/>
    <w:rsid w:val="00A637E4"/>
    <w:rsid w:val="00A6458C"/>
    <w:rsid w:val="00A64FA4"/>
    <w:rsid w:val="00A65922"/>
    <w:rsid w:val="00A67AF9"/>
    <w:rsid w:val="00A7122A"/>
    <w:rsid w:val="00A72DD6"/>
    <w:rsid w:val="00A7312D"/>
    <w:rsid w:val="00A73B8C"/>
    <w:rsid w:val="00A74543"/>
    <w:rsid w:val="00A74E1F"/>
    <w:rsid w:val="00A75AE2"/>
    <w:rsid w:val="00A75D82"/>
    <w:rsid w:val="00A76A91"/>
    <w:rsid w:val="00A779B5"/>
    <w:rsid w:val="00A82677"/>
    <w:rsid w:val="00A83044"/>
    <w:rsid w:val="00A83942"/>
    <w:rsid w:val="00A83C9A"/>
    <w:rsid w:val="00A85CDF"/>
    <w:rsid w:val="00A85D11"/>
    <w:rsid w:val="00A86293"/>
    <w:rsid w:val="00A86617"/>
    <w:rsid w:val="00A90796"/>
    <w:rsid w:val="00A912F9"/>
    <w:rsid w:val="00A92A77"/>
    <w:rsid w:val="00A937FA"/>
    <w:rsid w:val="00A9428A"/>
    <w:rsid w:val="00A95104"/>
    <w:rsid w:val="00A9546F"/>
    <w:rsid w:val="00A95890"/>
    <w:rsid w:val="00A967AD"/>
    <w:rsid w:val="00A96A3B"/>
    <w:rsid w:val="00A96EA4"/>
    <w:rsid w:val="00AA0021"/>
    <w:rsid w:val="00AA1D78"/>
    <w:rsid w:val="00AA1F18"/>
    <w:rsid w:val="00AA1F64"/>
    <w:rsid w:val="00AA2562"/>
    <w:rsid w:val="00AA2B4A"/>
    <w:rsid w:val="00AA3C8D"/>
    <w:rsid w:val="00AA3D04"/>
    <w:rsid w:val="00AA4B3D"/>
    <w:rsid w:val="00AA675E"/>
    <w:rsid w:val="00AA6A96"/>
    <w:rsid w:val="00AA6BC2"/>
    <w:rsid w:val="00AB0386"/>
    <w:rsid w:val="00AB0613"/>
    <w:rsid w:val="00AB087B"/>
    <w:rsid w:val="00AB1852"/>
    <w:rsid w:val="00AB1951"/>
    <w:rsid w:val="00AB1DB1"/>
    <w:rsid w:val="00AB3549"/>
    <w:rsid w:val="00AB3956"/>
    <w:rsid w:val="00AB3CC1"/>
    <w:rsid w:val="00AB3CC4"/>
    <w:rsid w:val="00AB3E64"/>
    <w:rsid w:val="00AB3F16"/>
    <w:rsid w:val="00AB4000"/>
    <w:rsid w:val="00AB4652"/>
    <w:rsid w:val="00AB591B"/>
    <w:rsid w:val="00AB6617"/>
    <w:rsid w:val="00AB67BE"/>
    <w:rsid w:val="00AB6B24"/>
    <w:rsid w:val="00AB7203"/>
    <w:rsid w:val="00AB7C4E"/>
    <w:rsid w:val="00AC4057"/>
    <w:rsid w:val="00AC47A1"/>
    <w:rsid w:val="00AC5807"/>
    <w:rsid w:val="00AC5CCF"/>
    <w:rsid w:val="00AC6E86"/>
    <w:rsid w:val="00AC7ED5"/>
    <w:rsid w:val="00AD0746"/>
    <w:rsid w:val="00AD0A98"/>
    <w:rsid w:val="00AD1E53"/>
    <w:rsid w:val="00AD32C5"/>
    <w:rsid w:val="00AD35EF"/>
    <w:rsid w:val="00AD4491"/>
    <w:rsid w:val="00AD4A2B"/>
    <w:rsid w:val="00AD5490"/>
    <w:rsid w:val="00AD5DFC"/>
    <w:rsid w:val="00AE10D6"/>
    <w:rsid w:val="00AE13ED"/>
    <w:rsid w:val="00AE24D6"/>
    <w:rsid w:val="00AE3495"/>
    <w:rsid w:val="00AE353B"/>
    <w:rsid w:val="00AE3592"/>
    <w:rsid w:val="00AE38CF"/>
    <w:rsid w:val="00AE46B0"/>
    <w:rsid w:val="00AE5B76"/>
    <w:rsid w:val="00AE67E5"/>
    <w:rsid w:val="00AE6900"/>
    <w:rsid w:val="00AE7553"/>
    <w:rsid w:val="00AE7717"/>
    <w:rsid w:val="00AF254C"/>
    <w:rsid w:val="00AF32C1"/>
    <w:rsid w:val="00AF4537"/>
    <w:rsid w:val="00AF51C1"/>
    <w:rsid w:val="00AF5478"/>
    <w:rsid w:val="00AF6F99"/>
    <w:rsid w:val="00AF7583"/>
    <w:rsid w:val="00AF7DFE"/>
    <w:rsid w:val="00B002F2"/>
    <w:rsid w:val="00B00C0E"/>
    <w:rsid w:val="00B02491"/>
    <w:rsid w:val="00B03011"/>
    <w:rsid w:val="00B05C66"/>
    <w:rsid w:val="00B0791A"/>
    <w:rsid w:val="00B122BF"/>
    <w:rsid w:val="00B13EF6"/>
    <w:rsid w:val="00B15BE5"/>
    <w:rsid w:val="00B16A6C"/>
    <w:rsid w:val="00B16A95"/>
    <w:rsid w:val="00B16B85"/>
    <w:rsid w:val="00B16C95"/>
    <w:rsid w:val="00B205C5"/>
    <w:rsid w:val="00B20CBC"/>
    <w:rsid w:val="00B21B07"/>
    <w:rsid w:val="00B21D50"/>
    <w:rsid w:val="00B228CD"/>
    <w:rsid w:val="00B2379E"/>
    <w:rsid w:val="00B24351"/>
    <w:rsid w:val="00B24460"/>
    <w:rsid w:val="00B247CB"/>
    <w:rsid w:val="00B25075"/>
    <w:rsid w:val="00B25312"/>
    <w:rsid w:val="00B25E37"/>
    <w:rsid w:val="00B25F62"/>
    <w:rsid w:val="00B269C3"/>
    <w:rsid w:val="00B31486"/>
    <w:rsid w:val="00B31D4F"/>
    <w:rsid w:val="00B34B06"/>
    <w:rsid w:val="00B355E6"/>
    <w:rsid w:val="00B364AF"/>
    <w:rsid w:val="00B36EDA"/>
    <w:rsid w:val="00B37242"/>
    <w:rsid w:val="00B4180C"/>
    <w:rsid w:val="00B42776"/>
    <w:rsid w:val="00B42B9B"/>
    <w:rsid w:val="00B42C76"/>
    <w:rsid w:val="00B42FDE"/>
    <w:rsid w:val="00B43115"/>
    <w:rsid w:val="00B43ADD"/>
    <w:rsid w:val="00B455D9"/>
    <w:rsid w:val="00B457A7"/>
    <w:rsid w:val="00B460CD"/>
    <w:rsid w:val="00B46100"/>
    <w:rsid w:val="00B46750"/>
    <w:rsid w:val="00B47BED"/>
    <w:rsid w:val="00B51B98"/>
    <w:rsid w:val="00B527E8"/>
    <w:rsid w:val="00B52F7D"/>
    <w:rsid w:val="00B53606"/>
    <w:rsid w:val="00B53761"/>
    <w:rsid w:val="00B54B3D"/>
    <w:rsid w:val="00B54FB3"/>
    <w:rsid w:val="00B55008"/>
    <w:rsid w:val="00B5543D"/>
    <w:rsid w:val="00B55BEB"/>
    <w:rsid w:val="00B5603F"/>
    <w:rsid w:val="00B57312"/>
    <w:rsid w:val="00B61C04"/>
    <w:rsid w:val="00B61DBA"/>
    <w:rsid w:val="00B6283F"/>
    <w:rsid w:val="00B6290D"/>
    <w:rsid w:val="00B62DF0"/>
    <w:rsid w:val="00B63711"/>
    <w:rsid w:val="00B643CE"/>
    <w:rsid w:val="00B6462B"/>
    <w:rsid w:val="00B64B54"/>
    <w:rsid w:val="00B6512F"/>
    <w:rsid w:val="00B65B03"/>
    <w:rsid w:val="00B66871"/>
    <w:rsid w:val="00B67115"/>
    <w:rsid w:val="00B7037A"/>
    <w:rsid w:val="00B70E08"/>
    <w:rsid w:val="00B71076"/>
    <w:rsid w:val="00B714C4"/>
    <w:rsid w:val="00B71664"/>
    <w:rsid w:val="00B72129"/>
    <w:rsid w:val="00B735D5"/>
    <w:rsid w:val="00B73E6B"/>
    <w:rsid w:val="00B749ED"/>
    <w:rsid w:val="00B74DAC"/>
    <w:rsid w:val="00B75A9D"/>
    <w:rsid w:val="00B7629C"/>
    <w:rsid w:val="00B77129"/>
    <w:rsid w:val="00B77476"/>
    <w:rsid w:val="00B775DE"/>
    <w:rsid w:val="00B808D9"/>
    <w:rsid w:val="00B81DE1"/>
    <w:rsid w:val="00B82BBC"/>
    <w:rsid w:val="00B83649"/>
    <w:rsid w:val="00B83A54"/>
    <w:rsid w:val="00B83CE2"/>
    <w:rsid w:val="00B83E61"/>
    <w:rsid w:val="00B83E78"/>
    <w:rsid w:val="00B84476"/>
    <w:rsid w:val="00B846E6"/>
    <w:rsid w:val="00B85892"/>
    <w:rsid w:val="00B85C26"/>
    <w:rsid w:val="00B864D6"/>
    <w:rsid w:val="00B868C7"/>
    <w:rsid w:val="00B87D8D"/>
    <w:rsid w:val="00B9036A"/>
    <w:rsid w:val="00B91D15"/>
    <w:rsid w:val="00B922EF"/>
    <w:rsid w:val="00B925F5"/>
    <w:rsid w:val="00B92BF0"/>
    <w:rsid w:val="00B937A3"/>
    <w:rsid w:val="00B94603"/>
    <w:rsid w:val="00B94BB9"/>
    <w:rsid w:val="00B951A5"/>
    <w:rsid w:val="00B957C1"/>
    <w:rsid w:val="00B95A36"/>
    <w:rsid w:val="00B9606E"/>
    <w:rsid w:val="00B9643C"/>
    <w:rsid w:val="00BA08AA"/>
    <w:rsid w:val="00BA112E"/>
    <w:rsid w:val="00BA165E"/>
    <w:rsid w:val="00BA2214"/>
    <w:rsid w:val="00BA315E"/>
    <w:rsid w:val="00BA3808"/>
    <w:rsid w:val="00BA474C"/>
    <w:rsid w:val="00BA5594"/>
    <w:rsid w:val="00BA64EF"/>
    <w:rsid w:val="00BA717F"/>
    <w:rsid w:val="00BA73F2"/>
    <w:rsid w:val="00BA75B6"/>
    <w:rsid w:val="00BB122C"/>
    <w:rsid w:val="00BB27A1"/>
    <w:rsid w:val="00BB33B0"/>
    <w:rsid w:val="00BB38D3"/>
    <w:rsid w:val="00BB48A7"/>
    <w:rsid w:val="00BB4C30"/>
    <w:rsid w:val="00BB52B2"/>
    <w:rsid w:val="00BB53D1"/>
    <w:rsid w:val="00BB5A52"/>
    <w:rsid w:val="00BB6A74"/>
    <w:rsid w:val="00BB6D9B"/>
    <w:rsid w:val="00BB7BC6"/>
    <w:rsid w:val="00BC10E5"/>
    <w:rsid w:val="00BC14A2"/>
    <w:rsid w:val="00BC1939"/>
    <w:rsid w:val="00BC23E2"/>
    <w:rsid w:val="00BC3A2F"/>
    <w:rsid w:val="00BC44EB"/>
    <w:rsid w:val="00BC4DE4"/>
    <w:rsid w:val="00BC55A8"/>
    <w:rsid w:val="00BC65DC"/>
    <w:rsid w:val="00BC7280"/>
    <w:rsid w:val="00BD11FA"/>
    <w:rsid w:val="00BD2D84"/>
    <w:rsid w:val="00BD3E37"/>
    <w:rsid w:val="00BD400C"/>
    <w:rsid w:val="00BD529B"/>
    <w:rsid w:val="00BD5A3C"/>
    <w:rsid w:val="00BD5D75"/>
    <w:rsid w:val="00BD6245"/>
    <w:rsid w:val="00BD72C0"/>
    <w:rsid w:val="00BD736C"/>
    <w:rsid w:val="00BE064E"/>
    <w:rsid w:val="00BE091B"/>
    <w:rsid w:val="00BE0E64"/>
    <w:rsid w:val="00BE18AB"/>
    <w:rsid w:val="00BE2819"/>
    <w:rsid w:val="00BE327E"/>
    <w:rsid w:val="00BE390D"/>
    <w:rsid w:val="00BE3CC2"/>
    <w:rsid w:val="00BE3D0F"/>
    <w:rsid w:val="00BE4967"/>
    <w:rsid w:val="00BE52BA"/>
    <w:rsid w:val="00BE6A42"/>
    <w:rsid w:val="00BE73E3"/>
    <w:rsid w:val="00BF1E92"/>
    <w:rsid w:val="00BF37B8"/>
    <w:rsid w:val="00BF4FC3"/>
    <w:rsid w:val="00BF5FF0"/>
    <w:rsid w:val="00BF6B21"/>
    <w:rsid w:val="00BF7CF4"/>
    <w:rsid w:val="00C00904"/>
    <w:rsid w:val="00C015FC"/>
    <w:rsid w:val="00C02346"/>
    <w:rsid w:val="00C02BDE"/>
    <w:rsid w:val="00C02D5B"/>
    <w:rsid w:val="00C033AD"/>
    <w:rsid w:val="00C03C54"/>
    <w:rsid w:val="00C03C96"/>
    <w:rsid w:val="00C040D2"/>
    <w:rsid w:val="00C04594"/>
    <w:rsid w:val="00C057D3"/>
    <w:rsid w:val="00C05B62"/>
    <w:rsid w:val="00C05FA4"/>
    <w:rsid w:val="00C06B8F"/>
    <w:rsid w:val="00C11059"/>
    <w:rsid w:val="00C134E6"/>
    <w:rsid w:val="00C1360B"/>
    <w:rsid w:val="00C145C0"/>
    <w:rsid w:val="00C14E34"/>
    <w:rsid w:val="00C15842"/>
    <w:rsid w:val="00C160F8"/>
    <w:rsid w:val="00C16289"/>
    <w:rsid w:val="00C1715C"/>
    <w:rsid w:val="00C1763E"/>
    <w:rsid w:val="00C21640"/>
    <w:rsid w:val="00C22D6B"/>
    <w:rsid w:val="00C2432A"/>
    <w:rsid w:val="00C24CCE"/>
    <w:rsid w:val="00C25E75"/>
    <w:rsid w:val="00C27358"/>
    <w:rsid w:val="00C308B1"/>
    <w:rsid w:val="00C30D4A"/>
    <w:rsid w:val="00C310F5"/>
    <w:rsid w:val="00C311F0"/>
    <w:rsid w:val="00C33118"/>
    <w:rsid w:val="00C33317"/>
    <w:rsid w:val="00C3346C"/>
    <w:rsid w:val="00C33DF5"/>
    <w:rsid w:val="00C3436B"/>
    <w:rsid w:val="00C3507E"/>
    <w:rsid w:val="00C40FBA"/>
    <w:rsid w:val="00C41268"/>
    <w:rsid w:val="00C41EC2"/>
    <w:rsid w:val="00C439E5"/>
    <w:rsid w:val="00C45858"/>
    <w:rsid w:val="00C50344"/>
    <w:rsid w:val="00C50D42"/>
    <w:rsid w:val="00C50D4C"/>
    <w:rsid w:val="00C514C3"/>
    <w:rsid w:val="00C51F2B"/>
    <w:rsid w:val="00C52050"/>
    <w:rsid w:val="00C5402C"/>
    <w:rsid w:val="00C54698"/>
    <w:rsid w:val="00C55665"/>
    <w:rsid w:val="00C55CA2"/>
    <w:rsid w:val="00C565F4"/>
    <w:rsid w:val="00C56A2B"/>
    <w:rsid w:val="00C56A87"/>
    <w:rsid w:val="00C57788"/>
    <w:rsid w:val="00C57B42"/>
    <w:rsid w:val="00C60C95"/>
    <w:rsid w:val="00C61003"/>
    <w:rsid w:val="00C61552"/>
    <w:rsid w:val="00C621F3"/>
    <w:rsid w:val="00C629E0"/>
    <w:rsid w:val="00C62C70"/>
    <w:rsid w:val="00C67F83"/>
    <w:rsid w:val="00C72857"/>
    <w:rsid w:val="00C72EAE"/>
    <w:rsid w:val="00C72FC6"/>
    <w:rsid w:val="00C734CA"/>
    <w:rsid w:val="00C75A20"/>
    <w:rsid w:val="00C80531"/>
    <w:rsid w:val="00C80E0F"/>
    <w:rsid w:val="00C81343"/>
    <w:rsid w:val="00C81BAD"/>
    <w:rsid w:val="00C84747"/>
    <w:rsid w:val="00C8576C"/>
    <w:rsid w:val="00C86317"/>
    <w:rsid w:val="00C8641F"/>
    <w:rsid w:val="00C86AE8"/>
    <w:rsid w:val="00C86D91"/>
    <w:rsid w:val="00C87043"/>
    <w:rsid w:val="00C871A4"/>
    <w:rsid w:val="00C8737B"/>
    <w:rsid w:val="00C90767"/>
    <w:rsid w:val="00C90AC8"/>
    <w:rsid w:val="00C911C2"/>
    <w:rsid w:val="00C91425"/>
    <w:rsid w:val="00C91CD1"/>
    <w:rsid w:val="00C92FB0"/>
    <w:rsid w:val="00C93927"/>
    <w:rsid w:val="00C94A44"/>
    <w:rsid w:val="00C9670D"/>
    <w:rsid w:val="00C96764"/>
    <w:rsid w:val="00C97BB6"/>
    <w:rsid w:val="00C97F8C"/>
    <w:rsid w:val="00CA0B82"/>
    <w:rsid w:val="00CA0E0C"/>
    <w:rsid w:val="00CA1212"/>
    <w:rsid w:val="00CA1BF6"/>
    <w:rsid w:val="00CA1D1A"/>
    <w:rsid w:val="00CA2052"/>
    <w:rsid w:val="00CA24FD"/>
    <w:rsid w:val="00CA3874"/>
    <w:rsid w:val="00CA517F"/>
    <w:rsid w:val="00CA54A5"/>
    <w:rsid w:val="00CA71CC"/>
    <w:rsid w:val="00CA7AB1"/>
    <w:rsid w:val="00CB2A50"/>
    <w:rsid w:val="00CB5679"/>
    <w:rsid w:val="00CB6A08"/>
    <w:rsid w:val="00CB75C3"/>
    <w:rsid w:val="00CC015D"/>
    <w:rsid w:val="00CC05F0"/>
    <w:rsid w:val="00CC0B65"/>
    <w:rsid w:val="00CC366D"/>
    <w:rsid w:val="00CC4582"/>
    <w:rsid w:val="00CC4CA2"/>
    <w:rsid w:val="00CC4CB7"/>
    <w:rsid w:val="00CC529D"/>
    <w:rsid w:val="00CC5BCD"/>
    <w:rsid w:val="00CC6303"/>
    <w:rsid w:val="00CC65B3"/>
    <w:rsid w:val="00CC7E7B"/>
    <w:rsid w:val="00CD1669"/>
    <w:rsid w:val="00CD1DB0"/>
    <w:rsid w:val="00CD2496"/>
    <w:rsid w:val="00CD2635"/>
    <w:rsid w:val="00CD305C"/>
    <w:rsid w:val="00CD49F5"/>
    <w:rsid w:val="00CD572D"/>
    <w:rsid w:val="00CD5C6D"/>
    <w:rsid w:val="00CD75DA"/>
    <w:rsid w:val="00CE0B67"/>
    <w:rsid w:val="00CE11BF"/>
    <w:rsid w:val="00CE31F4"/>
    <w:rsid w:val="00CE3392"/>
    <w:rsid w:val="00CE4BCD"/>
    <w:rsid w:val="00CE6738"/>
    <w:rsid w:val="00CE6805"/>
    <w:rsid w:val="00CE6A83"/>
    <w:rsid w:val="00CF0E63"/>
    <w:rsid w:val="00CF1D89"/>
    <w:rsid w:val="00CF1FE4"/>
    <w:rsid w:val="00CF29BE"/>
    <w:rsid w:val="00CF2BDD"/>
    <w:rsid w:val="00CF3026"/>
    <w:rsid w:val="00CF4349"/>
    <w:rsid w:val="00CF53EB"/>
    <w:rsid w:val="00CF68CF"/>
    <w:rsid w:val="00CF6FEE"/>
    <w:rsid w:val="00CF727F"/>
    <w:rsid w:val="00D02AF2"/>
    <w:rsid w:val="00D034BA"/>
    <w:rsid w:val="00D037E7"/>
    <w:rsid w:val="00D03895"/>
    <w:rsid w:val="00D03DFA"/>
    <w:rsid w:val="00D0584F"/>
    <w:rsid w:val="00D05FE6"/>
    <w:rsid w:val="00D062F0"/>
    <w:rsid w:val="00D06345"/>
    <w:rsid w:val="00D070E6"/>
    <w:rsid w:val="00D12AC8"/>
    <w:rsid w:val="00D13A90"/>
    <w:rsid w:val="00D13C5F"/>
    <w:rsid w:val="00D14550"/>
    <w:rsid w:val="00D14A33"/>
    <w:rsid w:val="00D162CB"/>
    <w:rsid w:val="00D169B6"/>
    <w:rsid w:val="00D16AD7"/>
    <w:rsid w:val="00D177B9"/>
    <w:rsid w:val="00D20596"/>
    <w:rsid w:val="00D21C96"/>
    <w:rsid w:val="00D2316B"/>
    <w:rsid w:val="00D26534"/>
    <w:rsid w:val="00D26743"/>
    <w:rsid w:val="00D26759"/>
    <w:rsid w:val="00D2775C"/>
    <w:rsid w:val="00D27DFD"/>
    <w:rsid w:val="00D30E79"/>
    <w:rsid w:val="00D30EA7"/>
    <w:rsid w:val="00D33679"/>
    <w:rsid w:val="00D33BB2"/>
    <w:rsid w:val="00D33CA2"/>
    <w:rsid w:val="00D340F1"/>
    <w:rsid w:val="00D344A1"/>
    <w:rsid w:val="00D346AC"/>
    <w:rsid w:val="00D34BDA"/>
    <w:rsid w:val="00D41298"/>
    <w:rsid w:val="00D414EB"/>
    <w:rsid w:val="00D446A9"/>
    <w:rsid w:val="00D44A70"/>
    <w:rsid w:val="00D473DF"/>
    <w:rsid w:val="00D4780D"/>
    <w:rsid w:val="00D51194"/>
    <w:rsid w:val="00D519B5"/>
    <w:rsid w:val="00D51F47"/>
    <w:rsid w:val="00D52367"/>
    <w:rsid w:val="00D528BA"/>
    <w:rsid w:val="00D53016"/>
    <w:rsid w:val="00D53753"/>
    <w:rsid w:val="00D53E26"/>
    <w:rsid w:val="00D54410"/>
    <w:rsid w:val="00D5488A"/>
    <w:rsid w:val="00D552A5"/>
    <w:rsid w:val="00D56EB5"/>
    <w:rsid w:val="00D578C1"/>
    <w:rsid w:val="00D57D56"/>
    <w:rsid w:val="00D57E84"/>
    <w:rsid w:val="00D60A4B"/>
    <w:rsid w:val="00D60D33"/>
    <w:rsid w:val="00D617AE"/>
    <w:rsid w:val="00D617E0"/>
    <w:rsid w:val="00D618E3"/>
    <w:rsid w:val="00D62B52"/>
    <w:rsid w:val="00D64BA2"/>
    <w:rsid w:val="00D656FB"/>
    <w:rsid w:val="00D65A54"/>
    <w:rsid w:val="00D66354"/>
    <w:rsid w:val="00D66AE3"/>
    <w:rsid w:val="00D66C7B"/>
    <w:rsid w:val="00D67C86"/>
    <w:rsid w:val="00D70894"/>
    <w:rsid w:val="00D70B4E"/>
    <w:rsid w:val="00D717F9"/>
    <w:rsid w:val="00D72404"/>
    <w:rsid w:val="00D72DF6"/>
    <w:rsid w:val="00D749AE"/>
    <w:rsid w:val="00D80175"/>
    <w:rsid w:val="00D8021B"/>
    <w:rsid w:val="00D808AE"/>
    <w:rsid w:val="00D80A3B"/>
    <w:rsid w:val="00D80F18"/>
    <w:rsid w:val="00D81348"/>
    <w:rsid w:val="00D81478"/>
    <w:rsid w:val="00D81D37"/>
    <w:rsid w:val="00D8287B"/>
    <w:rsid w:val="00D83854"/>
    <w:rsid w:val="00D83D47"/>
    <w:rsid w:val="00D8449A"/>
    <w:rsid w:val="00D85523"/>
    <w:rsid w:val="00D85AF6"/>
    <w:rsid w:val="00D86194"/>
    <w:rsid w:val="00D8639E"/>
    <w:rsid w:val="00D86F8A"/>
    <w:rsid w:val="00D87CD5"/>
    <w:rsid w:val="00D87F87"/>
    <w:rsid w:val="00D90CAD"/>
    <w:rsid w:val="00D91004"/>
    <w:rsid w:val="00D9209F"/>
    <w:rsid w:val="00D930FE"/>
    <w:rsid w:val="00D95AFC"/>
    <w:rsid w:val="00D96436"/>
    <w:rsid w:val="00D96A4A"/>
    <w:rsid w:val="00D97431"/>
    <w:rsid w:val="00DA040A"/>
    <w:rsid w:val="00DA1ABA"/>
    <w:rsid w:val="00DA1B6B"/>
    <w:rsid w:val="00DA2859"/>
    <w:rsid w:val="00DA287B"/>
    <w:rsid w:val="00DA56EC"/>
    <w:rsid w:val="00DA6385"/>
    <w:rsid w:val="00DA74F0"/>
    <w:rsid w:val="00DB07D1"/>
    <w:rsid w:val="00DB0EB5"/>
    <w:rsid w:val="00DB1852"/>
    <w:rsid w:val="00DB1A42"/>
    <w:rsid w:val="00DB2B02"/>
    <w:rsid w:val="00DB2ED0"/>
    <w:rsid w:val="00DB36A3"/>
    <w:rsid w:val="00DB3775"/>
    <w:rsid w:val="00DB431B"/>
    <w:rsid w:val="00DB4A7B"/>
    <w:rsid w:val="00DB7ADC"/>
    <w:rsid w:val="00DC0E4E"/>
    <w:rsid w:val="00DC29E3"/>
    <w:rsid w:val="00DC3741"/>
    <w:rsid w:val="00DC4B6D"/>
    <w:rsid w:val="00DC5F2E"/>
    <w:rsid w:val="00DC6C12"/>
    <w:rsid w:val="00DC73CC"/>
    <w:rsid w:val="00DC740E"/>
    <w:rsid w:val="00DD0E32"/>
    <w:rsid w:val="00DD1159"/>
    <w:rsid w:val="00DD2705"/>
    <w:rsid w:val="00DD3B75"/>
    <w:rsid w:val="00DD3D25"/>
    <w:rsid w:val="00DD401E"/>
    <w:rsid w:val="00DD5383"/>
    <w:rsid w:val="00DD649C"/>
    <w:rsid w:val="00DD717F"/>
    <w:rsid w:val="00DD7876"/>
    <w:rsid w:val="00DE0029"/>
    <w:rsid w:val="00DE081A"/>
    <w:rsid w:val="00DE0E90"/>
    <w:rsid w:val="00DE1393"/>
    <w:rsid w:val="00DE3221"/>
    <w:rsid w:val="00DE33E5"/>
    <w:rsid w:val="00DE36E1"/>
    <w:rsid w:val="00DE3F34"/>
    <w:rsid w:val="00DE4222"/>
    <w:rsid w:val="00DE429E"/>
    <w:rsid w:val="00DE4EC7"/>
    <w:rsid w:val="00DE60B1"/>
    <w:rsid w:val="00DE6C81"/>
    <w:rsid w:val="00DE6D45"/>
    <w:rsid w:val="00DF014E"/>
    <w:rsid w:val="00DF1616"/>
    <w:rsid w:val="00DF270A"/>
    <w:rsid w:val="00DF2EE1"/>
    <w:rsid w:val="00DF5642"/>
    <w:rsid w:val="00DF6876"/>
    <w:rsid w:val="00DF6E9F"/>
    <w:rsid w:val="00DF6F6A"/>
    <w:rsid w:val="00E0076C"/>
    <w:rsid w:val="00E01863"/>
    <w:rsid w:val="00E04D79"/>
    <w:rsid w:val="00E05BD1"/>
    <w:rsid w:val="00E05C4F"/>
    <w:rsid w:val="00E07878"/>
    <w:rsid w:val="00E07ECF"/>
    <w:rsid w:val="00E119B0"/>
    <w:rsid w:val="00E120A4"/>
    <w:rsid w:val="00E124B5"/>
    <w:rsid w:val="00E140D0"/>
    <w:rsid w:val="00E144FD"/>
    <w:rsid w:val="00E15071"/>
    <w:rsid w:val="00E1563F"/>
    <w:rsid w:val="00E157DC"/>
    <w:rsid w:val="00E15921"/>
    <w:rsid w:val="00E15E80"/>
    <w:rsid w:val="00E160AA"/>
    <w:rsid w:val="00E16FCC"/>
    <w:rsid w:val="00E1705D"/>
    <w:rsid w:val="00E20B2A"/>
    <w:rsid w:val="00E20CF6"/>
    <w:rsid w:val="00E21A57"/>
    <w:rsid w:val="00E24415"/>
    <w:rsid w:val="00E254BE"/>
    <w:rsid w:val="00E27365"/>
    <w:rsid w:val="00E310E9"/>
    <w:rsid w:val="00E31297"/>
    <w:rsid w:val="00E32642"/>
    <w:rsid w:val="00E33AD6"/>
    <w:rsid w:val="00E33FEC"/>
    <w:rsid w:val="00E355F3"/>
    <w:rsid w:val="00E35784"/>
    <w:rsid w:val="00E362E8"/>
    <w:rsid w:val="00E36427"/>
    <w:rsid w:val="00E4113F"/>
    <w:rsid w:val="00E4139A"/>
    <w:rsid w:val="00E417A1"/>
    <w:rsid w:val="00E4212F"/>
    <w:rsid w:val="00E4220A"/>
    <w:rsid w:val="00E429ED"/>
    <w:rsid w:val="00E43EE2"/>
    <w:rsid w:val="00E4627E"/>
    <w:rsid w:val="00E462CA"/>
    <w:rsid w:val="00E46959"/>
    <w:rsid w:val="00E46AF5"/>
    <w:rsid w:val="00E4740E"/>
    <w:rsid w:val="00E50B26"/>
    <w:rsid w:val="00E50B4D"/>
    <w:rsid w:val="00E50F69"/>
    <w:rsid w:val="00E510C7"/>
    <w:rsid w:val="00E5157C"/>
    <w:rsid w:val="00E51D91"/>
    <w:rsid w:val="00E52072"/>
    <w:rsid w:val="00E521F4"/>
    <w:rsid w:val="00E52DFE"/>
    <w:rsid w:val="00E5311B"/>
    <w:rsid w:val="00E552AC"/>
    <w:rsid w:val="00E5615B"/>
    <w:rsid w:val="00E564C4"/>
    <w:rsid w:val="00E56B4C"/>
    <w:rsid w:val="00E56E62"/>
    <w:rsid w:val="00E5707B"/>
    <w:rsid w:val="00E5724F"/>
    <w:rsid w:val="00E57631"/>
    <w:rsid w:val="00E605BE"/>
    <w:rsid w:val="00E6127D"/>
    <w:rsid w:val="00E61767"/>
    <w:rsid w:val="00E61CF0"/>
    <w:rsid w:val="00E61E86"/>
    <w:rsid w:val="00E61EE4"/>
    <w:rsid w:val="00E62D99"/>
    <w:rsid w:val="00E62EE2"/>
    <w:rsid w:val="00E63153"/>
    <w:rsid w:val="00E65170"/>
    <w:rsid w:val="00E662C1"/>
    <w:rsid w:val="00E66553"/>
    <w:rsid w:val="00E67F29"/>
    <w:rsid w:val="00E70562"/>
    <w:rsid w:val="00E70EBA"/>
    <w:rsid w:val="00E7109D"/>
    <w:rsid w:val="00E7326F"/>
    <w:rsid w:val="00E73605"/>
    <w:rsid w:val="00E73A6C"/>
    <w:rsid w:val="00E7488F"/>
    <w:rsid w:val="00E77B65"/>
    <w:rsid w:val="00E77D6C"/>
    <w:rsid w:val="00E80FE7"/>
    <w:rsid w:val="00E81362"/>
    <w:rsid w:val="00E81D03"/>
    <w:rsid w:val="00E82779"/>
    <w:rsid w:val="00E82C7F"/>
    <w:rsid w:val="00E83E9F"/>
    <w:rsid w:val="00E84672"/>
    <w:rsid w:val="00E84C5B"/>
    <w:rsid w:val="00E85609"/>
    <w:rsid w:val="00E85699"/>
    <w:rsid w:val="00E862D9"/>
    <w:rsid w:val="00E866A7"/>
    <w:rsid w:val="00E86749"/>
    <w:rsid w:val="00E87B9D"/>
    <w:rsid w:val="00E87BCB"/>
    <w:rsid w:val="00E90607"/>
    <w:rsid w:val="00E90ACC"/>
    <w:rsid w:val="00E90D94"/>
    <w:rsid w:val="00E91653"/>
    <w:rsid w:val="00E91F9C"/>
    <w:rsid w:val="00E91FF5"/>
    <w:rsid w:val="00E927FF"/>
    <w:rsid w:val="00E93B69"/>
    <w:rsid w:val="00E93F90"/>
    <w:rsid w:val="00E940C7"/>
    <w:rsid w:val="00E95099"/>
    <w:rsid w:val="00E964BC"/>
    <w:rsid w:val="00E966C7"/>
    <w:rsid w:val="00E967AC"/>
    <w:rsid w:val="00E968A0"/>
    <w:rsid w:val="00E973BE"/>
    <w:rsid w:val="00E97A8F"/>
    <w:rsid w:val="00EA0624"/>
    <w:rsid w:val="00EA0C91"/>
    <w:rsid w:val="00EA14EC"/>
    <w:rsid w:val="00EA2341"/>
    <w:rsid w:val="00EA25B8"/>
    <w:rsid w:val="00EA2AC2"/>
    <w:rsid w:val="00EA2B56"/>
    <w:rsid w:val="00EA7347"/>
    <w:rsid w:val="00EB0051"/>
    <w:rsid w:val="00EB01EE"/>
    <w:rsid w:val="00EB021B"/>
    <w:rsid w:val="00EB02F2"/>
    <w:rsid w:val="00EB0701"/>
    <w:rsid w:val="00EB1186"/>
    <w:rsid w:val="00EB1B22"/>
    <w:rsid w:val="00EB25E6"/>
    <w:rsid w:val="00EB37DE"/>
    <w:rsid w:val="00EB40C3"/>
    <w:rsid w:val="00EB48D5"/>
    <w:rsid w:val="00EB4CED"/>
    <w:rsid w:val="00EB513F"/>
    <w:rsid w:val="00EB6022"/>
    <w:rsid w:val="00EB6186"/>
    <w:rsid w:val="00EB7991"/>
    <w:rsid w:val="00EC03D8"/>
    <w:rsid w:val="00EC0A60"/>
    <w:rsid w:val="00EC13C7"/>
    <w:rsid w:val="00EC206A"/>
    <w:rsid w:val="00EC3516"/>
    <w:rsid w:val="00EC3591"/>
    <w:rsid w:val="00EC3983"/>
    <w:rsid w:val="00EC4B7C"/>
    <w:rsid w:val="00EC4D49"/>
    <w:rsid w:val="00EC5140"/>
    <w:rsid w:val="00EC57A4"/>
    <w:rsid w:val="00EC6A3E"/>
    <w:rsid w:val="00ED1376"/>
    <w:rsid w:val="00ED290B"/>
    <w:rsid w:val="00ED361B"/>
    <w:rsid w:val="00ED429C"/>
    <w:rsid w:val="00ED48DB"/>
    <w:rsid w:val="00ED537D"/>
    <w:rsid w:val="00ED6732"/>
    <w:rsid w:val="00ED7CF0"/>
    <w:rsid w:val="00EE0016"/>
    <w:rsid w:val="00EE11AE"/>
    <w:rsid w:val="00EE1C5B"/>
    <w:rsid w:val="00EE24BC"/>
    <w:rsid w:val="00EE26F5"/>
    <w:rsid w:val="00EE2EFB"/>
    <w:rsid w:val="00EE3559"/>
    <w:rsid w:val="00EE37A5"/>
    <w:rsid w:val="00EE3C60"/>
    <w:rsid w:val="00EE4612"/>
    <w:rsid w:val="00EE59FB"/>
    <w:rsid w:val="00EE5B5D"/>
    <w:rsid w:val="00EE6C98"/>
    <w:rsid w:val="00EE728B"/>
    <w:rsid w:val="00EF1771"/>
    <w:rsid w:val="00EF2C6C"/>
    <w:rsid w:val="00EF5BA0"/>
    <w:rsid w:val="00EF6F3B"/>
    <w:rsid w:val="00EF7ACD"/>
    <w:rsid w:val="00F006CC"/>
    <w:rsid w:val="00F0088D"/>
    <w:rsid w:val="00F00A82"/>
    <w:rsid w:val="00F01DEC"/>
    <w:rsid w:val="00F03192"/>
    <w:rsid w:val="00F031B7"/>
    <w:rsid w:val="00F06D05"/>
    <w:rsid w:val="00F0704F"/>
    <w:rsid w:val="00F10A0C"/>
    <w:rsid w:val="00F123D5"/>
    <w:rsid w:val="00F13503"/>
    <w:rsid w:val="00F13677"/>
    <w:rsid w:val="00F14045"/>
    <w:rsid w:val="00F146F5"/>
    <w:rsid w:val="00F14B0B"/>
    <w:rsid w:val="00F20626"/>
    <w:rsid w:val="00F207F7"/>
    <w:rsid w:val="00F20DAD"/>
    <w:rsid w:val="00F218E0"/>
    <w:rsid w:val="00F224DB"/>
    <w:rsid w:val="00F22D86"/>
    <w:rsid w:val="00F25916"/>
    <w:rsid w:val="00F25992"/>
    <w:rsid w:val="00F259A7"/>
    <w:rsid w:val="00F25E9F"/>
    <w:rsid w:val="00F25EAB"/>
    <w:rsid w:val="00F2626F"/>
    <w:rsid w:val="00F27A1C"/>
    <w:rsid w:val="00F3076A"/>
    <w:rsid w:val="00F309FB"/>
    <w:rsid w:val="00F30DA4"/>
    <w:rsid w:val="00F3110C"/>
    <w:rsid w:val="00F3213F"/>
    <w:rsid w:val="00F3234B"/>
    <w:rsid w:val="00F32EDB"/>
    <w:rsid w:val="00F33B80"/>
    <w:rsid w:val="00F3530F"/>
    <w:rsid w:val="00F36F66"/>
    <w:rsid w:val="00F371F6"/>
    <w:rsid w:val="00F37C55"/>
    <w:rsid w:val="00F4000A"/>
    <w:rsid w:val="00F41EEE"/>
    <w:rsid w:val="00F423AD"/>
    <w:rsid w:val="00F42D9D"/>
    <w:rsid w:val="00F43E9A"/>
    <w:rsid w:val="00F44345"/>
    <w:rsid w:val="00F44595"/>
    <w:rsid w:val="00F50429"/>
    <w:rsid w:val="00F51931"/>
    <w:rsid w:val="00F525DE"/>
    <w:rsid w:val="00F53104"/>
    <w:rsid w:val="00F543E2"/>
    <w:rsid w:val="00F5470C"/>
    <w:rsid w:val="00F54D02"/>
    <w:rsid w:val="00F570FC"/>
    <w:rsid w:val="00F57121"/>
    <w:rsid w:val="00F57126"/>
    <w:rsid w:val="00F573FB"/>
    <w:rsid w:val="00F57DC6"/>
    <w:rsid w:val="00F6030C"/>
    <w:rsid w:val="00F606E3"/>
    <w:rsid w:val="00F611DA"/>
    <w:rsid w:val="00F62A38"/>
    <w:rsid w:val="00F64C01"/>
    <w:rsid w:val="00F64FA2"/>
    <w:rsid w:val="00F658F9"/>
    <w:rsid w:val="00F65EE6"/>
    <w:rsid w:val="00F6648B"/>
    <w:rsid w:val="00F66516"/>
    <w:rsid w:val="00F66BAE"/>
    <w:rsid w:val="00F67B9D"/>
    <w:rsid w:val="00F719F3"/>
    <w:rsid w:val="00F7221D"/>
    <w:rsid w:val="00F72AC4"/>
    <w:rsid w:val="00F72CE1"/>
    <w:rsid w:val="00F74D7B"/>
    <w:rsid w:val="00F75005"/>
    <w:rsid w:val="00F75474"/>
    <w:rsid w:val="00F76183"/>
    <w:rsid w:val="00F7696B"/>
    <w:rsid w:val="00F77366"/>
    <w:rsid w:val="00F77566"/>
    <w:rsid w:val="00F77EF8"/>
    <w:rsid w:val="00F807E0"/>
    <w:rsid w:val="00F80805"/>
    <w:rsid w:val="00F811F6"/>
    <w:rsid w:val="00F813FD"/>
    <w:rsid w:val="00F81DE7"/>
    <w:rsid w:val="00F82246"/>
    <w:rsid w:val="00F8258B"/>
    <w:rsid w:val="00F82A0A"/>
    <w:rsid w:val="00F834EF"/>
    <w:rsid w:val="00F846D2"/>
    <w:rsid w:val="00F85383"/>
    <w:rsid w:val="00F85389"/>
    <w:rsid w:val="00F856DD"/>
    <w:rsid w:val="00F85BFF"/>
    <w:rsid w:val="00F86301"/>
    <w:rsid w:val="00F873B4"/>
    <w:rsid w:val="00F87FD7"/>
    <w:rsid w:val="00F906BB"/>
    <w:rsid w:val="00F91078"/>
    <w:rsid w:val="00F914E0"/>
    <w:rsid w:val="00F9156F"/>
    <w:rsid w:val="00F917C1"/>
    <w:rsid w:val="00F917C2"/>
    <w:rsid w:val="00F91B56"/>
    <w:rsid w:val="00F9249C"/>
    <w:rsid w:val="00F9272E"/>
    <w:rsid w:val="00F92884"/>
    <w:rsid w:val="00F9301D"/>
    <w:rsid w:val="00F938A7"/>
    <w:rsid w:val="00F93B77"/>
    <w:rsid w:val="00F93F81"/>
    <w:rsid w:val="00F946A9"/>
    <w:rsid w:val="00F9485B"/>
    <w:rsid w:val="00F948A6"/>
    <w:rsid w:val="00F961F0"/>
    <w:rsid w:val="00F96C4F"/>
    <w:rsid w:val="00F97511"/>
    <w:rsid w:val="00FA09CC"/>
    <w:rsid w:val="00FA0EED"/>
    <w:rsid w:val="00FA1822"/>
    <w:rsid w:val="00FA2F86"/>
    <w:rsid w:val="00FA369E"/>
    <w:rsid w:val="00FA542D"/>
    <w:rsid w:val="00FA5ED3"/>
    <w:rsid w:val="00FA5EEB"/>
    <w:rsid w:val="00FA6205"/>
    <w:rsid w:val="00FA637D"/>
    <w:rsid w:val="00FA65F0"/>
    <w:rsid w:val="00FA6798"/>
    <w:rsid w:val="00FA7C70"/>
    <w:rsid w:val="00FB1A9F"/>
    <w:rsid w:val="00FB23BC"/>
    <w:rsid w:val="00FB4D8D"/>
    <w:rsid w:val="00FB6622"/>
    <w:rsid w:val="00FB67AE"/>
    <w:rsid w:val="00FB6F06"/>
    <w:rsid w:val="00FB7484"/>
    <w:rsid w:val="00FB75AC"/>
    <w:rsid w:val="00FB7FBE"/>
    <w:rsid w:val="00FC1ABE"/>
    <w:rsid w:val="00FC2EBB"/>
    <w:rsid w:val="00FC3F3F"/>
    <w:rsid w:val="00FC4862"/>
    <w:rsid w:val="00FC4968"/>
    <w:rsid w:val="00FC6649"/>
    <w:rsid w:val="00FC6C2C"/>
    <w:rsid w:val="00FC6D89"/>
    <w:rsid w:val="00FC7110"/>
    <w:rsid w:val="00FD06A4"/>
    <w:rsid w:val="00FD06EC"/>
    <w:rsid w:val="00FD1119"/>
    <w:rsid w:val="00FD12B3"/>
    <w:rsid w:val="00FD133D"/>
    <w:rsid w:val="00FD2511"/>
    <w:rsid w:val="00FD2A4F"/>
    <w:rsid w:val="00FD2F48"/>
    <w:rsid w:val="00FD356F"/>
    <w:rsid w:val="00FD35AA"/>
    <w:rsid w:val="00FD4589"/>
    <w:rsid w:val="00FD4653"/>
    <w:rsid w:val="00FD6A5A"/>
    <w:rsid w:val="00FD7CFB"/>
    <w:rsid w:val="00FD7F9A"/>
    <w:rsid w:val="00FD7FFE"/>
    <w:rsid w:val="00FE0CB1"/>
    <w:rsid w:val="00FE163E"/>
    <w:rsid w:val="00FE18B7"/>
    <w:rsid w:val="00FE21B6"/>
    <w:rsid w:val="00FE29E2"/>
    <w:rsid w:val="00FE431A"/>
    <w:rsid w:val="00FE4526"/>
    <w:rsid w:val="00FE4729"/>
    <w:rsid w:val="00FE4AE4"/>
    <w:rsid w:val="00FE5147"/>
    <w:rsid w:val="00FE57E7"/>
    <w:rsid w:val="00FE580E"/>
    <w:rsid w:val="00FF02DC"/>
    <w:rsid w:val="00FF0C00"/>
    <w:rsid w:val="00FF0D2F"/>
    <w:rsid w:val="00FF4127"/>
    <w:rsid w:val="00FF422B"/>
    <w:rsid w:val="00FF4C84"/>
    <w:rsid w:val="00FF5320"/>
    <w:rsid w:val="00FF56B4"/>
    <w:rsid w:val="00FF5E54"/>
    <w:rsid w:val="00FF60EC"/>
    <w:rsid w:val="00FF64A3"/>
    <w:rsid w:val="01063575"/>
    <w:rsid w:val="01087A2D"/>
    <w:rsid w:val="012F162B"/>
    <w:rsid w:val="0150476F"/>
    <w:rsid w:val="0179A29F"/>
    <w:rsid w:val="018B9220"/>
    <w:rsid w:val="0194DF1D"/>
    <w:rsid w:val="01E9DDF1"/>
    <w:rsid w:val="0256E06F"/>
    <w:rsid w:val="025C4C4B"/>
    <w:rsid w:val="027670D1"/>
    <w:rsid w:val="03021B42"/>
    <w:rsid w:val="03481FBD"/>
    <w:rsid w:val="03EA3103"/>
    <w:rsid w:val="03EF2E9C"/>
    <w:rsid w:val="043B2F16"/>
    <w:rsid w:val="043D8B23"/>
    <w:rsid w:val="04704748"/>
    <w:rsid w:val="04744FC1"/>
    <w:rsid w:val="04BAA921"/>
    <w:rsid w:val="0534A627"/>
    <w:rsid w:val="053D855E"/>
    <w:rsid w:val="06185CCF"/>
    <w:rsid w:val="06219647"/>
    <w:rsid w:val="06332ECE"/>
    <w:rsid w:val="0682079D"/>
    <w:rsid w:val="078B334C"/>
    <w:rsid w:val="07BC7D4A"/>
    <w:rsid w:val="07D2D759"/>
    <w:rsid w:val="07DFB964"/>
    <w:rsid w:val="07F0BC6E"/>
    <w:rsid w:val="08090FAE"/>
    <w:rsid w:val="08C2E595"/>
    <w:rsid w:val="08FA0D5A"/>
    <w:rsid w:val="09471E32"/>
    <w:rsid w:val="09739A67"/>
    <w:rsid w:val="099D4A26"/>
    <w:rsid w:val="09C26A0E"/>
    <w:rsid w:val="09C27316"/>
    <w:rsid w:val="09CB52FB"/>
    <w:rsid w:val="09CF3FD9"/>
    <w:rsid w:val="0A2BA226"/>
    <w:rsid w:val="0A2EA914"/>
    <w:rsid w:val="0A93A510"/>
    <w:rsid w:val="0AC6697B"/>
    <w:rsid w:val="0B54E9EA"/>
    <w:rsid w:val="0B9BFFBD"/>
    <w:rsid w:val="0BF8ABF1"/>
    <w:rsid w:val="0CBB8579"/>
    <w:rsid w:val="0CC2A0E9"/>
    <w:rsid w:val="0D15A6FA"/>
    <w:rsid w:val="0D9E337C"/>
    <w:rsid w:val="0E3FA96B"/>
    <w:rsid w:val="0E614809"/>
    <w:rsid w:val="0EC9BF96"/>
    <w:rsid w:val="0EF9D3EC"/>
    <w:rsid w:val="0F610426"/>
    <w:rsid w:val="0F64678E"/>
    <w:rsid w:val="0F652C30"/>
    <w:rsid w:val="0F6BB646"/>
    <w:rsid w:val="0FBD010A"/>
    <w:rsid w:val="110449ED"/>
    <w:rsid w:val="112486BA"/>
    <w:rsid w:val="113614E7"/>
    <w:rsid w:val="11E31AD4"/>
    <w:rsid w:val="11F54A52"/>
    <w:rsid w:val="12804C83"/>
    <w:rsid w:val="12D310AC"/>
    <w:rsid w:val="12F8545B"/>
    <w:rsid w:val="130AC8D4"/>
    <w:rsid w:val="131CF05B"/>
    <w:rsid w:val="1364F78C"/>
    <w:rsid w:val="137D7083"/>
    <w:rsid w:val="13977659"/>
    <w:rsid w:val="13EFFFA4"/>
    <w:rsid w:val="13F00A5B"/>
    <w:rsid w:val="13FC5829"/>
    <w:rsid w:val="14092696"/>
    <w:rsid w:val="1439B604"/>
    <w:rsid w:val="14466FFB"/>
    <w:rsid w:val="147A580A"/>
    <w:rsid w:val="14BBE067"/>
    <w:rsid w:val="14CC34AB"/>
    <w:rsid w:val="1511A99C"/>
    <w:rsid w:val="151443DE"/>
    <w:rsid w:val="152C9CCD"/>
    <w:rsid w:val="1531D389"/>
    <w:rsid w:val="15469508"/>
    <w:rsid w:val="1549CC56"/>
    <w:rsid w:val="1557A2FA"/>
    <w:rsid w:val="158A5AE7"/>
    <w:rsid w:val="15A33C25"/>
    <w:rsid w:val="15BE460C"/>
    <w:rsid w:val="15E7BF2D"/>
    <w:rsid w:val="16A89947"/>
    <w:rsid w:val="16C15054"/>
    <w:rsid w:val="16F28A62"/>
    <w:rsid w:val="17039E65"/>
    <w:rsid w:val="1750A695"/>
    <w:rsid w:val="176545C3"/>
    <w:rsid w:val="179F6CB1"/>
    <w:rsid w:val="17B02ED0"/>
    <w:rsid w:val="17E88B84"/>
    <w:rsid w:val="1864FAF2"/>
    <w:rsid w:val="186AFA3D"/>
    <w:rsid w:val="18C4068B"/>
    <w:rsid w:val="199871A3"/>
    <w:rsid w:val="19B7D4D4"/>
    <w:rsid w:val="19DAFECD"/>
    <w:rsid w:val="19E50FA9"/>
    <w:rsid w:val="1A273076"/>
    <w:rsid w:val="1A2B7C67"/>
    <w:rsid w:val="1A590AEB"/>
    <w:rsid w:val="1A9DFBB3"/>
    <w:rsid w:val="1AB15E45"/>
    <w:rsid w:val="1AB628F7"/>
    <w:rsid w:val="1B0A6A39"/>
    <w:rsid w:val="1B143381"/>
    <w:rsid w:val="1B77C2D0"/>
    <w:rsid w:val="1BA4D981"/>
    <w:rsid w:val="1BEE8105"/>
    <w:rsid w:val="1C5C39B2"/>
    <w:rsid w:val="1C7929D1"/>
    <w:rsid w:val="1C8EF74A"/>
    <w:rsid w:val="1CC999BA"/>
    <w:rsid w:val="1CD504FC"/>
    <w:rsid w:val="1CF41711"/>
    <w:rsid w:val="1D116AA6"/>
    <w:rsid w:val="1D335FDC"/>
    <w:rsid w:val="1D797D1C"/>
    <w:rsid w:val="1DEC7ADA"/>
    <w:rsid w:val="1DEE311B"/>
    <w:rsid w:val="1E29F501"/>
    <w:rsid w:val="1EB8BF44"/>
    <w:rsid w:val="1EBCAAAD"/>
    <w:rsid w:val="1EC64C79"/>
    <w:rsid w:val="1EF5CEEA"/>
    <w:rsid w:val="1F3FDB9F"/>
    <w:rsid w:val="1F5E112B"/>
    <w:rsid w:val="1F8B7DEF"/>
    <w:rsid w:val="2049C0F2"/>
    <w:rsid w:val="205D3B38"/>
    <w:rsid w:val="206859B6"/>
    <w:rsid w:val="20FD447E"/>
    <w:rsid w:val="2103A345"/>
    <w:rsid w:val="2104143B"/>
    <w:rsid w:val="216E5AC5"/>
    <w:rsid w:val="218FD1CC"/>
    <w:rsid w:val="21C1BD07"/>
    <w:rsid w:val="21CD52BB"/>
    <w:rsid w:val="21EF4C6D"/>
    <w:rsid w:val="22105083"/>
    <w:rsid w:val="22168275"/>
    <w:rsid w:val="22A1F119"/>
    <w:rsid w:val="234C2B2B"/>
    <w:rsid w:val="235C49A1"/>
    <w:rsid w:val="236C9673"/>
    <w:rsid w:val="237EFFBA"/>
    <w:rsid w:val="23B68713"/>
    <w:rsid w:val="2415DD3F"/>
    <w:rsid w:val="2432CCAE"/>
    <w:rsid w:val="244EDBAA"/>
    <w:rsid w:val="2480464C"/>
    <w:rsid w:val="24E87FAF"/>
    <w:rsid w:val="252300F4"/>
    <w:rsid w:val="2556E82F"/>
    <w:rsid w:val="255C3081"/>
    <w:rsid w:val="2577963E"/>
    <w:rsid w:val="257D7E61"/>
    <w:rsid w:val="25B14D1C"/>
    <w:rsid w:val="25BF1B06"/>
    <w:rsid w:val="25CCBA6E"/>
    <w:rsid w:val="25FEC758"/>
    <w:rsid w:val="263E0D75"/>
    <w:rsid w:val="265EBBFA"/>
    <w:rsid w:val="268CD47D"/>
    <w:rsid w:val="26A31412"/>
    <w:rsid w:val="26A3E900"/>
    <w:rsid w:val="26BBA98C"/>
    <w:rsid w:val="26FDAE94"/>
    <w:rsid w:val="270E2E09"/>
    <w:rsid w:val="272CB3C1"/>
    <w:rsid w:val="27DC8E35"/>
    <w:rsid w:val="2816F173"/>
    <w:rsid w:val="2874D237"/>
    <w:rsid w:val="288F1017"/>
    <w:rsid w:val="2900C54A"/>
    <w:rsid w:val="2970265A"/>
    <w:rsid w:val="2979B35C"/>
    <w:rsid w:val="29B1683E"/>
    <w:rsid w:val="2A33B6AC"/>
    <w:rsid w:val="2A496DB7"/>
    <w:rsid w:val="2A590BAC"/>
    <w:rsid w:val="2AE139BB"/>
    <w:rsid w:val="2AECE575"/>
    <w:rsid w:val="2B27938B"/>
    <w:rsid w:val="2B3C4141"/>
    <w:rsid w:val="2B4661F7"/>
    <w:rsid w:val="2B7BCEDD"/>
    <w:rsid w:val="2C148960"/>
    <w:rsid w:val="2C287950"/>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92FD8"/>
    <w:rsid w:val="2F835EC8"/>
    <w:rsid w:val="2FC4942D"/>
    <w:rsid w:val="2FDC21A0"/>
    <w:rsid w:val="306D8536"/>
    <w:rsid w:val="30E22E7D"/>
    <w:rsid w:val="3166FDE8"/>
    <w:rsid w:val="3168DB98"/>
    <w:rsid w:val="31713A35"/>
    <w:rsid w:val="317CEA4F"/>
    <w:rsid w:val="318120C4"/>
    <w:rsid w:val="31A486F4"/>
    <w:rsid w:val="31D6FE52"/>
    <w:rsid w:val="31DE99DC"/>
    <w:rsid w:val="31DF96D1"/>
    <w:rsid w:val="31E55379"/>
    <w:rsid w:val="31F254F0"/>
    <w:rsid w:val="322137F7"/>
    <w:rsid w:val="322D097C"/>
    <w:rsid w:val="326B51ED"/>
    <w:rsid w:val="327465D3"/>
    <w:rsid w:val="32753B3E"/>
    <w:rsid w:val="32A0CFF6"/>
    <w:rsid w:val="32F160F0"/>
    <w:rsid w:val="331B0A3D"/>
    <w:rsid w:val="3350D563"/>
    <w:rsid w:val="33938258"/>
    <w:rsid w:val="339FE1AC"/>
    <w:rsid w:val="33B0B6BD"/>
    <w:rsid w:val="33C3E176"/>
    <w:rsid w:val="346D6F8C"/>
    <w:rsid w:val="3498ADF4"/>
    <w:rsid w:val="35153716"/>
    <w:rsid w:val="354FECCC"/>
    <w:rsid w:val="3594478A"/>
    <w:rsid w:val="35DCE9F1"/>
    <w:rsid w:val="35EA136D"/>
    <w:rsid w:val="35F2F67E"/>
    <w:rsid w:val="361DA809"/>
    <w:rsid w:val="362D90F7"/>
    <w:rsid w:val="363204CC"/>
    <w:rsid w:val="3692D43B"/>
    <w:rsid w:val="36C20B79"/>
    <w:rsid w:val="3710D37D"/>
    <w:rsid w:val="3726B5CD"/>
    <w:rsid w:val="376C6C59"/>
    <w:rsid w:val="3789F92C"/>
    <w:rsid w:val="380562C7"/>
    <w:rsid w:val="38308C13"/>
    <w:rsid w:val="38359477"/>
    <w:rsid w:val="38487D73"/>
    <w:rsid w:val="38719E40"/>
    <w:rsid w:val="38734BE6"/>
    <w:rsid w:val="387DFC27"/>
    <w:rsid w:val="38AEDA36"/>
    <w:rsid w:val="38E30F60"/>
    <w:rsid w:val="38E863E2"/>
    <w:rsid w:val="39078BD9"/>
    <w:rsid w:val="398E66C9"/>
    <w:rsid w:val="39A66344"/>
    <w:rsid w:val="39A75426"/>
    <w:rsid w:val="39F41808"/>
    <w:rsid w:val="39FB8250"/>
    <w:rsid w:val="3A5DFF3F"/>
    <w:rsid w:val="3A9F05E2"/>
    <w:rsid w:val="3B01C6FD"/>
    <w:rsid w:val="3B0A34D6"/>
    <w:rsid w:val="3B1E6D38"/>
    <w:rsid w:val="3B2277E6"/>
    <w:rsid w:val="3B362480"/>
    <w:rsid w:val="3B3854B5"/>
    <w:rsid w:val="3B467907"/>
    <w:rsid w:val="3B479929"/>
    <w:rsid w:val="3B715CFB"/>
    <w:rsid w:val="3B7796DB"/>
    <w:rsid w:val="3BA2347E"/>
    <w:rsid w:val="3CAD6EF9"/>
    <w:rsid w:val="3CD798EB"/>
    <w:rsid w:val="3CDB203E"/>
    <w:rsid w:val="3CFEB980"/>
    <w:rsid w:val="3D70BB04"/>
    <w:rsid w:val="3DBE9054"/>
    <w:rsid w:val="3E03E464"/>
    <w:rsid w:val="3E41497A"/>
    <w:rsid w:val="3E4C9FCE"/>
    <w:rsid w:val="3E51B8E5"/>
    <w:rsid w:val="3E874B1C"/>
    <w:rsid w:val="3E878879"/>
    <w:rsid w:val="3EDE33A7"/>
    <w:rsid w:val="3EE7D729"/>
    <w:rsid w:val="3EFECFF0"/>
    <w:rsid w:val="3FA7FC9A"/>
    <w:rsid w:val="3FF922DF"/>
    <w:rsid w:val="4061C06D"/>
    <w:rsid w:val="40898F7C"/>
    <w:rsid w:val="40D6E5C2"/>
    <w:rsid w:val="41154428"/>
    <w:rsid w:val="412665F5"/>
    <w:rsid w:val="41279FD4"/>
    <w:rsid w:val="4157552C"/>
    <w:rsid w:val="4180817A"/>
    <w:rsid w:val="41B5D04E"/>
    <w:rsid w:val="41BE2393"/>
    <w:rsid w:val="42C4E2F0"/>
    <w:rsid w:val="438B0B8D"/>
    <w:rsid w:val="43B47571"/>
    <w:rsid w:val="4403A191"/>
    <w:rsid w:val="4418F7F6"/>
    <w:rsid w:val="4424B1F1"/>
    <w:rsid w:val="442EBE57"/>
    <w:rsid w:val="4455E053"/>
    <w:rsid w:val="44781C8D"/>
    <w:rsid w:val="44E538FD"/>
    <w:rsid w:val="44F07E68"/>
    <w:rsid w:val="44FA42EF"/>
    <w:rsid w:val="45065F5E"/>
    <w:rsid w:val="458A94B0"/>
    <w:rsid w:val="459B56EC"/>
    <w:rsid w:val="45BB1B0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BC6759"/>
    <w:rsid w:val="47F9F6CB"/>
    <w:rsid w:val="483EB5F3"/>
    <w:rsid w:val="48B24B71"/>
    <w:rsid w:val="48C8E4B4"/>
    <w:rsid w:val="490AA981"/>
    <w:rsid w:val="4952F718"/>
    <w:rsid w:val="49645835"/>
    <w:rsid w:val="497BCE3F"/>
    <w:rsid w:val="4995611A"/>
    <w:rsid w:val="49C86C3B"/>
    <w:rsid w:val="49D754D7"/>
    <w:rsid w:val="49F7E010"/>
    <w:rsid w:val="4A59C3B1"/>
    <w:rsid w:val="4AD2423C"/>
    <w:rsid w:val="4B461659"/>
    <w:rsid w:val="4B8EE060"/>
    <w:rsid w:val="4B924352"/>
    <w:rsid w:val="4BBCC0C8"/>
    <w:rsid w:val="4BEA1829"/>
    <w:rsid w:val="4C0F8EC6"/>
    <w:rsid w:val="4C441ABA"/>
    <w:rsid w:val="4C729A4E"/>
    <w:rsid w:val="4CA81462"/>
    <w:rsid w:val="4CC11D8E"/>
    <w:rsid w:val="4D0930E4"/>
    <w:rsid w:val="4D1BDAAC"/>
    <w:rsid w:val="4D6FF0BC"/>
    <w:rsid w:val="4D84887A"/>
    <w:rsid w:val="4E48F670"/>
    <w:rsid w:val="4E8C1F86"/>
    <w:rsid w:val="4E8DC3E2"/>
    <w:rsid w:val="4E94EB1A"/>
    <w:rsid w:val="4EAD197B"/>
    <w:rsid w:val="4ECF9CC7"/>
    <w:rsid w:val="4EF17771"/>
    <w:rsid w:val="4F177560"/>
    <w:rsid w:val="4F2FF5F5"/>
    <w:rsid w:val="4F36CF6B"/>
    <w:rsid w:val="4F4EFFD4"/>
    <w:rsid w:val="4F66330C"/>
    <w:rsid w:val="4F7CEB62"/>
    <w:rsid w:val="4F97CC36"/>
    <w:rsid w:val="4FB2E4D5"/>
    <w:rsid w:val="4FC7DC62"/>
    <w:rsid w:val="5024313E"/>
    <w:rsid w:val="503EE4F6"/>
    <w:rsid w:val="50402EB1"/>
    <w:rsid w:val="5050CD9F"/>
    <w:rsid w:val="50C32761"/>
    <w:rsid w:val="50F72EC0"/>
    <w:rsid w:val="50FA6ECA"/>
    <w:rsid w:val="5104089E"/>
    <w:rsid w:val="510DDA2D"/>
    <w:rsid w:val="512C2D0D"/>
    <w:rsid w:val="51A37481"/>
    <w:rsid w:val="51B632D5"/>
    <w:rsid w:val="5215C140"/>
    <w:rsid w:val="5231806A"/>
    <w:rsid w:val="52353AC6"/>
    <w:rsid w:val="525D8866"/>
    <w:rsid w:val="52F8023D"/>
    <w:rsid w:val="530D1348"/>
    <w:rsid w:val="532C9297"/>
    <w:rsid w:val="5399E754"/>
    <w:rsid w:val="53CFD82B"/>
    <w:rsid w:val="53D7856A"/>
    <w:rsid w:val="53EB8021"/>
    <w:rsid w:val="543AB9DE"/>
    <w:rsid w:val="546271EF"/>
    <w:rsid w:val="549E7CF4"/>
    <w:rsid w:val="54C0BFEA"/>
    <w:rsid w:val="55084553"/>
    <w:rsid w:val="550FD613"/>
    <w:rsid w:val="5524569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80CC875"/>
    <w:rsid w:val="58A7E900"/>
    <w:rsid w:val="58AC182B"/>
    <w:rsid w:val="58CD8211"/>
    <w:rsid w:val="58CDA930"/>
    <w:rsid w:val="58D22F23"/>
    <w:rsid w:val="58EC3DB7"/>
    <w:rsid w:val="5990C82C"/>
    <w:rsid w:val="59CB8E59"/>
    <w:rsid w:val="59DCE919"/>
    <w:rsid w:val="59EFC636"/>
    <w:rsid w:val="5A01FBC4"/>
    <w:rsid w:val="5A2FFDC0"/>
    <w:rsid w:val="5A4B2150"/>
    <w:rsid w:val="5A904C62"/>
    <w:rsid w:val="5AA39EC1"/>
    <w:rsid w:val="5ABAF880"/>
    <w:rsid w:val="5B5A0769"/>
    <w:rsid w:val="5C196AE5"/>
    <w:rsid w:val="5C61FA22"/>
    <w:rsid w:val="5C6834BE"/>
    <w:rsid w:val="5C6FE508"/>
    <w:rsid w:val="5CD1BF16"/>
    <w:rsid w:val="5D6A6C87"/>
    <w:rsid w:val="5DE33F8A"/>
    <w:rsid w:val="5DE3E972"/>
    <w:rsid w:val="5E1F1BD5"/>
    <w:rsid w:val="5E54EE63"/>
    <w:rsid w:val="5E76C978"/>
    <w:rsid w:val="5EB3C6C3"/>
    <w:rsid w:val="5EC3C158"/>
    <w:rsid w:val="5F055704"/>
    <w:rsid w:val="5F32A96B"/>
    <w:rsid w:val="5F572696"/>
    <w:rsid w:val="5F5CE01A"/>
    <w:rsid w:val="5FC7ACB3"/>
    <w:rsid w:val="5FCD17EA"/>
    <w:rsid w:val="6094B1EB"/>
    <w:rsid w:val="609F7FD1"/>
    <w:rsid w:val="60AFFF03"/>
    <w:rsid w:val="60E6FBAF"/>
    <w:rsid w:val="617561ED"/>
    <w:rsid w:val="61BD4BD6"/>
    <w:rsid w:val="62845D5F"/>
    <w:rsid w:val="628A3B9A"/>
    <w:rsid w:val="63D17ABE"/>
    <w:rsid w:val="642990FC"/>
    <w:rsid w:val="646DFA1D"/>
    <w:rsid w:val="64EE9F8B"/>
    <w:rsid w:val="64F29C28"/>
    <w:rsid w:val="650F45D0"/>
    <w:rsid w:val="65184A55"/>
    <w:rsid w:val="65535495"/>
    <w:rsid w:val="657A19E5"/>
    <w:rsid w:val="65953F0E"/>
    <w:rsid w:val="65C2E52E"/>
    <w:rsid w:val="66070A7F"/>
    <w:rsid w:val="66425C61"/>
    <w:rsid w:val="664B370F"/>
    <w:rsid w:val="665458CB"/>
    <w:rsid w:val="66F33720"/>
    <w:rsid w:val="678034D3"/>
    <w:rsid w:val="68093B55"/>
    <w:rsid w:val="681D4DCF"/>
    <w:rsid w:val="68645168"/>
    <w:rsid w:val="688E0B40"/>
    <w:rsid w:val="68959810"/>
    <w:rsid w:val="68DF9697"/>
    <w:rsid w:val="68F15992"/>
    <w:rsid w:val="69205CCB"/>
    <w:rsid w:val="6929A108"/>
    <w:rsid w:val="692C18BB"/>
    <w:rsid w:val="6939B83F"/>
    <w:rsid w:val="696C1845"/>
    <w:rsid w:val="696E1247"/>
    <w:rsid w:val="697B58F1"/>
    <w:rsid w:val="69A90056"/>
    <w:rsid w:val="6A166C7D"/>
    <w:rsid w:val="6A1CE860"/>
    <w:rsid w:val="6A32D12F"/>
    <w:rsid w:val="6A860412"/>
    <w:rsid w:val="6A9CC2A5"/>
    <w:rsid w:val="6AA80AF1"/>
    <w:rsid w:val="6AE6B95B"/>
    <w:rsid w:val="6AEB26CF"/>
    <w:rsid w:val="6AECA9EC"/>
    <w:rsid w:val="6B149CF1"/>
    <w:rsid w:val="6B158881"/>
    <w:rsid w:val="6B1A660D"/>
    <w:rsid w:val="6B2E336B"/>
    <w:rsid w:val="6B562A68"/>
    <w:rsid w:val="6B8ABD5E"/>
    <w:rsid w:val="6BB7BB53"/>
    <w:rsid w:val="6C675B3A"/>
    <w:rsid w:val="6CBCEC18"/>
    <w:rsid w:val="6CC992EB"/>
    <w:rsid w:val="6D00CD4D"/>
    <w:rsid w:val="6D0A4796"/>
    <w:rsid w:val="6D4800A1"/>
    <w:rsid w:val="6D9E9AA1"/>
    <w:rsid w:val="6DB48648"/>
    <w:rsid w:val="6E0382C6"/>
    <w:rsid w:val="6E1662A8"/>
    <w:rsid w:val="6E2BF25F"/>
    <w:rsid w:val="6ED0E7C5"/>
    <w:rsid w:val="6F43B2DA"/>
    <w:rsid w:val="6F803610"/>
    <w:rsid w:val="6F933ED6"/>
    <w:rsid w:val="6FC5E190"/>
    <w:rsid w:val="7002F348"/>
    <w:rsid w:val="70280E54"/>
    <w:rsid w:val="702F0BF4"/>
    <w:rsid w:val="704B322B"/>
    <w:rsid w:val="707DF129"/>
    <w:rsid w:val="70C84CE6"/>
    <w:rsid w:val="716AF493"/>
    <w:rsid w:val="720FAABC"/>
    <w:rsid w:val="722A22DD"/>
    <w:rsid w:val="72723725"/>
    <w:rsid w:val="72A45446"/>
    <w:rsid w:val="7316D814"/>
    <w:rsid w:val="73196021"/>
    <w:rsid w:val="7347854F"/>
    <w:rsid w:val="73563EF8"/>
    <w:rsid w:val="73CC9E15"/>
    <w:rsid w:val="746EFFBD"/>
    <w:rsid w:val="74BCB0AC"/>
    <w:rsid w:val="74DC413A"/>
    <w:rsid w:val="752E6AF1"/>
    <w:rsid w:val="7541EDF6"/>
    <w:rsid w:val="754702AE"/>
    <w:rsid w:val="757AB2F3"/>
    <w:rsid w:val="757AD398"/>
    <w:rsid w:val="7585A98F"/>
    <w:rsid w:val="75A77407"/>
    <w:rsid w:val="75DDF443"/>
    <w:rsid w:val="762249C5"/>
    <w:rsid w:val="7658A405"/>
    <w:rsid w:val="76AC4D72"/>
    <w:rsid w:val="76B0D29B"/>
    <w:rsid w:val="76B5D40F"/>
    <w:rsid w:val="76BD055B"/>
    <w:rsid w:val="76C16E0A"/>
    <w:rsid w:val="76E0C63B"/>
    <w:rsid w:val="76E3C25C"/>
    <w:rsid w:val="771723A2"/>
    <w:rsid w:val="776BBE1E"/>
    <w:rsid w:val="77D3E841"/>
    <w:rsid w:val="78496ABE"/>
    <w:rsid w:val="787974ED"/>
    <w:rsid w:val="78BBD896"/>
    <w:rsid w:val="78CAAE62"/>
    <w:rsid w:val="79073701"/>
    <w:rsid w:val="793B455B"/>
    <w:rsid w:val="794AFB26"/>
    <w:rsid w:val="79C6C240"/>
    <w:rsid w:val="79D5C5DC"/>
    <w:rsid w:val="79DAA64C"/>
    <w:rsid w:val="7A112D0B"/>
    <w:rsid w:val="7A2E3046"/>
    <w:rsid w:val="7A43884B"/>
    <w:rsid w:val="7A5A3949"/>
    <w:rsid w:val="7A5E5876"/>
    <w:rsid w:val="7A79CC79"/>
    <w:rsid w:val="7AB14C47"/>
    <w:rsid w:val="7ABAC4B6"/>
    <w:rsid w:val="7AC26C0D"/>
    <w:rsid w:val="7AF0BCA8"/>
    <w:rsid w:val="7AF496DF"/>
    <w:rsid w:val="7B23FB27"/>
    <w:rsid w:val="7B264AA6"/>
    <w:rsid w:val="7B2D5B55"/>
    <w:rsid w:val="7B6F79A2"/>
    <w:rsid w:val="7B885158"/>
    <w:rsid w:val="7B950621"/>
    <w:rsid w:val="7BAD5062"/>
    <w:rsid w:val="7CB983D1"/>
    <w:rsid w:val="7CD425ED"/>
    <w:rsid w:val="7CDA70E9"/>
    <w:rsid w:val="7CEBB621"/>
    <w:rsid w:val="7CFBBDD8"/>
    <w:rsid w:val="7D3DFC27"/>
    <w:rsid w:val="7D663787"/>
    <w:rsid w:val="7D7A0756"/>
    <w:rsid w:val="7DFE2431"/>
    <w:rsid w:val="7E2E8D92"/>
    <w:rsid w:val="7E6BD5D9"/>
    <w:rsid w:val="7E728F32"/>
    <w:rsid w:val="7E87CC2A"/>
    <w:rsid w:val="7EA68C60"/>
    <w:rsid w:val="7EB72C85"/>
    <w:rsid w:val="7EBBBB4E"/>
    <w:rsid w:val="7ECA38B9"/>
    <w:rsid w:val="7EE8C803"/>
    <w:rsid w:val="7F14CCD2"/>
    <w:rsid w:val="7FA96EE3"/>
    <w:rsid w:val="7FB59F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9630605D-8A3F-4265-948F-94254EC6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8"/>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8"/>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1"/>
      </w:numPr>
      <w:tabs>
        <w:tab w:val="clear" w:pos="1492"/>
        <w:tab w:val="left" w:pos="1304"/>
      </w:tabs>
    </w:pPr>
  </w:style>
  <w:style w:type="paragraph" w:styleId="ListNumber">
    <w:name w:val="List Number"/>
    <w:basedOn w:val="Normal"/>
    <w:rsid w:val="00C8737B"/>
    <w:pPr>
      <w:numPr>
        <w:numId w:val="13"/>
      </w:numPr>
    </w:pPr>
  </w:style>
  <w:style w:type="paragraph" w:styleId="ListNumber2">
    <w:name w:val="List Number 2"/>
    <w:basedOn w:val="Normal"/>
    <w:rsid w:val="00C8737B"/>
    <w:pPr>
      <w:numPr>
        <w:numId w:val="15"/>
      </w:numPr>
    </w:pPr>
  </w:style>
  <w:style w:type="paragraph" w:styleId="ListNumber3">
    <w:name w:val="List Number 3"/>
    <w:basedOn w:val="Normal"/>
    <w:rsid w:val="00C8737B"/>
    <w:pPr>
      <w:numPr>
        <w:numId w:val="17"/>
      </w:numPr>
    </w:pPr>
  </w:style>
  <w:style w:type="paragraph" w:styleId="ListNumber4">
    <w:name w:val="List Number 4"/>
    <w:basedOn w:val="Normal"/>
    <w:rsid w:val="00C8737B"/>
    <w:pPr>
      <w:numPr>
        <w:numId w:val="19"/>
      </w:numPr>
    </w:pPr>
  </w:style>
  <w:style w:type="paragraph" w:styleId="ListNumber5">
    <w:name w:val="List Number 5"/>
    <w:basedOn w:val="Normal"/>
    <w:rsid w:val="00C8737B"/>
    <w:pPr>
      <w:numPr>
        <w:numId w:val="21"/>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3"/>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3"/>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paragraph" w:customStyle="1" w:styleId="DJCSbody">
    <w:name w:val="DJCS body"/>
    <w:link w:val="DJCSbodyChar"/>
    <w:qFormat/>
    <w:rsid w:val="00114EB2"/>
    <w:pPr>
      <w:spacing w:after="120" w:line="250" w:lineRule="atLeast"/>
      <w:ind w:left="851"/>
    </w:pPr>
    <w:rPr>
      <w:rFonts w:ascii="Arial" w:eastAsia="Times" w:hAnsi="Arial" w:cs="Times New Roman"/>
      <w:sz w:val="22"/>
      <w:szCs w:val="20"/>
      <w:lang w:val="en-AU"/>
    </w:rPr>
  </w:style>
  <w:style w:type="character" w:customStyle="1" w:styleId="DJCSbodyChar">
    <w:name w:val="DJCS body Char"/>
    <w:basedOn w:val="DefaultParagraphFont"/>
    <w:link w:val="DJCSbody"/>
    <w:rsid w:val="00114EB2"/>
    <w:rPr>
      <w:rFonts w:ascii="Arial" w:eastAsia="Times" w:hAnsi="Arial" w:cs="Times New Roman"/>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262302062">
      <w:bodyDiv w:val="1"/>
      <w:marLeft w:val="0"/>
      <w:marRight w:val="0"/>
      <w:marTop w:val="0"/>
      <w:marBottom w:val="0"/>
      <w:divBdr>
        <w:top w:val="none" w:sz="0" w:space="0" w:color="auto"/>
        <w:left w:val="none" w:sz="0" w:space="0" w:color="auto"/>
        <w:bottom w:val="none" w:sz="0" w:space="0" w:color="auto"/>
        <w:right w:val="none" w:sz="0" w:space="0" w:color="auto"/>
      </w:divBdr>
      <w:divsChild>
        <w:div w:id="900217820">
          <w:marLeft w:val="0"/>
          <w:marRight w:val="0"/>
          <w:marTop w:val="0"/>
          <w:marBottom w:val="0"/>
          <w:divBdr>
            <w:top w:val="none" w:sz="0" w:space="0" w:color="auto"/>
            <w:left w:val="none" w:sz="0" w:space="0" w:color="auto"/>
            <w:bottom w:val="none" w:sz="0" w:space="0" w:color="auto"/>
            <w:right w:val="none" w:sz="0" w:space="0" w:color="auto"/>
          </w:divBdr>
          <w:divsChild>
            <w:div w:id="381557313">
              <w:marLeft w:val="0"/>
              <w:marRight w:val="0"/>
              <w:marTop w:val="0"/>
              <w:marBottom w:val="0"/>
              <w:divBdr>
                <w:top w:val="none" w:sz="0" w:space="0" w:color="auto"/>
                <w:left w:val="none" w:sz="0" w:space="0" w:color="auto"/>
                <w:bottom w:val="none" w:sz="0" w:space="0" w:color="auto"/>
                <w:right w:val="none" w:sz="0" w:space="0" w:color="auto"/>
              </w:divBdr>
              <w:divsChild>
                <w:div w:id="30957488">
                  <w:marLeft w:val="0"/>
                  <w:marRight w:val="0"/>
                  <w:marTop w:val="0"/>
                  <w:marBottom w:val="0"/>
                  <w:divBdr>
                    <w:top w:val="none" w:sz="0" w:space="0" w:color="auto"/>
                    <w:left w:val="none" w:sz="0" w:space="0" w:color="auto"/>
                    <w:bottom w:val="none" w:sz="0" w:space="0" w:color="auto"/>
                    <w:right w:val="none" w:sz="0" w:space="0" w:color="auto"/>
                  </w:divBdr>
                  <w:divsChild>
                    <w:div w:id="2139953764">
                      <w:marLeft w:val="0"/>
                      <w:marRight w:val="0"/>
                      <w:marTop w:val="0"/>
                      <w:marBottom w:val="0"/>
                      <w:divBdr>
                        <w:top w:val="none" w:sz="0" w:space="0" w:color="auto"/>
                        <w:left w:val="none" w:sz="0" w:space="0" w:color="auto"/>
                        <w:bottom w:val="none" w:sz="0" w:space="0" w:color="auto"/>
                        <w:right w:val="none" w:sz="0" w:space="0" w:color="auto"/>
                      </w:divBdr>
                      <w:divsChild>
                        <w:div w:id="870534372">
                          <w:blockQuote w:val="1"/>
                          <w:marLeft w:val="0"/>
                          <w:marRight w:val="0"/>
                          <w:marTop w:val="150"/>
                          <w:marBottom w:val="150"/>
                          <w:divBdr>
                            <w:top w:val="dotted" w:sz="6" w:space="11" w:color="EBBED6"/>
                            <w:left w:val="dotted" w:sz="2" w:space="11" w:color="EBBED6"/>
                            <w:bottom w:val="dotted" w:sz="6" w:space="11" w:color="EBBED6"/>
                            <w:right w:val="dotted" w:sz="2" w:space="11" w:color="EBBED6"/>
                          </w:divBdr>
                        </w:div>
                        <w:div w:id="1419208581">
                          <w:blockQuote w:val="1"/>
                          <w:marLeft w:val="0"/>
                          <w:marRight w:val="0"/>
                          <w:marTop w:val="150"/>
                          <w:marBottom w:val="150"/>
                          <w:divBdr>
                            <w:top w:val="dotted" w:sz="6" w:space="11" w:color="EBBED6"/>
                            <w:left w:val="dotted" w:sz="2" w:space="11" w:color="EBBED6"/>
                            <w:bottom w:val="dotted" w:sz="6" w:space="11" w:color="EBBED6"/>
                            <w:right w:val="dotted" w:sz="2" w:space="11" w:color="EBBED6"/>
                          </w:divBdr>
                        </w:div>
                        <w:div w:id="1423452314">
                          <w:marLeft w:val="0"/>
                          <w:marRight w:val="0"/>
                          <w:marTop w:val="75"/>
                          <w:marBottom w:val="75"/>
                          <w:divBdr>
                            <w:top w:val="none" w:sz="0" w:space="0" w:color="auto"/>
                            <w:left w:val="none" w:sz="0" w:space="0" w:color="auto"/>
                            <w:bottom w:val="none" w:sz="0" w:space="0" w:color="auto"/>
                            <w:right w:val="none" w:sz="0" w:space="0" w:color="auto"/>
                          </w:divBdr>
                          <w:divsChild>
                            <w:div w:id="6427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3815">
          <w:marLeft w:val="0"/>
          <w:marRight w:val="0"/>
          <w:marTop w:val="0"/>
          <w:marBottom w:val="0"/>
          <w:divBdr>
            <w:top w:val="none" w:sz="0" w:space="0" w:color="auto"/>
            <w:left w:val="none" w:sz="0" w:space="0" w:color="auto"/>
            <w:bottom w:val="none" w:sz="0" w:space="0" w:color="auto"/>
            <w:right w:val="none" w:sz="0" w:space="0" w:color="auto"/>
          </w:divBdr>
        </w:div>
      </w:divsChild>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48682257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551771843">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752432570">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10068213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85621769">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8189986">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449818801">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6386840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0291921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74304152">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about-us/news/our-new-disability-action-pl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alaid.vic.gov.au/about-us/news/celebrating-first-year-of-help-before-cou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news/40-years-of-helping-people-who-need-it-mos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3" ma:contentTypeDescription="Create a new document." ma:contentTypeScope="" ma:versionID="b1cc73ae770e14e4c490b80346595ce4">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6a7052673e6805d1e7fc7b5d7610acf0"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Dan Nicholson</DisplayName>
        <AccountId>55</AccountId>
        <AccountType/>
      </UserInfo>
      <UserInfo>
        <DisplayName>Giuliana Bell</DisplayName>
        <AccountId>54</AccountId>
        <AccountType/>
      </UserInfo>
      <UserInfo>
        <DisplayName>Liz Borgia</DisplayName>
        <AccountId>175</AccountId>
        <AccountType/>
      </UserInfo>
      <UserInfo>
        <DisplayName>Martha Arkalis</DisplayName>
        <AccountId>157</AccountId>
        <AccountType/>
      </UserInfo>
      <UserInfo>
        <DisplayName>Rowan McRae</DisplayName>
        <AccountId>33</AccountId>
        <AccountType/>
      </UserInfo>
    </SharedWithUsers>
  </documentManagement>
</p:properties>
</file>

<file path=customXml/itemProps1.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customXml/itemProps2.xml><?xml version="1.0" encoding="utf-8"?>
<ds:datastoreItem xmlns:ds="http://schemas.openxmlformats.org/officeDocument/2006/customXml" ds:itemID="{389C01A8-4429-40E5-912B-0D907103E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4.xml><?xml version="1.0" encoding="utf-8"?>
<ds:datastoreItem xmlns:ds="http://schemas.openxmlformats.org/officeDocument/2006/customXml" ds:itemID="{CA1A29B2-146B-4362-9462-0EA11FBBE540}">
  <ds:schemaRefs>
    <ds:schemaRef ds:uri="http://purl.org/dc/elements/1.1/"/>
    <ds:schemaRef ds:uri="http://schemas.microsoft.com/office/infopath/2007/PartnerControls"/>
    <ds:schemaRef ds:uri="e90065c7-7f7f-4df0-a469-5749d80eada3"/>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 ds:uri="68c7d542-4e7f-4a13-a678-0dc97ca94df5"/>
    <ds:schemaRef ds:uri="http://purl.org/dc/terms/"/>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449</TotalTime>
  <Pages>5</Pages>
  <Words>1608</Words>
  <Characters>9171</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Victoria Legal Aid 2021–22 Quarter Two Report </vt:lpstr>
    </vt:vector>
  </TitlesOfParts>
  <LinksUpToDate>false</LinksUpToDate>
  <CharactersWithSpaces>10758</CharactersWithSpaces>
  <SharedDoc>false</SharedDoc>
  <HLinks>
    <vt:vector size="18" baseType="variant">
      <vt:variant>
        <vt:i4>4718612</vt:i4>
      </vt:variant>
      <vt:variant>
        <vt:i4>6</vt:i4>
      </vt:variant>
      <vt:variant>
        <vt:i4>0</vt:i4>
      </vt:variant>
      <vt:variant>
        <vt:i4>5</vt:i4>
      </vt:variant>
      <vt:variant>
        <vt:lpwstr>https://www.legalaid.vic.gov.au/about-us/news/our-new-disability-action-plan</vt:lpwstr>
      </vt:variant>
      <vt:variant>
        <vt:lpwstr/>
      </vt:variant>
      <vt:variant>
        <vt:i4>524356</vt:i4>
      </vt:variant>
      <vt:variant>
        <vt:i4>3</vt:i4>
      </vt:variant>
      <vt:variant>
        <vt:i4>0</vt:i4>
      </vt:variant>
      <vt:variant>
        <vt:i4>5</vt:i4>
      </vt:variant>
      <vt:variant>
        <vt:lpwstr>https://www.legalaid.vic.gov.au/about-us/news/celebrating-first-year-of-help-before-court</vt:lpwstr>
      </vt:variant>
      <vt:variant>
        <vt:lpwstr/>
      </vt:variant>
      <vt:variant>
        <vt:i4>1507419</vt:i4>
      </vt:variant>
      <vt:variant>
        <vt:i4>0</vt:i4>
      </vt:variant>
      <vt:variant>
        <vt:i4>0</vt:i4>
      </vt:variant>
      <vt:variant>
        <vt:i4>5</vt:i4>
      </vt:variant>
      <vt:variant>
        <vt:lpwstr>https://www.legalaid.vic.gov.au/about-us/news/40-years-of-helping-people-who-need-it-most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2020-02-03T23:56:00Z</cp:lastPrinted>
  <dcterms:created xsi:type="dcterms:W3CDTF">2022-01-05T03:41:00Z</dcterms:created>
  <dcterms:modified xsi:type="dcterms:W3CDTF">2022-03-10T00:32:00Z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ies>
</file>