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2EF2" w14:textId="77777777" w:rsidR="00337AAD" w:rsidRPr="00337AAD" w:rsidRDefault="00FC210F" w:rsidP="00337AAD">
      <w:pPr>
        <w:pStyle w:val="Heading1"/>
      </w:pPr>
      <w:bookmarkStart w:id="0" w:name="_Toc375298245"/>
      <w:r w:rsidRPr="00474434">
        <w:t xml:space="preserve">Submission </w:t>
      </w:r>
      <w:r w:rsidR="00337AAD">
        <w:t>to Victoria Legal Aid State Family (Child Protection) Guidelines – Family Inclusion Network Victoria Incorporated</w:t>
      </w:r>
    </w:p>
    <w:bookmarkEnd w:id="0"/>
    <w:p w14:paraId="5F99038E" w14:textId="77777777" w:rsidR="00FC210F" w:rsidRPr="00474434" w:rsidRDefault="00FC210F" w:rsidP="00337AAD">
      <w:pPr>
        <w:pStyle w:val="Heading2"/>
      </w:pPr>
      <w:r w:rsidRPr="00474434">
        <w:t>Overall comments</w:t>
      </w:r>
    </w:p>
    <w:p w14:paraId="0C2A525B" w14:textId="77777777" w:rsidR="00775F38" w:rsidRDefault="00775F38" w:rsidP="00FC210F">
      <w:pPr>
        <w:pStyle w:val="VLADocumentText"/>
        <w:rPr>
          <w:rFonts w:cs="Arial"/>
          <w:szCs w:val="22"/>
          <w:lang w:eastAsia="en-AU"/>
        </w:rPr>
      </w:pPr>
      <w:r>
        <w:rPr>
          <w:rFonts w:cs="Arial"/>
          <w:szCs w:val="22"/>
          <w:lang w:eastAsia="en-AU"/>
        </w:rPr>
        <w:t xml:space="preserve">Overall our organisation </w:t>
      </w:r>
      <w:r w:rsidR="00D450A5">
        <w:rPr>
          <w:rFonts w:cs="Arial"/>
          <w:szCs w:val="22"/>
          <w:lang w:eastAsia="en-AU"/>
        </w:rPr>
        <w:t>support</w:t>
      </w:r>
      <w:r>
        <w:rPr>
          <w:rFonts w:cs="Arial"/>
          <w:szCs w:val="22"/>
          <w:lang w:eastAsia="en-AU"/>
        </w:rPr>
        <w:t>s</w:t>
      </w:r>
      <w:r w:rsidR="00D450A5">
        <w:rPr>
          <w:rFonts w:cs="Arial"/>
          <w:szCs w:val="22"/>
          <w:lang w:eastAsia="en-AU"/>
        </w:rPr>
        <w:t xml:space="preserve"> the proposed changes to VLA State Family (Child Protection) Guidelines as detailed in your Consultation Paper November 2015.  As </w:t>
      </w:r>
      <w:r>
        <w:rPr>
          <w:rFonts w:cs="Arial"/>
          <w:szCs w:val="22"/>
          <w:lang w:eastAsia="en-AU"/>
        </w:rPr>
        <w:t xml:space="preserve">an organisation supporting </w:t>
      </w:r>
      <w:r w:rsidR="00D450A5">
        <w:rPr>
          <w:rFonts w:cs="Arial"/>
          <w:szCs w:val="22"/>
          <w:lang w:eastAsia="en-AU"/>
        </w:rPr>
        <w:t>parents involved wit</w:t>
      </w:r>
      <w:r w:rsidR="00950045">
        <w:rPr>
          <w:rFonts w:cs="Arial"/>
          <w:szCs w:val="22"/>
          <w:lang w:eastAsia="en-AU"/>
        </w:rPr>
        <w:t>h child protection we support</w:t>
      </w:r>
      <w:r w:rsidR="00D450A5">
        <w:rPr>
          <w:rFonts w:cs="Arial"/>
          <w:szCs w:val="22"/>
          <w:lang w:eastAsia="en-AU"/>
        </w:rPr>
        <w:t xml:space="preserve"> any and all efforts to improve legal advice, representation and advocacy in this area.  </w:t>
      </w:r>
      <w:r>
        <w:rPr>
          <w:rFonts w:cs="Arial"/>
          <w:szCs w:val="22"/>
          <w:lang w:eastAsia="en-AU"/>
        </w:rPr>
        <w:t>Numerous research reports document the</w:t>
      </w:r>
      <w:r w:rsidR="001D68EB">
        <w:rPr>
          <w:rFonts w:cs="Arial"/>
          <w:szCs w:val="22"/>
          <w:lang w:eastAsia="en-AU"/>
        </w:rPr>
        <w:t xml:space="preserve"> </w:t>
      </w:r>
      <w:r w:rsidR="00950045">
        <w:rPr>
          <w:rFonts w:cs="Arial"/>
          <w:szCs w:val="22"/>
          <w:lang w:eastAsia="en-AU"/>
        </w:rPr>
        <w:t xml:space="preserve">destructive </w:t>
      </w:r>
      <w:r>
        <w:rPr>
          <w:rFonts w:cs="Arial"/>
          <w:szCs w:val="22"/>
          <w:lang w:eastAsia="en-AU"/>
        </w:rPr>
        <w:t xml:space="preserve">impact on parents </w:t>
      </w:r>
      <w:r w:rsidR="00950045">
        <w:rPr>
          <w:rFonts w:cs="Arial"/>
          <w:szCs w:val="22"/>
          <w:lang w:eastAsia="en-AU"/>
        </w:rPr>
        <w:t xml:space="preserve">when </w:t>
      </w:r>
      <w:r>
        <w:rPr>
          <w:rFonts w:cs="Arial"/>
          <w:szCs w:val="22"/>
          <w:lang w:eastAsia="en-AU"/>
        </w:rPr>
        <w:t>engaging with the child protection system</w:t>
      </w:r>
      <w:r w:rsidR="00202FBC">
        <w:rPr>
          <w:rFonts w:cs="Arial"/>
          <w:szCs w:val="22"/>
          <w:lang w:eastAsia="en-AU"/>
        </w:rPr>
        <w:t xml:space="preserve">.  A lack of </w:t>
      </w:r>
      <w:r w:rsidR="00D450A5">
        <w:rPr>
          <w:rFonts w:cs="Arial"/>
          <w:szCs w:val="22"/>
          <w:lang w:eastAsia="en-AU"/>
        </w:rPr>
        <w:t xml:space="preserve">knowledge </w:t>
      </w:r>
      <w:r w:rsidR="00202FBC">
        <w:rPr>
          <w:rFonts w:cs="Arial"/>
          <w:szCs w:val="22"/>
          <w:lang w:eastAsia="en-AU"/>
        </w:rPr>
        <w:t xml:space="preserve">about </w:t>
      </w:r>
      <w:r w:rsidR="00425178">
        <w:rPr>
          <w:rFonts w:cs="Arial"/>
          <w:szCs w:val="22"/>
          <w:lang w:eastAsia="en-AU"/>
        </w:rPr>
        <w:t>processes</w:t>
      </w:r>
      <w:r w:rsidR="00950045">
        <w:rPr>
          <w:rFonts w:cs="Arial"/>
          <w:szCs w:val="22"/>
          <w:lang w:eastAsia="en-AU"/>
        </w:rPr>
        <w:t xml:space="preserve"> and rights leads to </w:t>
      </w:r>
      <w:r w:rsidR="00425178">
        <w:rPr>
          <w:rFonts w:cs="Arial"/>
          <w:szCs w:val="22"/>
          <w:lang w:eastAsia="en-AU"/>
        </w:rPr>
        <w:t xml:space="preserve">confusion and powerlessness.  </w:t>
      </w:r>
      <w:r>
        <w:rPr>
          <w:rFonts w:cs="Arial"/>
          <w:szCs w:val="22"/>
          <w:lang w:eastAsia="en-AU"/>
        </w:rPr>
        <w:t xml:space="preserve">This is especially true for parents with intellectual disability who are over represented in the child protection system.  </w:t>
      </w:r>
      <w:r w:rsidR="00D450A5">
        <w:rPr>
          <w:rFonts w:cs="Arial"/>
          <w:szCs w:val="22"/>
          <w:lang w:eastAsia="en-AU"/>
        </w:rPr>
        <w:t xml:space="preserve">We are hugely concerned about the </w:t>
      </w:r>
      <w:r w:rsidR="00950045">
        <w:rPr>
          <w:rFonts w:cs="Arial"/>
          <w:szCs w:val="22"/>
          <w:lang w:eastAsia="en-AU"/>
        </w:rPr>
        <w:t xml:space="preserve">added </w:t>
      </w:r>
      <w:r w:rsidR="00D450A5">
        <w:rPr>
          <w:rFonts w:cs="Arial"/>
          <w:szCs w:val="22"/>
          <w:lang w:eastAsia="en-AU"/>
        </w:rPr>
        <w:t>impact of the new</w:t>
      </w:r>
      <w:r>
        <w:rPr>
          <w:rFonts w:cs="Arial"/>
          <w:szCs w:val="22"/>
          <w:lang w:eastAsia="en-AU"/>
        </w:rPr>
        <w:t xml:space="preserve"> CYFA legislation</w:t>
      </w:r>
      <w:r w:rsidR="007D5C56">
        <w:rPr>
          <w:rFonts w:cs="Arial"/>
          <w:szCs w:val="22"/>
          <w:lang w:eastAsia="en-AU"/>
        </w:rPr>
        <w:t xml:space="preserve">.  </w:t>
      </w:r>
    </w:p>
    <w:p w14:paraId="4EA61286" w14:textId="77777777" w:rsidR="00763411" w:rsidRDefault="00763411" w:rsidP="00FC210F">
      <w:pPr>
        <w:pStyle w:val="VLADocumentText"/>
        <w:rPr>
          <w:rFonts w:cs="Arial"/>
          <w:szCs w:val="22"/>
          <w:lang w:eastAsia="en-AU"/>
        </w:rPr>
      </w:pPr>
      <w:r>
        <w:rPr>
          <w:rFonts w:cs="Arial"/>
          <w:szCs w:val="22"/>
          <w:lang w:eastAsia="en-AU"/>
        </w:rPr>
        <w:t xml:space="preserve">Our major concern about your consultation paper </w:t>
      </w:r>
      <w:r w:rsidR="007D5C56">
        <w:rPr>
          <w:rFonts w:cs="Arial"/>
          <w:szCs w:val="22"/>
          <w:lang w:eastAsia="en-AU"/>
        </w:rPr>
        <w:t xml:space="preserve">is the stated criteria </w:t>
      </w:r>
      <w:r>
        <w:rPr>
          <w:rFonts w:cs="Arial"/>
          <w:szCs w:val="22"/>
          <w:lang w:eastAsia="en-AU"/>
        </w:rPr>
        <w:t>for eligibility for funding, in particular the plan to target funding to situations where:</w:t>
      </w:r>
    </w:p>
    <w:p w14:paraId="542171A0" w14:textId="77777777" w:rsidR="00763411" w:rsidRDefault="00763411" w:rsidP="00337AAD">
      <w:pPr>
        <w:pStyle w:val="VLADocumentText"/>
        <w:ind w:left="1134" w:right="1014"/>
        <w:rPr>
          <w:rFonts w:cs="Arial"/>
          <w:szCs w:val="22"/>
          <w:lang w:eastAsia="en-AU"/>
        </w:rPr>
      </w:pPr>
      <w:r>
        <w:rPr>
          <w:rFonts w:cs="Arial"/>
          <w:szCs w:val="22"/>
          <w:lang w:eastAsia="en-AU"/>
        </w:rPr>
        <w:t>“…there are reasonable prospects of the child returning to the parents’ care during the life of the order…(the) parent should have reasonable prospects of the child being placed in their care.”</w:t>
      </w:r>
    </w:p>
    <w:p w14:paraId="2210E3E3" w14:textId="77777777" w:rsidR="006D511B" w:rsidRDefault="00470024" w:rsidP="00FC210F">
      <w:pPr>
        <w:pStyle w:val="VLADocumentText"/>
        <w:rPr>
          <w:rFonts w:cs="Arial"/>
          <w:szCs w:val="22"/>
          <w:lang w:eastAsia="en-AU"/>
        </w:rPr>
      </w:pPr>
      <w:r>
        <w:rPr>
          <w:rFonts w:cs="Arial"/>
          <w:szCs w:val="22"/>
          <w:lang w:eastAsia="en-AU"/>
        </w:rPr>
        <w:t>We wonder how that would be assessed a</w:t>
      </w:r>
      <w:r w:rsidR="00950045">
        <w:rPr>
          <w:rFonts w:cs="Arial"/>
          <w:szCs w:val="22"/>
          <w:lang w:eastAsia="en-AU"/>
        </w:rPr>
        <w:t xml:space="preserve">nd </w:t>
      </w:r>
      <w:r w:rsidR="006D511B">
        <w:rPr>
          <w:rFonts w:cs="Arial"/>
          <w:szCs w:val="22"/>
          <w:lang w:eastAsia="en-AU"/>
        </w:rPr>
        <w:t xml:space="preserve">fear that many parents </w:t>
      </w:r>
      <w:r>
        <w:rPr>
          <w:rFonts w:cs="Arial"/>
          <w:szCs w:val="22"/>
          <w:lang w:eastAsia="en-AU"/>
        </w:rPr>
        <w:t xml:space="preserve">could be written off as a lost cause, when in fact with the right representation and support their case could be more than viable.  </w:t>
      </w:r>
      <w:r w:rsidR="00950045">
        <w:rPr>
          <w:rFonts w:cs="Arial"/>
          <w:szCs w:val="22"/>
          <w:lang w:eastAsia="en-AU"/>
        </w:rPr>
        <w:t xml:space="preserve">  </w:t>
      </w:r>
      <w:r>
        <w:rPr>
          <w:rFonts w:cs="Arial"/>
          <w:szCs w:val="22"/>
          <w:lang w:eastAsia="en-AU"/>
        </w:rPr>
        <w:t>This has been our own expe</w:t>
      </w:r>
      <w:r w:rsidR="006D511B">
        <w:rPr>
          <w:rFonts w:cs="Arial"/>
          <w:szCs w:val="22"/>
          <w:lang w:eastAsia="en-AU"/>
        </w:rPr>
        <w:t>rience in advocating for families with long term involvement with the child protection system.  We recognise that whilst tight timeframes are being introduced to counter “care drift” the issue of parents being caught in “system drift” goes unrecognised.  Time and time again we see parents impacted in their efforts by:</w:t>
      </w:r>
    </w:p>
    <w:p w14:paraId="7D03505B" w14:textId="77777777" w:rsidR="00763411" w:rsidRPr="006D511B" w:rsidRDefault="006D511B" w:rsidP="006D511B">
      <w:pPr>
        <w:pStyle w:val="VLADocumentText"/>
        <w:numPr>
          <w:ilvl w:val="0"/>
          <w:numId w:val="37"/>
        </w:numPr>
        <w:rPr>
          <w:rFonts w:cs="Arial"/>
          <w:i/>
          <w:szCs w:val="22"/>
          <w:lang w:eastAsia="en-AU"/>
        </w:rPr>
      </w:pPr>
      <w:r>
        <w:rPr>
          <w:rFonts w:cs="Arial"/>
          <w:szCs w:val="22"/>
          <w:lang w:eastAsia="en-AU"/>
        </w:rPr>
        <w:t xml:space="preserve">constant worker turnover, resulting in lack of effective monitoring </w:t>
      </w:r>
      <w:r w:rsidR="00950045">
        <w:rPr>
          <w:rFonts w:cs="Arial"/>
          <w:szCs w:val="22"/>
          <w:lang w:eastAsia="en-AU"/>
        </w:rPr>
        <w:t xml:space="preserve">and assessment </w:t>
      </w:r>
      <w:r>
        <w:rPr>
          <w:rFonts w:cs="Arial"/>
          <w:szCs w:val="22"/>
          <w:lang w:eastAsia="en-AU"/>
        </w:rPr>
        <w:t>of their progress;</w:t>
      </w:r>
    </w:p>
    <w:p w14:paraId="032EAB8C" w14:textId="77777777" w:rsidR="006D511B" w:rsidRPr="006D511B" w:rsidRDefault="00070737" w:rsidP="006D511B">
      <w:pPr>
        <w:pStyle w:val="VLADocumentText"/>
        <w:numPr>
          <w:ilvl w:val="0"/>
          <w:numId w:val="37"/>
        </w:numPr>
        <w:rPr>
          <w:rFonts w:cs="Arial"/>
          <w:i/>
          <w:szCs w:val="22"/>
          <w:lang w:eastAsia="en-AU"/>
        </w:rPr>
      </w:pPr>
      <w:r>
        <w:rPr>
          <w:rFonts w:cs="Arial"/>
          <w:szCs w:val="22"/>
          <w:lang w:eastAsia="en-AU"/>
        </w:rPr>
        <w:t>case plans that have stalled and do not reflect current capacity for increased contact and/or reunification;</w:t>
      </w:r>
    </w:p>
    <w:p w14:paraId="3077D055" w14:textId="77777777" w:rsidR="00FC210F" w:rsidRPr="00337AAD" w:rsidRDefault="006D511B" w:rsidP="00FC210F">
      <w:pPr>
        <w:pStyle w:val="VLADocumentText"/>
        <w:numPr>
          <w:ilvl w:val="0"/>
          <w:numId w:val="37"/>
        </w:numPr>
        <w:rPr>
          <w:rFonts w:cs="Arial"/>
          <w:i/>
          <w:szCs w:val="22"/>
          <w:lang w:eastAsia="en-AU"/>
        </w:rPr>
      </w:pPr>
      <w:r>
        <w:rPr>
          <w:rFonts w:cs="Arial"/>
          <w:szCs w:val="22"/>
          <w:lang w:eastAsia="en-AU"/>
        </w:rPr>
        <w:t>lack of trauma informed approaches to interactions with parents i</w:t>
      </w:r>
      <w:r w:rsidR="00070737">
        <w:rPr>
          <w:rFonts w:cs="Arial"/>
          <w:szCs w:val="22"/>
          <w:lang w:eastAsia="en-AU"/>
        </w:rPr>
        <w:t>mpacting their capacity to best represent themselves in case plan meetings.</w:t>
      </w:r>
    </w:p>
    <w:p w14:paraId="7F8028BD" w14:textId="77777777" w:rsidR="00FC210F" w:rsidRPr="00474434" w:rsidRDefault="00FC210F" w:rsidP="00337AAD">
      <w:pPr>
        <w:pStyle w:val="Heading2"/>
      </w:pPr>
      <w:r w:rsidRPr="00474434">
        <w:t xml:space="preserve">Current State Family Guideline 1 </w:t>
      </w:r>
      <w:r>
        <w:t>– child involved in a child protection matter</w:t>
      </w:r>
    </w:p>
    <w:p w14:paraId="72A7E606" w14:textId="77777777" w:rsidR="00FC210F" w:rsidRPr="00625656" w:rsidRDefault="00FC210F" w:rsidP="00337AAD">
      <w:pPr>
        <w:rPr>
          <w:lang w:eastAsia="en-AU"/>
        </w:rPr>
      </w:pPr>
      <w:r w:rsidRPr="00625656">
        <w:rPr>
          <w:lang w:eastAsia="en-AU"/>
        </w:rPr>
        <w:t xml:space="preserve">No changes proposed. </w:t>
      </w:r>
    </w:p>
    <w:p w14:paraId="2E306EB0" w14:textId="77777777" w:rsidR="006D511B" w:rsidRPr="00337AAD" w:rsidRDefault="00FC210F" w:rsidP="00FC210F">
      <w:pPr>
        <w:pStyle w:val="VLADocumentText"/>
        <w:rPr>
          <w:rFonts w:cs="Arial"/>
          <w:i/>
          <w:szCs w:val="22"/>
          <w:lang w:eastAsia="en-AU"/>
        </w:rPr>
      </w:pPr>
      <w:r w:rsidRPr="00474434">
        <w:rPr>
          <w:rFonts w:cs="Arial"/>
          <w:b/>
          <w:szCs w:val="22"/>
          <w:lang w:eastAsia="en-AU"/>
        </w:rPr>
        <w:t xml:space="preserve">Response: </w:t>
      </w:r>
      <w:r w:rsidR="00763411">
        <w:rPr>
          <w:rFonts w:cs="Arial"/>
          <w:szCs w:val="22"/>
          <w:lang w:eastAsia="en-AU"/>
        </w:rPr>
        <w:t>NIL</w:t>
      </w:r>
    </w:p>
    <w:p w14:paraId="13132F2E" w14:textId="77777777" w:rsidR="00FC210F" w:rsidRPr="00474434" w:rsidRDefault="00FC210F" w:rsidP="00337AAD">
      <w:pPr>
        <w:pStyle w:val="Heading2"/>
      </w:pPr>
      <w:bookmarkStart w:id="1" w:name="_Toc375298250"/>
      <w:r>
        <w:t>Proposal 1</w:t>
      </w:r>
      <w:r w:rsidR="00337AAD">
        <w:t xml:space="preserve"> –</w:t>
      </w:r>
      <w:r w:rsidRPr="006B7AE4">
        <w:t xml:space="preserve"> </w:t>
      </w:r>
      <w:bookmarkEnd w:id="1"/>
      <w:r>
        <w:t>Case Plan Meetings</w:t>
      </w:r>
      <w:r w:rsidRPr="00474434">
        <w:t xml:space="preserve"> </w:t>
      </w:r>
    </w:p>
    <w:p w14:paraId="6205B7FF" w14:textId="77777777" w:rsidR="00FC210F" w:rsidRPr="00625656" w:rsidRDefault="00FC210F" w:rsidP="00FC210F">
      <w:pPr>
        <w:pStyle w:val="ListParagraph"/>
        <w:numPr>
          <w:ilvl w:val="0"/>
          <w:numId w:val="36"/>
        </w:numPr>
        <w:spacing w:line="300" w:lineRule="exact"/>
        <w:rPr>
          <w:rFonts w:ascii="Arial" w:hAnsi="Arial" w:cs="Arial"/>
          <w:b/>
          <w:color w:val="000000"/>
          <w:sz w:val="22"/>
          <w:szCs w:val="22"/>
        </w:rPr>
      </w:pPr>
      <w:bookmarkStart w:id="2" w:name="_Toc375298251"/>
      <w:r w:rsidRPr="00625656">
        <w:rPr>
          <w:rFonts w:ascii="Arial" w:hAnsi="Arial" w:cs="Arial"/>
          <w:b/>
          <w:color w:val="000000"/>
          <w:sz w:val="22"/>
          <w:szCs w:val="22"/>
        </w:rPr>
        <w:t xml:space="preserve">Funding for legal advice and representation for post-court case plan meetings </w:t>
      </w:r>
    </w:p>
    <w:p w14:paraId="1070ABFF" w14:textId="77777777" w:rsidR="00FC210F" w:rsidRPr="00337AAD" w:rsidRDefault="00FC210F" w:rsidP="00337AAD">
      <w:pPr>
        <w:pStyle w:val="VLADocumentText"/>
        <w:ind w:left="709"/>
        <w:rPr>
          <w:rFonts w:cs="Arial"/>
          <w:b/>
          <w:szCs w:val="22"/>
          <w:lang w:eastAsia="en-AU"/>
        </w:rPr>
      </w:pPr>
      <w:r w:rsidRPr="00474434">
        <w:rPr>
          <w:rFonts w:cs="Arial"/>
          <w:b/>
          <w:szCs w:val="22"/>
          <w:lang w:eastAsia="en-AU"/>
        </w:rPr>
        <w:t xml:space="preserve">Response: </w:t>
      </w:r>
      <w:r w:rsidR="007D5246">
        <w:rPr>
          <w:rFonts w:cs="Arial"/>
          <w:szCs w:val="22"/>
          <w:lang w:eastAsia="en-AU"/>
        </w:rPr>
        <w:t>Given the new legislation drastically reduces the acc</w:t>
      </w:r>
      <w:r w:rsidR="0081401B">
        <w:rPr>
          <w:rFonts w:cs="Arial"/>
          <w:szCs w:val="22"/>
          <w:lang w:eastAsia="en-AU"/>
        </w:rPr>
        <w:t xml:space="preserve">ountability and scrutiny of </w:t>
      </w:r>
      <w:r w:rsidR="007D5246">
        <w:rPr>
          <w:rFonts w:cs="Arial"/>
          <w:szCs w:val="22"/>
          <w:lang w:eastAsia="en-AU"/>
        </w:rPr>
        <w:t>DHH</w:t>
      </w:r>
      <w:r w:rsidR="007F3E22">
        <w:rPr>
          <w:rFonts w:cs="Arial"/>
          <w:szCs w:val="22"/>
          <w:lang w:eastAsia="en-AU"/>
        </w:rPr>
        <w:t xml:space="preserve">S case planning decisions we consider it </w:t>
      </w:r>
      <w:r w:rsidR="007D5246">
        <w:rPr>
          <w:rFonts w:cs="Arial"/>
          <w:szCs w:val="22"/>
          <w:lang w:eastAsia="en-AU"/>
        </w:rPr>
        <w:t>vital that effective legal advice and representation be provided to parents at case plan meetings.</w:t>
      </w:r>
    </w:p>
    <w:p w14:paraId="4D8320DD" w14:textId="77777777" w:rsidR="00FC210F" w:rsidRPr="00625656" w:rsidRDefault="00FC210F" w:rsidP="00FC210F">
      <w:pPr>
        <w:pStyle w:val="ListParagraph"/>
        <w:numPr>
          <w:ilvl w:val="0"/>
          <w:numId w:val="36"/>
        </w:numPr>
        <w:spacing w:line="300" w:lineRule="exact"/>
        <w:rPr>
          <w:rFonts w:ascii="Arial" w:hAnsi="Arial" w:cs="Arial"/>
          <w:b/>
          <w:color w:val="000000"/>
          <w:sz w:val="22"/>
          <w:szCs w:val="22"/>
        </w:rPr>
      </w:pPr>
      <w:r w:rsidRPr="00625656">
        <w:rPr>
          <w:rFonts w:ascii="Arial" w:hAnsi="Arial" w:cs="Arial"/>
          <w:b/>
          <w:color w:val="000000"/>
          <w:sz w:val="22"/>
          <w:szCs w:val="22"/>
        </w:rPr>
        <w:lastRenderedPageBreak/>
        <w:t xml:space="preserve">Alternative: additional fee to obtain the minutes of the post-court case plan meeting and provide advice </w:t>
      </w:r>
    </w:p>
    <w:p w14:paraId="3A90A636" w14:textId="77777777" w:rsidR="00FC210F" w:rsidRDefault="00FC210F" w:rsidP="00337AAD">
      <w:pPr>
        <w:pStyle w:val="VLADocumentText"/>
        <w:ind w:left="709"/>
        <w:rPr>
          <w:rFonts w:cs="Arial"/>
          <w:b/>
          <w:szCs w:val="22"/>
          <w:lang w:eastAsia="en-AU"/>
        </w:rPr>
      </w:pPr>
      <w:r w:rsidRPr="00474434">
        <w:rPr>
          <w:rFonts w:cs="Arial"/>
          <w:b/>
          <w:szCs w:val="22"/>
          <w:lang w:eastAsia="en-AU"/>
        </w:rPr>
        <w:t xml:space="preserve">Response: </w:t>
      </w:r>
      <w:r w:rsidR="00337AAD">
        <w:rPr>
          <w:rFonts w:cs="Arial"/>
          <w:szCs w:val="22"/>
          <w:lang w:eastAsia="en-AU"/>
        </w:rPr>
        <w:t>NIL</w:t>
      </w:r>
    </w:p>
    <w:p w14:paraId="5A453CFB" w14:textId="77777777" w:rsidR="00FC210F" w:rsidRPr="00625656" w:rsidRDefault="00FC210F" w:rsidP="00FC210F">
      <w:pPr>
        <w:pStyle w:val="ListParagraph"/>
        <w:numPr>
          <w:ilvl w:val="0"/>
          <w:numId w:val="36"/>
        </w:numPr>
        <w:spacing w:line="300" w:lineRule="exact"/>
        <w:rPr>
          <w:rFonts w:ascii="Arial" w:hAnsi="Arial" w:cs="Arial"/>
          <w:b/>
          <w:color w:val="000000"/>
          <w:sz w:val="22"/>
          <w:szCs w:val="22"/>
        </w:rPr>
      </w:pPr>
      <w:r w:rsidRPr="00625656">
        <w:rPr>
          <w:rFonts w:ascii="Arial" w:hAnsi="Arial" w:cs="Arial"/>
          <w:b/>
          <w:color w:val="000000"/>
          <w:sz w:val="22"/>
          <w:szCs w:val="22"/>
        </w:rPr>
        <w:t>Pre-court case plan meetings</w:t>
      </w:r>
    </w:p>
    <w:p w14:paraId="2D416172" w14:textId="77777777" w:rsidR="00FC210F" w:rsidRDefault="00FC210F" w:rsidP="00337AAD">
      <w:pPr>
        <w:pStyle w:val="VLADocumentText"/>
        <w:ind w:left="709"/>
        <w:rPr>
          <w:rFonts w:cs="Arial"/>
          <w:b/>
          <w:szCs w:val="22"/>
          <w:lang w:eastAsia="en-AU"/>
        </w:rPr>
      </w:pPr>
      <w:r w:rsidRPr="00474434">
        <w:rPr>
          <w:rFonts w:cs="Arial"/>
          <w:b/>
          <w:szCs w:val="22"/>
          <w:lang w:eastAsia="en-AU"/>
        </w:rPr>
        <w:t xml:space="preserve">Response: </w:t>
      </w:r>
      <w:r w:rsidR="007D5246">
        <w:rPr>
          <w:rFonts w:cs="Arial"/>
          <w:szCs w:val="22"/>
          <w:lang w:eastAsia="en-AU"/>
        </w:rPr>
        <w:t>Whilst this would entail a significant shift in VLA’s current practice we strongly support the implementation of this proposal.  It is imperative that parents are supported with advice, representation and advocacy as ea</w:t>
      </w:r>
      <w:r w:rsidR="00070737">
        <w:rPr>
          <w:rFonts w:cs="Arial"/>
          <w:szCs w:val="22"/>
          <w:lang w:eastAsia="en-AU"/>
        </w:rPr>
        <w:t xml:space="preserve">rly in the process as possible.  This can counter the confusion and disempowerment that impacts the capacity of many parents to work </w:t>
      </w:r>
      <w:r w:rsidR="007F3E22">
        <w:rPr>
          <w:rFonts w:cs="Arial"/>
          <w:szCs w:val="22"/>
          <w:lang w:eastAsia="en-AU"/>
        </w:rPr>
        <w:t xml:space="preserve">effectively </w:t>
      </w:r>
      <w:r w:rsidR="00070737">
        <w:rPr>
          <w:rFonts w:cs="Arial"/>
          <w:szCs w:val="22"/>
          <w:lang w:eastAsia="en-AU"/>
        </w:rPr>
        <w:t xml:space="preserve">with the system.  </w:t>
      </w:r>
    </w:p>
    <w:p w14:paraId="40441A58" w14:textId="77777777" w:rsidR="00FC210F" w:rsidRPr="00474434" w:rsidRDefault="00FC210F" w:rsidP="00337AAD">
      <w:pPr>
        <w:pStyle w:val="Heading2"/>
      </w:pPr>
      <w:r>
        <w:t xml:space="preserve">Proposal 2 </w:t>
      </w:r>
      <w:r w:rsidR="00337AAD">
        <w:t>–</w:t>
      </w:r>
      <w:r>
        <w:t xml:space="preserve"> </w:t>
      </w:r>
      <w:bookmarkEnd w:id="2"/>
      <w:r w:rsidRPr="00474434">
        <w:t>Appearances and Adjournments at the Interim Stage</w:t>
      </w:r>
    </w:p>
    <w:p w14:paraId="0FB38A33" w14:textId="77777777" w:rsidR="00FC210F" w:rsidRPr="00337AAD" w:rsidRDefault="00FC210F" w:rsidP="00FC210F">
      <w:pPr>
        <w:pStyle w:val="VLADocumentText"/>
        <w:rPr>
          <w:rFonts w:cs="Arial"/>
          <w:i/>
          <w:szCs w:val="22"/>
          <w:lang w:eastAsia="en-AU"/>
        </w:rPr>
      </w:pPr>
      <w:r w:rsidRPr="00474434">
        <w:rPr>
          <w:rFonts w:cs="Arial"/>
          <w:b/>
          <w:szCs w:val="22"/>
          <w:lang w:eastAsia="en-AU"/>
        </w:rPr>
        <w:t xml:space="preserve">Response: </w:t>
      </w:r>
      <w:r w:rsidR="007F3E22">
        <w:rPr>
          <w:rFonts w:cs="Arial"/>
          <w:szCs w:val="22"/>
          <w:lang w:eastAsia="en-AU"/>
        </w:rPr>
        <w:t>NIL</w:t>
      </w:r>
    </w:p>
    <w:p w14:paraId="75C96D0A" w14:textId="77777777" w:rsidR="00FC210F" w:rsidRPr="00474434" w:rsidRDefault="00FC210F" w:rsidP="00337AAD">
      <w:pPr>
        <w:pStyle w:val="Heading2"/>
      </w:pPr>
      <w:r>
        <w:t xml:space="preserve">Proposal 3 </w:t>
      </w:r>
      <w:r w:rsidR="00337AAD">
        <w:t>–</w:t>
      </w:r>
      <w:r>
        <w:t xml:space="preserve"> </w:t>
      </w:r>
      <w:r w:rsidRPr="006B7AE4">
        <w:t xml:space="preserve">Interim Accommodation Order </w:t>
      </w:r>
      <w:r>
        <w:t>C</w:t>
      </w:r>
      <w:r w:rsidRPr="006B7AE4">
        <w:t xml:space="preserve">ontested </w:t>
      </w:r>
      <w:r>
        <w:t>H</w:t>
      </w:r>
      <w:r w:rsidRPr="006B7AE4">
        <w:t>earing</w:t>
      </w:r>
      <w:r>
        <w:t>s</w:t>
      </w:r>
    </w:p>
    <w:p w14:paraId="4B690068" w14:textId="77777777" w:rsidR="00FC210F" w:rsidRPr="00337AAD" w:rsidRDefault="00FC210F" w:rsidP="00FC210F">
      <w:pPr>
        <w:pStyle w:val="VLADocumentText"/>
        <w:rPr>
          <w:rFonts w:cs="Arial"/>
          <w:i/>
          <w:szCs w:val="22"/>
          <w:lang w:eastAsia="en-AU"/>
        </w:rPr>
      </w:pPr>
      <w:r w:rsidRPr="00474434">
        <w:rPr>
          <w:rFonts w:cs="Arial"/>
          <w:b/>
          <w:szCs w:val="22"/>
          <w:lang w:eastAsia="en-AU"/>
        </w:rPr>
        <w:t xml:space="preserve">Response: </w:t>
      </w:r>
      <w:r w:rsidR="00305A8C">
        <w:rPr>
          <w:rFonts w:cs="Arial"/>
          <w:szCs w:val="22"/>
          <w:lang w:eastAsia="en-AU"/>
        </w:rPr>
        <w:t>We fully support this proposal to assist parents to maintain a strong bond with their child and maximum opportunity to demonstrate appropriate parenting.  We see many cases where contact</w:t>
      </w:r>
      <w:r w:rsidR="00070737">
        <w:rPr>
          <w:rFonts w:cs="Arial"/>
          <w:szCs w:val="22"/>
          <w:lang w:eastAsia="en-AU"/>
        </w:rPr>
        <w:t xml:space="preserve"> arrangements become static </w:t>
      </w:r>
      <w:r w:rsidR="00F865CE">
        <w:rPr>
          <w:rFonts w:cs="Arial"/>
          <w:szCs w:val="22"/>
          <w:lang w:eastAsia="en-AU"/>
        </w:rPr>
        <w:t>are not</w:t>
      </w:r>
      <w:r w:rsidR="00305A8C">
        <w:rPr>
          <w:rFonts w:cs="Arial"/>
          <w:szCs w:val="22"/>
          <w:lang w:eastAsia="en-AU"/>
        </w:rPr>
        <w:t xml:space="preserve"> appropriately reviewed in line with parental capacity.  Effective advocacy can achieve significant outcomes.  In one example parents with intellectual disability were stuck in a supervised contact arrangement.  They had met, and far exceeded, DHHS requests to complete parenting programs and to improve environmental conditions in their home.  However, this was never effectively monitored and assessed.  Once advocates became involved t</w:t>
      </w:r>
      <w:r w:rsidR="00070737">
        <w:rPr>
          <w:rFonts w:cs="Arial"/>
          <w:szCs w:val="22"/>
          <w:lang w:eastAsia="en-AU"/>
        </w:rPr>
        <w:t xml:space="preserve">he family </w:t>
      </w:r>
      <w:r w:rsidR="00305A8C">
        <w:rPr>
          <w:rFonts w:cs="Arial"/>
          <w:szCs w:val="22"/>
          <w:lang w:eastAsia="en-AU"/>
        </w:rPr>
        <w:t>quickly progressed to unsupervised contact and t</w:t>
      </w:r>
      <w:r w:rsidR="00070737">
        <w:rPr>
          <w:rFonts w:cs="Arial"/>
          <w:szCs w:val="22"/>
          <w:lang w:eastAsia="en-AU"/>
        </w:rPr>
        <w:t>hen overnight stays</w:t>
      </w:r>
      <w:r w:rsidR="00F865CE">
        <w:rPr>
          <w:rFonts w:cs="Arial"/>
          <w:szCs w:val="22"/>
          <w:lang w:eastAsia="en-AU"/>
        </w:rPr>
        <w:t xml:space="preserve"> as the parents were able to demonstrate</w:t>
      </w:r>
      <w:r w:rsidR="00070737">
        <w:rPr>
          <w:rFonts w:cs="Arial"/>
          <w:szCs w:val="22"/>
          <w:lang w:eastAsia="en-AU"/>
        </w:rPr>
        <w:t xml:space="preserve"> their progress and capacity.</w:t>
      </w:r>
    </w:p>
    <w:p w14:paraId="164185A7" w14:textId="77777777" w:rsidR="00FC210F" w:rsidRPr="00474434" w:rsidRDefault="00FC210F" w:rsidP="00337AAD">
      <w:pPr>
        <w:pStyle w:val="Heading2"/>
      </w:pPr>
      <w:r>
        <w:t xml:space="preserve">Proposal 4 </w:t>
      </w:r>
      <w:r w:rsidR="00337AAD">
        <w:t>–</w:t>
      </w:r>
      <w:r>
        <w:t xml:space="preserve"> </w:t>
      </w:r>
      <w:r w:rsidRPr="00474434">
        <w:t xml:space="preserve">Appeal </w:t>
      </w:r>
      <w:r>
        <w:t>of</w:t>
      </w:r>
      <w:r w:rsidRPr="00474434">
        <w:t xml:space="preserve"> an Interim Accommodation Order </w:t>
      </w:r>
    </w:p>
    <w:p w14:paraId="6AB11269" w14:textId="77777777" w:rsidR="00743F3B" w:rsidRPr="00337AAD" w:rsidRDefault="00FC210F" w:rsidP="00FC210F">
      <w:pPr>
        <w:pStyle w:val="VLADocumentText"/>
        <w:rPr>
          <w:rFonts w:cs="Arial"/>
          <w:i/>
          <w:szCs w:val="22"/>
          <w:lang w:eastAsia="en-AU"/>
        </w:rPr>
      </w:pPr>
      <w:r w:rsidRPr="00474434">
        <w:rPr>
          <w:rFonts w:cs="Arial"/>
          <w:b/>
          <w:szCs w:val="22"/>
          <w:lang w:eastAsia="en-AU"/>
        </w:rPr>
        <w:t xml:space="preserve">Response: </w:t>
      </w:r>
      <w:r w:rsidR="00666DD6">
        <w:rPr>
          <w:rFonts w:cs="Arial"/>
          <w:szCs w:val="22"/>
          <w:lang w:eastAsia="en-AU"/>
        </w:rPr>
        <w:t>NIL</w:t>
      </w:r>
    </w:p>
    <w:p w14:paraId="261C2F92" w14:textId="77777777" w:rsidR="00FC210F" w:rsidRPr="00474434" w:rsidRDefault="00FC210F" w:rsidP="00337AAD">
      <w:pPr>
        <w:pStyle w:val="Heading2"/>
      </w:pPr>
      <w:r>
        <w:t>Proposal 5 – Review of case planning decisions</w:t>
      </w:r>
      <w:r w:rsidRPr="00474434">
        <w:t xml:space="preserve">  </w:t>
      </w:r>
    </w:p>
    <w:p w14:paraId="2259BD52" w14:textId="77777777" w:rsidR="00FC210F" w:rsidRPr="00337AAD" w:rsidRDefault="00FC210F" w:rsidP="00FC210F">
      <w:pPr>
        <w:pStyle w:val="VLADocumentText"/>
        <w:rPr>
          <w:rFonts w:cs="Arial"/>
          <w:szCs w:val="22"/>
          <w:lang w:eastAsia="en-AU"/>
        </w:rPr>
      </w:pPr>
      <w:r w:rsidRPr="00474434">
        <w:rPr>
          <w:rFonts w:cs="Arial"/>
          <w:b/>
          <w:szCs w:val="22"/>
          <w:lang w:eastAsia="en-AU"/>
        </w:rPr>
        <w:t xml:space="preserve">Response: </w:t>
      </w:r>
      <w:r w:rsidR="0079581E">
        <w:rPr>
          <w:rFonts w:cs="Arial"/>
          <w:szCs w:val="22"/>
          <w:lang w:eastAsia="en-AU"/>
        </w:rPr>
        <w:t>We would also anticipate an increase in requests for DHHS Case Plan Reviews and VCAT applications as the implications of the new legislation take effect.  Effective legal assistance in these processes will be vital given the removal of independent scrutiny 12 months into an Order.</w:t>
      </w:r>
    </w:p>
    <w:p w14:paraId="67C0BEFD" w14:textId="77777777" w:rsidR="00FC210F" w:rsidRPr="00474434" w:rsidRDefault="00FC210F" w:rsidP="00337AAD">
      <w:pPr>
        <w:pStyle w:val="Heading2"/>
      </w:pPr>
      <w:r>
        <w:t xml:space="preserve">Proposal 6 </w:t>
      </w:r>
      <w:r w:rsidR="00337AAD">
        <w:t>–</w:t>
      </w:r>
      <w:r>
        <w:t xml:space="preserve"> </w:t>
      </w:r>
      <w:r w:rsidRPr="00474434">
        <w:t xml:space="preserve">Change or breakdown in a child’s placement  </w:t>
      </w:r>
    </w:p>
    <w:p w14:paraId="686BE5B2" w14:textId="77777777" w:rsidR="00FC210F" w:rsidRPr="00337AAD" w:rsidRDefault="00FC210F" w:rsidP="00337AAD">
      <w:pPr>
        <w:pStyle w:val="VLADocumentText"/>
        <w:rPr>
          <w:rFonts w:cs="Arial"/>
          <w:i/>
          <w:szCs w:val="22"/>
          <w:lang w:eastAsia="en-AU"/>
        </w:rPr>
      </w:pPr>
      <w:r w:rsidRPr="00474434">
        <w:rPr>
          <w:rFonts w:cs="Arial"/>
          <w:b/>
          <w:szCs w:val="22"/>
          <w:lang w:eastAsia="en-AU"/>
        </w:rPr>
        <w:t xml:space="preserve">Response: </w:t>
      </w:r>
      <w:r w:rsidR="00666DD6">
        <w:rPr>
          <w:rFonts w:cs="Arial"/>
          <w:szCs w:val="22"/>
          <w:lang w:eastAsia="en-AU"/>
        </w:rPr>
        <w:t xml:space="preserve">We support this proposal but targeting the funding to situations where a child is under a Family Reunification Order only is too limiting.  We have been involved with parents where the case plan direction was non-reunification but following placement breakdown and effective advocacy the family achieved full re-unification.  </w:t>
      </w:r>
    </w:p>
    <w:p w14:paraId="0E57CC30" w14:textId="77777777" w:rsidR="00FC210F" w:rsidRPr="00474434" w:rsidRDefault="00FC210F" w:rsidP="00337AAD">
      <w:pPr>
        <w:pStyle w:val="Heading2"/>
      </w:pPr>
      <w:r w:rsidRPr="00474434">
        <w:t xml:space="preserve">Additional Options that </w:t>
      </w:r>
      <w:r>
        <w:t>you propose VLA consider</w:t>
      </w:r>
      <w:r w:rsidRPr="00474434">
        <w:t xml:space="preserve"> </w:t>
      </w:r>
    </w:p>
    <w:p w14:paraId="5940FDD7" w14:textId="77777777" w:rsidR="00FC210F" w:rsidRPr="00337AAD" w:rsidRDefault="00FC210F" w:rsidP="00337AAD">
      <w:pPr>
        <w:pStyle w:val="VLADocumentText"/>
        <w:rPr>
          <w:rFonts w:cs="Arial"/>
          <w:i/>
          <w:szCs w:val="22"/>
          <w:lang w:eastAsia="en-AU"/>
        </w:rPr>
      </w:pPr>
      <w:r w:rsidRPr="00474434">
        <w:rPr>
          <w:rFonts w:cs="Arial"/>
          <w:b/>
          <w:szCs w:val="22"/>
          <w:lang w:eastAsia="en-AU"/>
        </w:rPr>
        <w:t xml:space="preserve">Response: </w:t>
      </w:r>
      <w:r w:rsidR="00070737">
        <w:rPr>
          <w:rFonts w:cs="Arial"/>
          <w:szCs w:val="22"/>
          <w:lang w:eastAsia="en-AU"/>
        </w:rPr>
        <w:t>NIL</w:t>
      </w:r>
    </w:p>
    <w:sectPr w:rsidR="00FC210F" w:rsidRPr="00337AAD"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E2B1" w14:textId="77777777" w:rsidR="00C56DE8" w:rsidRDefault="00C56DE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1A9BB73" w14:textId="77777777" w:rsidR="00C56DE8" w:rsidRDefault="00C56DE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1A2E"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802B2" w14:textId="77777777" w:rsidR="00BB122F" w:rsidRDefault="00BB122F" w:rsidP="008074B3">
    <w:pPr>
      <w:pStyle w:val="Footer"/>
      <w:ind w:right="360" w:firstLine="360"/>
    </w:pPr>
  </w:p>
  <w:p w14:paraId="294C320B"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9A44"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86882">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5634F5B3" wp14:editId="48C2BD00">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60A6C"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" strokecolor="#9e4777" strokeweight=".5pt">
              <v:stroke endcap="round"/>
              <v:shadow color="black" opacity="22938f" offset="0,.74833mm"/>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9C7A"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8688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2A0159F9" wp14:editId="10E5635A">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96423"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" strokecolor="#9e4777" strokeweight=".5pt">
              <v:stroke endcap="round"/>
              <v:shadow color="black" opacity="22938f" offset="0,.74833mm"/>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DA4B" w14:textId="77777777" w:rsidR="00C56DE8" w:rsidRDefault="00C56DE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7F64552" w14:textId="77777777" w:rsidR="00C56DE8" w:rsidRDefault="00C56DE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3A59"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F647B8" w14:textId="77777777" w:rsidR="00BB122F" w:rsidRDefault="00BB122F" w:rsidP="00091AFC">
    <w:pPr>
      <w:pStyle w:val="Header"/>
      <w:ind w:right="360"/>
    </w:pPr>
  </w:p>
  <w:p w14:paraId="732A1A15"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158A" w14:textId="77777777" w:rsidR="00BB122F" w:rsidRPr="00CD6082" w:rsidRDefault="00BB122F" w:rsidP="00D82005">
    <w:pPr>
      <w:tabs>
        <w:tab w:val="left" w:pos="6893"/>
      </w:tabs>
      <w:spacing w:after="80" w:line="240" w:lineRule="auto"/>
      <w:ind w:left="-330"/>
      <w:rPr>
        <w:rFonts w:cs="Arial"/>
        <w:color w:val="9E4777"/>
        <w:sz w:val="18"/>
        <w:szCs w:val="18"/>
      </w:rPr>
    </w:pPr>
    <w:r w:rsidRPr="00CD6082">
      <w:rPr>
        <w:rFonts w:cs="Arial"/>
        <w:color w:val="9E4777"/>
        <w:sz w:val="18"/>
        <w:szCs w:val="18"/>
      </w:rPr>
      <w:t>Victoria Legal Aid</w:t>
    </w:r>
    <w:r w:rsidRPr="00CD6082">
      <w:rPr>
        <w:rFonts w:cs="Arial"/>
        <w:color w:val="9E4777"/>
        <w:sz w:val="18"/>
        <w:szCs w:val="18"/>
      </w:rPr>
      <w:tab/>
    </w:r>
  </w:p>
  <w:p w14:paraId="140129CD" w14:textId="77777777" w:rsidR="00BB122F" w:rsidRPr="00CD6082" w:rsidRDefault="00BB122F" w:rsidP="00EF7C5C">
    <w:pPr>
      <w:spacing w:line="240" w:lineRule="auto"/>
      <w:ind w:left="-330"/>
      <w:rPr>
        <w:rFonts w:ascii="Arial Bold" w:hAnsi="Arial Bold" w:cs="Arial"/>
        <w:color w:val="9E4777"/>
      </w:rPr>
    </w:pPr>
    <w:r w:rsidRPr="00CD6082">
      <w:rPr>
        <w:rFonts w:ascii="Arial Bold" w:hAnsi="Arial Bold" w:cs="Arial"/>
        <w:b/>
        <w:noProof/>
        <w:color w:val="9E4777"/>
        <w:sz w:val="18"/>
        <w:szCs w:val="18"/>
        <w:lang w:eastAsia="en-AU"/>
      </w:rPr>
      <mc:AlternateContent>
        <mc:Choice Requires="wps">
          <w:drawing>
            <wp:anchor distT="0" distB="0" distL="114300" distR="114300" simplePos="0" relativeHeight="251660800" behindDoc="1" locked="1" layoutInCell="1" allowOverlap="1" wp14:anchorId="3B76559D" wp14:editId="45BF47DE">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350A" id="Straight Connector 3"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ZMYVDSUCAABABAAADgAAAAAAAAAAAAAAAAAuAgAAZHJzL2Uyb0RvYy54&#10;bWxQSwECLQAUAAYACAAAACEAh9U4NdwAAAALAQAADwAAAAAAAAAAAAAAAAB/BAAAZHJzL2Rvd25y&#10;ZXYueG1sUEsFBgAAAAAEAAQA8wAAAIgFAAAAAA==&#10;" strokecolor="#9e4777" strokeweight=".5pt">
              <w10:wrap anchorx="page" anchory="page"/>
              <w10:anchorlock/>
            </v:line>
          </w:pict>
        </mc:Fallback>
      </mc:AlternateContent>
    </w:r>
    <w:r w:rsidR="00FC210F">
      <w:rPr>
        <w:rFonts w:ascii="Arial Bold" w:hAnsi="Arial Bold" w:cs="Arial"/>
        <w:b/>
        <w:color w:val="9E4777"/>
        <w:sz w:val="18"/>
        <w:szCs w:val="18"/>
      </w:rPr>
      <w:t xml:space="preserve">Submission form for State Family (Child Protection) Guidelines Consultation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80CC" w14:textId="77777777" w:rsidR="00BB122F" w:rsidRPr="00833658" w:rsidRDefault="00EE18F3"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71D99532" wp14:editId="433D8418">
          <wp:simplePos x="0" y="0"/>
          <wp:positionH relativeFrom="column">
            <wp:posOffset>-385445</wp:posOffset>
          </wp:positionH>
          <wp:positionV relativeFrom="paragraph">
            <wp:posOffset>635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BE7F7A4" w14:textId="77777777" w:rsidR="00BB122F" w:rsidRPr="00D82005" w:rsidRDefault="00FC210F" w:rsidP="00D82005">
    <w:pPr>
      <w:pStyle w:val="VLAPublicationdate"/>
      <w:spacing w:before="240" w:after="1200"/>
    </w:pPr>
    <w:r>
      <w:t>November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1AD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A7267D"/>
    <w:multiLevelType w:val="hybridMultilevel"/>
    <w:tmpl w:val="79A4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67AEC"/>
    <w:multiLevelType w:val="hybridMultilevel"/>
    <w:tmpl w:val="EA2A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14"/>
  </w:num>
  <w:num w:numId="4">
    <w:abstractNumId w:val="13"/>
  </w:num>
  <w:num w:numId="5">
    <w:abstractNumId w:val="14"/>
  </w:num>
  <w:num w:numId="6">
    <w:abstractNumId w:val="14"/>
  </w:num>
  <w:num w:numId="7">
    <w:abstractNumId w:val="15"/>
  </w:num>
  <w:num w:numId="8">
    <w:abstractNumId w:val="14"/>
  </w:num>
  <w:num w:numId="9">
    <w:abstractNumId w:val="12"/>
  </w:num>
  <w:num w:numId="10">
    <w:abstractNumId w:val="10"/>
  </w:num>
  <w:num w:numId="11">
    <w:abstractNumId w:val="12"/>
  </w:num>
  <w:num w:numId="12">
    <w:abstractNumId w:val="9"/>
  </w:num>
  <w:num w:numId="13">
    <w:abstractNumId w:val="9"/>
  </w:num>
  <w:num w:numId="14">
    <w:abstractNumId w:val="9"/>
  </w:num>
  <w:num w:numId="15">
    <w:abstractNumId w:val="9"/>
  </w:num>
  <w:num w:numId="16">
    <w:abstractNumId w:val="10"/>
  </w:num>
  <w:num w:numId="17">
    <w:abstractNumId w:val="14"/>
  </w:num>
  <w:num w:numId="18">
    <w:abstractNumId w:val="14"/>
  </w:num>
  <w:num w:numId="19">
    <w:abstractNumId w:val="13"/>
  </w:num>
  <w:num w:numId="20">
    <w:abstractNumId w:val="13"/>
  </w:num>
  <w:num w:numId="21">
    <w:abstractNumId w:val="13"/>
  </w:num>
  <w:num w:numId="22">
    <w:abstractNumId w:val="12"/>
  </w:num>
  <w:num w:numId="23">
    <w:abstractNumId w:val="10"/>
  </w:num>
  <w:num w:numId="24">
    <w:abstractNumId w:val="14"/>
  </w:num>
  <w:num w:numId="25">
    <w:abstractNumId w:val="14"/>
  </w:num>
  <w:num w:numId="26">
    <w:abstractNumId w:val="13"/>
  </w:num>
  <w:num w:numId="27">
    <w:abstractNumId w:val="13"/>
  </w:num>
  <w:num w:numId="28">
    <w:abstractNumId w:val="13"/>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C210F"/>
    <w:rsid w:val="000078CE"/>
    <w:rsid w:val="000360EC"/>
    <w:rsid w:val="00040F0B"/>
    <w:rsid w:val="00057FDC"/>
    <w:rsid w:val="00070737"/>
    <w:rsid w:val="000759A6"/>
    <w:rsid w:val="00091432"/>
    <w:rsid w:val="00091AFC"/>
    <w:rsid w:val="00094FE1"/>
    <w:rsid w:val="000A1C94"/>
    <w:rsid w:val="000C6955"/>
    <w:rsid w:val="000E1BEB"/>
    <w:rsid w:val="00151B7E"/>
    <w:rsid w:val="0015359B"/>
    <w:rsid w:val="00160C7E"/>
    <w:rsid w:val="00181303"/>
    <w:rsid w:val="001A2999"/>
    <w:rsid w:val="001D68EB"/>
    <w:rsid w:val="00202FBC"/>
    <w:rsid w:val="0021722B"/>
    <w:rsid w:val="00232D60"/>
    <w:rsid w:val="002B73A4"/>
    <w:rsid w:val="002F7860"/>
    <w:rsid w:val="00305A8C"/>
    <w:rsid w:val="00306C10"/>
    <w:rsid w:val="00310DD1"/>
    <w:rsid w:val="00315C03"/>
    <w:rsid w:val="003224F8"/>
    <w:rsid w:val="003315F4"/>
    <w:rsid w:val="00337AAD"/>
    <w:rsid w:val="00360994"/>
    <w:rsid w:val="003655D7"/>
    <w:rsid w:val="0037081E"/>
    <w:rsid w:val="003C7868"/>
    <w:rsid w:val="00402557"/>
    <w:rsid w:val="004158B6"/>
    <w:rsid w:val="00425178"/>
    <w:rsid w:val="00427C16"/>
    <w:rsid w:val="004421BD"/>
    <w:rsid w:val="00443649"/>
    <w:rsid w:val="00470024"/>
    <w:rsid w:val="004707EF"/>
    <w:rsid w:val="004C75B1"/>
    <w:rsid w:val="004D7100"/>
    <w:rsid w:val="00504F13"/>
    <w:rsid w:val="005317C2"/>
    <w:rsid w:val="00546C0D"/>
    <w:rsid w:val="005B1640"/>
    <w:rsid w:val="005B3D02"/>
    <w:rsid w:val="005C1DFD"/>
    <w:rsid w:val="005D19C7"/>
    <w:rsid w:val="005D4A19"/>
    <w:rsid w:val="005D5C9C"/>
    <w:rsid w:val="00625656"/>
    <w:rsid w:val="0066019E"/>
    <w:rsid w:val="00666DD6"/>
    <w:rsid w:val="006764E3"/>
    <w:rsid w:val="00680746"/>
    <w:rsid w:val="006A00A7"/>
    <w:rsid w:val="006A6FC6"/>
    <w:rsid w:val="006B35B8"/>
    <w:rsid w:val="006B3F5E"/>
    <w:rsid w:val="006B612D"/>
    <w:rsid w:val="006B6E7E"/>
    <w:rsid w:val="006D511B"/>
    <w:rsid w:val="006F181A"/>
    <w:rsid w:val="006F2D6F"/>
    <w:rsid w:val="00714549"/>
    <w:rsid w:val="00724661"/>
    <w:rsid w:val="00743F3B"/>
    <w:rsid w:val="00763411"/>
    <w:rsid w:val="00775F38"/>
    <w:rsid w:val="00781FFA"/>
    <w:rsid w:val="00786882"/>
    <w:rsid w:val="0078739B"/>
    <w:rsid w:val="0079581E"/>
    <w:rsid w:val="007B0612"/>
    <w:rsid w:val="007D5246"/>
    <w:rsid w:val="007D5BA7"/>
    <w:rsid w:val="007D5C56"/>
    <w:rsid w:val="007F3E22"/>
    <w:rsid w:val="008074B3"/>
    <w:rsid w:val="0081401B"/>
    <w:rsid w:val="0082595B"/>
    <w:rsid w:val="00833658"/>
    <w:rsid w:val="00847377"/>
    <w:rsid w:val="00856DA8"/>
    <w:rsid w:val="008636E1"/>
    <w:rsid w:val="008958CB"/>
    <w:rsid w:val="00896E60"/>
    <w:rsid w:val="008A1E5F"/>
    <w:rsid w:val="008B2419"/>
    <w:rsid w:val="008C388A"/>
    <w:rsid w:val="008F4DC6"/>
    <w:rsid w:val="00940793"/>
    <w:rsid w:val="00950045"/>
    <w:rsid w:val="00963432"/>
    <w:rsid w:val="0099270D"/>
    <w:rsid w:val="009A74F1"/>
    <w:rsid w:val="009B0D09"/>
    <w:rsid w:val="009B59BF"/>
    <w:rsid w:val="009D539D"/>
    <w:rsid w:val="009E1AC3"/>
    <w:rsid w:val="009F0AA0"/>
    <w:rsid w:val="00A11120"/>
    <w:rsid w:val="00A4395A"/>
    <w:rsid w:val="00A52F29"/>
    <w:rsid w:val="00A827F5"/>
    <w:rsid w:val="00A93509"/>
    <w:rsid w:val="00AB5376"/>
    <w:rsid w:val="00AC3D95"/>
    <w:rsid w:val="00B044A6"/>
    <w:rsid w:val="00B85795"/>
    <w:rsid w:val="00BB122F"/>
    <w:rsid w:val="00BD3873"/>
    <w:rsid w:val="00BE36EB"/>
    <w:rsid w:val="00C16B80"/>
    <w:rsid w:val="00C33AEF"/>
    <w:rsid w:val="00C415B1"/>
    <w:rsid w:val="00C56DE8"/>
    <w:rsid w:val="00C61CB5"/>
    <w:rsid w:val="00C64A61"/>
    <w:rsid w:val="00C81372"/>
    <w:rsid w:val="00C84D28"/>
    <w:rsid w:val="00CB48F9"/>
    <w:rsid w:val="00CC0626"/>
    <w:rsid w:val="00CC216F"/>
    <w:rsid w:val="00CC6F2C"/>
    <w:rsid w:val="00CD6082"/>
    <w:rsid w:val="00CF2D05"/>
    <w:rsid w:val="00D30B8E"/>
    <w:rsid w:val="00D43068"/>
    <w:rsid w:val="00D450A5"/>
    <w:rsid w:val="00D75C29"/>
    <w:rsid w:val="00D82005"/>
    <w:rsid w:val="00D9684E"/>
    <w:rsid w:val="00DB07C5"/>
    <w:rsid w:val="00DC01DC"/>
    <w:rsid w:val="00DD5EE1"/>
    <w:rsid w:val="00DE037E"/>
    <w:rsid w:val="00DE3C33"/>
    <w:rsid w:val="00DE5C39"/>
    <w:rsid w:val="00DF7478"/>
    <w:rsid w:val="00E865F8"/>
    <w:rsid w:val="00E92D5D"/>
    <w:rsid w:val="00E93990"/>
    <w:rsid w:val="00EE18F3"/>
    <w:rsid w:val="00EF4FC5"/>
    <w:rsid w:val="00EF7C5C"/>
    <w:rsid w:val="00F0005B"/>
    <w:rsid w:val="00F14EC8"/>
    <w:rsid w:val="00F63972"/>
    <w:rsid w:val="00F77E0F"/>
    <w:rsid w:val="00F825B6"/>
    <w:rsid w:val="00F865CE"/>
    <w:rsid w:val="00FB3760"/>
    <w:rsid w:val="00FC21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C5254"/>
  <w15:docId w15:val="{48D845C2-CB2B-46BE-9E88-13A94CE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EE18F3"/>
    <w:pPr>
      <w:keepNext/>
      <w:spacing w:before="240" w:after="120" w:line="300" w:lineRule="atLeast"/>
      <w:outlineLvl w:val="0"/>
    </w:pPr>
    <w:rPr>
      <w:rFonts w:ascii="Arial" w:eastAsia="Times New Roman" w:hAnsi="Arial" w:cs="Arial"/>
      <w:b/>
      <w:bCs/>
      <w:color w:val="9E4777"/>
      <w:kern w:val="32"/>
      <w:sz w:val="32"/>
      <w:szCs w:val="32"/>
      <w:lang w:eastAsia="en-AU"/>
    </w:rPr>
  </w:style>
  <w:style w:type="paragraph" w:styleId="Heading2">
    <w:name w:val="heading 2"/>
    <w:next w:val="Normal"/>
    <w:qFormat/>
    <w:rsid w:val="00E93990"/>
    <w:pPr>
      <w:keepNext/>
      <w:spacing w:before="240" w:after="120" w:line="300" w:lineRule="atLeast"/>
      <w:outlineLvl w:val="1"/>
    </w:pPr>
    <w:rPr>
      <w:rFonts w:ascii="Arial" w:eastAsia="Times New Roman" w:hAnsi="Arial" w:cs="Arial"/>
      <w:b/>
      <w:bCs/>
      <w:iCs/>
      <w:color w:val="9E4777"/>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E93990"/>
    <w:pPr>
      <w:pBdr>
        <w:bottom w:val="single" w:sz="4" w:space="1" w:color="9E4777"/>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EE18F3"/>
    <w:pPr>
      <w:spacing w:before="240" w:after="240" w:line="300" w:lineRule="atLeast"/>
    </w:pPr>
    <w:rPr>
      <w:rFonts w:ascii="Arial" w:eastAsia="Times New Roman" w:hAnsi="Arial" w:cs="Arial"/>
      <w:b/>
      <w:bCs/>
      <w:color w:val="9E4777"/>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link w:val="VLADocumentTextChar"/>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E93990"/>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EE18F3"/>
    <w:pPr>
      <w:spacing w:before="160" w:after="40" w:line="300" w:lineRule="atLeast"/>
    </w:pPr>
    <w:rPr>
      <w:rFonts w:ascii="Arial" w:eastAsia="Times New Roman" w:hAnsi="Arial" w:cs="Arial"/>
      <w:b/>
      <w:bCs/>
      <w:iCs/>
      <w:color w:val="9E4777"/>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EE18F3"/>
    <w:pPr>
      <w:numPr>
        <w:numId w:val="22"/>
      </w:numPr>
      <w:spacing w:before="240" w:after="240" w:line="280" w:lineRule="exact"/>
    </w:pPr>
    <w:rPr>
      <w:rFonts w:ascii="Arial" w:eastAsia="Times New Roman" w:hAnsi="Arial" w:cs="Arial"/>
      <w:b/>
      <w:bCs/>
      <w:color w:val="9E4777"/>
      <w:kern w:val="32"/>
      <w:sz w:val="28"/>
      <w:szCs w:val="32"/>
      <w:lang w:eastAsia="en-AU"/>
    </w:rPr>
  </w:style>
  <w:style w:type="paragraph" w:customStyle="1" w:styleId="VLAdivision">
    <w:name w:val="VLA division"/>
    <w:basedOn w:val="Normal"/>
    <w:next w:val="VLAauthor"/>
    <w:rsid w:val="00E93990"/>
    <w:pPr>
      <w:spacing w:before="60" w:after="240"/>
    </w:pPr>
    <w:rPr>
      <w:b/>
      <w:color w:val="9E4777"/>
      <w:sz w:val="28"/>
      <w:szCs w:val="28"/>
      <w:lang w:eastAsia="en-AU"/>
    </w:rPr>
  </w:style>
  <w:style w:type="paragraph" w:customStyle="1" w:styleId="VLAauthor">
    <w:name w:val="VLA author"/>
    <w:basedOn w:val="Normal"/>
    <w:next w:val="VLAdivision"/>
    <w:rsid w:val="00E93990"/>
    <w:pPr>
      <w:spacing w:before="240" w:after="60"/>
    </w:pPr>
    <w:rPr>
      <w:b/>
      <w:color w:val="9E4777"/>
      <w:sz w:val="28"/>
      <w:szCs w:val="28"/>
      <w:lang w:eastAsia="en-AU"/>
    </w:rPr>
  </w:style>
  <w:style w:type="paragraph" w:customStyle="1" w:styleId="Contents">
    <w:name w:val="Contents"/>
    <w:basedOn w:val="VLAdivision"/>
    <w:next w:val="Normal"/>
    <w:rsid w:val="00EE18F3"/>
  </w:style>
  <w:style w:type="paragraph" w:customStyle="1" w:styleId="Filename">
    <w:name w:val="Filename"/>
    <w:basedOn w:val="Normal"/>
    <w:rsid w:val="00E93990"/>
    <w:pPr>
      <w:pBdr>
        <w:top w:val="single" w:sz="4" w:space="1" w:color="9E4777"/>
      </w:pBdr>
      <w:tabs>
        <w:tab w:val="right" w:pos="9240"/>
      </w:tabs>
    </w:pPr>
    <w:rPr>
      <w:sz w:val="18"/>
    </w:rPr>
  </w:style>
  <w:style w:type="paragraph" w:styleId="Title">
    <w:name w:val="Title"/>
    <w:link w:val="TitleChar"/>
    <w:qFormat/>
    <w:locked/>
    <w:rsid w:val="00E93990"/>
    <w:pPr>
      <w:spacing w:before="2000" w:after="240" w:line="400" w:lineRule="exact"/>
      <w:outlineLvl w:val="0"/>
    </w:pPr>
    <w:rPr>
      <w:rFonts w:ascii="Arial Bold" w:eastAsia="Times New Roman" w:hAnsi="Arial Bold" w:cs="Arial"/>
      <w:b/>
      <w:bCs/>
      <w:color w:val="9E4777"/>
      <w:kern w:val="28"/>
      <w:sz w:val="36"/>
      <w:szCs w:val="32"/>
    </w:rPr>
  </w:style>
  <w:style w:type="character" w:customStyle="1" w:styleId="TitleChar">
    <w:name w:val="Title Char"/>
    <w:link w:val="Title"/>
    <w:rsid w:val="00E93990"/>
    <w:rPr>
      <w:rFonts w:ascii="Arial Bold" w:eastAsia="Times New Roman" w:hAnsi="Arial Bold" w:cs="Arial"/>
      <w:b/>
      <w:bCs/>
      <w:color w:val="9E4777"/>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VLADocumentTextChar">
    <w:name w:val="VLA Document Text Char"/>
    <w:basedOn w:val="DefaultParagraphFont"/>
    <w:link w:val="VLADocumentText"/>
    <w:locked/>
    <w:rsid w:val="00FC210F"/>
    <w:rPr>
      <w:rFonts w:ascii="Arial" w:eastAsia="Times New Roman" w:hAnsi="Arial"/>
      <w:sz w:val="22"/>
      <w:szCs w:val="24"/>
    </w:rPr>
  </w:style>
  <w:style w:type="paragraph" w:styleId="ListParagraph">
    <w:name w:val="List Paragraph"/>
    <w:basedOn w:val="Normal"/>
    <w:uiPriority w:val="34"/>
    <w:qFormat/>
    <w:rsid w:val="00FC210F"/>
    <w:pPr>
      <w:spacing w:after="0" w:line="240" w:lineRule="auto"/>
      <w:ind w:left="720"/>
      <w:contextualSpacing/>
    </w:pPr>
    <w:rPr>
      <w:rFonts w:ascii="Times New Roman" w:eastAsia="Batang" w:hAnsi="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F1CD-0DCC-4679-A97D-D4A85EF3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71</Lines>
  <Paragraphs>31</Paragraphs>
  <ScaleCrop>false</ScaleCrop>
  <HeadingPairs>
    <vt:vector size="2" baseType="variant">
      <vt:variant>
        <vt:lpstr>Title</vt:lpstr>
      </vt:variant>
      <vt:variant>
        <vt:i4>1</vt:i4>
      </vt:variant>
    </vt:vector>
  </HeadingPairs>
  <TitlesOfParts>
    <vt:vector size="1" baseType="lpstr">
      <vt:lpstr>Family Inclusion Network Victoria Inc. submission for State Family (Child Protection) Guidelines Consultation</vt:lpstr>
    </vt:vector>
  </TitlesOfParts>
  <Manager/>
  <Company>Victoria Legal Aid</Company>
  <LinksUpToDate>false</LinksUpToDate>
  <CharactersWithSpaces>4933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Inclusion Network Victoria Inc. submission for State Family (Child Protection) Guidelines Consultation</dc:title>
  <dc:subject/>
  <dc:creator>Victoria Legal Aid</dc:creator>
  <cp:keywords/>
  <dc:description/>
  <cp:lastModifiedBy>Gabrielle Mundana</cp:lastModifiedBy>
  <cp:revision>2</cp:revision>
  <dcterms:created xsi:type="dcterms:W3CDTF">2022-03-18T03:54:00Z</dcterms:created>
  <dcterms:modified xsi:type="dcterms:W3CDTF">2022-03-18T03:54:00Z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