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8269" w14:textId="77777777" w:rsidR="00996020" w:rsidRDefault="00996020" w:rsidP="00091432">
      <w:pPr>
        <w:pStyle w:val="Heading1"/>
      </w:pPr>
      <w:r>
        <w:t>Supreme Court provides clarity on the legal effect of a pseudonym order</w:t>
      </w:r>
    </w:p>
    <w:p w14:paraId="0DFECD97" w14:textId="77777777" w:rsidR="00EF7C5C" w:rsidRPr="00180176" w:rsidRDefault="00996020" w:rsidP="00180176">
      <w:pPr>
        <w:rPr>
          <w:b/>
        </w:rPr>
      </w:pPr>
      <w:r w:rsidRPr="00180176">
        <w:rPr>
          <w:b/>
        </w:rPr>
        <w:t xml:space="preserve">Case note: </w:t>
      </w:r>
      <w:r w:rsidR="0036437A" w:rsidRPr="00180176">
        <w:rPr>
          <w:b/>
        </w:rPr>
        <w:t>PQR v Secretary, Department</w:t>
      </w:r>
      <w:r w:rsidR="0056798F" w:rsidRPr="00180176">
        <w:rPr>
          <w:b/>
        </w:rPr>
        <w:t xml:space="preserve"> of Justice and Regulation (No 1) [2017] VSC 513</w:t>
      </w:r>
      <w:r w:rsidR="0036437A" w:rsidRPr="00180176">
        <w:rPr>
          <w:b/>
        </w:rPr>
        <w:t xml:space="preserve"> (26 September 2017)</w:t>
      </w:r>
    </w:p>
    <w:p w14:paraId="01CE250A" w14:textId="3FF717CD" w:rsidR="0036437A" w:rsidRDefault="00FB6E4A" w:rsidP="0036437A">
      <w:pPr>
        <w:pStyle w:val="Heading2"/>
      </w:pPr>
      <w:r>
        <w:t>Summary</w:t>
      </w:r>
    </w:p>
    <w:p w14:paraId="4C772659" w14:textId="6DFE3A45" w:rsidR="0036437A" w:rsidRDefault="00FB6E4A" w:rsidP="00994E74">
      <w:pPr>
        <w:spacing w:after="240"/>
      </w:pPr>
      <w:r>
        <w:rPr>
          <w:lang w:eastAsia="en-AU"/>
        </w:rPr>
        <w:t xml:space="preserve">The Supreme Court has found that a </w:t>
      </w:r>
      <w:r w:rsidR="005C4D82">
        <w:rPr>
          <w:lang w:eastAsia="en-AU"/>
        </w:rPr>
        <w:t xml:space="preserve">pseudonym order issued under </w:t>
      </w:r>
      <w:r>
        <w:rPr>
          <w:lang w:eastAsia="en-AU"/>
        </w:rPr>
        <w:t xml:space="preserve">the </w:t>
      </w:r>
      <w:r w:rsidR="00180176">
        <w:rPr>
          <w:lang w:eastAsia="en-AU"/>
        </w:rPr>
        <w:t>c</w:t>
      </w:r>
      <w:r>
        <w:rPr>
          <w:lang w:eastAsia="en-AU"/>
        </w:rPr>
        <w:t xml:space="preserve">ourt’s </w:t>
      </w:r>
      <w:r w:rsidR="005C4D82">
        <w:rPr>
          <w:lang w:eastAsia="en-AU"/>
        </w:rPr>
        <w:t>inherent jurisdiction</w:t>
      </w:r>
      <w:r w:rsidR="00995293">
        <w:rPr>
          <w:lang w:eastAsia="en-AU"/>
        </w:rPr>
        <w:t xml:space="preserve"> has the effect of wholly protecting the anonymity of a party to a proceeding.</w:t>
      </w:r>
      <w:r>
        <w:rPr>
          <w:lang w:eastAsia="en-AU"/>
        </w:rPr>
        <w:t xml:space="preserve"> </w:t>
      </w:r>
    </w:p>
    <w:p w14:paraId="12070A16" w14:textId="5C66E3C7" w:rsidR="00A47908" w:rsidRDefault="002A5F14" w:rsidP="00A47908">
      <w:pPr>
        <w:rPr>
          <w:lang w:eastAsia="en-AU"/>
        </w:rPr>
      </w:pPr>
      <w:r>
        <w:rPr>
          <w:lang w:eastAsia="en-AU"/>
        </w:rPr>
        <w:t>The</w:t>
      </w:r>
      <w:r w:rsidR="00995293">
        <w:rPr>
          <w:lang w:eastAsia="en-AU"/>
        </w:rPr>
        <w:t>refore, the</w:t>
      </w:r>
      <w:r>
        <w:rPr>
          <w:lang w:eastAsia="en-AU"/>
        </w:rPr>
        <w:t xml:space="preserve"> </w:t>
      </w:r>
      <w:r w:rsidR="00180176">
        <w:rPr>
          <w:lang w:eastAsia="en-AU"/>
        </w:rPr>
        <w:t>c</w:t>
      </w:r>
      <w:r w:rsidR="00995293">
        <w:rPr>
          <w:lang w:eastAsia="en-AU"/>
        </w:rPr>
        <w:t xml:space="preserve">ourt refused an </w:t>
      </w:r>
      <w:r>
        <w:rPr>
          <w:lang w:eastAsia="en-AU"/>
        </w:rPr>
        <w:t>a</w:t>
      </w:r>
      <w:r w:rsidR="005C4D82">
        <w:rPr>
          <w:lang w:eastAsia="en-AU"/>
        </w:rPr>
        <w:t>pplication for a proceeding suppression order under s</w:t>
      </w:r>
      <w:r w:rsidR="00180176">
        <w:rPr>
          <w:lang w:eastAsia="en-AU"/>
        </w:rPr>
        <w:t>.</w:t>
      </w:r>
      <w:r w:rsidR="005C4D82">
        <w:rPr>
          <w:lang w:eastAsia="en-AU"/>
        </w:rPr>
        <w:t xml:space="preserve"> 18(1)(a) of the </w:t>
      </w:r>
      <w:r w:rsidR="005C4D82">
        <w:rPr>
          <w:i/>
          <w:lang w:eastAsia="en-AU"/>
        </w:rPr>
        <w:t xml:space="preserve">Open Courts Act 2013 </w:t>
      </w:r>
      <w:r w:rsidR="005C4D82" w:rsidRPr="00994E74">
        <w:rPr>
          <w:lang w:eastAsia="en-AU"/>
        </w:rPr>
        <w:t>(Vic)</w:t>
      </w:r>
      <w:r w:rsidR="005C4D82">
        <w:rPr>
          <w:i/>
          <w:lang w:eastAsia="en-AU"/>
        </w:rPr>
        <w:t xml:space="preserve"> </w:t>
      </w:r>
      <w:r w:rsidR="005C4D82">
        <w:rPr>
          <w:lang w:eastAsia="en-AU"/>
        </w:rPr>
        <w:t>(</w:t>
      </w:r>
      <w:r w:rsidR="005C4D82" w:rsidRPr="00994E74">
        <w:rPr>
          <w:lang w:eastAsia="en-AU"/>
        </w:rPr>
        <w:t>OC Act</w:t>
      </w:r>
      <w:r w:rsidR="005C4D82" w:rsidRPr="00995293">
        <w:rPr>
          <w:lang w:eastAsia="en-AU"/>
        </w:rPr>
        <w:t>)</w:t>
      </w:r>
      <w:r w:rsidR="0054795A">
        <w:rPr>
          <w:lang w:eastAsia="en-AU"/>
        </w:rPr>
        <w:t>.</w:t>
      </w:r>
      <w:r w:rsidR="005C4D82">
        <w:rPr>
          <w:lang w:eastAsia="en-AU"/>
        </w:rPr>
        <w:t xml:space="preserve"> </w:t>
      </w:r>
    </w:p>
    <w:p w14:paraId="23885E0A" w14:textId="77777777" w:rsidR="00A47908" w:rsidRDefault="00A47908" w:rsidP="00A47908">
      <w:pPr>
        <w:pStyle w:val="Heading2"/>
      </w:pPr>
      <w:r>
        <w:t xml:space="preserve">Background </w:t>
      </w:r>
    </w:p>
    <w:p w14:paraId="418C62B3" w14:textId="6AE8D0F1" w:rsidR="00E306C4" w:rsidRDefault="001B36A3" w:rsidP="00F8154E">
      <w:pPr>
        <w:rPr>
          <w:lang w:eastAsia="en-AU"/>
        </w:rPr>
      </w:pPr>
      <w:r>
        <w:rPr>
          <w:lang w:eastAsia="en-AU"/>
        </w:rPr>
        <w:t xml:space="preserve">PQR </w:t>
      </w:r>
      <w:r w:rsidR="005C4D82">
        <w:rPr>
          <w:lang w:eastAsia="en-AU"/>
        </w:rPr>
        <w:t>was the applicant for a Working with Children Check (</w:t>
      </w:r>
      <w:r w:rsidR="005C4D82" w:rsidRPr="00180176">
        <w:rPr>
          <w:lang w:eastAsia="en-AU"/>
        </w:rPr>
        <w:t>WWCC</w:t>
      </w:r>
      <w:r w:rsidR="005C4D82" w:rsidRPr="00995293">
        <w:rPr>
          <w:lang w:eastAsia="en-AU"/>
        </w:rPr>
        <w:t>)</w:t>
      </w:r>
      <w:r w:rsidR="005C4D82">
        <w:rPr>
          <w:lang w:eastAsia="en-AU"/>
        </w:rPr>
        <w:t>. His application was refused by the Secretary to the Department of Justice and Regulation (</w:t>
      </w:r>
      <w:r w:rsidR="00180176">
        <w:rPr>
          <w:lang w:eastAsia="en-AU"/>
        </w:rPr>
        <w:t>the S</w:t>
      </w:r>
      <w:r w:rsidR="005C4D82" w:rsidRPr="00180176">
        <w:rPr>
          <w:lang w:eastAsia="en-AU"/>
        </w:rPr>
        <w:t>ecretary</w:t>
      </w:r>
      <w:r w:rsidR="005C4D82">
        <w:rPr>
          <w:lang w:eastAsia="en-AU"/>
        </w:rPr>
        <w:t>)</w:t>
      </w:r>
      <w:r w:rsidR="00995293">
        <w:rPr>
          <w:lang w:eastAsia="en-AU"/>
        </w:rPr>
        <w:t>. PQR</w:t>
      </w:r>
      <w:r w:rsidR="005C4D82">
        <w:rPr>
          <w:lang w:eastAsia="en-AU"/>
        </w:rPr>
        <w:t xml:space="preserve"> applied for review of that decision at </w:t>
      </w:r>
      <w:r w:rsidR="00995293">
        <w:rPr>
          <w:lang w:eastAsia="en-AU"/>
        </w:rPr>
        <w:t>the Victorian Civil and Administrative Tribunal (</w:t>
      </w:r>
      <w:r w:rsidR="005C4D82">
        <w:rPr>
          <w:lang w:eastAsia="en-AU"/>
        </w:rPr>
        <w:t>VCAT</w:t>
      </w:r>
      <w:r w:rsidR="00995293">
        <w:rPr>
          <w:lang w:eastAsia="en-AU"/>
        </w:rPr>
        <w:t>)</w:t>
      </w:r>
      <w:r w:rsidR="005C4D82">
        <w:rPr>
          <w:lang w:eastAsia="en-AU"/>
        </w:rPr>
        <w:t xml:space="preserve">. </w:t>
      </w:r>
      <w:r w:rsidR="00E306C4">
        <w:rPr>
          <w:lang w:eastAsia="en-AU"/>
        </w:rPr>
        <w:t>VCAT made a</w:t>
      </w:r>
      <w:r w:rsidR="00EE49CC">
        <w:rPr>
          <w:lang w:eastAsia="en-AU"/>
        </w:rPr>
        <w:t xml:space="preserve"> </w:t>
      </w:r>
      <w:r w:rsidR="00E306C4">
        <w:rPr>
          <w:lang w:eastAsia="en-AU"/>
        </w:rPr>
        <w:t xml:space="preserve">pseudonym and suppression order under the </w:t>
      </w:r>
      <w:r w:rsidR="00E306C4" w:rsidRPr="00E306C4">
        <w:rPr>
          <w:lang w:eastAsia="en-AU"/>
        </w:rPr>
        <w:t>OC Act</w:t>
      </w:r>
      <w:r w:rsidR="00E306C4">
        <w:rPr>
          <w:lang w:eastAsia="en-AU"/>
        </w:rPr>
        <w:t xml:space="preserve"> that prohibited publicatio</w:t>
      </w:r>
      <w:r w:rsidR="00F8154E">
        <w:rPr>
          <w:lang w:eastAsia="en-AU"/>
        </w:rPr>
        <w:t>n</w:t>
      </w:r>
      <w:r w:rsidR="00995293">
        <w:rPr>
          <w:lang w:eastAsia="en-AU"/>
        </w:rPr>
        <w:t xml:space="preserve"> of any information</w:t>
      </w:r>
      <w:r w:rsidR="00F8154E">
        <w:rPr>
          <w:lang w:eastAsia="en-AU"/>
        </w:rPr>
        <w:t xml:space="preserve"> that might identify PQR. </w:t>
      </w:r>
      <w:r w:rsidR="00E306C4">
        <w:rPr>
          <w:lang w:eastAsia="en-AU"/>
        </w:rPr>
        <w:t xml:space="preserve"> </w:t>
      </w:r>
    </w:p>
    <w:p w14:paraId="41B3484A" w14:textId="2D2B3922" w:rsidR="00E306C4" w:rsidRDefault="00E306C4" w:rsidP="00A47908">
      <w:pPr>
        <w:rPr>
          <w:lang w:eastAsia="en-AU"/>
        </w:rPr>
      </w:pPr>
      <w:r>
        <w:rPr>
          <w:lang w:eastAsia="en-AU"/>
        </w:rPr>
        <w:t>VCAT refused PQR’s application for review</w:t>
      </w:r>
      <w:r w:rsidR="0054795A">
        <w:rPr>
          <w:lang w:eastAsia="en-AU"/>
        </w:rPr>
        <w:t>.</w:t>
      </w:r>
      <w:r w:rsidR="00995293">
        <w:rPr>
          <w:lang w:eastAsia="en-AU"/>
        </w:rPr>
        <w:t xml:space="preserve"> </w:t>
      </w:r>
      <w:r>
        <w:rPr>
          <w:lang w:eastAsia="en-AU"/>
        </w:rPr>
        <w:t xml:space="preserve">PQR </w:t>
      </w:r>
      <w:r w:rsidR="00995293">
        <w:rPr>
          <w:lang w:eastAsia="en-AU"/>
        </w:rPr>
        <w:t xml:space="preserve">subsequently </w:t>
      </w:r>
      <w:r>
        <w:rPr>
          <w:lang w:eastAsia="en-AU"/>
        </w:rPr>
        <w:t xml:space="preserve">sought leave to appeal on a question of law in the Supreme Court of Victoria (for that decision, see </w:t>
      </w:r>
      <w:hyperlink r:id="rId8" w:history="1">
        <w:r w:rsidRPr="0054795A">
          <w:rPr>
            <w:rStyle w:val="Hyperlink"/>
            <w:lang w:eastAsia="en-AU"/>
          </w:rPr>
          <w:t xml:space="preserve">PQR v Secretary, Department of Justice and Regulation </w:t>
        </w:r>
        <w:r w:rsidRPr="00994E74">
          <w:rPr>
            <w:rStyle w:val="Hyperlink"/>
          </w:rPr>
          <w:t>(No 2) [2017] VSC 514</w:t>
        </w:r>
        <w:r w:rsidRPr="00994E74" w:rsidDel="0054795A">
          <w:rPr>
            <w:rStyle w:val="Hyperlink"/>
          </w:rPr>
          <w:t>4</w:t>
        </w:r>
        <w:r w:rsidRPr="00994E74">
          <w:rPr>
            <w:rStyle w:val="Hyperlink"/>
          </w:rPr>
          <w:t xml:space="preserve"> (26 September 2017</w:t>
        </w:r>
        <w:r w:rsidRPr="0054795A">
          <w:rPr>
            <w:rStyle w:val="Hyperlink"/>
            <w:lang w:eastAsia="en-AU"/>
          </w:rPr>
          <w:t>)</w:t>
        </w:r>
      </w:hyperlink>
      <w:r w:rsidRPr="00995293">
        <w:rPr>
          <w:lang w:eastAsia="en-AU"/>
        </w:rPr>
        <w:t>).</w:t>
      </w:r>
      <w:r>
        <w:rPr>
          <w:lang w:eastAsia="en-AU"/>
        </w:rPr>
        <w:t xml:space="preserve"> </w:t>
      </w:r>
    </w:p>
    <w:p w14:paraId="15E921DE" w14:textId="57A78BBD" w:rsidR="00E306C4" w:rsidRDefault="00E306C4" w:rsidP="00A47908">
      <w:pPr>
        <w:rPr>
          <w:lang w:eastAsia="en-AU"/>
        </w:rPr>
      </w:pPr>
      <w:r>
        <w:rPr>
          <w:lang w:eastAsia="en-AU"/>
        </w:rPr>
        <w:t>Before filing his application for leave to appeal</w:t>
      </w:r>
      <w:r w:rsidR="00F8154E">
        <w:rPr>
          <w:lang w:eastAsia="en-AU"/>
        </w:rPr>
        <w:t>,</w:t>
      </w:r>
      <w:r>
        <w:rPr>
          <w:lang w:eastAsia="en-AU"/>
        </w:rPr>
        <w:t xml:space="preserve"> PQR sought a pre-commencement pseudonym order under the Supreme Court’s inherent jurisdiction. </w:t>
      </w:r>
      <w:r w:rsidR="00995293">
        <w:rPr>
          <w:lang w:eastAsia="en-AU"/>
        </w:rPr>
        <w:t xml:space="preserve">Justice </w:t>
      </w:r>
      <w:r>
        <w:rPr>
          <w:lang w:eastAsia="en-AU"/>
        </w:rPr>
        <w:t>Ginnane heard th</w:t>
      </w:r>
      <w:r w:rsidR="00995293">
        <w:rPr>
          <w:lang w:eastAsia="en-AU"/>
        </w:rPr>
        <w:t>e</w:t>
      </w:r>
      <w:r>
        <w:rPr>
          <w:lang w:eastAsia="en-AU"/>
        </w:rPr>
        <w:t xml:space="preserve"> application and made a pseudonym order on the basis that PQR would not commence an appeal proceeding unless his family’s privacy was protected. The main terms of that order were</w:t>
      </w:r>
      <w:r w:rsidR="00995293">
        <w:rPr>
          <w:lang w:eastAsia="en-AU"/>
        </w:rPr>
        <w:t xml:space="preserve"> that</w:t>
      </w:r>
      <w:r>
        <w:rPr>
          <w:lang w:eastAsia="en-AU"/>
        </w:rPr>
        <w:t>:</w:t>
      </w:r>
    </w:p>
    <w:p w14:paraId="2BC4F31A" w14:textId="77777777" w:rsidR="00E306C4" w:rsidRPr="00180176" w:rsidRDefault="00E306C4" w:rsidP="00180176">
      <w:pPr>
        <w:ind w:left="720"/>
      </w:pPr>
      <w:r w:rsidRPr="00180176">
        <w:t xml:space="preserve"> (1) The Appellant commence proceedings against the Secretary of the Department of Justice and Regulation (‘the proceedings’) as proposed without divulging the name of the Appellant and in lieu using the pseudonym ‘PQR’.</w:t>
      </w:r>
    </w:p>
    <w:p w14:paraId="3DAF01CA" w14:textId="2662A5FB" w:rsidR="00450827" w:rsidRDefault="00A26D53" w:rsidP="00A47908">
      <w:pPr>
        <w:rPr>
          <w:lang w:eastAsia="en-AU"/>
        </w:rPr>
      </w:pPr>
      <w:r>
        <w:rPr>
          <w:lang w:eastAsia="en-AU"/>
        </w:rPr>
        <w:t xml:space="preserve">PQR </w:t>
      </w:r>
      <w:r w:rsidR="00E306C4">
        <w:rPr>
          <w:lang w:eastAsia="en-AU"/>
        </w:rPr>
        <w:t>filed his application for</w:t>
      </w:r>
      <w:r>
        <w:rPr>
          <w:lang w:eastAsia="en-AU"/>
        </w:rPr>
        <w:t xml:space="preserve"> leave to appeal </w:t>
      </w:r>
      <w:r w:rsidR="00450827">
        <w:rPr>
          <w:lang w:eastAsia="en-AU"/>
        </w:rPr>
        <w:t>using the PQR</w:t>
      </w:r>
      <w:r w:rsidR="00203A68">
        <w:rPr>
          <w:lang w:eastAsia="en-AU"/>
        </w:rPr>
        <w:t xml:space="preserve"> pseudonym</w:t>
      </w:r>
      <w:r w:rsidR="00E306C4">
        <w:rPr>
          <w:lang w:eastAsia="en-AU"/>
        </w:rPr>
        <w:t xml:space="preserve">. The hearing was </w:t>
      </w:r>
      <w:r w:rsidR="00F8154E">
        <w:rPr>
          <w:lang w:eastAsia="en-AU"/>
        </w:rPr>
        <w:t xml:space="preserve">listed for hearing before </w:t>
      </w:r>
      <w:r w:rsidR="00995293">
        <w:rPr>
          <w:lang w:eastAsia="en-AU"/>
        </w:rPr>
        <w:t xml:space="preserve">Justice </w:t>
      </w:r>
      <w:r w:rsidR="00F8154E">
        <w:rPr>
          <w:lang w:eastAsia="en-AU"/>
        </w:rPr>
        <w:t>Bell</w:t>
      </w:r>
      <w:r w:rsidR="00995293">
        <w:rPr>
          <w:lang w:eastAsia="en-AU"/>
        </w:rPr>
        <w:t xml:space="preserve">. </w:t>
      </w:r>
      <w:r w:rsidR="00450827">
        <w:rPr>
          <w:lang w:eastAsia="en-AU"/>
        </w:rPr>
        <w:t xml:space="preserve">At that hearing, </w:t>
      </w:r>
      <w:r w:rsidR="00995293">
        <w:rPr>
          <w:lang w:eastAsia="en-AU"/>
        </w:rPr>
        <w:t>his Honour</w:t>
      </w:r>
      <w:r w:rsidR="00450827">
        <w:rPr>
          <w:lang w:eastAsia="en-AU"/>
        </w:rPr>
        <w:t xml:space="preserve"> told a journalist present in </w:t>
      </w:r>
      <w:r w:rsidR="00995293">
        <w:rPr>
          <w:lang w:eastAsia="en-AU"/>
        </w:rPr>
        <w:t xml:space="preserve">the </w:t>
      </w:r>
      <w:r w:rsidR="00450827">
        <w:rPr>
          <w:lang w:eastAsia="en-AU"/>
        </w:rPr>
        <w:t>court</w:t>
      </w:r>
      <w:r w:rsidR="00995293">
        <w:rPr>
          <w:lang w:eastAsia="en-AU"/>
        </w:rPr>
        <w:t>room</w:t>
      </w:r>
      <w:r w:rsidR="00450827">
        <w:rPr>
          <w:lang w:eastAsia="en-AU"/>
        </w:rPr>
        <w:t xml:space="preserve"> that a pseudonym order had been made, and that while he was free to stay and report the case, he could not identify PQR. </w:t>
      </w:r>
    </w:p>
    <w:p w14:paraId="7DE477F3" w14:textId="6267E540" w:rsidR="00355FBF" w:rsidRDefault="00B84EEA" w:rsidP="00A47908">
      <w:pPr>
        <w:rPr>
          <w:lang w:eastAsia="en-AU"/>
        </w:rPr>
      </w:pPr>
      <w:r>
        <w:rPr>
          <w:lang w:eastAsia="en-AU"/>
        </w:rPr>
        <w:t>Solicitors for the Herald and Weekly Times (</w:t>
      </w:r>
      <w:r w:rsidRPr="00994E74">
        <w:rPr>
          <w:lang w:eastAsia="en-AU"/>
        </w:rPr>
        <w:t>HWT</w:t>
      </w:r>
      <w:r>
        <w:rPr>
          <w:lang w:eastAsia="en-AU"/>
        </w:rPr>
        <w:t>) subsequently sought clarificati</w:t>
      </w:r>
      <w:r w:rsidR="00F8154E">
        <w:rPr>
          <w:lang w:eastAsia="en-AU"/>
        </w:rPr>
        <w:t xml:space="preserve">on from the </w:t>
      </w:r>
      <w:r w:rsidR="00180176">
        <w:rPr>
          <w:lang w:eastAsia="en-AU"/>
        </w:rPr>
        <w:t>c</w:t>
      </w:r>
      <w:r w:rsidR="00F8154E">
        <w:rPr>
          <w:lang w:eastAsia="en-AU"/>
        </w:rPr>
        <w:t>ourt about</w:t>
      </w:r>
      <w:r>
        <w:rPr>
          <w:lang w:eastAsia="en-AU"/>
        </w:rPr>
        <w:t xml:space="preserve"> the effec</w:t>
      </w:r>
      <w:r w:rsidR="00203A68">
        <w:rPr>
          <w:lang w:eastAsia="en-AU"/>
        </w:rPr>
        <w:t>t of the pseudonym order</w:t>
      </w:r>
      <w:r w:rsidR="00F8154E">
        <w:rPr>
          <w:lang w:eastAsia="en-AU"/>
        </w:rPr>
        <w:t>,</w:t>
      </w:r>
      <w:r w:rsidR="00203A68">
        <w:rPr>
          <w:lang w:eastAsia="en-AU"/>
        </w:rPr>
        <w:t xml:space="preserve"> and that issue was listed for hearing. </w:t>
      </w:r>
      <w:r w:rsidR="00A15ABF">
        <w:rPr>
          <w:lang w:eastAsia="en-AU"/>
        </w:rPr>
        <w:t xml:space="preserve">The parties’ positions were: </w:t>
      </w:r>
    </w:p>
    <w:p w14:paraId="40DA8FC0" w14:textId="468A1B68" w:rsidR="00A15ABF" w:rsidRDefault="00A15ABF" w:rsidP="00A15ABF">
      <w:pPr>
        <w:pStyle w:val="ListParagraph"/>
        <w:numPr>
          <w:ilvl w:val="0"/>
          <w:numId w:val="39"/>
        </w:numPr>
        <w:rPr>
          <w:lang w:eastAsia="en-AU"/>
        </w:rPr>
      </w:pPr>
      <w:r>
        <w:rPr>
          <w:lang w:eastAsia="en-AU"/>
        </w:rPr>
        <w:t>PQR submitted that the pseudonym order</w:t>
      </w:r>
      <w:r w:rsidR="00CF27DB">
        <w:rPr>
          <w:lang w:eastAsia="en-AU"/>
        </w:rPr>
        <w:t>,</w:t>
      </w:r>
      <w:r>
        <w:rPr>
          <w:lang w:eastAsia="en-AU"/>
        </w:rPr>
        <w:t xml:space="preserve"> in combination w</w:t>
      </w:r>
      <w:r w:rsidR="00A831E7">
        <w:rPr>
          <w:lang w:eastAsia="en-AU"/>
        </w:rPr>
        <w:t>ith the law of contempt</w:t>
      </w:r>
      <w:r w:rsidR="00CF27DB">
        <w:rPr>
          <w:lang w:eastAsia="en-AU"/>
        </w:rPr>
        <w:t>,</w:t>
      </w:r>
      <w:r w:rsidR="00A831E7">
        <w:rPr>
          <w:lang w:eastAsia="en-AU"/>
        </w:rPr>
        <w:t xml:space="preserve"> provided</w:t>
      </w:r>
      <w:r>
        <w:rPr>
          <w:lang w:eastAsia="en-AU"/>
        </w:rPr>
        <w:t xml:space="preserve"> him with significant </w:t>
      </w:r>
      <w:r w:rsidR="00450827">
        <w:rPr>
          <w:lang w:eastAsia="en-AU"/>
        </w:rPr>
        <w:t xml:space="preserve">protection. </w:t>
      </w:r>
      <w:r w:rsidR="00CF27DB">
        <w:rPr>
          <w:lang w:eastAsia="en-AU"/>
        </w:rPr>
        <w:t>However, t</w:t>
      </w:r>
      <w:r w:rsidR="00450827">
        <w:rPr>
          <w:lang w:eastAsia="en-AU"/>
        </w:rPr>
        <w:t>o ensure complete protection, PQR also applied for a suppression order under s</w:t>
      </w:r>
      <w:r w:rsidR="00CF27DB">
        <w:rPr>
          <w:lang w:eastAsia="en-AU"/>
        </w:rPr>
        <w:t>.</w:t>
      </w:r>
      <w:r w:rsidR="00450827">
        <w:rPr>
          <w:lang w:eastAsia="en-AU"/>
        </w:rPr>
        <w:t xml:space="preserve"> 18(1)(a) of the </w:t>
      </w:r>
      <w:r w:rsidR="00A831E7">
        <w:rPr>
          <w:lang w:eastAsia="en-AU"/>
        </w:rPr>
        <w:t>O</w:t>
      </w:r>
      <w:r w:rsidR="00203A68">
        <w:rPr>
          <w:lang w:eastAsia="en-AU"/>
        </w:rPr>
        <w:t>C Act</w:t>
      </w:r>
      <w:r w:rsidR="00180176">
        <w:rPr>
          <w:lang w:eastAsia="en-AU"/>
        </w:rPr>
        <w:t>.</w:t>
      </w:r>
    </w:p>
    <w:p w14:paraId="1BC996F0" w14:textId="65859469" w:rsidR="00203A68" w:rsidRDefault="00180176" w:rsidP="00203A68">
      <w:pPr>
        <w:pStyle w:val="ListParagraph"/>
        <w:numPr>
          <w:ilvl w:val="0"/>
          <w:numId w:val="39"/>
        </w:numPr>
        <w:rPr>
          <w:lang w:eastAsia="en-AU"/>
        </w:rPr>
      </w:pPr>
      <w:r>
        <w:rPr>
          <w:lang w:eastAsia="en-AU"/>
        </w:rPr>
        <w:lastRenderedPageBreak/>
        <w:t>The s</w:t>
      </w:r>
      <w:r w:rsidR="00A831E7">
        <w:rPr>
          <w:lang w:eastAsia="en-AU"/>
        </w:rPr>
        <w:t>ecretary submitted that the pseudonym order</w:t>
      </w:r>
      <w:r w:rsidR="00CF27DB">
        <w:rPr>
          <w:lang w:eastAsia="en-AU"/>
        </w:rPr>
        <w:t>,</w:t>
      </w:r>
      <w:r w:rsidR="00A831E7">
        <w:rPr>
          <w:lang w:eastAsia="en-AU"/>
        </w:rPr>
        <w:t xml:space="preserve"> in combination with the law of contempt</w:t>
      </w:r>
      <w:r w:rsidR="00CF27DB">
        <w:rPr>
          <w:lang w:eastAsia="en-AU"/>
        </w:rPr>
        <w:t>,</w:t>
      </w:r>
      <w:r w:rsidR="00A831E7">
        <w:rPr>
          <w:lang w:eastAsia="en-AU"/>
        </w:rPr>
        <w:t xml:space="preserve"> provided PQR strong protection of his identity</w:t>
      </w:r>
      <w:r w:rsidR="00450827">
        <w:rPr>
          <w:lang w:eastAsia="en-AU"/>
        </w:rPr>
        <w:t>,</w:t>
      </w:r>
      <w:r w:rsidR="00A831E7">
        <w:rPr>
          <w:lang w:eastAsia="en-AU"/>
        </w:rPr>
        <w:t xml:space="preserve"> and that there were serious questions </w:t>
      </w:r>
      <w:r w:rsidR="00203A68">
        <w:rPr>
          <w:lang w:eastAsia="en-AU"/>
        </w:rPr>
        <w:t xml:space="preserve">about whether </w:t>
      </w:r>
      <w:r w:rsidR="00CF27DB">
        <w:rPr>
          <w:lang w:eastAsia="en-AU"/>
        </w:rPr>
        <w:t xml:space="preserve">Justice </w:t>
      </w:r>
      <w:r w:rsidR="00203A68">
        <w:rPr>
          <w:lang w:eastAsia="en-AU"/>
        </w:rPr>
        <w:t>Bell could or should make a suppress</w:t>
      </w:r>
      <w:r w:rsidR="00F8154E">
        <w:rPr>
          <w:lang w:eastAsia="en-AU"/>
        </w:rPr>
        <w:t>ion order under the OC Act.</w:t>
      </w:r>
    </w:p>
    <w:p w14:paraId="1FB03507" w14:textId="0762A05A" w:rsidR="00A15ABF" w:rsidRDefault="00A15ABF" w:rsidP="00A831E7">
      <w:pPr>
        <w:pStyle w:val="ListParagraph"/>
        <w:numPr>
          <w:ilvl w:val="0"/>
          <w:numId w:val="39"/>
        </w:numPr>
        <w:rPr>
          <w:lang w:eastAsia="en-AU"/>
        </w:rPr>
      </w:pPr>
      <w:r>
        <w:rPr>
          <w:lang w:eastAsia="en-AU"/>
        </w:rPr>
        <w:t xml:space="preserve">The HWT submitted that the pseudonym order did not prevent them from publishing PQR’s name if </w:t>
      </w:r>
      <w:r w:rsidR="00CF27DB">
        <w:rPr>
          <w:lang w:eastAsia="en-AU"/>
        </w:rPr>
        <w:t xml:space="preserve">it </w:t>
      </w:r>
      <w:r>
        <w:rPr>
          <w:lang w:eastAsia="en-AU"/>
        </w:rPr>
        <w:t>was discovered ind</w:t>
      </w:r>
      <w:r w:rsidR="00A831E7">
        <w:rPr>
          <w:lang w:eastAsia="en-AU"/>
        </w:rPr>
        <w:t>ependently, and that</w:t>
      </w:r>
      <w:r w:rsidR="00203A68">
        <w:rPr>
          <w:lang w:eastAsia="en-AU"/>
        </w:rPr>
        <w:t xml:space="preserve"> </w:t>
      </w:r>
      <w:r w:rsidR="00CF27DB">
        <w:rPr>
          <w:lang w:eastAsia="en-AU"/>
        </w:rPr>
        <w:t>his Honour</w:t>
      </w:r>
      <w:r w:rsidR="00203A68">
        <w:rPr>
          <w:lang w:eastAsia="en-AU"/>
        </w:rPr>
        <w:t xml:space="preserve"> </w:t>
      </w:r>
      <w:r w:rsidR="00450827">
        <w:rPr>
          <w:lang w:eastAsia="en-AU"/>
        </w:rPr>
        <w:t xml:space="preserve">could or </w:t>
      </w:r>
      <w:r w:rsidR="00203A68">
        <w:rPr>
          <w:lang w:eastAsia="en-AU"/>
        </w:rPr>
        <w:t>should not make</w:t>
      </w:r>
      <w:r w:rsidR="00A831E7">
        <w:rPr>
          <w:lang w:eastAsia="en-AU"/>
        </w:rPr>
        <w:t xml:space="preserve"> a suppression or</w:t>
      </w:r>
      <w:r w:rsidR="00203A68">
        <w:rPr>
          <w:lang w:eastAsia="en-AU"/>
        </w:rPr>
        <w:t xml:space="preserve">der under the OC Act. </w:t>
      </w:r>
    </w:p>
    <w:p w14:paraId="45EF1E17" w14:textId="67BE2F8A" w:rsidR="00897671" w:rsidRDefault="00203A68" w:rsidP="00897671">
      <w:pPr>
        <w:rPr>
          <w:lang w:eastAsia="en-AU"/>
        </w:rPr>
      </w:pPr>
      <w:r>
        <w:rPr>
          <w:lang w:eastAsia="en-AU"/>
        </w:rPr>
        <w:t>The questi</w:t>
      </w:r>
      <w:r w:rsidR="00465891">
        <w:rPr>
          <w:lang w:eastAsia="en-AU"/>
        </w:rPr>
        <w:t xml:space="preserve">ons for the </w:t>
      </w:r>
      <w:r w:rsidR="00180176">
        <w:rPr>
          <w:lang w:eastAsia="en-AU"/>
        </w:rPr>
        <w:t>c</w:t>
      </w:r>
      <w:r w:rsidR="00465891">
        <w:rPr>
          <w:lang w:eastAsia="en-AU"/>
        </w:rPr>
        <w:t>ourt were</w:t>
      </w:r>
      <w:r>
        <w:rPr>
          <w:lang w:eastAsia="en-AU"/>
        </w:rPr>
        <w:t xml:space="preserve">: </w:t>
      </w:r>
    </w:p>
    <w:p w14:paraId="01623C50" w14:textId="59EB9C5E" w:rsidR="00203A68" w:rsidRDefault="00203A68" w:rsidP="00203A68">
      <w:pPr>
        <w:pStyle w:val="ListParagraph"/>
        <w:numPr>
          <w:ilvl w:val="0"/>
          <w:numId w:val="40"/>
        </w:numPr>
        <w:rPr>
          <w:lang w:eastAsia="en-AU"/>
        </w:rPr>
      </w:pPr>
      <w:r>
        <w:rPr>
          <w:lang w:eastAsia="en-AU"/>
        </w:rPr>
        <w:t xml:space="preserve">Whether the </w:t>
      </w:r>
      <w:r w:rsidR="00EE49CC">
        <w:rPr>
          <w:lang w:eastAsia="en-AU"/>
        </w:rPr>
        <w:t xml:space="preserve">pre-commencement </w:t>
      </w:r>
      <w:r>
        <w:rPr>
          <w:lang w:eastAsia="en-AU"/>
        </w:rPr>
        <w:t>pseudonym order prevented the HWT from</w:t>
      </w:r>
      <w:r w:rsidR="00A26D53">
        <w:rPr>
          <w:lang w:eastAsia="en-AU"/>
        </w:rPr>
        <w:t xml:space="preserve"> identifying</w:t>
      </w:r>
      <w:r>
        <w:rPr>
          <w:lang w:eastAsia="en-AU"/>
        </w:rPr>
        <w:t xml:space="preserve"> PQR</w:t>
      </w:r>
      <w:r w:rsidR="00A26D53">
        <w:rPr>
          <w:lang w:eastAsia="en-AU"/>
        </w:rPr>
        <w:t xml:space="preserve"> in media reports about his appeal</w:t>
      </w:r>
      <w:r w:rsidR="00180176">
        <w:rPr>
          <w:lang w:eastAsia="en-AU"/>
        </w:rPr>
        <w:t>,</w:t>
      </w:r>
      <w:r w:rsidR="00A26D53">
        <w:rPr>
          <w:lang w:eastAsia="en-AU"/>
        </w:rPr>
        <w:t xml:space="preserve"> and</w:t>
      </w:r>
    </w:p>
    <w:p w14:paraId="30B08861" w14:textId="2668D611" w:rsidR="00203A68" w:rsidRPr="006C3430" w:rsidRDefault="00465891" w:rsidP="00F8154E">
      <w:pPr>
        <w:pStyle w:val="ListParagraph"/>
        <w:numPr>
          <w:ilvl w:val="0"/>
          <w:numId w:val="40"/>
        </w:numPr>
        <w:rPr>
          <w:lang w:eastAsia="en-AU"/>
        </w:rPr>
      </w:pPr>
      <w:r>
        <w:rPr>
          <w:lang w:eastAsia="en-AU"/>
        </w:rPr>
        <w:t xml:space="preserve">Whether PQR was entitled to a suppression order under </w:t>
      </w:r>
      <w:r w:rsidR="00450827">
        <w:rPr>
          <w:lang w:eastAsia="en-AU"/>
        </w:rPr>
        <w:t>s</w:t>
      </w:r>
      <w:r w:rsidR="00180176">
        <w:rPr>
          <w:lang w:eastAsia="en-AU"/>
        </w:rPr>
        <w:t>.</w:t>
      </w:r>
      <w:r w:rsidR="00450827">
        <w:rPr>
          <w:lang w:eastAsia="en-AU"/>
        </w:rPr>
        <w:t xml:space="preserve"> 18(1)(a) of </w:t>
      </w:r>
      <w:r w:rsidR="00F8154E">
        <w:rPr>
          <w:lang w:eastAsia="en-AU"/>
        </w:rPr>
        <w:t xml:space="preserve">the OC Act. This involved assessing whether </w:t>
      </w:r>
      <w:r>
        <w:rPr>
          <w:lang w:eastAsia="en-AU"/>
        </w:rPr>
        <w:t xml:space="preserve">the </w:t>
      </w:r>
      <w:r w:rsidR="00F8154E">
        <w:rPr>
          <w:lang w:eastAsia="en-AU"/>
        </w:rPr>
        <w:t xml:space="preserve">existence of a </w:t>
      </w:r>
      <w:r>
        <w:rPr>
          <w:lang w:eastAsia="en-AU"/>
        </w:rPr>
        <w:t xml:space="preserve">pseudonym order </w:t>
      </w:r>
      <w:r w:rsidR="00B072C4">
        <w:rPr>
          <w:lang w:eastAsia="en-AU"/>
        </w:rPr>
        <w:t>affected</w:t>
      </w:r>
      <w:r>
        <w:rPr>
          <w:lang w:eastAsia="en-AU"/>
        </w:rPr>
        <w:t xml:space="preserve"> PQR’s appl</w:t>
      </w:r>
      <w:r w:rsidR="00F8154E">
        <w:rPr>
          <w:lang w:eastAsia="en-AU"/>
        </w:rPr>
        <w:t xml:space="preserve">ication for a suppression order. </w:t>
      </w:r>
    </w:p>
    <w:p w14:paraId="7F6CB75E" w14:textId="77777777" w:rsidR="00A47908" w:rsidRDefault="00A47908" w:rsidP="00A47908">
      <w:pPr>
        <w:pStyle w:val="Heading2"/>
      </w:pPr>
      <w:r>
        <w:t xml:space="preserve">Reasons for decision </w:t>
      </w:r>
    </w:p>
    <w:p w14:paraId="08C39D75" w14:textId="77777777" w:rsidR="00465891" w:rsidRDefault="00B072C4" w:rsidP="00180176">
      <w:pPr>
        <w:pStyle w:val="Heading3"/>
      </w:pPr>
      <w:r>
        <w:t xml:space="preserve">Principles of open justice </w:t>
      </w:r>
    </w:p>
    <w:p w14:paraId="537C3698" w14:textId="41B559AC" w:rsidR="00450827" w:rsidRDefault="00CF27DB" w:rsidP="00A47908">
      <w:r>
        <w:t xml:space="preserve">Justice </w:t>
      </w:r>
      <w:r w:rsidR="00D22D3A">
        <w:t xml:space="preserve">Bell </w:t>
      </w:r>
      <w:r w:rsidR="00450827">
        <w:t xml:space="preserve">emphasised the fundamental principle </w:t>
      </w:r>
      <w:r w:rsidR="00D22D3A">
        <w:t>that justice must be administered by the courts in public</w:t>
      </w:r>
      <w:r w:rsidR="00F65A87">
        <w:t>,</w:t>
      </w:r>
      <w:r w:rsidR="00D22D3A">
        <w:t xml:space="preserve"> as a safeguard against a</w:t>
      </w:r>
      <w:r w:rsidR="00B336AE">
        <w:t>buse of power or d</w:t>
      </w:r>
      <w:r w:rsidR="00450827">
        <w:t xml:space="preserve">eparture from impartiality. </w:t>
      </w:r>
      <w:r>
        <w:t>‘</w:t>
      </w:r>
      <w:r w:rsidR="00450827">
        <w:t xml:space="preserve">Open </w:t>
      </w:r>
      <w:r>
        <w:t>j</w:t>
      </w:r>
      <w:r w:rsidR="00450827">
        <w:t>ustice</w:t>
      </w:r>
      <w:r>
        <w:t>’</w:t>
      </w:r>
      <w:r w:rsidR="00B336AE">
        <w:t xml:space="preserve"> requires that, unless departure from these principles is strictly necessary, journalists should be free to attend and report on legal cases, including the n</w:t>
      </w:r>
      <w:r w:rsidR="00180176">
        <w:t>ames of parties and witnesses.</w:t>
      </w:r>
    </w:p>
    <w:p w14:paraId="5F473BAF" w14:textId="77777777" w:rsidR="00B336AE" w:rsidRPr="00B336AE" w:rsidRDefault="00B336AE" w:rsidP="00180176">
      <w:pPr>
        <w:pStyle w:val="Heading3"/>
      </w:pPr>
      <w:r>
        <w:t>The legal effect of a pseudonym order</w:t>
      </w:r>
    </w:p>
    <w:p w14:paraId="5D553AC8" w14:textId="5DC7CA31" w:rsidR="00F65A87" w:rsidRDefault="00CF27DB" w:rsidP="00450827">
      <w:r>
        <w:t>His Honour</w:t>
      </w:r>
      <w:r w:rsidR="00EE49CC">
        <w:t xml:space="preserve"> defined a pseudonym order as a type of suppression order that achieves its objectives in an indirect way</w:t>
      </w:r>
      <w:r>
        <w:t>,</w:t>
      </w:r>
      <w:r w:rsidR="00EE49CC">
        <w:t xml:space="preserve"> by requiring a person to be identified in a proceeding only by reference to a pseudonym. </w:t>
      </w:r>
    </w:p>
    <w:p w14:paraId="4AC999F1" w14:textId="339BDF33" w:rsidR="00EE49CC" w:rsidRDefault="00EE49CC" w:rsidP="00450827">
      <w:r>
        <w:t xml:space="preserve">While the OC Act purports to consolidate the laws in relation to suppression orders in </w:t>
      </w:r>
      <w:r w:rsidR="00A26D53">
        <w:t xml:space="preserve">Victoria, </w:t>
      </w:r>
      <w:r w:rsidR="00CF27DB">
        <w:t xml:space="preserve">Justice </w:t>
      </w:r>
      <w:r w:rsidR="00A26D53">
        <w:t xml:space="preserve">Bell confirmed that </w:t>
      </w:r>
      <w:r>
        <w:t>constitutional principles mean that the Supreme Court retains the power to make pseudonym orders u</w:t>
      </w:r>
      <w:r w:rsidR="00180176">
        <w:t>nder its inherent jurisdiction.</w:t>
      </w:r>
    </w:p>
    <w:p w14:paraId="33238593" w14:textId="3289DD9F" w:rsidR="00450827" w:rsidRDefault="00CF27DB" w:rsidP="00A26D53">
      <w:r>
        <w:t>His Honour</w:t>
      </w:r>
      <w:r w:rsidR="00A26D53">
        <w:t xml:space="preserve"> then looked at whether </w:t>
      </w:r>
      <w:r w:rsidR="00EE49CC">
        <w:t xml:space="preserve">the pre-commencement pseudonym order made by </w:t>
      </w:r>
      <w:r>
        <w:t xml:space="preserve">Justice </w:t>
      </w:r>
      <w:r w:rsidR="00EE49CC">
        <w:t>Ginnane had the effect of preventing the</w:t>
      </w:r>
      <w:r w:rsidR="00F8154E">
        <w:t xml:space="preserve"> HWT from publishing PQR’s name, </w:t>
      </w:r>
      <w:r w:rsidR="00A26D53">
        <w:t>even though</w:t>
      </w:r>
      <w:r w:rsidR="00F8154E">
        <w:t xml:space="preserve"> the order did not e</w:t>
      </w:r>
      <w:r w:rsidR="00180176">
        <w:t>xplicitly prohibit publication.</w:t>
      </w:r>
    </w:p>
    <w:p w14:paraId="74C815C4" w14:textId="3E6BC448" w:rsidR="003C01B9" w:rsidRDefault="00CF27DB" w:rsidP="00450827">
      <w:r>
        <w:t>Justice Bell</w:t>
      </w:r>
      <w:r w:rsidR="003C01B9">
        <w:t xml:space="preserve"> held that the pseudonym order was enforceable by the law of contempt. This included </w:t>
      </w:r>
      <w:r w:rsidR="00F8154E">
        <w:t xml:space="preserve">a prohibition on </w:t>
      </w:r>
      <w:r w:rsidR="003C01B9">
        <w:t xml:space="preserve">attempts to frustrate its objectives, </w:t>
      </w:r>
      <w:r w:rsidR="00A1634B">
        <w:t>even where it was not a breach of its</w:t>
      </w:r>
      <w:r w:rsidR="003C01B9">
        <w:t xml:space="preserve"> explicit terms. Further, it was clear from the authorities that the laws of contempt applied to non-parties who were aware of the order. </w:t>
      </w:r>
    </w:p>
    <w:p w14:paraId="3AF7F757" w14:textId="3E90EA7D" w:rsidR="003C01B9" w:rsidRDefault="003C01B9" w:rsidP="00450827">
      <w:r>
        <w:t xml:space="preserve">Given that the clear purpose of the pseudonym order was to protect the anonymity of PQR, </w:t>
      </w:r>
      <w:r w:rsidR="00CF27DB">
        <w:t xml:space="preserve">Justice </w:t>
      </w:r>
      <w:r w:rsidR="00180176">
        <w:t>Bell held</w:t>
      </w:r>
      <w:r w:rsidR="00A1634B">
        <w:t xml:space="preserve"> that it would be contempt if </w:t>
      </w:r>
      <w:r>
        <w:t>the HWT were to publish PQR’s name</w:t>
      </w:r>
      <w:r w:rsidR="001F340A">
        <w:t xml:space="preserve"> or </w:t>
      </w:r>
      <w:r w:rsidR="00F8154E">
        <w:t>the names of his</w:t>
      </w:r>
      <w:r w:rsidR="001F340A">
        <w:t xml:space="preserve"> family. His Honour said</w:t>
      </w:r>
      <w:r w:rsidR="00180176">
        <w:t xml:space="preserve"> (at [99]):</w:t>
      </w:r>
    </w:p>
    <w:p w14:paraId="55D89740" w14:textId="77777777" w:rsidR="00465891" w:rsidRPr="00180176" w:rsidRDefault="003C01B9" w:rsidP="00180176">
      <w:pPr>
        <w:ind w:left="720"/>
      </w:pPr>
      <w:r w:rsidRPr="00180176">
        <w:t>It would seriously undermine the proper administration of justice to permit non-parties with notice or knowledge of the purpose of a pseudonym order made necessarily for the conduct of legal proceedings to take action, with impunity, that would have the effect of frustrating the purpose of the order.</w:t>
      </w:r>
    </w:p>
    <w:p w14:paraId="408968E1" w14:textId="77777777" w:rsidR="009B338C" w:rsidRPr="009B338C" w:rsidRDefault="009B338C" w:rsidP="00180176">
      <w:pPr>
        <w:pStyle w:val="Heading3"/>
      </w:pPr>
      <w:r>
        <w:lastRenderedPageBreak/>
        <w:t>Was PQR entitled to a suppression order under the OC Act?</w:t>
      </w:r>
    </w:p>
    <w:p w14:paraId="7289506F" w14:textId="1AF5BEE5" w:rsidR="003C01B9" w:rsidRDefault="003C01B9" w:rsidP="00A47908">
      <w:r w:rsidRPr="001F340A">
        <w:t>Under s</w:t>
      </w:r>
      <w:r w:rsidR="00180176">
        <w:t>.</w:t>
      </w:r>
      <w:r w:rsidRPr="001F340A">
        <w:t xml:space="preserve"> 18(1)(a) </w:t>
      </w:r>
      <w:r w:rsidR="00AE73A0">
        <w:t>of the OC Act</w:t>
      </w:r>
      <w:r w:rsidR="00A1634B">
        <w:t>,</w:t>
      </w:r>
      <w:r w:rsidR="00AE73A0">
        <w:t xml:space="preserve"> </w:t>
      </w:r>
      <w:r w:rsidRPr="001F340A">
        <w:t>a court may make a suppression order if the order is necessary to prevent a real and substantial risk of prejudice to the proper administration of justice</w:t>
      </w:r>
      <w:r w:rsidR="00CF27DB">
        <w:t>,</w:t>
      </w:r>
      <w:r w:rsidRPr="001F340A">
        <w:t xml:space="preserve"> that cannot be prevented by other reasonably available means. </w:t>
      </w:r>
    </w:p>
    <w:p w14:paraId="18DFA438" w14:textId="4CEF9BC3" w:rsidR="003C01B9" w:rsidRDefault="00CF27DB" w:rsidP="00A47908">
      <w:r>
        <w:t xml:space="preserve">Justice </w:t>
      </w:r>
      <w:r w:rsidR="00180176">
        <w:t xml:space="preserve">Bell </w:t>
      </w:r>
      <w:r w:rsidR="003C01B9">
        <w:t>expressed doubts about whether PQR could establish a basis for a suppression order under s</w:t>
      </w:r>
      <w:r w:rsidR="00180176">
        <w:t>.</w:t>
      </w:r>
      <w:r w:rsidR="003C01B9">
        <w:t xml:space="preserve"> 18(1)(a).</w:t>
      </w:r>
      <w:r w:rsidR="008F298F">
        <w:t xml:space="preserve"> In particular, </w:t>
      </w:r>
      <w:r>
        <w:t>his Honour</w:t>
      </w:r>
      <w:r w:rsidR="008F298F">
        <w:t xml:space="preserve"> </w:t>
      </w:r>
      <w:r w:rsidR="003C01B9">
        <w:t xml:space="preserve">questioned whether </w:t>
      </w:r>
      <w:r w:rsidR="00F65A87">
        <w:t xml:space="preserve">the </w:t>
      </w:r>
      <w:r w:rsidR="003C01B9">
        <w:t xml:space="preserve">potential impact on PQR’s family could be so great as to justify a conclusion that the applicant would be reasonably deterred from participating in the proceeding. </w:t>
      </w:r>
      <w:r w:rsidR="00AE73A0">
        <w:t xml:space="preserve">However, </w:t>
      </w:r>
      <w:r>
        <w:t xml:space="preserve">Justice </w:t>
      </w:r>
      <w:r w:rsidR="00AE73A0">
        <w:t xml:space="preserve">Bell concluded that PQR had legitimately sought and obtained pseudonym orders from </w:t>
      </w:r>
      <w:r w:rsidR="00F65A87">
        <w:t xml:space="preserve">both </w:t>
      </w:r>
      <w:r w:rsidR="00AE73A0">
        <w:t xml:space="preserve">VCAT and </w:t>
      </w:r>
      <w:r>
        <w:t xml:space="preserve">Justice </w:t>
      </w:r>
      <w:r w:rsidR="00AE73A0">
        <w:t>Ginnane</w:t>
      </w:r>
      <w:r w:rsidR="008F298F">
        <w:t xml:space="preserve">. </w:t>
      </w:r>
      <w:r w:rsidR="00FA0E82">
        <w:t>Therefore,</w:t>
      </w:r>
      <w:r w:rsidR="008F298F">
        <w:t xml:space="preserve"> </w:t>
      </w:r>
      <w:r w:rsidR="00AE73A0">
        <w:t>it w</w:t>
      </w:r>
      <w:r w:rsidR="00FA0E82">
        <w:t xml:space="preserve">as </w:t>
      </w:r>
      <w:r w:rsidR="00F8154E">
        <w:t>unnecessary and</w:t>
      </w:r>
      <w:r w:rsidR="00AE73A0">
        <w:t xml:space="preserve"> inappropriate for discretionary reasons to reach a conclusion on </w:t>
      </w:r>
      <w:r w:rsidR="00F8154E">
        <w:t>th</w:t>
      </w:r>
      <w:r w:rsidR="00FA0E82">
        <w:t>is</w:t>
      </w:r>
      <w:r w:rsidR="00F8154E">
        <w:t xml:space="preserve"> issue.</w:t>
      </w:r>
      <w:r w:rsidR="00AE73A0">
        <w:t xml:space="preserve"> </w:t>
      </w:r>
      <w:r w:rsidR="003C01B9">
        <w:t xml:space="preserve"> </w:t>
      </w:r>
    </w:p>
    <w:p w14:paraId="56ABAF6A" w14:textId="50F0CEF6" w:rsidR="00FA0E82" w:rsidRDefault="00FA0E82" w:rsidP="00A47908">
      <w:r>
        <w:t>His Honour</w:t>
      </w:r>
      <w:r w:rsidR="008F298F">
        <w:t xml:space="preserve"> ultimately concluded that PQR </w:t>
      </w:r>
      <w:r w:rsidR="00F65A87">
        <w:t>failed to</w:t>
      </w:r>
      <w:r w:rsidR="008F298F">
        <w:t xml:space="preserve"> demonstrate that the assumed risk (of PQR being deterred from proceeding with the appeal) could not </w:t>
      </w:r>
      <w:r w:rsidR="00AE73A0">
        <w:t>be prevented by other reasonably available means</w:t>
      </w:r>
      <w:r w:rsidR="008F298F">
        <w:t xml:space="preserve">. </w:t>
      </w:r>
    </w:p>
    <w:p w14:paraId="137562C2" w14:textId="43C09626" w:rsidR="003C01B9" w:rsidRDefault="00FA0E82" w:rsidP="00A47908">
      <w:r>
        <w:t xml:space="preserve">Justice </w:t>
      </w:r>
      <w:r w:rsidR="00180176">
        <w:t xml:space="preserve">Bell </w:t>
      </w:r>
      <w:r>
        <w:t>found</w:t>
      </w:r>
      <w:r w:rsidR="00AE73A0">
        <w:t xml:space="preserve"> that employing the law of contempt to enforce the pseudonym order represented a reasonably available means of preventing that risk. PQR’s application </w:t>
      </w:r>
      <w:r w:rsidR="00F8154E">
        <w:t xml:space="preserve">for </w:t>
      </w:r>
      <w:r w:rsidR="00AE73A0">
        <w:t xml:space="preserve">a suppression order was therefore dismissed. </w:t>
      </w:r>
    </w:p>
    <w:p w14:paraId="195A5983" w14:textId="4925FD33" w:rsidR="00FB6E4A" w:rsidRDefault="00FB6E4A" w:rsidP="00994E74">
      <w:pPr>
        <w:pStyle w:val="Heading2"/>
      </w:pPr>
      <w:r>
        <w:t>Commentary</w:t>
      </w:r>
    </w:p>
    <w:p w14:paraId="0E5B3DCF" w14:textId="18D15EE3" w:rsidR="007D2D15" w:rsidRPr="0089326B" w:rsidRDefault="007D2D15" w:rsidP="0094193B">
      <w:pPr>
        <w:rPr>
          <w:lang w:eastAsia="en-AU"/>
        </w:rPr>
      </w:pPr>
      <w:r>
        <w:rPr>
          <w:lang w:eastAsia="en-AU"/>
        </w:rPr>
        <w:t xml:space="preserve">PQR (No 1) clarifies that the Supreme Court still has the capacity to make effective pseudonym orders under its inherent jurisdiction, despite the enactment of </w:t>
      </w:r>
      <w:r w:rsidRPr="007D2D15">
        <w:rPr>
          <w:lang w:eastAsia="en-AU"/>
        </w:rPr>
        <w:t>the OC Act.</w:t>
      </w:r>
      <w:r>
        <w:rPr>
          <w:i/>
          <w:lang w:eastAsia="en-AU"/>
        </w:rPr>
        <w:t xml:space="preserve"> </w:t>
      </w:r>
      <w:r>
        <w:rPr>
          <w:lang w:eastAsia="en-AU"/>
        </w:rPr>
        <w:t>Further, it demonstrates that those orders have the practical effect of protecting the applicant from reporting that would identify them or their family.</w:t>
      </w:r>
    </w:p>
    <w:p w14:paraId="54E461C8" w14:textId="7DB8E267" w:rsidR="0054795A" w:rsidRDefault="00FB6E4A" w:rsidP="00180176">
      <w:pPr>
        <w:tabs>
          <w:tab w:val="left" w:pos="10065"/>
        </w:tabs>
        <w:spacing w:before="480"/>
        <w:rPr>
          <w:rFonts w:cs="Arial"/>
          <w:szCs w:val="22"/>
        </w:rPr>
      </w:pPr>
      <w:r>
        <w:rPr>
          <w:rFonts w:cs="Arial"/>
          <w:szCs w:val="22"/>
        </w:rPr>
        <w:t xml:space="preserve">This </w:t>
      </w:r>
      <w:r w:rsidR="00180176">
        <w:rPr>
          <w:rFonts w:cs="Arial"/>
          <w:szCs w:val="22"/>
        </w:rPr>
        <w:t xml:space="preserve">decision is available online at the </w:t>
      </w:r>
      <w:hyperlink r:id="rId9" w:history="1">
        <w:r w:rsidR="00180176" w:rsidRPr="00180176">
          <w:rPr>
            <w:rStyle w:val="Hyperlink"/>
            <w:rFonts w:cs="Arial"/>
            <w:szCs w:val="22"/>
          </w:rPr>
          <w:t>Austlii website</w:t>
        </w:r>
      </w:hyperlink>
      <w:r w:rsidR="00180176">
        <w:rPr>
          <w:rFonts w:cs="Arial"/>
          <w:szCs w:val="22"/>
        </w:rPr>
        <w:t xml:space="preserve"> (</w:t>
      </w:r>
      <w:r w:rsidR="0054795A" w:rsidRPr="00180176">
        <w:rPr>
          <w:rFonts w:cs="Arial"/>
          <w:szCs w:val="22"/>
        </w:rPr>
        <w:t>http://www.austlii.edu.au/cgi-bin/viewdo</w:t>
      </w:r>
      <w:r w:rsidR="00180176">
        <w:rPr>
          <w:rFonts w:cs="Arial"/>
          <w:szCs w:val="22"/>
        </w:rPr>
        <w:t>c/au/cases/vic/VSC/2017/513.html)</w:t>
      </w:r>
    </w:p>
    <w:p w14:paraId="5A60C9ED" w14:textId="295AF8FC" w:rsidR="00FB6E4A" w:rsidRDefault="00FB6E4A" w:rsidP="00FB6E4A">
      <w:pPr>
        <w:rPr>
          <w:rFonts w:cs="Arial"/>
          <w:szCs w:val="22"/>
        </w:rPr>
      </w:pPr>
      <w:r w:rsidRPr="00180176">
        <w:rPr>
          <w:rFonts w:cs="Arial"/>
          <w:b/>
          <w:szCs w:val="22"/>
        </w:rPr>
        <w:t>Note:</w:t>
      </w:r>
      <w:r>
        <w:rPr>
          <w:rFonts w:cs="Arial"/>
          <w:szCs w:val="22"/>
        </w:rPr>
        <w:t xml:space="preserve"> Victoria Legal Aid acted on behalf of the applicant at the </w:t>
      </w:r>
      <w:r w:rsidR="00994E74">
        <w:rPr>
          <w:rFonts w:cs="Arial"/>
          <w:szCs w:val="22"/>
        </w:rPr>
        <w:t>hearing, with the assistance of</w:t>
      </w:r>
      <w:r w:rsidR="0054795A">
        <w:rPr>
          <w:rFonts w:cs="Arial"/>
          <w:szCs w:val="22"/>
        </w:rPr>
        <w:t xml:space="preserve"> Kristen Walker QC</w:t>
      </w:r>
      <w:r w:rsidR="00994E74">
        <w:rPr>
          <w:rFonts w:cs="Arial"/>
          <w:szCs w:val="22"/>
        </w:rPr>
        <w:t xml:space="preserve"> and </w:t>
      </w:r>
      <w:r w:rsidR="00F65A87">
        <w:rPr>
          <w:rFonts w:cs="Arial"/>
          <w:szCs w:val="22"/>
        </w:rPr>
        <w:t>Jessie Taylor</w:t>
      </w:r>
      <w:r>
        <w:rPr>
          <w:rFonts w:cs="Arial"/>
          <w:szCs w:val="22"/>
        </w:rPr>
        <w:t>.</w:t>
      </w:r>
    </w:p>
    <w:p w14:paraId="5975CA43" w14:textId="2F23B4C1" w:rsidR="00532CB7" w:rsidRPr="00532CB7" w:rsidRDefault="00FB6E4A" w:rsidP="00A47908">
      <w:pPr>
        <w:rPr>
          <w:b/>
          <w:lang w:eastAsia="en-AU"/>
        </w:rPr>
      </w:pPr>
      <w:r>
        <w:rPr>
          <w:rFonts w:cs="Arial"/>
          <w:i/>
          <w:szCs w:val="21"/>
          <w:lang w:eastAsia="en-AU"/>
        </w:rPr>
        <w:t>Case note prepared by Gemma Cafarella, Civil Advocate, Victoria Legal Aid</w:t>
      </w:r>
      <w:r w:rsidR="0054795A">
        <w:rPr>
          <w:rFonts w:cs="Arial"/>
          <w:i/>
          <w:szCs w:val="21"/>
          <w:lang w:eastAsia="en-AU"/>
        </w:rPr>
        <w:t>.</w:t>
      </w:r>
    </w:p>
    <w:sectPr w:rsidR="00532CB7" w:rsidRPr="00532CB7" w:rsidSect="00F77E0F">
      <w:headerReference w:type="even" r:id="rId10"/>
      <w:headerReference w:type="default" r:id="rId11"/>
      <w:footerReference w:type="even" r:id="rId12"/>
      <w:footerReference w:type="default" r:id="rId13"/>
      <w:headerReference w:type="first" r:id="rId14"/>
      <w:footerReference w:type="first" r:id="rId15"/>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4946" w14:textId="77777777" w:rsidR="0049150D" w:rsidRDefault="0049150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77DAE2F6" w14:textId="77777777" w:rsidR="0049150D" w:rsidRDefault="0049150D"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788B" w14:textId="77777777" w:rsidR="001F340A" w:rsidRDefault="001F340A"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E52A0" w14:textId="77777777" w:rsidR="001F340A" w:rsidRDefault="001F340A" w:rsidP="008074B3">
    <w:pPr>
      <w:pStyle w:val="Footer"/>
      <w:ind w:right="360" w:firstLine="360"/>
    </w:pPr>
  </w:p>
  <w:p w14:paraId="7CA48DB4" w14:textId="77777777" w:rsidR="001F340A" w:rsidRDefault="001F34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2C9B" w14:textId="51F863E8" w:rsidR="001F340A" w:rsidRDefault="001F340A"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80176">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8405C1D" wp14:editId="181A8593">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76D580"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A43" w14:textId="05B1EEBA" w:rsidR="001F340A" w:rsidRPr="008636E1" w:rsidRDefault="001F340A"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180176">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5FE1A05C" wp14:editId="6DD1C3EF">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CDA311"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6F3DF" w14:textId="77777777" w:rsidR="0049150D" w:rsidRDefault="0049150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4BF6488" w14:textId="77777777" w:rsidR="0049150D" w:rsidRDefault="0049150D"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DA13" w14:textId="77777777" w:rsidR="001F340A" w:rsidRDefault="001F340A"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EC32C" w14:textId="77777777" w:rsidR="001F340A" w:rsidRDefault="001F340A" w:rsidP="00091AFC">
    <w:pPr>
      <w:pStyle w:val="Header"/>
      <w:ind w:right="360"/>
    </w:pPr>
  </w:p>
  <w:p w14:paraId="6CD258A2" w14:textId="77777777" w:rsidR="001F340A" w:rsidRDefault="001F340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8849" w14:textId="77777777" w:rsidR="001F340A" w:rsidRPr="0075348F" w:rsidRDefault="001F340A"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14:paraId="3D8C4E28" w14:textId="77777777" w:rsidR="001F340A" w:rsidRPr="00EF7C5C" w:rsidRDefault="001F340A"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7797FD9B" wp14:editId="1CE92BC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BEE7"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r>
      <w:rPr>
        <w:rFonts w:ascii="Arial Bold" w:hAnsi="Arial Bold" w:cs="Arial"/>
        <w:b/>
        <w:color w:val="E38431"/>
        <w:sz w:val="18"/>
        <w:szCs w:val="18"/>
      </w:rPr>
      <w:t xml:space="preserve">Case note: PQR v Secretary, Department of Justice and Regulation (No 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812B" w14:textId="77777777" w:rsidR="001F340A" w:rsidRPr="00833658" w:rsidRDefault="001F340A"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4C83255A" wp14:editId="5E3CDC70">
          <wp:simplePos x="0" y="0"/>
          <wp:positionH relativeFrom="column">
            <wp:posOffset>-385445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F43302D" w14:textId="77777777" w:rsidR="001F340A" w:rsidRPr="00D82005" w:rsidRDefault="001F340A" w:rsidP="00D82005">
    <w:pPr>
      <w:pStyle w:val="VLAPublicationdate"/>
      <w:spacing w:before="240" w:after="1200"/>
    </w:pPr>
    <w:r>
      <w:t>28 September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2B74DF8"/>
    <w:multiLevelType w:val="hybridMultilevel"/>
    <w:tmpl w:val="CE1ED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D34B8A"/>
    <w:multiLevelType w:val="hybridMultilevel"/>
    <w:tmpl w:val="4F0261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0F284F"/>
    <w:multiLevelType w:val="hybridMultilevel"/>
    <w:tmpl w:val="1646B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22352"/>
    <w:multiLevelType w:val="hybridMultilevel"/>
    <w:tmpl w:val="688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31B5745"/>
    <w:multiLevelType w:val="hybridMultilevel"/>
    <w:tmpl w:val="8C508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71E16"/>
    <w:multiLevelType w:val="hybridMultilevel"/>
    <w:tmpl w:val="B0FC45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4"/>
  </w:num>
  <w:num w:numId="3">
    <w:abstractNumId w:val="17"/>
  </w:num>
  <w:num w:numId="4">
    <w:abstractNumId w:val="16"/>
  </w:num>
  <w:num w:numId="5">
    <w:abstractNumId w:val="17"/>
  </w:num>
  <w:num w:numId="6">
    <w:abstractNumId w:val="17"/>
  </w:num>
  <w:num w:numId="7">
    <w:abstractNumId w:val="18"/>
  </w:num>
  <w:num w:numId="8">
    <w:abstractNumId w:val="17"/>
  </w:num>
  <w:num w:numId="9">
    <w:abstractNumId w:val="15"/>
  </w:num>
  <w:num w:numId="10">
    <w:abstractNumId w:val="12"/>
  </w:num>
  <w:num w:numId="11">
    <w:abstractNumId w:val="15"/>
  </w:num>
  <w:num w:numId="12">
    <w:abstractNumId w:val="9"/>
  </w:num>
  <w:num w:numId="13">
    <w:abstractNumId w:val="9"/>
  </w:num>
  <w:num w:numId="14">
    <w:abstractNumId w:val="9"/>
  </w:num>
  <w:num w:numId="15">
    <w:abstractNumId w:val="9"/>
  </w:num>
  <w:num w:numId="16">
    <w:abstractNumId w:val="12"/>
  </w:num>
  <w:num w:numId="17">
    <w:abstractNumId w:val="17"/>
  </w:num>
  <w:num w:numId="18">
    <w:abstractNumId w:val="17"/>
  </w:num>
  <w:num w:numId="19">
    <w:abstractNumId w:val="16"/>
  </w:num>
  <w:num w:numId="20">
    <w:abstractNumId w:val="16"/>
  </w:num>
  <w:num w:numId="21">
    <w:abstractNumId w:val="16"/>
  </w:num>
  <w:num w:numId="22">
    <w:abstractNumId w:val="15"/>
  </w:num>
  <w:num w:numId="23">
    <w:abstractNumId w:val="12"/>
  </w:num>
  <w:num w:numId="24">
    <w:abstractNumId w:val="17"/>
  </w:num>
  <w:num w:numId="25">
    <w:abstractNumId w:val="17"/>
  </w:num>
  <w:num w:numId="26">
    <w:abstractNumId w:val="16"/>
  </w:num>
  <w:num w:numId="27">
    <w:abstractNumId w:val="16"/>
  </w:num>
  <w:num w:numId="28">
    <w:abstractNumId w:val="16"/>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11"/>
  </w:num>
  <w:num w:numId="38">
    <w:abstractNumId w:val="7"/>
  </w:num>
  <w:num w:numId="39">
    <w:abstractNumId w:val="10"/>
  </w:num>
  <w:num w:numId="40">
    <w:abstractNumId w:val="19"/>
  </w:num>
  <w:num w:numId="4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2A5F14"/>
    <w:rsid w:val="000078CE"/>
    <w:rsid w:val="00016FD5"/>
    <w:rsid w:val="0003007B"/>
    <w:rsid w:val="000360EC"/>
    <w:rsid w:val="00040F0B"/>
    <w:rsid w:val="00044D3C"/>
    <w:rsid w:val="00057FDC"/>
    <w:rsid w:val="000759A6"/>
    <w:rsid w:val="000765A0"/>
    <w:rsid w:val="00091432"/>
    <w:rsid w:val="00091AFC"/>
    <w:rsid w:val="00094FE1"/>
    <w:rsid w:val="000A1220"/>
    <w:rsid w:val="000A1C94"/>
    <w:rsid w:val="000C6955"/>
    <w:rsid w:val="000E1BEB"/>
    <w:rsid w:val="00151B7E"/>
    <w:rsid w:val="0015359B"/>
    <w:rsid w:val="00160C7E"/>
    <w:rsid w:val="00180176"/>
    <w:rsid w:val="00181303"/>
    <w:rsid w:val="001A2999"/>
    <w:rsid w:val="001B36A3"/>
    <w:rsid w:val="001F340A"/>
    <w:rsid w:val="00203A68"/>
    <w:rsid w:val="0021722B"/>
    <w:rsid w:val="002A5F14"/>
    <w:rsid w:val="002B1EAA"/>
    <w:rsid w:val="002B73A4"/>
    <w:rsid w:val="002C715E"/>
    <w:rsid w:val="002D3C75"/>
    <w:rsid w:val="002D3CF4"/>
    <w:rsid w:val="002F7860"/>
    <w:rsid w:val="00306C10"/>
    <w:rsid w:val="00310DD1"/>
    <w:rsid w:val="00315C03"/>
    <w:rsid w:val="003224F8"/>
    <w:rsid w:val="003315F4"/>
    <w:rsid w:val="00355FBF"/>
    <w:rsid w:val="00360994"/>
    <w:rsid w:val="003633C8"/>
    <w:rsid w:val="0036437A"/>
    <w:rsid w:val="003655D7"/>
    <w:rsid w:val="0037081E"/>
    <w:rsid w:val="003C01B9"/>
    <w:rsid w:val="00402557"/>
    <w:rsid w:val="004158B6"/>
    <w:rsid w:val="00427C16"/>
    <w:rsid w:val="004421BD"/>
    <w:rsid w:val="00443649"/>
    <w:rsid w:val="00450827"/>
    <w:rsid w:val="00463843"/>
    <w:rsid w:val="00465891"/>
    <w:rsid w:val="004707EF"/>
    <w:rsid w:val="0049150D"/>
    <w:rsid w:val="004C75B1"/>
    <w:rsid w:val="004D7100"/>
    <w:rsid w:val="00504F13"/>
    <w:rsid w:val="005317C2"/>
    <w:rsid w:val="00532CB7"/>
    <w:rsid w:val="00546C0D"/>
    <w:rsid w:val="0054795A"/>
    <w:rsid w:val="0056798F"/>
    <w:rsid w:val="005B1640"/>
    <w:rsid w:val="005B3D02"/>
    <w:rsid w:val="005C1DFD"/>
    <w:rsid w:val="005C4D82"/>
    <w:rsid w:val="005D19C7"/>
    <w:rsid w:val="005D4A19"/>
    <w:rsid w:val="005D5C9C"/>
    <w:rsid w:val="005F5DC0"/>
    <w:rsid w:val="0066019E"/>
    <w:rsid w:val="00675F66"/>
    <w:rsid w:val="006764E3"/>
    <w:rsid w:val="00680746"/>
    <w:rsid w:val="006A00A7"/>
    <w:rsid w:val="006A6FC6"/>
    <w:rsid w:val="006A7FD5"/>
    <w:rsid w:val="006B35B8"/>
    <w:rsid w:val="006B3F5E"/>
    <w:rsid w:val="006B612D"/>
    <w:rsid w:val="006B6E7E"/>
    <w:rsid w:val="006C3430"/>
    <w:rsid w:val="006C6680"/>
    <w:rsid w:val="006F181A"/>
    <w:rsid w:val="006F2D6F"/>
    <w:rsid w:val="00714549"/>
    <w:rsid w:val="00724661"/>
    <w:rsid w:val="0075348F"/>
    <w:rsid w:val="0076051B"/>
    <w:rsid w:val="00781FFA"/>
    <w:rsid w:val="0078739B"/>
    <w:rsid w:val="007B0612"/>
    <w:rsid w:val="007D2D15"/>
    <w:rsid w:val="007D5BA7"/>
    <w:rsid w:val="008074B3"/>
    <w:rsid w:val="00822F65"/>
    <w:rsid w:val="0082595B"/>
    <w:rsid w:val="00833658"/>
    <w:rsid w:val="00847377"/>
    <w:rsid w:val="00856DA8"/>
    <w:rsid w:val="008636E1"/>
    <w:rsid w:val="00892FFC"/>
    <w:rsid w:val="008958CB"/>
    <w:rsid w:val="00896E60"/>
    <w:rsid w:val="00897671"/>
    <w:rsid w:val="008A1E5F"/>
    <w:rsid w:val="008B2419"/>
    <w:rsid w:val="008C388A"/>
    <w:rsid w:val="008E42AE"/>
    <w:rsid w:val="008F298F"/>
    <w:rsid w:val="008F2B99"/>
    <w:rsid w:val="008F4DC6"/>
    <w:rsid w:val="00902260"/>
    <w:rsid w:val="00940793"/>
    <w:rsid w:val="0094193B"/>
    <w:rsid w:val="00963D6A"/>
    <w:rsid w:val="0099270D"/>
    <w:rsid w:val="00994E74"/>
    <w:rsid w:val="00995293"/>
    <w:rsid w:val="00996020"/>
    <w:rsid w:val="009A74F1"/>
    <w:rsid w:val="009B0D09"/>
    <w:rsid w:val="009B338C"/>
    <w:rsid w:val="009B59BF"/>
    <w:rsid w:val="009D539D"/>
    <w:rsid w:val="009E1AC3"/>
    <w:rsid w:val="009F0AA0"/>
    <w:rsid w:val="00A11120"/>
    <w:rsid w:val="00A15ABF"/>
    <w:rsid w:val="00A1634B"/>
    <w:rsid w:val="00A26D53"/>
    <w:rsid w:val="00A4395A"/>
    <w:rsid w:val="00A47908"/>
    <w:rsid w:val="00A52F29"/>
    <w:rsid w:val="00A831E7"/>
    <w:rsid w:val="00A93509"/>
    <w:rsid w:val="00AB5376"/>
    <w:rsid w:val="00AC3D95"/>
    <w:rsid w:val="00AD392B"/>
    <w:rsid w:val="00AE73A0"/>
    <w:rsid w:val="00B044A6"/>
    <w:rsid w:val="00B072C4"/>
    <w:rsid w:val="00B336AE"/>
    <w:rsid w:val="00B513B4"/>
    <w:rsid w:val="00B84EEA"/>
    <w:rsid w:val="00B85795"/>
    <w:rsid w:val="00BB122F"/>
    <w:rsid w:val="00BD3873"/>
    <w:rsid w:val="00BE36EB"/>
    <w:rsid w:val="00C012F5"/>
    <w:rsid w:val="00C16B80"/>
    <w:rsid w:val="00C33AEF"/>
    <w:rsid w:val="00C415B1"/>
    <w:rsid w:val="00C61CB5"/>
    <w:rsid w:val="00C64A61"/>
    <w:rsid w:val="00C76A21"/>
    <w:rsid w:val="00C81372"/>
    <w:rsid w:val="00C84D28"/>
    <w:rsid w:val="00CB48F9"/>
    <w:rsid w:val="00CB7E30"/>
    <w:rsid w:val="00CC0626"/>
    <w:rsid w:val="00CC216F"/>
    <w:rsid w:val="00CE0407"/>
    <w:rsid w:val="00CF27DB"/>
    <w:rsid w:val="00CF2D05"/>
    <w:rsid w:val="00D10E9C"/>
    <w:rsid w:val="00D22D3A"/>
    <w:rsid w:val="00D30B8E"/>
    <w:rsid w:val="00D5535B"/>
    <w:rsid w:val="00D75C29"/>
    <w:rsid w:val="00D82005"/>
    <w:rsid w:val="00DB07C5"/>
    <w:rsid w:val="00DC01DC"/>
    <w:rsid w:val="00DD5EE1"/>
    <w:rsid w:val="00DE037E"/>
    <w:rsid w:val="00DE3C33"/>
    <w:rsid w:val="00DF171C"/>
    <w:rsid w:val="00DF40BC"/>
    <w:rsid w:val="00E306C4"/>
    <w:rsid w:val="00E865F8"/>
    <w:rsid w:val="00E92D5D"/>
    <w:rsid w:val="00EE49CC"/>
    <w:rsid w:val="00EF4FC5"/>
    <w:rsid w:val="00EF7C5C"/>
    <w:rsid w:val="00F0005B"/>
    <w:rsid w:val="00F14EC8"/>
    <w:rsid w:val="00F305C8"/>
    <w:rsid w:val="00F63972"/>
    <w:rsid w:val="00F65A87"/>
    <w:rsid w:val="00F77E0F"/>
    <w:rsid w:val="00F8154E"/>
    <w:rsid w:val="00F825B6"/>
    <w:rsid w:val="00FA0E82"/>
    <w:rsid w:val="00FB3760"/>
    <w:rsid w:val="00FB4F50"/>
    <w:rsid w:val="00FB6E4A"/>
    <w:rsid w:val="00FF17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F2A99C"/>
  <w15:docId w15:val="{C0B68F84-A527-4F34-8DFE-96E4B77F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72"/>
    <w:unhideWhenUsed/>
    <w:rsid w:val="00C012F5"/>
    <w:pPr>
      <w:ind w:left="720"/>
      <w:contextualSpacing/>
    </w:pPr>
  </w:style>
  <w:style w:type="paragraph" w:styleId="BalloonText">
    <w:name w:val="Balloon Text"/>
    <w:basedOn w:val="Normal"/>
    <w:link w:val="BalloonTextChar"/>
    <w:semiHidden/>
    <w:unhideWhenUsed/>
    <w:rsid w:val="00996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96020"/>
    <w:rPr>
      <w:rFonts w:ascii="Segoe UI" w:eastAsia="Times New Roman" w:hAnsi="Segoe UI" w:cs="Segoe UI"/>
      <w:sz w:val="18"/>
      <w:szCs w:val="18"/>
    </w:rPr>
  </w:style>
  <w:style w:type="character" w:styleId="CommentReference">
    <w:name w:val="annotation reference"/>
    <w:basedOn w:val="DefaultParagraphFont"/>
    <w:semiHidden/>
    <w:unhideWhenUsed/>
    <w:rsid w:val="00FB6E4A"/>
    <w:rPr>
      <w:sz w:val="16"/>
      <w:szCs w:val="16"/>
    </w:rPr>
  </w:style>
  <w:style w:type="paragraph" w:styleId="CommentText">
    <w:name w:val="annotation text"/>
    <w:basedOn w:val="Normal"/>
    <w:link w:val="CommentTextChar"/>
    <w:semiHidden/>
    <w:unhideWhenUsed/>
    <w:rsid w:val="00FB6E4A"/>
    <w:pPr>
      <w:spacing w:line="240" w:lineRule="auto"/>
    </w:pPr>
    <w:rPr>
      <w:sz w:val="20"/>
      <w:szCs w:val="20"/>
    </w:rPr>
  </w:style>
  <w:style w:type="character" w:customStyle="1" w:styleId="CommentTextChar">
    <w:name w:val="Comment Text Char"/>
    <w:basedOn w:val="DefaultParagraphFont"/>
    <w:link w:val="CommentText"/>
    <w:semiHidden/>
    <w:rsid w:val="00FB6E4A"/>
    <w:rPr>
      <w:rFonts w:ascii="Arial" w:eastAsia="Times New Roman" w:hAnsi="Arial"/>
    </w:rPr>
  </w:style>
  <w:style w:type="paragraph" w:styleId="CommentSubject">
    <w:name w:val="annotation subject"/>
    <w:basedOn w:val="CommentText"/>
    <w:next w:val="CommentText"/>
    <w:link w:val="CommentSubjectChar"/>
    <w:semiHidden/>
    <w:unhideWhenUsed/>
    <w:rsid w:val="00FB6E4A"/>
    <w:rPr>
      <w:b/>
      <w:bCs/>
    </w:rPr>
  </w:style>
  <w:style w:type="character" w:customStyle="1" w:styleId="CommentSubjectChar">
    <w:name w:val="Comment Subject Char"/>
    <w:basedOn w:val="CommentTextChar"/>
    <w:link w:val="CommentSubject"/>
    <w:semiHidden/>
    <w:rsid w:val="00FB6E4A"/>
    <w:rPr>
      <w:rFonts w:ascii="Arial" w:eastAsia="Times New Roman" w:hAnsi="Arial"/>
      <w:b/>
      <w:bCs/>
    </w:rPr>
  </w:style>
  <w:style w:type="paragraph" w:styleId="Revision">
    <w:name w:val="Revision"/>
    <w:hidden/>
    <w:uiPriority w:val="71"/>
    <w:unhideWhenUsed/>
    <w:rsid w:val="00FB6E4A"/>
    <w:rPr>
      <w:rFonts w:ascii="Arial" w:eastAsia="Times New Roman" w:hAnsi="Arial"/>
      <w:sz w:val="22"/>
      <w:szCs w:val="24"/>
    </w:rPr>
  </w:style>
  <w:style w:type="character" w:styleId="FollowedHyperlink">
    <w:name w:val="FollowedHyperlink"/>
    <w:basedOn w:val="DefaultParagraphFont"/>
    <w:rsid w:val="0094193B"/>
    <w:rPr>
      <w:color w:val="9775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06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cases/vic/VSC/2017/514.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lii.edu.au/cgi-bin/viewdoc/au/cases/vic/VSC/2017/513.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002E-81AC-42B0-B050-F351747E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6331</Characters>
  <Application>Microsoft Office Word</Application>
  <DocSecurity>0</DocSecurity>
  <Lines>102</Lines>
  <Paragraphs>46</Paragraphs>
  <ScaleCrop>false</ScaleCrop>
  <HeadingPairs>
    <vt:vector size="2" baseType="variant">
      <vt:variant>
        <vt:lpstr>Title</vt:lpstr>
      </vt:variant>
      <vt:variant>
        <vt:i4>1</vt:i4>
      </vt:variant>
    </vt:vector>
  </HeadingPairs>
  <TitlesOfParts>
    <vt:vector size="1" baseType="lpstr">
      <vt:lpstr>Case note: PQR v Secretary, Department of Justice and Regulation (No 1) [2017] VSC 513 (26 September 2017)</vt:lpstr>
    </vt:vector>
  </TitlesOfParts>
  <Manager/>
  <Company>Victoria Legal Aid</Company>
  <LinksUpToDate>false</LinksUpToDate>
  <CharactersWithSpaces>7481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note: PQR v Secretary, Department of Justice and Regulation (No 1) [2017] VSC 513 (26 September 2017)</dc:title>
  <dc:subject/>
  <dc:creator>Victoria Legal Aid</dc:creator>
  <cp:keywords/>
  <dc:description/>
  <cp:lastModifiedBy>Gabrielle Mundana</cp:lastModifiedBy>
  <cp:revision>2</cp:revision>
  <dcterms:created xsi:type="dcterms:W3CDTF">2022-03-21T01:06:00Z</dcterms:created>
  <dcterms:modified xsi:type="dcterms:W3CDTF">2022-03-21T01:06:00Z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