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BD76" w14:textId="09CF8EFB" w:rsidR="00FA55AB" w:rsidRDefault="006216AD" w:rsidP="00C63D40">
      <w:pPr>
        <w:pStyle w:val="Heading1"/>
        <w:tabs>
          <w:tab w:val="left" w:pos="1985"/>
        </w:tabs>
      </w:pPr>
      <w:r>
        <w:t>Supreme Court</w:t>
      </w:r>
      <w:r w:rsidR="0047006A">
        <w:t xml:space="preserve"> says working with children checks should only be refused where engagement in child-related work would pose risk</w:t>
      </w:r>
    </w:p>
    <w:p w14:paraId="0C511EE7" w14:textId="77777777" w:rsidR="00EF7C5C" w:rsidRPr="00C63D40" w:rsidRDefault="00FA55AB" w:rsidP="00C63D40">
      <w:pPr>
        <w:rPr>
          <w:b/>
        </w:rPr>
      </w:pPr>
      <w:r w:rsidRPr="00C63D40">
        <w:rPr>
          <w:b/>
        </w:rPr>
        <w:t xml:space="preserve">Case note: </w:t>
      </w:r>
      <w:r w:rsidR="0036437A" w:rsidRPr="00C63D40">
        <w:rPr>
          <w:b/>
        </w:rPr>
        <w:t>PQR v Secretary, Department of Justice and Regulation (No 2) [2017] VSC 514 (26 September 2017)</w:t>
      </w:r>
    </w:p>
    <w:p w14:paraId="26CD2BED" w14:textId="0F47C36B" w:rsidR="0036437A" w:rsidRDefault="00FA55AB" w:rsidP="0036437A">
      <w:pPr>
        <w:pStyle w:val="Heading2"/>
      </w:pPr>
      <w:r>
        <w:t>Summary</w:t>
      </w:r>
      <w:r w:rsidR="00A47908">
        <w:t xml:space="preserve"> </w:t>
      </w:r>
    </w:p>
    <w:p w14:paraId="3FB5015E" w14:textId="4FA3A591" w:rsidR="006705A4" w:rsidRDefault="006705A4" w:rsidP="00A47908">
      <w:pPr>
        <w:rPr>
          <w:lang w:eastAsia="en-AU"/>
        </w:rPr>
      </w:pPr>
      <w:r>
        <w:rPr>
          <w:lang w:eastAsia="en-AU"/>
        </w:rPr>
        <w:t>The Supreme Court has found that the Victorian Civil and Administrative Tribunal (</w:t>
      </w:r>
      <w:r w:rsidRPr="00C63D40">
        <w:rPr>
          <w:lang w:eastAsia="en-AU"/>
        </w:rPr>
        <w:t>VCAT</w:t>
      </w:r>
      <w:r>
        <w:rPr>
          <w:lang w:eastAsia="en-AU"/>
        </w:rPr>
        <w:t>) committed an error of law in its interpretation and application of the ‘unjustifiable risk’ test in ss</w:t>
      </w:r>
      <w:r w:rsidR="00C63D40">
        <w:rPr>
          <w:lang w:eastAsia="en-AU"/>
        </w:rPr>
        <w:t>.</w:t>
      </w:r>
      <w:r>
        <w:rPr>
          <w:lang w:eastAsia="en-AU"/>
        </w:rPr>
        <w:t xml:space="preserve"> 13(2) and 26B(1) of the </w:t>
      </w:r>
      <w:r w:rsidRPr="007C27C8">
        <w:rPr>
          <w:i/>
          <w:lang w:eastAsia="en-AU"/>
        </w:rPr>
        <w:t>Working with Children Act 2005</w:t>
      </w:r>
      <w:r>
        <w:rPr>
          <w:lang w:eastAsia="en-AU"/>
        </w:rPr>
        <w:t xml:space="preserve"> (Vic) (</w:t>
      </w:r>
      <w:r w:rsidRPr="00C63D40">
        <w:rPr>
          <w:lang w:eastAsia="en-AU"/>
        </w:rPr>
        <w:t>WWC Act</w:t>
      </w:r>
      <w:r>
        <w:rPr>
          <w:lang w:eastAsia="en-AU"/>
        </w:rPr>
        <w:t>).</w:t>
      </w:r>
    </w:p>
    <w:p w14:paraId="3EB2D9A2" w14:textId="276F5721" w:rsidR="00A47908" w:rsidRDefault="006705A4" w:rsidP="001B36A3">
      <w:pPr>
        <w:rPr>
          <w:lang w:eastAsia="en-AU"/>
        </w:rPr>
      </w:pPr>
      <w:r>
        <w:rPr>
          <w:lang w:val="en"/>
        </w:rPr>
        <w:t xml:space="preserve">Proper administration of the test requires determining whether </w:t>
      </w:r>
      <w:r w:rsidRPr="00C63D40">
        <w:rPr>
          <w:b/>
          <w:lang w:val="en"/>
        </w:rPr>
        <w:t>giving the assessment notice</w:t>
      </w:r>
      <w:r>
        <w:rPr>
          <w:lang w:val="en"/>
        </w:rPr>
        <w:t xml:space="preserve"> would pose an unjustifiable risk to the safety of children</w:t>
      </w:r>
      <w:r w:rsidR="00A31C31">
        <w:rPr>
          <w:lang w:val="en"/>
        </w:rPr>
        <w:t>.</w:t>
      </w:r>
      <w:r w:rsidR="0047006A">
        <w:rPr>
          <w:lang w:val="en"/>
        </w:rPr>
        <w:t xml:space="preserve"> </w:t>
      </w:r>
    </w:p>
    <w:p w14:paraId="6E53F8AF" w14:textId="5F4AE997" w:rsidR="00A47908" w:rsidRDefault="00C63D40" w:rsidP="00A47908">
      <w:pPr>
        <w:pStyle w:val="Heading2"/>
      </w:pPr>
      <w:r>
        <w:t>Background</w:t>
      </w:r>
    </w:p>
    <w:p w14:paraId="267853CD" w14:textId="74EB8CA5" w:rsidR="001B36A3" w:rsidRDefault="001B36A3" w:rsidP="00A47908">
      <w:pPr>
        <w:rPr>
          <w:lang w:eastAsia="en-AU"/>
        </w:rPr>
      </w:pPr>
      <w:r>
        <w:rPr>
          <w:lang w:eastAsia="en-AU"/>
        </w:rPr>
        <w:t xml:space="preserve">PQR had been found guilty of </w:t>
      </w:r>
      <w:r w:rsidR="00DF40BC">
        <w:rPr>
          <w:lang w:eastAsia="en-AU"/>
        </w:rPr>
        <w:t>several</w:t>
      </w:r>
      <w:r>
        <w:rPr>
          <w:lang w:eastAsia="en-AU"/>
        </w:rPr>
        <w:t xml:space="preserve"> criminal offences over the </w:t>
      </w:r>
      <w:r w:rsidR="00532CB7">
        <w:rPr>
          <w:lang w:eastAsia="en-AU"/>
        </w:rPr>
        <w:t>previous 15 years</w:t>
      </w:r>
      <w:r>
        <w:rPr>
          <w:lang w:eastAsia="en-AU"/>
        </w:rPr>
        <w:t xml:space="preserve">. He was found guilty of assaulting his then de facto partner in 2002, and had been convicted of several drug offences. </w:t>
      </w:r>
      <w:r w:rsidR="0003007B">
        <w:rPr>
          <w:lang w:eastAsia="en-AU"/>
        </w:rPr>
        <w:t>Most seriously,</w:t>
      </w:r>
      <w:r>
        <w:rPr>
          <w:lang w:eastAsia="en-AU"/>
        </w:rPr>
        <w:t xml:space="preserve"> in 2012 he was convicted of trafficking in dangerous drugs as part of a large-scale drug trafficking syndicate in Queensland. He was sentenced to six years’ imprisonment</w:t>
      </w:r>
      <w:r w:rsidR="00532CB7">
        <w:rPr>
          <w:lang w:eastAsia="en-AU"/>
        </w:rPr>
        <w:t>,</w:t>
      </w:r>
      <w:r>
        <w:rPr>
          <w:lang w:eastAsia="en-AU"/>
        </w:rPr>
        <w:t xml:space="preserve"> </w:t>
      </w:r>
      <w:r w:rsidR="00532CB7">
        <w:rPr>
          <w:lang w:eastAsia="en-AU"/>
        </w:rPr>
        <w:t>with</w:t>
      </w:r>
      <w:r w:rsidR="00DF40BC">
        <w:rPr>
          <w:lang w:eastAsia="en-AU"/>
        </w:rPr>
        <w:t xml:space="preserve"> a minimum term of two years. He was a model prisoner and </w:t>
      </w:r>
      <w:r>
        <w:rPr>
          <w:lang w:eastAsia="en-AU"/>
        </w:rPr>
        <w:t xml:space="preserve">received parole </w:t>
      </w:r>
      <w:r w:rsidR="00DF40BC">
        <w:rPr>
          <w:lang w:eastAsia="en-AU"/>
        </w:rPr>
        <w:t xml:space="preserve">at the earliest opportunity. </w:t>
      </w:r>
      <w:r w:rsidR="0047006A">
        <w:rPr>
          <w:lang w:eastAsia="en-AU"/>
        </w:rPr>
        <w:t>There was no evidence that PQR had been involved in dealing drugs to children.</w:t>
      </w:r>
      <w:r>
        <w:rPr>
          <w:lang w:eastAsia="en-AU"/>
        </w:rPr>
        <w:t xml:space="preserve"> </w:t>
      </w:r>
    </w:p>
    <w:p w14:paraId="7133AD9F" w14:textId="0A21F337" w:rsidR="001B36A3" w:rsidRDefault="001B36A3" w:rsidP="00A47908">
      <w:pPr>
        <w:rPr>
          <w:lang w:eastAsia="en-AU"/>
        </w:rPr>
      </w:pPr>
      <w:r>
        <w:rPr>
          <w:lang w:eastAsia="en-AU"/>
        </w:rPr>
        <w:t xml:space="preserve">After being released from prison, PQR moved to Victoria and </w:t>
      </w:r>
      <w:r w:rsidR="00DF40BC">
        <w:rPr>
          <w:lang w:eastAsia="en-AU"/>
        </w:rPr>
        <w:t>commenced</w:t>
      </w:r>
      <w:r>
        <w:rPr>
          <w:lang w:eastAsia="en-AU"/>
        </w:rPr>
        <w:t xml:space="preserve"> university studies to become an exercise physiologist. He required a </w:t>
      </w:r>
      <w:r w:rsidR="00FA55AB">
        <w:rPr>
          <w:lang w:eastAsia="en-AU"/>
        </w:rPr>
        <w:t>Working with Children Check (</w:t>
      </w:r>
      <w:r w:rsidR="00FA55AB" w:rsidRPr="00C63D40">
        <w:rPr>
          <w:lang w:eastAsia="en-AU"/>
        </w:rPr>
        <w:t>WWCC</w:t>
      </w:r>
      <w:r w:rsidR="00FA55AB">
        <w:rPr>
          <w:lang w:eastAsia="en-AU"/>
        </w:rPr>
        <w:t xml:space="preserve">) </w:t>
      </w:r>
      <w:r>
        <w:rPr>
          <w:lang w:eastAsia="en-AU"/>
        </w:rPr>
        <w:t>to com</w:t>
      </w:r>
      <w:r w:rsidR="0003007B">
        <w:rPr>
          <w:lang w:eastAsia="en-AU"/>
        </w:rPr>
        <w:t xml:space="preserve">plete the student placements that </w:t>
      </w:r>
      <w:r w:rsidR="00DF40BC">
        <w:rPr>
          <w:lang w:eastAsia="en-AU"/>
        </w:rPr>
        <w:t>he had to complete to obtain his degree.</w:t>
      </w:r>
      <w:r w:rsidR="0003007B">
        <w:rPr>
          <w:lang w:eastAsia="en-AU"/>
        </w:rPr>
        <w:t xml:space="preserve"> </w:t>
      </w:r>
    </w:p>
    <w:p w14:paraId="669897E8" w14:textId="372D02D5" w:rsidR="001B36A3" w:rsidRDefault="002D3CF4" w:rsidP="00A47908">
      <w:pPr>
        <w:rPr>
          <w:lang w:eastAsia="en-AU"/>
        </w:rPr>
      </w:pPr>
      <w:r>
        <w:rPr>
          <w:lang w:eastAsia="en-AU"/>
        </w:rPr>
        <w:t>PQR applied to the Secretary to the Department of Justice and Regulation (</w:t>
      </w:r>
      <w:r w:rsidR="00C63D40">
        <w:rPr>
          <w:lang w:eastAsia="en-AU"/>
        </w:rPr>
        <w:t>the s</w:t>
      </w:r>
      <w:r w:rsidRPr="00C63D40">
        <w:rPr>
          <w:lang w:eastAsia="en-AU"/>
        </w:rPr>
        <w:t>ecretary</w:t>
      </w:r>
      <w:r>
        <w:rPr>
          <w:lang w:eastAsia="en-AU"/>
        </w:rPr>
        <w:t xml:space="preserve">) </w:t>
      </w:r>
      <w:r w:rsidRPr="002D3CF4">
        <w:rPr>
          <w:lang w:eastAsia="en-AU"/>
        </w:rPr>
        <w:t>for</w:t>
      </w:r>
      <w:r>
        <w:rPr>
          <w:lang w:eastAsia="en-AU"/>
        </w:rPr>
        <w:t xml:space="preserve"> a </w:t>
      </w:r>
      <w:r w:rsidRPr="007C27C8">
        <w:rPr>
          <w:lang w:eastAsia="en-AU"/>
        </w:rPr>
        <w:t>WWCC</w:t>
      </w:r>
      <w:r w:rsidR="0003007B">
        <w:rPr>
          <w:lang w:eastAsia="en-AU"/>
        </w:rPr>
        <w:t xml:space="preserve"> in 2015. The 2002 assault meant that his application was a ‘category B’ ass</w:t>
      </w:r>
      <w:r w:rsidR="00C63D40">
        <w:rPr>
          <w:lang w:eastAsia="en-AU"/>
        </w:rPr>
        <w:t>essment under the WWC Act. The s</w:t>
      </w:r>
      <w:r w:rsidR="0003007B">
        <w:rPr>
          <w:lang w:eastAsia="en-AU"/>
        </w:rPr>
        <w:t>ecretary also considered the drug offending</w:t>
      </w:r>
      <w:r w:rsidR="00DF40BC">
        <w:rPr>
          <w:lang w:eastAsia="en-AU"/>
        </w:rPr>
        <w:t xml:space="preserve"> in assessing his application</w:t>
      </w:r>
      <w:r w:rsidR="0003007B">
        <w:rPr>
          <w:lang w:eastAsia="en-AU"/>
        </w:rPr>
        <w:t xml:space="preserve">. His application was refused. </w:t>
      </w:r>
    </w:p>
    <w:p w14:paraId="070895E6" w14:textId="04A690ED" w:rsidR="002B1EAA" w:rsidRDefault="00C63D40" w:rsidP="0003007B">
      <w:pPr>
        <w:rPr>
          <w:lang w:eastAsia="en-AU"/>
        </w:rPr>
      </w:pPr>
      <w:r>
        <w:rPr>
          <w:lang w:eastAsia="en-AU"/>
        </w:rPr>
        <w:t>PQR sought review of the s</w:t>
      </w:r>
      <w:r w:rsidR="0003007B">
        <w:rPr>
          <w:lang w:eastAsia="en-AU"/>
        </w:rPr>
        <w:t>ecretary’s</w:t>
      </w:r>
      <w:r w:rsidR="002B1EAA">
        <w:rPr>
          <w:lang w:eastAsia="en-AU"/>
        </w:rPr>
        <w:t xml:space="preserve"> decision in VCAT. </w:t>
      </w:r>
      <w:r w:rsidR="0003007B">
        <w:rPr>
          <w:lang w:eastAsia="en-AU"/>
        </w:rPr>
        <w:t>Deputy President Dwyer accepted</w:t>
      </w:r>
      <w:r w:rsidR="002B1EAA">
        <w:rPr>
          <w:lang w:eastAsia="en-AU"/>
        </w:rPr>
        <w:t xml:space="preserve"> that PQR was a low risk of harming children directly, and indeed was caring towards them. However, </w:t>
      </w:r>
      <w:r w:rsidR="00DF40BC">
        <w:rPr>
          <w:lang w:eastAsia="en-AU"/>
        </w:rPr>
        <w:t xml:space="preserve">he </w:t>
      </w:r>
      <w:r w:rsidR="0003007B">
        <w:rPr>
          <w:lang w:eastAsia="en-AU"/>
        </w:rPr>
        <w:t>refused to grant a WWCC</w:t>
      </w:r>
      <w:r w:rsidR="002B1EAA">
        <w:rPr>
          <w:lang w:eastAsia="en-AU"/>
        </w:rPr>
        <w:t xml:space="preserve"> </w:t>
      </w:r>
      <w:r w:rsidR="0003007B">
        <w:rPr>
          <w:lang w:eastAsia="en-AU"/>
        </w:rPr>
        <w:t xml:space="preserve">on </w:t>
      </w:r>
      <w:r w:rsidR="002B1EAA">
        <w:rPr>
          <w:lang w:eastAsia="en-AU"/>
        </w:rPr>
        <w:t xml:space="preserve">the basis that there was a ‘potential future threat of harm to children’ of an indirect kind. </w:t>
      </w:r>
    </w:p>
    <w:p w14:paraId="6F6B3A45" w14:textId="5D54D0DB" w:rsidR="00044D3C" w:rsidRDefault="00FA55AB" w:rsidP="00044D3C">
      <w:r>
        <w:t>The Supreme Court</w:t>
      </w:r>
      <w:r w:rsidR="00044D3C">
        <w:t xml:space="preserve"> summarised the VCAT’s decision as follows (at [5]):</w:t>
      </w:r>
    </w:p>
    <w:p w14:paraId="7FA75F3A" w14:textId="3F3354DB" w:rsidR="00044D3C" w:rsidRPr="00C63D40" w:rsidRDefault="00044D3C" w:rsidP="00C63D40">
      <w:pPr>
        <w:ind w:left="720"/>
      </w:pPr>
      <w:r w:rsidRPr="00C63D40">
        <w:t xml:space="preserve">There was no evidence before the deputy president that there was any risk that the applicant would sell drugs to or otherwise directly harm children, including any with whom he would come into contact </w:t>
      </w:r>
      <w:r w:rsidR="00C63D40">
        <w:t>during child-related work. The s</w:t>
      </w:r>
      <w:r w:rsidRPr="00C63D40">
        <w:t>ecretary did not seek, and the deputy president did not make, such a finding. In determining the application for review, the deputy president did not focus upon or make express findings about how giving the assessment notice would pose an unjustifiable risk to the safe</w:t>
      </w:r>
      <w:r w:rsidR="00C63D40">
        <w:t>ty of children. Rather, he focu</w:t>
      </w:r>
      <w:r w:rsidRPr="00C63D40">
        <w:t>sed upon how, and made findings that, children generally might be at potential future risk of harm if the applicant were to relapse into drug-related activity</w:t>
      </w:r>
      <w:r w:rsidR="00C63D40">
        <w:t>. On this basis, he upheld the s</w:t>
      </w:r>
      <w:r w:rsidRPr="00C63D40">
        <w:t xml:space="preserve">ecretary’s decision to refuse to grant the assessment notice. </w:t>
      </w:r>
    </w:p>
    <w:p w14:paraId="52FD1F24" w14:textId="378CD692" w:rsidR="00A47908" w:rsidRDefault="002B1EAA" w:rsidP="00A47908">
      <w:pPr>
        <w:rPr>
          <w:lang w:eastAsia="en-AU"/>
        </w:rPr>
      </w:pPr>
      <w:r>
        <w:rPr>
          <w:lang w:eastAsia="en-AU"/>
        </w:rPr>
        <w:lastRenderedPageBreak/>
        <w:t>PQR contended that VCAT had committe</w:t>
      </w:r>
      <w:r w:rsidR="0003007B">
        <w:rPr>
          <w:lang w:eastAsia="en-AU"/>
        </w:rPr>
        <w:t xml:space="preserve">d an error of law by failing to consider the level of risk posed to the safety of children </w:t>
      </w:r>
      <w:r w:rsidR="00FA55AB">
        <w:rPr>
          <w:lang w:eastAsia="en-AU"/>
        </w:rPr>
        <w:t>by</w:t>
      </w:r>
      <w:r w:rsidR="0003007B">
        <w:rPr>
          <w:lang w:eastAsia="en-AU"/>
        </w:rPr>
        <w:t xml:space="preserve"> PQR’s engagement in child-related work, as opposed to the risk of reoffending in a general sense. </w:t>
      </w:r>
      <w:r w:rsidR="006C3430">
        <w:rPr>
          <w:lang w:eastAsia="en-AU"/>
        </w:rPr>
        <w:t xml:space="preserve">In particular, PQR </w:t>
      </w:r>
      <w:r w:rsidR="00DF40BC">
        <w:rPr>
          <w:lang w:eastAsia="en-AU"/>
        </w:rPr>
        <w:t>argued</w:t>
      </w:r>
      <w:r w:rsidR="006C3430">
        <w:rPr>
          <w:lang w:eastAsia="en-AU"/>
        </w:rPr>
        <w:t xml:space="preserve"> that VCAT had failed to consider how </w:t>
      </w:r>
      <w:r w:rsidR="006C3430" w:rsidRPr="00C63D40">
        <w:rPr>
          <w:b/>
          <w:lang w:eastAsia="en-AU"/>
        </w:rPr>
        <w:t>giving the WWCC</w:t>
      </w:r>
      <w:r w:rsidR="006C3430">
        <w:rPr>
          <w:i/>
          <w:lang w:eastAsia="en-AU"/>
        </w:rPr>
        <w:t xml:space="preserve"> </w:t>
      </w:r>
      <w:r w:rsidR="006C3430">
        <w:rPr>
          <w:lang w:eastAsia="en-AU"/>
        </w:rPr>
        <w:t>would affect the level of risk posed to the safety of children, as required by s</w:t>
      </w:r>
      <w:r w:rsidR="00EC6193">
        <w:rPr>
          <w:lang w:eastAsia="en-AU"/>
        </w:rPr>
        <w:t>.</w:t>
      </w:r>
      <w:r w:rsidR="006C3430">
        <w:rPr>
          <w:lang w:eastAsia="en-AU"/>
        </w:rPr>
        <w:t xml:space="preserve"> 26B(1) of the WWC Act. </w:t>
      </w:r>
    </w:p>
    <w:p w14:paraId="53A097A5" w14:textId="76CA839E" w:rsidR="00CE0407" w:rsidRPr="006C3430" w:rsidRDefault="00CE0407" w:rsidP="00A47908">
      <w:pPr>
        <w:rPr>
          <w:lang w:eastAsia="en-AU"/>
        </w:rPr>
      </w:pPr>
      <w:r>
        <w:rPr>
          <w:lang w:eastAsia="en-AU"/>
        </w:rPr>
        <w:t xml:space="preserve">The appeal was commenced </w:t>
      </w:r>
      <w:r w:rsidR="005F5DC0">
        <w:rPr>
          <w:lang w:eastAsia="en-AU"/>
        </w:rPr>
        <w:t xml:space="preserve">91 days outside the usual 28-day time limit to appeal. </w:t>
      </w:r>
      <w:r w:rsidR="00DF40BC">
        <w:rPr>
          <w:lang w:eastAsia="en-AU"/>
        </w:rPr>
        <w:t>The delay was in part caused b</w:t>
      </w:r>
      <w:r w:rsidR="00EC6193">
        <w:rPr>
          <w:lang w:eastAsia="en-AU"/>
        </w:rPr>
        <w:t>y</w:t>
      </w:r>
      <w:r w:rsidR="00DF40BC">
        <w:rPr>
          <w:lang w:eastAsia="en-AU"/>
        </w:rPr>
        <w:t xml:space="preserve"> a VCAT error that meant that the decision was not sent to PQR’s solicitor. The remainder of the delay was caused by </w:t>
      </w:r>
      <w:r w:rsidR="005F5DC0">
        <w:rPr>
          <w:lang w:eastAsia="en-AU"/>
        </w:rPr>
        <w:t>PQR seeking legal advice</w:t>
      </w:r>
      <w:r w:rsidR="00DF40BC">
        <w:rPr>
          <w:lang w:eastAsia="en-AU"/>
        </w:rPr>
        <w:t xml:space="preserve"> on the merits of an appeal</w:t>
      </w:r>
      <w:r w:rsidR="005F5DC0">
        <w:rPr>
          <w:lang w:eastAsia="en-AU"/>
        </w:rPr>
        <w:t xml:space="preserve"> and </w:t>
      </w:r>
      <w:r w:rsidR="00DF40BC">
        <w:rPr>
          <w:lang w:eastAsia="en-AU"/>
        </w:rPr>
        <w:t>a</w:t>
      </w:r>
      <w:r w:rsidR="005F5DC0">
        <w:rPr>
          <w:lang w:eastAsia="en-AU"/>
        </w:rPr>
        <w:t xml:space="preserve"> pre-commencement pseudonym order. </w:t>
      </w:r>
      <w:r>
        <w:rPr>
          <w:lang w:eastAsia="en-AU"/>
        </w:rPr>
        <w:t xml:space="preserve"> </w:t>
      </w:r>
    </w:p>
    <w:p w14:paraId="52E6808A" w14:textId="77777777" w:rsidR="00A47908" w:rsidRDefault="00A47908" w:rsidP="00A47908">
      <w:pPr>
        <w:pStyle w:val="Heading2"/>
      </w:pPr>
      <w:r>
        <w:t xml:space="preserve">Reasons for decision </w:t>
      </w:r>
    </w:p>
    <w:p w14:paraId="6FDE01AD" w14:textId="77777777" w:rsidR="008F2B99" w:rsidRPr="008F2B99" w:rsidRDefault="008F2B99" w:rsidP="00C63D40">
      <w:pPr>
        <w:pStyle w:val="Heading3"/>
      </w:pPr>
      <w:r>
        <w:t xml:space="preserve">The appeal </w:t>
      </w:r>
    </w:p>
    <w:p w14:paraId="32F337FE" w14:textId="493BEBB2" w:rsidR="00902260" w:rsidRDefault="00EC6193" w:rsidP="00A47908">
      <w:r>
        <w:t xml:space="preserve">Justice </w:t>
      </w:r>
      <w:r w:rsidR="00044D3C">
        <w:t xml:space="preserve">Bell established at the outset that the WWC Act </w:t>
      </w:r>
      <w:r w:rsidR="00DF40BC">
        <w:t xml:space="preserve">is not directed at protecting children from harm </w:t>
      </w:r>
      <w:r w:rsidR="00902260">
        <w:t>generally an</w:t>
      </w:r>
      <w:r>
        <w:t>d</w:t>
      </w:r>
      <w:r w:rsidR="00902260">
        <w:t xml:space="preserve"> in all situations. Instead, </w:t>
      </w:r>
      <w:r w:rsidR="00044D3C">
        <w:t xml:space="preserve">its aim is to protect </w:t>
      </w:r>
      <w:r w:rsidR="00902260">
        <w:t>children from the risk of harm caused by people who work with or care for them (at [23]). The primary function of the Secretary and VCAT, therefore, is one of risk assessment.</w:t>
      </w:r>
    </w:p>
    <w:p w14:paraId="37B7E5B6" w14:textId="144774F4" w:rsidR="00044D3C" w:rsidRPr="00044D3C" w:rsidRDefault="00044D3C" w:rsidP="00044D3C">
      <w:r>
        <w:t xml:space="preserve">Citing his previous judgment in </w:t>
      </w:r>
      <w:hyperlink r:id="rId8" w:history="1">
        <w:r w:rsidRPr="00EC6193">
          <w:rPr>
            <w:rStyle w:val="Hyperlink"/>
          </w:rPr>
          <w:t>ZZ v Secretary to the Department of Justice and Regulation [2013] VSC 267</w:t>
        </w:r>
      </w:hyperlink>
      <w:r>
        <w:rPr>
          <w:i/>
        </w:rPr>
        <w:t xml:space="preserve"> </w:t>
      </w:r>
      <w:r>
        <w:t>(</w:t>
      </w:r>
      <w:r w:rsidRPr="007C27C8">
        <w:rPr>
          <w:b/>
        </w:rPr>
        <w:t>ZZ</w:t>
      </w:r>
      <w:r>
        <w:t xml:space="preserve">)), </w:t>
      </w:r>
      <w:r w:rsidR="00EC6193">
        <w:t>his Honour</w:t>
      </w:r>
      <w:r>
        <w:t xml:space="preserve"> J emphasised the seriousness of denying a person access to employment. Given the potential impact on the applicant, h</w:t>
      </w:r>
      <w:r w:rsidR="00C63D40">
        <w:t>e reiterated that VCAT and the s</w:t>
      </w:r>
      <w:r>
        <w:t xml:space="preserve">ecretary must make rational, objective and evidence-based assessments of the nature and degree of the risk which </w:t>
      </w:r>
      <w:r w:rsidRPr="00C63D40">
        <w:rPr>
          <w:b/>
        </w:rPr>
        <w:t>giving the WWCC</w:t>
      </w:r>
      <w:r>
        <w:rPr>
          <w:i/>
        </w:rPr>
        <w:t xml:space="preserve"> </w:t>
      </w:r>
      <w:r>
        <w:t xml:space="preserve">would pose. </w:t>
      </w:r>
    </w:p>
    <w:p w14:paraId="24F45A2D" w14:textId="60BD7FBB" w:rsidR="00044D3C" w:rsidRDefault="00044D3C" w:rsidP="00DF171C">
      <w:r>
        <w:t xml:space="preserve">Importantly, </w:t>
      </w:r>
      <w:r w:rsidR="00EC6193">
        <w:t xml:space="preserve">Justice </w:t>
      </w:r>
      <w:r>
        <w:t>Bell agreed with PQR that the test of unjustifiable risk is one that must be assessed in the context of potential child-related work.</w:t>
      </w:r>
      <w:r w:rsidR="00C012F5">
        <w:t xml:space="preserve"> He held that under the WWC Act (at [46]):</w:t>
      </w:r>
    </w:p>
    <w:p w14:paraId="4D3428C5" w14:textId="44882BD1" w:rsidR="0076051B" w:rsidRDefault="0076051B" w:rsidP="00C012F5">
      <w:pPr>
        <w:ind w:left="720"/>
      </w:pPr>
      <w:r>
        <w:t>there is a connection between the necessary evaluative assessment about the seriousness of the harm identified and the probability of it occurring (ie the nature and degree of the risk), on the one hand, and the required causal</w:t>
      </w:r>
      <w:r w:rsidRPr="0076051B">
        <w:t xml:space="preserve"> </w:t>
      </w:r>
      <w:r>
        <w:t>connection between the relevant risk and the giving of the assessment notice on the other. Unless the focus is upon the risk (if any) that arises from the giving of the notice, it is not possible to properly determine whether it is unjustifiable by evaluating its nature and degree. There is a real danger of a determination being made by reference to some other risk, which is not what s</w:t>
      </w:r>
      <w:r w:rsidR="00C63D40">
        <w:t>.</w:t>
      </w:r>
      <w:r>
        <w:t xml:space="preserve"> 13(2) stipulates and the statutory function of VCAT requires. That, in the end, is the error of law that, on the analysis that follows, was committed in the present case.</w:t>
      </w:r>
    </w:p>
    <w:p w14:paraId="650CDEC9" w14:textId="0E9951F5" w:rsidR="00C012F5" w:rsidRDefault="00AA0D0E" w:rsidP="00A47908">
      <w:r>
        <w:t>His Honour</w:t>
      </w:r>
      <w:r w:rsidR="00C012F5">
        <w:t xml:space="preserve"> held that VCAT did not apply the ‘unjustifiable risk’ test in ss</w:t>
      </w:r>
      <w:r w:rsidR="00C63D40">
        <w:t>.</w:t>
      </w:r>
      <w:r w:rsidR="00C012F5">
        <w:t xml:space="preserve"> 13(2) and 26B by reference to a risk to the safety of children arising from the giving of an assessment notice. This was evident from both:</w:t>
      </w:r>
    </w:p>
    <w:p w14:paraId="39CBC154" w14:textId="6BEA79A4" w:rsidR="00DF171C" w:rsidRDefault="007C27C8" w:rsidP="00C012F5">
      <w:pPr>
        <w:pStyle w:val="ListParagraph"/>
        <w:numPr>
          <w:ilvl w:val="0"/>
          <w:numId w:val="36"/>
        </w:numPr>
      </w:pPr>
      <w:r>
        <w:t xml:space="preserve">The </w:t>
      </w:r>
      <w:r w:rsidR="00C012F5">
        <w:t xml:space="preserve">written reasons, which incorrectly stated the test in the terms that VCAT was </w:t>
      </w:r>
      <w:r w:rsidR="00AA0D0E">
        <w:t>‘</w:t>
      </w:r>
      <w:r w:rsidR="00C012F5">
        <w:t>not satisfied that [PQR] does not pose an unjustifiable risk to the safety of children</w:t>
      </w:r>
      <w:r w:rsidR="00AA0D0E">
        <w:t>’</w:t>
      </w:r>
      <w:r w:rsidR="00C63D40">
        <w:t>,</w:t>
      </w:r>
      <w:r w:rsidR="00C012F5">
        <w:t xml:space="preserve"> and </w:t>
      </w:r>
    </w:p>
    <w:p w14:paraId="58C4741A" w14:textId="19FCD005" w:rsidR="00C012F5" w:rsidRDefault="007C27C8" w:rsidP="00C012F5">
      <w:pPr>
        <w:pStyle w:val="ListParagraph"/>
        <w:numPr>
          <w:ilvl w:val="0"/>
          <w:numId w:val="36"/>
        </w:numPr>
      </w:pPr>
      <w:r>
        <w:t xml:space="preserve">The </w:t>
      </w:r>
      <w:r w:rsidR="00C012F5">
        <w:t xml:space="preserve">whole context of the decision, which </w:t>
      </w:r>
      <w:r w:rsidR="00476FA3">
        <w:t>failed to analyse</w:t>
      </w:r>
      <w:r w:rsidR="00C012F5">
        <w:t xml:space="preserve"> the risk that might be caused by giving PQR the ability to work with children. </w:t>
      </w:r>
    </w:p>
    <w:p w14:paraId="03A6F951" w14:textId="00E26A82" w:rsidR="00892FFC" w:rsidRDefault="00AA0D0E" w:rsidP="00A47908">
      <w:r>
        <w:t xml:space="preserve">Justice </w:t>
      </w:r>
      <w:r w:rsidR="00C012F5">
        <w:t xml:space="preserve">Bell further found that VCAT did not properly evaluate the nature and degree of even the </w:t>
      </w:r>
      <w:r w:rsidR="00C012F5" w:rsidRPr="00C63D40">
        <w:rPr>
          <w:b/>
        </w:rPr>
        <w:t>generalised</w:t>
      </w:r>
      <w:r w:rsidR="00C012F5">
        <w:t xml:space="preserve"> risk of relapse, noting that references to the ‘potential’ for future revers</w:t>
      </w:r>
      <w:r w:rsidR="00892FFC">
        <w:t>ion to drug-related activity. It was held that proper consideration under the WWC Act requires more than just the identification of potential future risk</w:t>
      </w:r>
      <w:r>
        <w:t xml:space="preserve"> – </w:t>
      </w:r>
      <w:r w:rsidR="00892FFC">
        <w:t>the risk must be ‘unjustifiable’ for an application to be refused.</w:t>
      </w:r>
    </w:p>
    <w:p w14:paraId="37B7532C" w14:textId="076FC937" w:rsidR="008F2B99" w:rsidRDefault="00476FA3" w:rsidP="00A47908">
      <w:pPr>
        <w:rPr>
          <w:lang w:eastAsia="en-AU"/>
        </w:rPr>
      </w:pPr>
      <w:r>
        <w:rPr>
          <w:lang w:eastAsia="en-AU"/>
        </w:rPr>
        <w:lastRenderedPageBreak/>
        <w:t xml:space="preserve">Though it was not a primary issue in the appeal, </w:t>
      </w:r>
      <w:r w:rsidR="00AA0D0E">
        <w:rPr>
          <w:lang w:eastAsia="en-AU"/>
        </w:rPr>
        <w:t>his Honour</w:t>
      </w:r>
      <w:r w:rsidR="008F2B99">
        <w:rPr>
          <w:lang w:eastAsia="en-AU"/>
        </w:rPr>
        <w:t xml:space="preserve"> also expressed ‘strong reserva</w:t>
      </w:r>
      <w:r>
        <w:rPr>
          <w:lang w:eastAsia="en-AU"/>
        </w:rPr>
        <w:t xml:space="preserve">tions’ with VCAT’s proposition that </w:t>
      </w:r>
      <w:r w:rsidR="008F2B99">
        <w:rPr>
          <w:lang w:eastAsia="en-AU"/>
        </w:rPr>
        <w:t>the reasonable person test in ss</w:t>
      </w:r>
      <w:r w:rsidR="00C63D40">
        <w:rPr>
          <w:lang w:eastAsia="en-AU"/>
        </w:rPr>
        <w:t>.</w:t>
      </w:r>
      <w:r w:rsidR="008F2B99">
        <w:rPr>
          <w:lang w:eastAsia="en-AU"/>
        </w:rPr>
        <w:t xml:space="preserve"> 13(3)(a) and 26B(2)(a) could</w:t>
      </w:r>
      <w:r>
        <w:rPr>
          <w:lang w:eastAsia="en-AU"/>
        </w:rPr>
        <w:t xml:space="preserve"> be equated with a </w:t>
      </w:r>
      <w:r w:rsidR="00AA0D0E">
        <w:rPr>
          <w:lang w:eastAsia="en-AU"/>
        </w:rPr>
        <w:t>‘</w:t>
      </w:r>
      <w:r>
        <w:rPr>
          <w:lang w:eastAsia="en-AU"/>
        </w:rPr>
        <w:t>pub test</w:t>
      </w:r>
      <w:r w:rsidR="00AA0D0E">
        <w:rPr>
          <w:lang w:eastAsia="en-AU"/>
        </w:rPr>
        <w:t>’</w:t>
      </w:r>
      <w:r w:rsidR="008F2B99">
        <w:rPr>
          <w:lang w:eastAsia="en-AU"/>
        </w:rPr>
        <w:t xml:space="preserve">. This was </w:t>
      </w:r>
      <w:r>
        <w:rPr>
          <w:lang w:eastAsia="en-AU"/>
        </w:rPr>
        <w:t xml:space="preserve">said </w:t>
      </w:r>
      <w:r w:rsidR="008F2B99">
        <w:rPr>
          <w:lang w:eastAsia="en-AU"/>
        </w:rPr>
        <w:t xml:space="preserve">to be a distraction from the true test, which </w:t>
      </w:r>
      <w:r w:rsidR="00BD03FE">
        <w:rPr>
          <w:lang w:eastAsia="en-AU"/>
        </w:rPr>
        <w:t>‘</w:t>
      </w:r>
      <w:r w:rsidR="008F2B99">
        <w:rPr>
          <w:lang w:eastAsia="en-AU"/>
        </w:rPr>
        <w:t xml:space="preserve">relies upon a “reasonable” person </w:t>
      </w:r>
      <w:r w:rsidR="00BD03FE">
        <w:rPr>
          <w:lang w:eastAsia="en-AU"/>
        </w:rPr>
        <w:t xml:space="preserve">having knowledge of </w:t>
      </w:r>
      <w:r w:rsidR="00892FFC">
        <w:rPr>
          <w:lang w:eastAsia="en-AU"/>
        </w:rPr>
        <w:t>all</w:t>
      </w:r>
      <w:r w:rsidR="008F2B99">
        <w:rPr>
          <w:lang w:eastAsia="en-AU"/>
        </w:rPr>
        <w:t xml:space="preserve"> the facts and surrounding circumstances</w:t>
      </w:r>
      <w:r w:rsidR="00BD03FE">
        <w:rPr>
          <w:lang w:eastAsia="en-AU"/>
        </w:rPr>
        <w:t>’</w:t>
      </w:r>
      <w:r w:rsidR="00C63D40">
        <w:rPr>
          <w:lang w:eastAsia="en-AU"/>
        </w:rPr>
        <w:t>.</w:t>
      </w:r>
    </w:p>
    <w:p w14:paraId="0EFE820C" w14:textId="16904107" w:rsidR="008F2B99" w:rsidRDefault="008F2B99" w:rsidP="00C63D40">
      <w:pPr>
        <w:pStyle w:val="Heading3"/>
      </w:pPr>
      <w:r>
        <w:t xml:space="preserve">Extension of time </w:t>
      </w:r>
      <w:r w:rsidR="00AA0D0E">
        <w:t>application</w:t>
      </w:r>
    </w:p>
    <w:p w14:paraId="54CFCFA3" w14:textId="50E5B769" w:rsidR="00532CB7" w:rsidRDefault="00AA0D0E" w:rsidP="008F2B99">
      <w:pPr>
        <w:rPr>
          <w:lang w:eastAsia="en-AU"/>
        </w:rPr>
      </w:pPr>
      <w:r>
        <w:rPr>
          <w:lang w:eastAsia="en-AU"/>
        </w:rPr>
        <w:t xml:space="preserve">His Honour </w:t>
      </w:r>
      <w:r w:rsidR="00532CB7">
        <w:rPr>
          <w:lang w:eastAsia="en-AU"/>
        </w:rPr>
        <w:t xml:space="preserve">held that the interests of justice required that time for the commencement of the appeal be extended. </w:t>
      </w:r>
      <w:r w:rsidR="00892FFC">
        <w:rPr>
          <w:lang w:eastAsia="en-AU"/>
        </w:rPr>
        <w:t>It was relevant that</w:t>
      </w:r>
      <w:r w:rsidR="00F305C8">
        <w:rPr>
          <w:lang w:eastAsia="en-AU"/>
        </w:rPr>
        <w:t>:</w:t>
      </w:r>
    </w:p>
    <w:p w14:paraId="435D92C8" w14:textId="285C6D33" w:rsidR="008F2B99" w:rsidRDefault="00C63D40" w:rsidP="00532CB7">
      <w:pPr>
        <w:pStyle w:val="ListParagraph"/>
        <w:numPr>
          <w:ilvl w:val="0"/>
          <w:numId w:val="38"/>
        </w:numPr>
        <w:rPr>
          <w:lang w:eastAsia="en-AU"/>
        </w:rPr>
      </w:pPr>
      <w:r>
        <w:rPr>
          <w:lang w:eastAsia="en-AU"/>
        </w:rPr>
        <w:t>a</w:t>
      </w:r>
      <w:r w:rsidR="008F2B99">
        <w:rPr>
          <w:lang w:eastAsia="en-AU"/>
        </w:rPr>
        <w:t>fter receiving the decision, the instructing solicitor took immediate steps to obtain instructions from PQR and brief counsel for advice</w:t>
      </w:r>
    </w:p>
    <w:p w14:paraId="77D4D214" w14:textId="4F09C0C7" w:rsidR="00532CB7" w:rsidRDefault="00C63D40" w:rsidP="00532CB7">
      <w:pPr>
        <w:pStyle w:val="ListParagraph"/>
        <w:numPr>
          <w:ilvl w:val="0"/>
          <w:numId w:val="38"/>
        </w:numPr>
        <w:rPr>
          <w:lang w:eastAsia="en-AU"/>
        </w:rPr>
      </w:pPr>
      <w:r>
        <w:rPr>
          <w:lang w:eastAsia="en-AU"/>
        </w:rPr>
        <w:t>t</w:t>
      </w:r>
      <w:r w:rsidR="00532CB7">
        <w:rPr>
          <w:lang w:eastAsia="en-AU"/>
        </w:rPr>
        <w:t>he 91-day delay was said to be ‘mo</w:t>
      </w:r>
      <w:r>
        <w:rPr>
          <w:lang w:eastAsia="en-AU"/>
        </w:rPr>
        <w:t>dest’ and reasonably explained</w:t>
      </w:r>
    </w:p>
    <w:p w14:paraId="3A8C37C9" w14:textId="5A9CC776" w:rsidR="00532CB7" w:rsidRDefault="00532CB7" w:rsidP="00532CB7">
      <w:pPr>
        <w:pStyle w:val="ListParagraph"/>
        <w:numPr>
          <w:ilvl w:val="0"/>
          <w:numId w:val="38"/>
        </w:numPr>
        <w:rPr>
          <w:lang w:eastAsia="en-AU"/>
        </w:rPr>
      </w:pPr>
      <w:r>
        <w:rPr>
          <w:lang w:eastAsia="en-AU"/>
        </w:rPr>
        <w:t>PQR had an arguable case of legal erro</w:t>
      </w:r>
      <w:r w:rsidR="00C63D40">
        <w:rPr>
          <w:lang w:eastAsia="en-AU"/>
        </w:rPr>
        <w:t>r</w:t>
      </w:r>
    </w:p>
    <w:p w14:paraId="3044F0DD" w14:textId="6CB6BFE9" w:rsidR="00532CB7" w:rsidRDefault="00C63D40" w:rsidP="00532CB7">
      <w:pPr>
        <w:pStyle w:val="ListParagraph"/>
        <w:numPr>
          <w:ilvl w:val="0"/>
          <w:numId w:val="38"/>
        </w:numPr>
        <w:rPr>
          <w:lang w:eastAsia="en-AU"/>
        </w:rPr>
      </w:pPr>
      <w:r>
        <w:rPr>
          <w:lang w:eastAsia="en-AU"/>
        </w:rPr>
        <w:t>t</w:t>
      </w:r>
      <w:r w:rsidR="00532CB7">
        <w:rPr>
          <w:lang w:eastAsia="en-AU"/>
        </w:rPr>
        <w:t>here were important personal and occupational interests at stake, and the issues w</w:t>
      </w:r>
      <w:r>
        <w:rPr>
          <w:lang w:eastAsia="en-AU"/>
        </w:rPr>
        <w:t>ere important and consequential,</w:t>
      </w:r>
      <w:r w:rsidR="00532CB7">
        <w:rPr>
          <w:lang w:eastAsia="en-AU"/>
        </w:rPr>
        <w:t xml:space="preserve"> and </w:t>
      </w:r>
    </w:p>
    <w:p w14:paraId="2624E4FC" w14:textId="2CF5D1A1" w:rsidR="00532CB7" w:rsidRDefault="00C63D40" w:rsidP="004D29BB">
      <w:pPr>
        <w:pStyle w:val="ListParagraph"/>
        <w:numPr>
          <w:ilvl w:val="0"/>
          <w:numId w:val="38"/>
        </w:numPr>
        <w:rPr>
          <w:lang w:eastAsia="en-AU"/>
        </w:rPr>
      </w:pPr>
      <w:r>
        <w:rPr>
          <w:lang w:eastAsia="en-AU"/>
        </w:rPr>
        <w:t>t</w:t>
      </w:r>
      <w:r w:rsidR="00532CB7">
        <w:rPr>
          <w:lang w:eastAsia="en-AU"/>
        </w:rPr>
        <w:t xml:space="preserve">he </w:t>
      </w:r>
      <w:r>
        <w:rPr>
          <w:lang w:eastAsia="en-AU"/>
        </w:rPr>
        <w:t>s</w:t>
      </w:r>
      <w:r w:rsidR="00532CB7">
        <w:rPr>
          <w:lang w:eastAsia="en-AU"/>
        </w:rPr>
        <w:t>ecretary would not be prejudiced beyond the need to participate in the rehearing.</w:t>
      </w:r>
      <w:r w:rsidR="008F2B99">
        <w:rPr>
          <w:lang w:eastAsia="en-AU"/>
        </w:rPr>
        <w:t xml:space="preserve"> </w:t>
      </w:r>
    </w:p>
    <w:p w14:paraId="4D169B22" w14:textId="37997C56" w:rsidR="00D508D9" w:rsidRDefault="00FA55AB" w:rsidP="00727F04">
      <w:pPr>
        <w:pStyle w:val="Heading2"/>
      </w:pPr>
      <w:r>
        <w:t>Commentary</w:t>
      </w:r>
    </w:p>
    <w:p w14:paraId="16BF6590" w14:textId="24B5512B" w:rsidR="00727F04" w:rsidRPr="00C63D40" w:rsidRDefault="00F4136A" w:rsidP="00C63D40">
      <w:pPr>
        <w:rPr>
          <w:lang w:eastAsia="en-AU"/>
        </w:rPr>
      </w:pPr>
      <w:r>
        <w:rPr>
          <w:lang w:eastAsia="en-AU"/>
        </w:rPr>
        <w:t xml:space="preserve">VCAT has previously demonstrated a reluctance to allow people with past drug offences to work with children. </w:t>
      </w:r>
      <w:r w:rsidR="004D29BB">
        <w:rPr>
          <w:lang w:eastAsia="en-AU"/>
        </w:rPr>
        <w:t>The decision</w:t>
      </w:r>
      <w:r w:rsidR="00D508D9">
        <w:rPr>
          <w:lang w:eastAsia="en-AU"/>
        </w:rPr>
        <w:t xml:space="preserve"> in PQR (</w:t>
      </w:r>
      <w:r w:rsidR="00D24932">
        <w:rPr>
          <w:lang w:eastAsia="en-AU"/>
        </w:rPr>
        <w:t>N</w:t>
      </w:r>
      <w:r w:rsidR="00D508D9">
        <w:rPr>
          <w:lang w:eastAsia="en-AU"/>
        </w:rPr>
        <w:t>o 2)</w:t>
      </w:r>
      <w:r w:rsidR="004D29BB">
        <w:rPr>
          <w:lang w:eastAsia="en-AU"/>
        </w:rPr>
        <w:t xml:space="preserve"> will</w:t>
      </w:r>
      <w:r w:rsidR="00D508D9">
        <w:rPr>
          <w:lang w:eastAsia="en-AU"/>
        </w:rPr>
        <w:t xml:space="preserve"> have a particular impact in cases in which people have prior offences that are serious, but do not create a direct risk to children. </w:t>
      </w:r>
      <w:r w:rsidR="00C63D40">
        <w:rPr>
          <w:lang w:eastAsia="en-AU"/>
        </w:rPr>
        <w:t>Because of PQR, VCAT and the s</w:t>
      </w:r>
      <w:r w:rsidR="00C3083B">
        <w:rPr>
          <w:lang w:eastAsia="en-AU"/>
        </w:rPr>
        <w:t xml:space="preserve">ecretary will now need to assess whether there is any evidence of a direct risk to children if the applicant is allowed to </w:t>
      </w:r>
      <w:r w:rsidR="00C3083B" w:rsidRPr="00BA57B1">
        <w:rPr>
          <w:lang w:eastAsia="en-AU"/>
        </w:rPr>
        <w:t>obtain a WWCC.</w:t>
      </w:r>
      <w:r w:rsidR="00C3083B" w:rsidRPr="00BA57B1" w:rsidDel="0047006A">
        <w:rPr>
          <w:lang w:eastAsia="en-AU"/>
        </w:rPr>
        <w:t xml:space="preserve"> </w:t>
      </w:r>
      <w:r w:rsidRPr="00BA57B1">
        <w:rPr>
          <w:lang w:eastAsia="en-AU"/>
        </w:rPr>
        <w:t xml:space="preserve">That is, the question </w:t>
      </w:r>
      <w:r>
        <w:rPr>
          <w:lang w:eastAsia="en-AU"/>
        </w:rPr>
        <w:t>will be whether the granting of the WWCC will cause a risk to children.</w:t>
      </w:r>
    </w:p>
    <w:p w14:paraId="2EC2726C" w14:textId="713EBBC3" w:rsidR="00FA55AB" w:rsidRDefault="00FA55AB" w:rsidP="00C63D40">
      <w:pPr>
        <w:tabs>
          <w:tab w:val="left" w:pos="10065"/>
        </w:tabs>
        <w:spacing w:before="480"/>
        <w:rPr>
          <w:i/>
          <w:lang w:eastAsia="en-AU"/>
        </w:rPr>
      </w:pPr>
      <w:r>
        <w:rPr>
          <w:rFonts w:cs="Arial"/>
          <w:szCs w:val="22"/>
        </w:rPr>
        <w:t>This d</w:t>
      </w:r>
      <w:r w:rsidR="00C63D40">
        <w:rPr>
          <w:rFonts w:cs="Arial"/>
          <w:szCs w:val="22"/>
        </w:rPr>
        <w:t xml:space="preserve">ecision is available online at the </w:t>
      </w:r>
      <w:hyperlink r:id="rId9" w:history="1">
        <w:r w:rsidR="00C63D40" w:rsidRPr="00C63D40">
          <w:rPr>
            <w:rStyle w:val="Hyperlink"/>
            <w:rFonts w:cs="Arial"/>
            <w:szCs w:val="22"/>
          </w:rPr>
          <w:t>Austlii website</w:t>
        </w:r>
      </w:hyperlink>
      <w:r w:rsidR="00C63D40">
        <w:rPr>
          <w:rFonts w:cs="Arial"/>
          <w:szCs w:val="22"/>
        </w:rPr>
        <w:t xml:space="preserve"> (</w:t>
      </w:r>
      <w:r w:rsidRPr="00C63D40">
        <w:rPr>
          <w:lang w:eastAsia="en-AU"/>
        </w:rPr>
        <w:t>http://www.austlii.edu.au/cgi-bin/viewdoc/au/cases/vic/VSC/2017/514.html</w:t>
      </w:r>
      <w:r w:rsidR="00C63D40">
        <w:rPr>
          <w:lang w:eastAsia="en-AU"/>
        </w:rPr>
        <w:t>).</w:t>
      </w:r>
    </w:p>
    <w:p w14:paraId="74AC7791" w14:textId="77777777" w:rsidR="00FA55AB" w:rsidRDefault="00FA55AB" w:rsidP="00FA55AB">
      <w:pPr>
        <w:rPr>
          <w:rFonts w:cs="Arial"/>
          <w:szCs w:val="22"/>
        </w:rPr>
      </w:pPr>
      <w:r w:rsidRPr="00C63D40">
        <w:rPr>
          <w:rFonts w:cs="Arial"/>
          <w:b/>
          <w:szCs w:val="22"/>
        </w:rPr>
        <w:t>Note:</w:t>
      </w:r>
      <w:r>
        <w:rPr>
          <w:rFonts w:cs="Arial"/>
          <w:szCs w:val="22"/>
        </w:rPr>
        <w:t xml:space="preserve"> Victoria Legal Aid acted on behalf of the applicant at the hearing, with the assistance of Ms Kristen Walker QC and Ms Jessie Taylor.</w:t>
      </w:r>
    </w:p>
    <w:p w14:paraId="1773E9D1" w14:textId="77777777" w:rsidR="00FA55AB" w:rsidRPr="00532CB7" w:rsidRDefault="00FA55AB" w:rsidP="00FA55AB">
      <w:pPr>
        <w:rPr>
          <w:b/>
          <w:lang w:eastAsia="en-AU"/>
        </w:rPr>
      </w:pPr>
      <w:r>
        <w:rPr>
          <w:rFonts w:cs="Arial"/>
          <w:i/>
          <w:szCs w:val="21"/>
          <w:lang w:eastAsia="en-AU"/>
        </w:rPr>
        <w:t>Case note prepared by Gemma Cafarella, Civil Advocate, Victoria Legal Aid.</w:t>
      </w:r>
    </w:p>
    <w:p w14:paraId="54DDBF61" w14:textId="77777777" w:rsidR="00532CB7" w:rsidRPr="00532CB7" w:rsidRDefault="00532CB7" w:rsidP="00A47908">
      <w:pPr>
        <w:rPr>
          <w:b/>
          <w:lang w:eastAsia="en-AU"/>
        </w:rPr>
      </w:pPr>
    </w:p>
    <w:sectPr w:rsidR="00532CB7" w:rsidRPr="00532CB7" w:rsidSect="00F77E0F">
      <w:headerReference w:type="even" r:id="rId10"/>
      <w:headerReference w:type="default" r:id="rId11"/>
      <w:footerReference w:type="even" r:id="rId12"/>
      <w:footerReference w:type="default" r:id="rId13"/>
      <w:headerReference w:type="first" r:id="rId14"/>
      <w:footerReference w:type="first" r:id="rId15"/>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74D68" w14:textId="77777777" w:rsidR="003F76D8" w:rsidRDefault="003F76D8"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1A661968" w14:textId="77777777" w:rsidR="003F76D8" w:rsidRDefault="003F76D8"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20B0604020202020204"/>
    <w:charset w:val="80"/>
    <w:family w:val="roman"/>
    <w:notTrueType/>
    <w:pitch w:val="fixed"/>
    <w:sig w:usb0="00000001" w:usb1="08070000" w:usb2="00000010" w:usb3="00000000" w:csb0="00020000" w:csb1="00000000"/>
  </w:font>
  <w:font w:name="Arial Bold">
    <w:altName w:val="Arial"/>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1D72" w14:textId="77777777" w:rsidR="00892318" w:rsidRDefault="00892318"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0F4468" w14:textId="77777777" w:rsidR="00892318" w:rsidRDefault="00892318" w:rsidP="008074B3">
    <w:pPr>
      <w:pStyle w:val="Footer"/>
      <w:ind w:right="360" w:firstLine="360"/>
    </w:pPr>
  </w:p>
  <w:p w14:paraId="40C000C7" w14:textId="77777777" w:rsidR="00892318" w:rsidRDefault="008923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908E" w14:textId="40E46EBE" w:rsidR="00892318" w:rsidRDefault="00892318"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C63D40">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38355811" wp14:editId="718064FB">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42F32F"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vULgIAAAoEAAAOAAAAZHJzL2Uyb0RvYy54bWysU8Fu2zAMvQ/YPwi6O3Zix0mNOkXjOLtk&#10;XYB2H6BIcmxMlgRJiRMM+/dRctN1223YRaBE8vGRj7p/uPQCnbmxnZIlnk4SjLikinXyWOKvL9to&#10;iZF1RDIilOQlvnKLH1YfP9wPuuAz1SrBuEEAIm0x6BK3zukiji1teU/sRGkuwdko0xMHV3OMmSED&#10;oPciniVJHg/KMG0U5dbC62Z04lXAbxpO3ZemsdwhUWLg5sJpwnnwZ7y6J8XREN129JUG+QcWPekk&#10;FH2D2hBH0Ml0f0H1HTXKqsZNqOpj1TQd5aEH6Gaa/NHNc0s0D73AcKx+G5P9f7D06bw3qGMlnmEk&#10;SQ8S7TrJUYoR45bCpJCf0aBtAaGV3BvfJb3IZ71T9JtFUlUtkUceuL5cNQBMfUb8W4q/WA2VDsNn&#10;xSCGnJwKA7s0pveQMAp0Cbpc33ThF4coPC5A6Vk+x4jefDEpbonaWPeJqx55o8QC2Adgct5Z54mQ&#10;4hbi60i17YQIsguJhhLn6RwWgxJYPiNZSLVKdMyH+QRrjodKGHQmsEJ1uszSsT/wvA8z6iRZgG05&#10;YfWr7UgnRhtoCOnxeNjKkRvcLg7M8A7Nho35fpfc1ct6mUXZLK+jLGEsetxWWZRvp4v5Jt1U1Wb6&#10;Y9xcP6Ex6XE7TxZZuowWi3kaZSlPovVyW0WP1TTPF/W6WtdjEhC5FQ0aeVlGgQ+KXffmph0sXBje&#10;6+fwG/3+HhT+9YVXPwEAAP//AwBQSwMEFAAGAAgAAAAhALFre+XgAAAADQEAAA8AAABkcnMvZG93&#10;bnJldi54bWxMj8FKw0AQhu+C77CM4M1uEiXUmE2RYg+CKK0i5jbNjptgdjZkt2306d0eih7nn49/&#10;vikXk+3FnkbfOVaQzhIQxI3THRsFb6+rqzkIH5A19o5JwTd5WFTnZyUW2h14TftNMCKWsC9QQRvC&#10;UEjpm5Ys+pkbiOPu040WQxxHI/WIh1hue5klSS4tdhwvtDjQsqXma7OzCj7eDa3x0eWrujYP9c/z&#10;08uwbJS6vJju70AEmsIfDEf9qA5VdNq6HWsvegXZ/CaSMc/T9BbEkUjz7BrE9pTJqpT/v6h+AQAA&#10;//8DAFBLAQItABQABgAIAAAAIQC2gziS/gAAAOEBAAATAAAAAAAAAAAAAAAAAAAAAABbQ29udGVu&#10;dF9UeXBlc10ueG1sUEsBAi0AFAAGAAgAAAAhADj9If/WAAAAlAEAAAsAAAAAAAAAAAAAAAAALwEA&#10;AF9yZWxzLy5yZWxzUEsBAi0AFAAGAAgAAAAhAClYi9QuAgAACgQAAA4AAAAAAAAAAAAAAAAALgIA&#10;AGRycy9lMm9Eb2MueG1sUEsBAi0AFAAGAAgAAAAhALFre+XgAAAADQEAAA8AAAAAAAAAAAAAAAAA&#10;iAQAAGRycy9kb3ducmV2LnhtbFBLBQYAAAAABAAEAPMAAACVBQAAAAA=&#10;" strokecolor="#e38431"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F126" w14:textId="0C4AE49E" w:rsidR="00892318" w:rsidRPr="008636E1" w:rsidRDefault="00892318"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C63D40">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372A3468" wp14:editId="6929532B">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712C7B"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igLgIAAAsEAAAOAAAAZHJzL2Uyb0RvYy54bWysU02P2jAQvVfqf7B8DwkkBDbasFpC6IVu&#10;kXb7A4ztkKiObdmGgKr+946dZbttb1Uvlj9m3rx5b3z/cOkFOnNjOyVLPJ0kGHFJFevkscRfX7bR&#10;EiPriGREKMlLfOUWP6w+frgfdMFnqlWCcYMARNpi0CVundNFHFva8p7YidJcwmOjTE8cHM0xZoYM&#10;gN6LeJYkeTwow7RRlFsLt5vxEa8CftNw6r40jeUOiRIDNxdWE9aDX+PVPSmOhui2o680yD+w6Ekn&#10;oegb1IY4gk6m+wuq76hRVjVuQlUfq6bpKA89QDfT5I9unluieegFxLH6TSb7/2Dp03lvUMfAO5BH&#10;kh482nWSoxQjxi0FqZAXadC2gNhK7o1vk17ks94p+s0iqaqWyCMPZF+uGgCmPiP+LcUfrIZSh+Gz&#10;YhBDTk4FxS6N6T0kaIEuwZjrmzH84hCFywVYPcvnGNHbW0yKW6I21n3iqkd+U2IB7AMwOe+s80RI&#10;cQvxdaTadkIE34VEQ4nzdA6tUwLTZyQLqVaJjvkwn2DN8VAJg84EZqhOl1k69gcv78OMOkkWYFtO&#10;WP26d6QT4x5oCOnxeBjLkRucLg624R6aDSPz/S65q5f1MouyWV5HWcJY9LitsijfThfzTbqpqs30&#10;xzi6XqEx6XE7TxZZuowWi3kaZSlPovVyW0WP1TTPF/W6WtdjEhC5FQ0eeVtGgw+KXffm5h1MXBDv&#10;9Xf4kX5/Dg7/+sOrnwAAAP//AwBQSwMEFAAGAAgAAAAhALFre+XgAAAADQEAAA8AAABkcnMvZG93&#10;bnJldi54bWxMj8FKw0AQhu+C77CM4M1uEiXUmE2RYg+CKK0i5jbNjptgdjZkt2306d0eih7nn49/&#10;vikXk+3FnkbfOVaQzhIQxI3THRsFb6+rqzkIH5A19o5JwTd5WFTnZyUW2h14TftNMCKWsC9QQRvC&#10;UEjpm5Ys+pkbiOPu040WQxxHI/WIh1hue5klSS4tdhwvtDjQsqXma7OzCj7eDa3x0eWrujYP9c/z&#10;08uwbJS6vJju70AEmsIfDEf9qA5VdNq6HWsvegXZ/CaSMc/T9BbEkUjz7BrE9pTJqpT/v6h+AQAA&#10;//8DAFBLAQItABQABgAIAAAAIQC2gziS/gAAAOEBAAATAAAAAAAAAAAAAAAAAAAAAABbQ29udGVu&#10;dF9UeXBlc10ueG1sUEsBAi0AFAAGAAgAAAAhADj9If/WAAAAlAEAAAsAAAAAAAAAAAAAAAAALwEA&#10;AF9yZWxzLy5yZWxzUEsBAi0AFAAGAAgAAAAhAJ6uyKAuAgAACwQAAA4AAAAAAAAAAAAAAAAALgIA&#10;AGRycy9lMm9Eb2MueG1sUEsBAi0AFAAGAAgAAAAhALFre+XgAAAADQEAAA8AAAAAAAAAAAAAAAAA&#10;iAQAAGRycy9kb3ducmV2LnhtbFBLBQYAAAAABAAEAPMAAACVBQAAAAA=&#10;" strokecolor="#e38431"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A8491" w14:textId="77777777" w:rsidR="003F76D8" w:rsidRDefault="003F76D8"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070925D7" w14:textId="77777777" w:rsidR="003F76D8" w:rsidRDefault="003F76D8"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DD73" w14:textId="77777777" w:rsidR="00892318" w:rsidRDefault="00892318"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D555D9" w14:textId="77777777" w:rsidR="00892318" w:rsidRDefault="00892318" w:rsidP="00091AFC">
    <w:pPr>
      <w:pStyle w:val="Header"/>
      <w:ind w:right="360"/>
    </w:pPr>
  </w:p>
  <w:p w14:paraId="5B4B5433" w14:textId="77777777" w:rsidR="00892318" w:rsidRDefault="008923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DCF6" w14:textId="77777777" w:rsidR="00892318" w:rsidRPr="0075348F" w:rsidRDefault="00892318" w:rsidP="00D82005">
    <w:pPr>
      <w:tabs>
        <w:tab w:val="left" w:pos="6893"/>
      </w:tabs>
      <w:spacing w:after="80" w:line="240" w:lineRule="auto"/>
      <w:ind w:left="-330"/>
      <w:rPr>
        <w:rFonts w:cs="Arial"/>
        <w:color w:val="E38431"/>
        <w:sz w:val="18"/>
        <w:szCs w:val="18"/>
      </w:rPr>
    </w:pPr>
    <w:r w:rsidRPr="0075348F">
      <w:rPr>
        <w:rFonts w:cs="Arial"/>
        <w:color w:val="E38431"/>
        <w:sz w:val="18"/>
        <w:szCs w:val="18"/>
      </w:rPr>
      <w:t>Victoria Legal Aid</w:t>
    </w:r>
    <w:r w:rsidRPr="0075348F">
      <w:rPr>
        <w:rFonts w:cs="Arial"/>
        <w:color w:val="E38431"/>
        <w:sz w:val="18"/>
        <w:szCs w:val="18"/>
      </w:rPr>
      <w:tab/>
    </w:r>
  </w:p>
  <w:p w14:paraId="7AD5B197" w14:textId="77777777" w:rsidR="00892318" w:rsidRPr="00EF7C5C" w:rsidRDefault="00892318" w:rsidP="00EF7C5C">
    <w:pPr>
      <w:spacing w:line="240" w:lineRule="auto"/>
      <w:ind w:left="-330"/>
      <w:rPr>
        <w:rFonts w:ascii="Arial Bold" w:hAnsi="Arial Bold" w:cs="Arial"/>
        <w:color w:val="B1005D"/>
      </w:rPr>
    </w:pPr>
    <w:r>
      <w:rPr>
        <w:rFonts w:ascii="Arial Bold" w:hAnsi="Arial Bold" w:cs="Arial"/>
        <w:b/>
        <w:noProof/>
        <w:color w:val="B1005D"/>
        <w:sz w:val="18"/>
        <w:szCs w:val="18"/>
        <w:lang w:eastAsia="en-AU"/>
      </w:rPr>
      <mc:AlternateContent>
        <mc:Choice Requires="wps">
          <w:drawing>
            <wp:anchor distT="0" distB="0" distL="114300" distR="114300" simplePos="0" relativeHeight="251657216" behindDoc="1" locked="1" layoutInCell="1" allowOverlap="1" wp14:anchorId="72524FC4" wp14:editId="5ACAFC13">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E38431"/>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0AD46" id="Straight Connector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9TAwIAAMsDAAAOAAAAZHJzL2Uyb0RvYy54bWysU9uOGyEMfa/Uf0C8JzO5bnaUyaqaJH3Z&#10;diNl+wEEmAwqgxGQTKKq/15DLrtt36q+IIPtY59jM386tZocpfMKTEkH/ZwSaTgIZfYl/fa67s0o&#10;8YEZwTQYWdKz9PRp8fHDvLOFHEIDWkhHEMT4orMlbUKwRZZ53siW+T5YadBZg2tZwKvbZ8KxDtFb&#10;nQ3zfJp14IR1wKX3+Lq8OOki4de15OGlrr0MRJcUewvpdOncxTNbzFmxd8w2il/bYP/QRcuUwaJ3&#10;qCULjByc+guqVdyBhzr0ObQZ1LXiMnFANoP8DzbbhlmZuKA43t5l8v8Pln89bhxRoqQjSgxrcUTb&#10;4JjaN4FUYAwKCI6gT0jPUTcSFeusLzCxMhsXOfOT2dpn4N89MVA1zOxl6vz1bBFuEDOy31LixVus&#10;u+u+gMAYdgiQ5DvVro2QKAw5pSmd71OSp0A4Pj7g3IfTCSX85stYcUu0zofPEloSjZJqZaKArGDH&#10;Zx9iI6y4hcRnA2uldVoCbUhX0ulokqcED1qJ6Ixh3u13lXbkyHCNVqPZeHRhhZ73YQ4ORiSwRjKx&#10;utqBKX2xsbg2EQ+pYDtX67InPx7zx9VsNRv3xsPpqjfOheh9Wlfj3nQ9eJgsR8uqWg5+Ji3f8pOs&#10;UcnLTHYgzht3kxs3JvG9bndcyff3NJS3P7j4BQAA//8DAFBLAwQUAAYACAAAACEAvWkCDN0AAAAL&#10;AQAADwAAAGRycy9kb3ducmV2LnhtbEyPy07DMBBF90j8gzVIbFDrNIRQhTgVj7JgSajULqexiSP8&#10;Uuy24e+ZSkiwnDtH91GvJmvYUY1x8E7AYp4BU67zcnC9gM3H62wJLCZ0Eo13SsC3irBqLi9qrKQ/&#10;uXd1bFPPyMTFCgXolELFeey0shjnPihHv08/Wkx0jj2XI57I3BqeZ1nJLQ6OEjQG9axV99UerICt&#10;KdbhZVOGot3pm/X0dLdD+ybE9dX0+AAsqSn9wXCuT9WhoU57f3AyMiMgXxZEkp7d04QzsCjzW2D7&#10;X4k3Nf+/ofkBAAD//wMAUEsBAi0AFAAGAAgAAAAhALaDOJL+AAAA4QEAABMAAAAAAAAAAAAAAAAA&#10;AAAAAFtDb250ZW50X1R5cGVzXS54bWxQSwECLQAUAAYACAAAACEAOP0h/9YAAACUAQAACwAAAAAA&#10;AAAAAAAAAAAvAQAAX3JlbHMvLnJlbHNQSwECLQAUAAYACAAAACEAD5VfUwMCAADLAwAADgAAAAAA&#10;AAAAAAAAAAAuAgAAZHJzL2Uyb0RvYy54bWxQSwECLQAUAAYACAAAACEAvWkCDN0AAAALAQAADwAA&#10;AAAAAAAAAAAAAABdBAAAZHJzL2Rvd25yZXYueG1sUEsFBgAAAAAEAAQA8wAAAGcFAAAAAA==&#10;" strokecolor="#e38431" strokeweight=".5pt">
              <w10:wrap anchorx="page" anchory="page"/>
              <w10:anchorlock/>
            </v:line>
          </w:pict>
        </mc:Fallback>
      </mc:AlternateContent>
    </w:r>
    <w:r>
      <w:rPr>
        <w:rFonts w:ascii="Arial Bold" w:hAnsi="Arial Bold" w:cs="Arial"/>
        <w:b/>
        <w:color w:val="E38431"/>
        <w:sz w:val="18"/>
        <w:szCs w:val="18"/>
      </w:rPr>
      <w:t xml:space="preserve">Case note: PQR v Secretary, Department of Justice and Regulation (No 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29EC" w14:textId="77777777" w:rsidR="00892318" w:rsidRPr="00833658" w:rsidRDefault="00892318"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4384" behindDoc="1" locked="0" layoutInCell="1" allowOverlap="1" wp14:anchorId="65AEE518" wp14:editId="0197C9ED">
          <wp:simplePos x="0" y="0"/>
          <wp:positionH relativeFrom="column">
            <wp:posOffset>-385445</wp:posOffset>
          </wp:positionH>
          <wp:positionV relativeFrom="paragraph">
            <wp:posOffset>-1905</wp:posOffset>
          </wp:positionV>
          <wp:extent cx="7200000" cy="1258537"/>
          <wp:effectExtent l="0" t="0" r="0"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vil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CB82BB5" w14:textId="77777777" w:rsidR="00892318" w:rsidRPr="00D82005" w:rsidRDefault="00892318" w:rsidP="00D82005">
    <w:pPr>
      <w:pStyle w:val="VLAPublicationdate"/>
      <w:spacing w:before="240" w:after="1200"/>
    </w:pPr>
    <w:r>
      <w:t>28 September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F2BB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02B74DF8"/>
    <w:multiLevelType w:val="hybridMultilevel"/>
    <w:tmpl w:val="CE1ED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D34B8A"/>
    <w:multiLevelType w:val="hybridMultilevel"/>
    <w:tmpl w:val="4F0261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1E22352"/>
    <w:multiLevelType w:val="hybridMultilevel"/>
    <w:tmpl w:val="688EA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15"/>
  </w:num>
  <w:num w:numId="4">
    <w:abstractNumId w:val="14"/>
  </w:num>
  <w:num w:numId="5">
    <w:abstractNumId w:val="15"/>
  </w:num>
  <w:num w:numId="6">
    <w:abstractNumId w:val="15"/>
  </w:num>
  <w:num w:numId="7">
    <w:abstractNumId w:val="16"/>
  </w:num>
  <w:num w:numId="8">
    <w:abstractNumId w:val="15"/>
  </w:num>
  <w:num w:numId="9">
    <w:abstractNumId w:val="13"/>
  </w:num>
  <w:num w:numId="10">
    <w:abstractNumId w:val="11"/>
  </w:num>
  <w:num w:numId="11">
    <w:abstractNumId w:val="13"/>
  </w:num>
  <w:num w:numId="12">
    <w:abstractNumId w:val="9"/>
  </w:num>
  <w:num w:numId="13">
    <w:abstractNumId w:val="9"/>
  </w:num>
  <w:num w:numId="14">
    <w:abstractNumId w:val="9"/>
  </w:num>
  <w:num w:numId="15">
    <w:abstractNumId w:val="9"/>
  </w:num>
  <w:num w:numId="16">
    <w:abstractNumId w:val="11"/>
  </w:num>
  <w:num w:numId="17">
    <w:abstractNumId w:val="15"/>
  </w:num>
  <w:num w:numId="18">
    <w:abstractNumId w:val="15"/>
  </w:num>
  <w:num w:numId="19">
    <w:abstractNumId w:val="14"/>
  </w:num>
  <w:num w:numId="20">
    <w:abstractNumId w:val="14"/>
  </w:num>
  <w:num w:numId="21">
    <w:abstractNumId w:val="14"/>
  </w:num>
  <w:num w:numId="22">
    <w:abstractNumId w:val="13"/>
  </w:num>
  <w:num w:numId="23">
    <w:abstractNumId w:val="11"/>
  </w:num>
  <w:num w:numId="24">
    <w:abstractNumId w:val="15"/>
  </w:num>
  <w:num w:numId="25">
    <w:abstractNumId w:val="15"/>
  </w:num>
  <w:num w:numId="26">
    <w:abstractNumId w:val="14"/>
  </w:num>
  <w:num w:numId="27">
    <w:abstractNumId w:val="14"/>
  </w:num>
  <w:num w:numId="28">
    <w:abstractNumId w:val="14"/>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8"/>
  </w:num>
  <w:num w:numId="37">
    <w:abstractNumId w:val="10"/>
  </w:num>
  <w:num w:numId="3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476FA3"/>
    <w:rsid w:val="000078CE"/>
    <w:rsid w:val="0003007B"/>
    <w:rsid w:val="000360EC"/>
    <w:rsid w:val="00040F0B"/>
    <w:rsid w:val="00044D3C"/>
    <w:rsid w:val="00057FDC"/>
    <w:rsid w:val="000759A6"/>
    <w:rsid w:val="00091432"/>
    <w:rsid w:val="00091AFC"/>
    <w:rsid w:val="00094FE1"/>
    <w:rsid w:val="000A1C94"/>
    <w:rsid w:val="000B77BB"/>
    <w:rsid w:val="000C6955"/>
    <w:rsid w:val="000E1BEB"/>
    <w:rsid w:val="00151B7E"/>
    <w:rsid w:val="0015359B"/>
    <w:rsid w:val="00160C7E"/>
    <w:rsid w:val="00181303"/>
    <w:rsid w:val="001A2999"/>
    <w:rsid w:val="001A69F6"/>
    <w:rsid w:val="001B36A3"/>
    <w:rsid w:val="001E716B"/>
    <w:rsid w:val="0021722B"/>
    <w:rsid w:val="002B1EAA"/>
    <w:rsid w:val="002B73A4"/>
    <w:rsid w:val="002D3CF4"/>
    <w:rsid w:val="002F7860"/>
    <w:rsid w:val="00306C10"/>
    <w:rsid w:val="00310DD1"/>
    <w:rsid w:val="00315C03"/>
    <w:rsid w:val="003224F8"/>
    <w:rsid w:val="003315F4"/>
    <w:rsid w:val="00360994"/>
    <w:rsid w:val="0036437A"/>
    <w:rsid w:val="003655D7"/>
    <w:rsid w:val="0037081E"/>
    <w:rsid w:val="003D7428"/>
    <w:rsid w:val="003F76D8"/>
    <w:rsid w:val="00402557"/>
    <w:rsid w:val="004158B6"/>
    <w:rsid w:val="00427C16"/>
    <w:rsid w:val="00431241"/>
    <w:rsid w:val="004421BD"/>
    <w:rsid w:val="00443649"/>
    <w:rsid w:val="0047006A"/>
    <w:rsid w:val="004707EF"/>
    <w:rsid w:val="00476FA3"/>
    <w:rsid w:val="004C75B1"/>
    <w:rsid w:val="004D29BB"/>
    <w:rsid w:val="004D7100"/>
    <w:rsid w:val="00504F13"/>
    <w:rsid w:val="005317C2"/>
    <w:rsid w:val="00532CB7"/>
    <w:rsid w:val="00546C0D"/>
    <w:rsid w:val="005B1640"/>
    <w:rsid w:val="005B3D02"/>
    <w:rsid w:val="005C1DFD"/>
    <w:rsid w:val="005D19C7"/>
    <w:rsid w:val="005D4A19"/>
    <w:rsid w:val="005D5C9C"/>
    <w:rsid w:val="005F5DC0"/>
    <w:rsid w:val="006216AD"/>
    <w:rsid w:val="0066019E"/>
    <w:rsid w:val="006705A4"/>
    <w:rsid w:val="00675F66"/>
    <w:rsid w:val="006764E3"/>
    <w:rsid w:val="00680746"/>
    <w:rsid w:val="006A00A7"/>
    <w:rsid w:val="006A6FC6"/>
    <w:rsid w:val="006A7FD5"/>
    <w:rsid w:val="006B35B8"/>
    <w:rsid w:val="006B3F5E"/>
    <w:rsid w:val="006B612D"/>
    <w:rsid w:val="006B6E7E"/>
    <w:rsid w:val="006C3430"/>
    <w:rsid w:val="006F15B0"/>
    <w:rsid w:val="006F181A"/>
    <w:rsid w:val="006F2D6F"/>
    <w:rsid w:val="00714549"/>
    <w:rsid w:val="00724661"/>
    <w:rsid w:val="00727F04"/>
    <w:rsid w:val="0075348F"/>
    <w:rsid w:val="0076051B"/>
    <w:rsid w:val="00781FFA"/>
    <w:rsid w:val="0078739B"/>
    <w:rsid w:val="007B0612"/>
    <w:rsid w:val="007C27C8"/>
    <w:rsid w:val="007D5BA7"/>
    <w:rsid w:val="008074B3"/>
    <w:rsid w:val="0082595B"/>
    <w:rsid w:val="00833658"/>
    <w:rsid w:val="00847377"/>
    <w:rsid w:val="00856DA8"/>
    <w:rsid w:val="008636E1"/>
    <w:rsid w:val="00892318"/>
    <w:rsid w:val="00892FFC"/>
    <w:rsid w:val="008958CB"/>
    <w:rsid w:val="00896E60"/>
    <w:rsid w:val="008A1E5F"/>
    <w:rsid w:val="008B2419"/>
    <w:rsid w:val="008C388A"/>
    <w:rsid w:val="008F2B99"/>
    <w:rsid w:val="008F4DC6"/>
    <w:rsid w:val="00902260"/>
    <w:rsid w:val="00940793"/>
    <w:rsid w:val="00991693"/>
    <w:rsid w:val="0099270D"/>
    <w:rsid w:val="009A74F1"/>
    <w:rsid w:val="009B0D09"/>
    <w:rsid w:val="009B59BF"/>
    <w:rsid w:val="009D539D"/>
    <w:rsid w:val="009E1AC3"/>
    <w:rsid w:val="009F0AA0"/>
    <w:rsid w:val="00A11120"/>
    <w:rsid w:val="00A31C31"/>
    <w:rsid w:val="00A4395A"/>
    <w:rsid w:val="00A47908"/>
    <w:rsid w:val="00A52F29"/>
    <w:rsid w:val="00A93509"/>
    <w:rsid w:val="00AA0D0E"/>
    <w:rsid w:val="00AB5376"/>
    <w:rsid w:val="00AC3D95"/>
    <w:rsid w:val="00AD392B"/>
    <w:rsid w:val="00B044A6"/>
    <w:rsid w:val="00B85795"/>
    <w:rsid w:val="00B87972"/>
    <w:rsid w:val="00BA57B1"/>
    <w:rsid w:val="00BB122F"/>
    <w:rsid w:val="00BD03FE"/>
    <w:rsid w:val="00BD3873"/>
    <w:rsid w:val="00BE36EB"/>
    <w:rsid w:val="00C012F5"/>
    <w:rsid w:val="00C16B80"/>
    <w:rsid w:val="00C3083B"/>
    <w:rsid w:val="00C33AEF"/>
    <w:rsid w:val="00C415B1"/>
    <w:rsid w:val="00C61CB5"/>
    <w:rsid w:val="00C63D40"/>
    <w:rsid w:val="00C64A61"/>
    <w:rsid w:val="00C76A21"/>
    <w:rsid w:val="00C81372"/>
    <w:rsid w:val="00C84D28"/>
    <w:rsid w:val="00CB48F9"/>
    <w:rsid w:val="00CC0626"/>
    <w:rsid w:val="00CC216F"/>
    <w:rsid w:val="00CE0407"/>
    <w:rsid w:val="00CF2D05"/>
    <w:rsid w:val="00D24932"/>
    <w:rsid w:val="00D30B8E"/>
    <w:rsid w:val="00D508D9"/>
    <w:rsid w:val="00D5535B"/>
    <w:rsid w:val="00D75C29"/>
    <w:rsid w:val="00D82005"/>
    <w:rsid w:val="00DB07C5"/>
    <w:rsid w:val="00DC01DC"/>
    <w:rsid w:val="00DD5EE1"/>
    <w:rsid w:val="00DE037E"/>
    <w:rsid w:val="00DE3C33"/>
    <w:rsid w:val="00DF171C"/>
    <w:rsid w:val="00DF40BC"/>
    <w:rsid w:val="00E865F8"/>
    <w:rsid w:val="00E92D5D"/>
    <w:rsid w:val="00EC6193"/>
    <w:rsid w:val="00EF4FC5"/>
    <w:rsid w:val="00EF7C5C"/>
    <w:rsid w:val="00F0005B"/>
    <w:rsid w:val="00F12CCE"/>
    <w:rsid w:val="00F14EC8"/>
    <w:rsid w:val="00F305C8"/>
    <w:rsid w:val="00F4136A"/>
    <w:rsid w:val="00F63972"/>
    <w:rsid w:val="00F77E0F"/>
    <w:rsid w:val="00F825B6"/>
    <w:rsid w:val="00FA55AB"/>
    <w:rsid w:val="00FB3760"/>
    <w:rsid w:val="00FB4F5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ED6F52"/>
  <w15:docId w15:val="{050E02D7-C780-48B5-BFED-EE92F156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75348F"/>
    <w:pPr>
      <w:keepNext/>
      <w:spacing w:before="240" w:after="120" w:line="300" w:lineRule="atLeast"/>
      <w:outlineLvl w:val="0"/>
    </w:pPr>
    <w:rPr>
      <w:rFonts w:ascii="Arial" w:eastAsia="Times New Roman" w:hAnsi="Arial" w:cs="Arial"/>
      <w:b/>
      <w:bCs/>
      <w:color w:val="E38431"/>
      <w:kern w:val="32"/>
      <w:sz w:val="32"/>
      <w:szCs w:val="32"/>
      <w:lang w:eastAsia="en-AU"/>
    </w:rPr>
  </w:style>
  <w:style w:type="paragraph" w:styleId="Heading2">
    <w:name w:val="heading 2"/>
    <w:next w:val="Normal"/>
    <w:qFormat/>
    <w:rsid w:val="0075348F"/>
    <w:pPr>
      <w:keepNext/>
      <w:spacing w:before="240" w:after="120" w:line="300" w:lineRule="atLeast"/>
      <w:outlineLvl w:val="1"/>
    </w:pPr>
    <w:rPr>
      <w:rFonts w:ascii="Arial" w:eastAsia="Times New Roman" w:hAnsi="Arial" w:cs="Arial"/>
      <w:b/>
      <w:bCs/>
      <w:iCs/>
      <w:color w:val="E38431"/>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75348F"/>
    <w:pPr>
      <w:pBdr>
        <w:bottom w:val="single" w:sz="4" w:space="1" w:color="E38431"/>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75348F"/>
    <w:pPr>
      <w:spacing w:before="240" w:after="240" w:line="300" w:lineRule="atLeast"/>
    </w:pPr>
    <w:rPr>
      <w:rFonts w:ascii="Arial" w:eastAsia="Times New Roman" w:hAnsi="Arial" w:cs="Arial"/>
      <w:b/>
      <w:bCs/>
      <w:color w:val="E38431"/>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75348F"/>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75348F"/>
    <w:pPr>
      <w:spacing w:before="160" w:after="40" w:line="300" w:lineRule="atLeast"/>
    </w:pPr>
    <w:rPr>
      <w:rFonts w:ascii="Arial" w:eastAsia="Times New Roman" w:hAnsi="Arial" w:cs="Arial"/>
      <w:b/>
      <w:bCs/>
      <w:iCs/>
      <w:color w:val="E38431"/>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75348F"/>
    <w:pPr>
      <w:numPr>
        <w:numId w:val="22"/>
      </w:numPr>
      <w:spacing w:before="240" w:after="240" w:line="280" w:lineRule="exact"/>
    </w:pPr>
    <w:rPr>
      <w:rFonts w:ascii="Arial" w:eastAsia="Times New Roman" w:hAnsi="Arial" w:cs="Arial"/>
      <w:b/>
      <w:bCs/>
      <w:color w:val="E38431"/>
      <w:kern w:val="32"/>
      <w:sz w:val="28"/>
      <w:szCs w:val="32"/>
      <w:lang w:eastAsia="en-AU"/>
    </w:rPr>
  </w:style>
  <w:style w:type="paragraph" w:customStyle="1" w:styleId="VLAdivision">
    <w:name w:val="VLA division"/>
    <w:basedOn w:val="Normal"/>
    <w:next w:val="VLAauthor"/>
    <w:rsid w:val="0075348F"/>
    <w:pPr>
      <w:spacing w:before="60" w:after="240"/>
    </w:pPr>
    <w:rPr>
      <w:b/>
      <w:color w:val="E38431"/>
      <w:sz w:val="28"/>
      <w:szCs w:val="28"/>
      <w:lang w:eastAsia="en-AU"/>
    </w:rPr>
  </w:style>
  <w:style w:type="paragraph" w:customStyle="1" w:styleId="VLAauthor">
    <w:name w:val="VLA author"/>
    <w:basedOn w:val="Normal"/>
    <w:next w:val="VLAdivision"/>
    <w:rsid w:val="0075348F"/>
    <w:pPr>
      <w:spacing w:before="240" w:after="60"/>
    </w:pPr>
    <w:rPr>
      <w:b/>
      <w:color w:val="E38431"/>
      <w:sz w:val="28"/>
      <w:szCs w:val="28"/>
      <w:lang w:eastAsia="en-AU"/>
    </w:rPr>
  </w:style>
  <w:style w:type="paragraph" w:customStyle="1" w:styleId="Contents">
    <w:name w:val="Contents"/>
    <w:basedOn w:val="VLAdivision"/>
    <w:next w:val="Normal"/>
    <w:rsid w:val="0075348F"/>
  </w:style>
  <w:style w:type="paragraph" w:customStyle="1" w:styleId="Filename">
    <w:name w:val="Filename"/>
    <w:basedOn w:val="Normal"/>
    <w:rsid w:val="0075348F"/>
    <w:pPr>
      <w:pBdr>
        <w:top w:val="single" w:sz="4" w:space="1" w:color="E38431"/>
      </w:pBdr>
      <w:tabs>
        <w:tab w:val="right" w:pos="9240"/>
      </w:tabs>
    </w:pPr>
    <w:rPr>
      <w:sz w:val="18"/>
    </w:rPr>
  </w:style>
  <w:style w:type="paragraph" w:styleId="Title">
    <w:name w:val="Title"/>
    <w:link w:val="TitleChar"/>
    <w:qFormat/>
    <w:locked/>
    <w:rsid w:val="0075348F"/>
    <w:pPr>
      <w:spacing w:before="2000" w:after="240" w:line="400" w:lineRule="exact"/>
      <w:outlineLvl w:val="0"/>
    </w:pPr>
    <w:rPr>
      <w:rFonts w:ascii="Arial Bold" w:eastAsia="Times New Roman" w:hAnsi="Arial Bold" w:cs="Arial"/>
      <w:b/>
      <w:bCs/>
      <w:color w:val="E38431"/>
      <w:kern w:val="28"/>
      <w:sz w:val="36"/>
      <w:szCs w:val="32"/>
    </w:rPr>
  </w:style>
  <w:style w:type="character" w:customStyle="1" w:styleId="TitleChar">
    <w:name w:val="Title Char"/>
    <w:link w:val="Title"/>
    <w:rsid w:val="0075348F"/>
    <w:rPr>
      <w:rFonts w:ascii="Arial Bold" w:eastAsia="Times New Roman" w:hAnsi="Arial Bold" w:cs="Arial"/>
      <w:b/>
      <w:bCs/>
      <w:color w:val="E38431"/>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styleId="ListParagraph">
    <w:name w:val="List Paragraph"/>
    <w:basedOn w:val="Normal"/>
    <w:uiPriority w:val="72"/>
    <w:unhideWhenUsed/>
    <w:rsid w:val="00C012F5"/>
    <w:pPr>
      <w:ind w:left="720"/>
      <w:contextualSpacing/>
    </w:pPr>
  </w:style>
  <w:style w:type="character" w:styleId="CommentReference">
    <w:name w:val="annotation reference"/>
    <w:basedOn w:val="DefaultParagraphFont"/>
    <w:semiHidden/>
    <w:unhideWhenUsed/>
    <w:rsid w:val="001A69F6"/>
    <w:rPr>
      <w:sz w:val="16"/>
      <w:szCs w:val="16"/>
    </w:rPr>
  </w:style>
  <w:style w:type="paragraph" w:styleId="CommentText">
    <w:name w:val="annotation text"/>
    <w:basedOn w:val="Normal"/>
    <w:link w:val="CommentTextChar"/>
    <w:unhideWhenUsed/>
    <w:rsid w:val="001A69F6"/>
    <w:pPr>
      <w:spacing w:line="240" w:lineRule="auto"/>
    </w:pPr>
    <w:rPr>
      <w:sz w:val="20"/>
      <w:szCs w:val="20"/>
    </w:rPr>
  </w:style>
  <w:style w:type="character" w:customStyle="1" w:styleId="CommentTextChar">
    <w:name w:val="Comment Text Char"/>
    <w:basedOn w:val="DefaultParagraphFont"/>
    <w:link w:val="CommentText"/>
    <w:rsid w:val="001A69F6"/>
    <w:rPr>
      <w:rFonts w:ascii="Arial" w:eastAsia="Times New Roman" w:hAnsi="Arial"/>
    </w:rPr>
  </w:style>
  <w:style w:type="paragraph" w:styleId="CommentSubject">
    <w:name w:val="annotation subject"/>
    <w:basedOn w:val="CommentText"/>
    <w:next w:val="CommentText"/>
    <w:link w:val="CommentSubjectChar"/>
    <w:semiHidden/>
    <w:unhideWhenUsed/>
    <w:rsid w:val="001A69F6"/>
    <w:rPr>
      <w:b/>
      <w:bCs/>
    </w:rPr>
  </w:style>
  <w:style w:type="character" w:customStyle="1" w:styleId="CommentSubjectChar">
    <w:name w:val="Comment Subject Char"/>
    <w:basedOn w:val="CommentTextChar"/>
    <w:link w:val="CommentSubject"/>
    <w:semiHidden/>
    <w:rsid w:val="001A69F6"/>
    <w:rPr>
      <w:rFonts w:ascii="Arial" w:eastAsia="Times New Roman" w:hAnsi="Arial"/>
      <w:b/>
      <w:bCs/>
    </w:rPr>
  </w:style>
  <w:style w:type="paragraph" w:styleId="BalloonText">
    <w:name w:val="Balloon Text"/>
    <w:basedOn w:val="Normal"/>
    <w:link w:val="BalloonTextChar"/>
    <w:semiHidden/>
    <w:unhideWhenUsed/>
    <w:rsid w:val="001A6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A69F6"/>
    <w:rPr>
      <w:rFonts w:ascii="Segoe UI" w:eastAsia="Times New Roman" w:hAnsi="Segoe UI" w:cs="Segoe UI"/>
      <w:sz w:val="18"/>
      <w:szCs w:val="18"/>
    </w:rPr>
  </w:style>
  <w:style w:type="character" w:styleId="FollowedHyperlink">
    <w:name w:val="FollowedHyperlink"/>
    <w:basedOn w:val="DefaultParagraphFont"/>
    <w:rsid w:val="00FA55AB"/>
    <w:rPr>
      <w:color w:val="9775A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ustlii.edu.au/cgi-bin/viewdoc/au/cases/vic/VSC/2013/267.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stlii.edu.au/cgi-bin/viewdoc/au/cases/vic/VSC/2017/514.ht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FE582-8E80-47D7-ABDC-65517A9BA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1420</Words>
  <Characters>7087</Characters>
  <Application>Microsoft Office Word</Application>
  <DocSecurity>0</DocSecurity>
  <Lines>109</Lines>
  <Paragraphs>45</Paragraphs>
  <ScaleCrop>false</ScaleCrop>
  <HeadingPairs>
    <vt:vector size="2" baseType="variant">
      <vt:variant>
        <vt:lpstr>Title</vt:lpstr>
      </vt:variant>
      <vt:variant>
        <vt:i4>1</vt:i4>
      </vt:variant>
    </vt:vector>
  </HeadingPairs>
  <TitlesOfParts>
    <vt:vector size="1" baseType="lpstr">
      <vt:lpstr>Case note: PQR v Secretary, Department of Justice and Regulation (No 2) [2017] VSC 514 (26 September 2017)</vt:lpstr>
    </vt:vector>
  </TitlesOfParts>
  <Manager/>
  <Company>Victoria Legal Aid</Company>
  <LinksUpToDate>false</LinksUpToDate>
  <CharactersWithSpaces>8462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note: PQR v Secretary, Department of Justice and Regulation (No 2) [2017] VSC 514 (26 September 2017)</dc:title>
  <dc:subject/>
  <dc:creator>Victoria Legal Aid</dc:creator>
  <cp:keywords/>
  <dc:description/>
  <cp:lastModifiedBy>Gabrielle Mundana</cp:lastModifiedBy>
  <cp:revision>2</cp:revision>
  <dcterms:created xsi:type="dcterms:W3CDTF">2022-03-21T01:09:00Z</dcterms:created>
  <dcterms:modified xsi:type="dcterms:W3CDTF">2022-03-21T01:09:00Z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