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4660" w14:textId="77777777" w:rsidR="008A7095" w:rsidRPr="00CE6B00" w:rsidRDefault="008A7095" w:rsidP="008A7095">
      <w:pPr>
        <w:pStyle w:val="Heading1"/>
        <w:spacing w:after="120"/>
      </w:pPr>
      <w:r>
        <w:t>Major Criminal Cases Framework compliance guide</w:t>
      </w:r>
    </w:p>
    <w:p w14:paraId="37B48EFE" w14:textId="77777777" w:rsidR="008A7095" w:rsidRDefault="008A7095" w:rsidP="008A7095">
      <w:pPr>
        <w:rPr>
          <w:sz w:val="22"/>
          <w:szCs w:val="22"/>
        </w:rPr>
      </w:pPr>
      <w:r>
        <w:rPr>
          <w:sz w:val="22"/>
          <w:szCs w:val="22"/>
        </w:rPr>
        <w:t xml:space="preserve">From 1 February 2016, practitioners may use this guide to assist with complying with </w:t>
      </w:r>
      <w:r w:rsidRPr="00CA394E">
        <w:rPr>
          <w:sz w:val="22"/>
          <w:szCs w:val="22"/>
        </w:rPr>
        <w:t xml:space="preserve">the requirements under the </w:t>
      </w:r>
      <w:hyperlink r:id="rId8" w:history="1">
        <w:r w:rsidRPr="00B9415D">
          <w:rPr>
            <w:rStyle w:val="Hyperlink"/>
            <w:sz w:val="22"/>
            <w:szCs w:val="22"/>
          </w:rPr>
          <w:t>Major Criminal Cases Framework</w:t>
        </w:r>
      </w:hyperlink>
      <w:r>
        <w:rPr>
          <w:sz w:val="22"/>
          <w:szCs w:val="22"/>
        </w:rPr>
        <w:t>.</w:t>
      </w:r>
    </w:p>
    <w:p w14:paraId="24DE7002" w14:textId="77777777" w:rsidR="008A7095" w:rsidRDefault="008A7095" w:rsidP="008A7095">
      <w:pPr>
        <w:rPr>
          <w:sz w:val="22"/>
          <w:szCs w:val="22"/>
        </w:rPr>
      </w:pPr>
    </w:p>
    <w:p w14:paraId="047BB17B" w14:textId="77777777" w:rsidR="008A7095" w:rsidRPr="00CA394E" w:rsidRDefault="008A7095" w:rsidP="008A7095">
      <w:pPr>
        <w:rPr>
          <w:sz w:val="22"/>
          <w:szCs w:val="22"/>
        </w:rPr>
      </w:pPr>
      <w:r>
        <w:rPr>
          <w:sz w:val="22"/>
          <w:szCs w:val="22"/>
        </w:rPr>
        <w:t>Only Level 1 panel certifiers and VLA4 staff lawyers and above can certify grants of legal assistance for a major criminal case (contested committals exceeding four days and trials exceeding 15 days).</w:t>
      </w:r>
    </w:p>
    <w:p w14:paraId="18546A5E" w14:textId="77777777" w:rsidR="008A7095" w:rsidRDefault="008A7095" w:rsidP="008A7095">
      <w:pPr>
        <w:rPr>
          <w:b/>
          <w:sz w:val="24"/>
          <w:szCs w:val="24"/>
        </w:rPr>
      </w:pPr>
    </w:p>
    <w:p w14:paraId="798151D7" w14:textId="77777777" w:rsidR="008A7095" w:rsidRDefault="008A7095" w:rsidP="008A709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Contested committals exceeding four days</w:t>
      </w:r>
    </w:p>
    <w:p w14:paraId="712DA00F" w14:textId="77777777" w:rsidR="008A7095" w:rsidRPr="007F1D7F" w:rsidRDefault="008A7095" w:rsidP="008A709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7"/>
        <w:gridCol w:w="1457"/>
      </w:tblGrid>
      <w:tr w:rsidR="008A7095" w14:paraId="30BF89C9" w14:textId="77777777" w:rsidTr="004A46E6">
        <w:trPr>
          <w:cantSplit/>
          <w:tblHeader/>
        </w:trPr>
        <w:tc>
          <w:tcPr>
            <w:tcW w:w="8177" w:type="dxa"/>
          </w:tcPr>
          <w:p w14:paraId="7E62627F" w14:textId="77777777"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Tasks</w:t>
            </w:r>
          </w:p>
        </w:tc>
        <w:tc>
          <w:tcPr>
            <w:tcW w:w="1457" w:type="dxa"/>
          </w:tcPr>
          <w:p w14:paraId="1F699681" w14:textId="77777777"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Completed</w:t>
            </w:r>
          </w:p>
        </w:tc>
      </w:tr>
      <w:tr w:rsidR="008A7095" w14:paraId="504A3CA0" w14:textId="77777777" w:rsidTr="004A46E6">
        <w:trPr>
          <w:cantSplit/>
        </w:trPr>
        <w:tc>
          <w:tcPr>
            <w:tcW w:w="8177" w:type="dxa"/>
          </w:tcPr>
          <w:p w14:paraId="3F15C354" w14:textId="77777777" w:rsidR="008A7095" w:rsidRPr="002E0720" w:rsidRDefault="008A7095" w:rsidP="00940614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an application for legal assistance/extension of legal assistance for the contested committal </w:t>
            </w:r>
            <w:r w:rsidRPr="002E0720">
              <w:rPr>
                <w:b/>
                <w:szCs w:val="21"/>
              </w:rPr>
              <w:t xml:space="preserve">within 14 days of the </w:t>
            </w:r>
            <w:r w:rsidR="00940614">
              <w:rPr>
                <w:b/>
                <w:szCs w:val="21"/>
              </w:rPr>
              <w:t>committal</w:t>
            </w:r>
            <w:r w:rsidR="00940614" w:rsidRPr="002E0720">
              <w:rPr>
                <w:b/>
                <w:szCs w:val="21"/>
              </w:rPr>
              <w:t xml:space="preserve"> </w:t>
            </w:r>
            <w:r w:rsidRPr="002E0720">
              <w:rPr>
                <w:b/>
                <w:szCs w:val="21"/>
              </w:rPr>
              <w:t>mention</w:t>
            </w:r>
          </w:p>
        </w:tc>
        <w:tc>
          <w:tcPr>
            <w:tcW w:w="1457" w:type="dxa"/>
          </w:tcPr>
          <w:p w14:paraId="40F34927" w14:textId="77777777" w:rsidR="008A7095" w:rsidRPr="008412D9" w:rsidRDefault="008A7095" w:rsidP="004A46E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bookmarkStart w:id="0" w:name="StateLaw"/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8A7095" w14:paraId="489B5DD9" w14:textId="77777777" w:rsidTr="004A46E6">
        <w:trPr>
          <w:cantSplit/>
        </w:trPr>
        <w:tc>
          <w:tcPr>
            <w:tcW w:w="8177" w:type="dxa"/>
          </w:tcPr>
          <w:p w14:paraId="4B04AFB3" w14:textId="77777777" w:rsidR="008A7095" w:rsidRPr="002E0720" w:rsidRDefault="008A7095" w:rsidP="008A7095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>Provide details of all co-accused in the application for legal assistance/extension of legal assistance</w:t>
            </w:r>
          </w:p>
        </w:tc>
        <w:tc>
          <w:tcPr>
            <w:tcW w:w="1457" w:type="dxa"/>
          </w:tcPr>
          <w:p w14:paraId="0DD53D3F" w14:textId="77777777" w:rsidR="008A7095" w:rsidRDefault="008A7095" w:rsidP="004A46E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0AE25307" w14:textId="77777777" w:rsidTr="004A46E6">
        <w:trPr>
          <w:cantSplit/>
        </w:trPr>
        <w:tc>
          <w:tcPr>
            <w:tcW w:w="8177" w:type="dxa"/>
          </w:tcPr>
          <w:p w14:paraId="0B6C1E02" w14:textId="77777777" w:rsidR="008A7095" w:rsidRPr="002E0720" w:rsidRDefault="008A7095" w:rsidP="00940614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the Form 32, prosecution summary of charges, witness list, evidence of </w:t>
            </w:r>
            <w:r>
              <w:rPr>
                <w:szCs w:val="21"/>
              </w:rPr>
              <w:t>B</w:t>
            </w:r>
            <w:r w:rsidRPr="002E0720">
              <w:rPr>
                <w:szCs w:val="21"/>
              </w:rPr>
              <w:t xml:space="preserve">rief </w:t>
            </w:r>
            <w:r>
              <w:rPr>
                <w:szCs w:val="21"/>
              </w:rPr>
              <w:t>A</w:t>
            </w:r>
            <w:r w:rsidRPr="002E0720">
              <w:rPr>
                <w:szCs w:val="21"/>
              </w:rPr>
              <w:t xml:space="preserve">nalysis and </w:t>
            </w:r>
            <w:r>
              <w:rPr>
                <w:szCs w:val="21"/>
              </w:rPr>
              <w:t>C</w:t>
            </w:r>
            <w:r w:rsidRPr="002E0720">
              <w:rPr>
                <w:szCs w:val="21"/>
              </w:rPr>
              <w:t xml:space="preserve">ase </w:t>
            </w:r>
            <w:r>
              <w:rPr>
                <w:szCs w:val="21"/>
              </w:rPr>
              <w:t>S</w:t>
            </w:r>
            <w:r w:rsidRPr="002E0720">
              <w:rPr>
                <w:szCs w:val="21"/>
              </w:rPr>
              <w:t>trategy</w:t>
            </w:r>
            <w:r w:rsidRPr="008A7095">
              <w:rPr>
                <w:szCs w:val="21"/>
                <w:vertAlign w:val="superscript"/>
              </w:rPr>
              <w:fldChar w:fldCharType="begin"/>
            </w:r>
            <w:r w:rsidRPr="008A7095">
              <w:rPr>
                <w:szCs w:val="21"/>
                <w:vertAlign w:val="superscript"/>
              </w:rPr>
              <w:instrText xml:space="preserve"> NOTEREF _Ref441678159 \h </w:instrText>
            </w:r>
            <w:r>
              <w:rPr>
                <w:szCs w:val="21"/>
                <w:vertAlign w:val="superscript"/>
              </w:rPr>
              <w:instrText xml:space="preserve"> \* MERGEFORMAT </w:instrText>
            </w:r>
            <w:r w:rsidRPr="008A7095">
              <w:rPr>
                <w:szCs w:val="21"/>
                <w:vertAlign w:val="superscript"/>
              </w:rPr>
            </w:r>
            <w:r w:rsidRPr="008A7095">
              <w:rPr>
                <w:szCs w:val="21"/>
                <w:vertAlign w:val="superscript"/>
              </w:rPr>
              <w:fldChar w:fldCharType="separate"/>
            </w:r>
            <w:r w:rsidRPr="008A7095">
              <w:rPr>
                <w:szCs w:val="21"/>
                <w:vertAlign w:val="superscript"/>
              </w:rPr>
              <w:t>1</w:t>
            </w:r>
            <w:r w:rsidRPr="008A7095">
              <w:rPr>
                <w:szCs w:val="21"/>
                <w:vertAlign w:val="superscript"/>
              </w:rPr>
              <w:fldChar w:fldCharType="end"/>
            </w:r>
            <w:r w:rsidRPr="002E0720">
              <w:rPr>
                <w:szCs w:val="21"/>
              </w:rPr>
              <w:t xml:space="preserve">, and completed </w:t>
            </w:r>
            <w:hyperlink r:id="rId9" w:tooltip="handbook.vla.vic.gov.au/invoice-forms-and-worksheets" w:history="1">
              <w:r w:rsidRPr="00933E05">
                <w:rPr>
                  <w:rStyle w:val="Hyperlink"/>
                  <w:szCs w:val="21"/>
                </w:rPr>
                <w:t>Contested Committal – exceeding four days worksheet</w:t>
              </w:r>
            </w:hyperlink>
            <w:r w:rsidRPr="002E0720">
              <w:rPr>
                <w:szCs w:val="21"/>
              </w:rPr>
              <w:t xml:space="preserve"> </w:t>
            </w:r>
            <w:r w:rsidRPr="002E0720">
              <w:rPr>
                <w:b/>
                <w:szCs w:val="21"/>
              </w:rPr>
              <w:t xml:space="preserve">within 14 days of the </w:t>
            </w:r>
            <w:r w:rsidR="00940614">
              <w:rPr>
                <w:b/>
                <w:szCs w:val="21"/>
              </w:rPr>
              <w:t>committal</w:t>
            </w:r>
            <w:r w:rsidR="00940614" w:rsidRPr="002E0720">
              <w:rPr>
                <w:b/>
                <w:szCs w:val="21"/>
              </w:rPr>
              <w:t xml:space="preserve"> </w:t>
            </w:r>
            <w:r w:rsidRPr="002E0720">
              <w:rPr>
                <w:b/>
                <w:szCs w:val="21"/>
              </w:rPr>
              <w:t>mention</w:t>
            </w:r>
            <w:r w:rsidRPr="002E0720">
              <w:rPr>
                <w:szCs w:val="21"/>
              </w:rPr>
              <w:t xml:space="preserve"> via </w:t>
            </w:r>
            <w:r w:rsidRPr="002E0720">
              <w:rPr>
                <w:i/>
                <w:szCs w:val="21"/>
              </w:rPr>
              <w:t>Submit Correspondence – Committal Documentation</w:t>
            </w:r>
            <w:r w:rsidRPr="002E0720">
              <w:rPr>
                <w:szCs w:val="21"/>
              </w:rPr>
              <w:t xml:space="preserve"> </w:t>
            </w:r>
          </w:p>
        </w:tc>
        <w:tc>
          <w:tcPr>
            <w:tcW w:w="1457" w:type="dxa"/>
          </w:tcPr>
          <w:p w14:paraId="4DC7F3D7" w14:textId="77777777" w:rsidR="008A7095" w:rsidRDefault="008A7095" w:rsidP="004A46E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04FF4850" w14:textId="77777777" w:rsidTr="004A46E6">
        <w:trPr>
          <w:cantSplit/>
        </w:trPr>
        <w:tc>
          <w:tcPr>
            <w:tcW w:w="8177" w:type="dxa"/>
          </w:tcPr>
          <w:p w14:paraId="2797F7CE" w14:textId="77777777" w:rsidR="008A7095" w:rsidRPr="002E0720" w:rsidRDefault="008A7095" w:rsidP="008A7095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all charge sheets where there are both State and Commonwealth charges via </w:t>
            </w:r>
            <w:r w:rsidRPr="002E0720">
              <w:rPr>
                <w:i/>
                <w:szCs w:val="21"/>
              </w:rPr>
              <w:t>Submit Correspondence – Committal Documentation</w:t>
            </w:r>
            <w:r w:rsidRPr="002E0720">
              <w:rPr>
                <w:szCs w:val="21"/>
              </w:rPr>
              <w:t xml:space="preserve"> </w:t>
            </w:r>
          </w:p>
        </w:tc>
        <w:tc>
          <w:tcPr>
            <w:tcW w:w="1457" w:type="dxa"/>
          </w:tcPr>
          <w:p w14:paraId="0C0A5F86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291DCA55" w14:textId="77777777" w:rsidTr="004A46E6">
        <w:trPr>
          <w:cantSplit/>
        </w:trPr>
        <w:tc>
          <w:tcPr>
            <w:tcW w:w="8177" w:type="dxa"/>
          </w:tcPr>
          <w:p w14:paraId="5085D41E" w14:textId="77777777" w:rsidR="008A7095" w:rsidRPr="002E0720" w:rsidRDefault="008A7095" w:rsidP="008A7095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>Request additional contested committal days within two business days of the last day that is covered under the contested committal grant of legal assistance</w:t>
            </w:r>
          </w:p>
        </w:tc>
        <w:tc>
          <w:tcPr>
            <w:tcW w:w="1457" w:type="dxa"/>
          </w:tcPr>
          <w:p w14:paraId="39275F70" w14:textId="77777777" w:rsidR="008A7095" w:rsidRDefault="008A7095" w:rsidP="008A7095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1F2F63">
              <w:rPr>
                <w:sz w:val="18"/>
                <w:szCs w:val="18"/>
              </w:rPr>
              <w:t>ompleted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  <w:p w14:paraId="36850BAD" w14:textId="77777777" w:rsidR="008A7095" w:rsidRPr="001F2F63" w:rsidRDefault="008A7095" w:rsidP="008A7095">
            <w:pPr>
              <w:jc w:val="center"/>
              <w:rPr>
                <w:sz w:val="28"/>
                <w:szCs w:val="28"/>
              </w:rPr>
            </w:pPr>
            <w:r w:rsidRPr="00EF7071">
              <w:rPr>
                <w:sz w:val="18"/>
                <w:szCs w:val="18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76E7FA97" w14:textId="77777777" w:rsidR="008A7095" w:rsidRPr="007F1D7F" w:rsidRDefault="008A7095" w:rsidP="008A7095">
      <w:pPr>
        <w:rPr>
          <w:sz w:val="18"/>
          <w:szCs w:val="18"/>
        </w:rPr>
      </w:pPr>
    </w:p>
    <w:p w14:paraId="3C855948" w14:textId="77777777" w:rsidR="008A7095" w:rsidRDefault="008A7095" w:rsidP="008A7095">
      <w:pPr>
        <w:rPr>
          <w:sz w:val="24"/>
          <w:szCs w:val="24"/>
        </w:rPr>
      </w:pPr>
      <w:r>
        <w:rPr>
          <w:b/>
          <w:sz w:val="24"/>
          <w:szCs w:val="24"/>
        </w:rPr>
        <w:t>Criminal trials exceeding 15 days</w:t>
      </w:r>
      <w:r>
        <w:rPr>
          <w:sz w:val="24"/>
          <w:szCs w:val="24"/>
        </w:rPr>
        <w:t xml:space="preserve"> </w:t>
      </w:r>
    </w:p>
    <w:p w14:paraId="62BF04AF" w14:textId="77777777" w:rsidR="008A7095" w:rsidRPr="002E0720" w:rsidRDefault="008A7095" w:rsidP="008A7095">
      <w:pPr>
        <w:spacing w:before="60"/>
        <w:rPr>
          <w:sz w:val="24"/>
          <w:szCs w:val="24"/>
        </w:rPr>
      </w:pPr>
      <w:r>
        <w:rPr>
          <w:sz w:val="18"/>
          <w:szCs w:val="18"/>
        </w:rPr>
        <w:t>This includes</w:t>
      </w:r>
      <w:r w:rsidRPr="002E0720">
        <w:rPr>
          <w:sz w:val="18"/>
          <w:szCs w:val="18"/>
        </w:rPr>
        <w:t xml:space="preserve"> severed trials less than 15 days that collectively equate to more than 15 days. </w:t>
      </w:r>
    </w:p>
    <w:p w14:paraId="55238C22" w14:textId="77777777" w:rsidR="008A7095" w:rsidRPr="007F1D7F" w:rsidRDefault="008A7095" w:rsidP="008A709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0"/>
        <w:gridCol w:w="1470"/>
      </w:tblGrid>
      <w:tr w:rsidR="008A7095" w14:paraId="25CF6D72" w14:textId="77777777" w:rsidTr="004A46E6">
        <w:trPr>
          <w:cantSplit/>
          <w:tblHeader/>
        </w:trPr>
        <w:tc>
          <w:tcPr>
            <w:tcW w:w="8170" w:type="dxa"/>
          </w:tcPr>
          <w:p w14:paraId="4FC3D708" w14:textId="77777777"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Tasks</w:t>
            </w:r>
          </w:p>
        </w:tc>
        <w:tc>
          <w:tcPr>
            <w:tcW w:w="1470" w:type="dxa"/>
          </w:tcPr>
          <w:p w14:paraId="271D3037" w14:textId="77777777"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Completed</w:t>
            </w:r>
          </w:p>
        </w:tc>
      </w:tr>
      <w:tr w:rsidR="008A7095" w14:paraId="767EAB53" w14:textId="77777777" w:rsidTr="004A46E6">
        <w:trPr>
          <w:cantSplit/>
        </w:trPr>
        <w:tc>
          <w:tcPr>
            <w:tcW w:w="8170" w:type="dxa"/>
          </w:tcPr>
          <w:p w14:paraId="21A6827C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an application for legal assistance/extension of legal assistance for the trial </w:t>
            </w:r>
            <w:r w:rsidRPr="002E0720">
              <w:rPr>
                <w:b/>
                <w:szCs w:val="21"/>
              </w:rPr>
              <w:t>within 28 days of the Initial Directions Hearing</w:t>
            </w:r>
            <w:r w:rsidRPr="002E0720">
              <w:rPr>
                <w:szCs w:val="21"/>
              </w:rPr>
              <w:t xml:space="preserve">. </w:t>
            </w:r>
          </w:p>
        </w:tc>
        <w:tc>
          <w:tcPr>
            <w:tcW w:w="1470" w:type="dxa"/>
          </w:tcPr>
          <w:p w14:paraId="0BE8A13F" w14:textId="77777777" w:rsidR="008A7095" w:rsidRPr="008412D9" w:rsidRDefault="008A7095" w:rsidP="004A46E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27069555" w14:textId="77777777" w:rsidTr="004A46E6">
        <w:trPr>
          <w:cantSplit/>
        </w:trPr>
        <w:tc>
          <w:tcPr>
            <w:tcW w:w="8170" w:type="dxa"/>
          </w:tcPr>
          <w:p w14:paraId="747F8D41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Provide details of all co-accused in the application for legal assistance/extension of legal assistance unless this has already been provided </w:t>
            </w:r>
          </w:p>
        </w:tc>
        <w:tc>
          <w:tcPr>
            <w:tcW w:w="1470" w:type="dxa"/>
          </w:tcPr>
          <w:p w14:paraId="5C5AEB6D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0E525672" w14:textId="77777777" w:rsidTr="004A46E6">
        <w:trPr>
          <w:cantSplit/>
        </w:trPr>
        <w:tc>
          <w:tcPr>
            <w:tcW w:w="8170" w:type="dxa"/>
          </w:tcPr>
          <w:p w14:paraId="429BA476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>Submit Committal Report and Trial Preparation Plan</w:t>
            </w:r>
            <w:bookmarkStart w:id="1" w:name="_Ref441678159"/>
            <w:r w:rsidRPr="008A7095">
              <w:rPr>
                <w:vertAlign w:val="superscript"/>
              </w:rPr>
              <w:footnoteReference w:id="1"/>
            </w:r>
            <w:bookmarkEnd w:id="1"/>
            <w:r w:rsidRPr="008A7095">
              <w:rPr>
                <w:szCs w:val="21"/>
                <w:vertAlign w:val="superscript"/>
              </w:rPr>
              <w:t xml:space="preserve"> </w:t>
            </w:r>
            <w:r w:rsidRPr="002E0720">
              <w:rPr>
                <w:szCs w:val="21"/>
              </w:rPr>
              <w:t xml:space="preserve">within </w:t>
            </w:r>
            <w:r w:rsidRPr="002E0720">
              <w:rPr>
                <w:b/>
                <w:szCs w:val="21"/>
              </w:rPr>
              <w:t>28 days of the Initial Directions Hearing</w:t>
            </w:r>
            <w:r w:rsidRPr="002E0720">
              <w:rPr>
                <w:szCs w:val="21"/>
              </w:rPr>
              <w:t>.</w:t>
            </w:r>
          </w:p>
        </w:tc>
        <w:tc>
          <w:tcPr>
            <w:tcW w:w="1470" w:type="dxa"/>
          </w:tcPr>
          <w:p w14:paraId="680120C0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4AD6FF65" w14:textId="77777777" w:rsidTr="004A46E6">
        <w:trPr>
          <w:cantSplit/>
        </w:trPr>
        <w:tc>
          <w:tcPr>
            <w:tcW w:w="8170" w:type="dxa"/>
          </w:tcPr>
          <w:p w14:paraId="07CB0E16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>Submit the prosecution summary of charges, evidence of brief analysis and case strategy</w:t>
            </w:r>
            <w:r w:rsidRPr="008A7095">
              <w:rPr>
                <w:szCs w:val="21"/>
                <w:vertAlign w:val="superscript"/>
              </w:rPr>
              <w:fldChar w:fldCharType="begin"/>
            </w:r>
            <w:r w:rsidRPr="008A7095">
              <w:rPr>
                <w:szCs w:val="21"/>
                <w:vertAlign w:val="superscript"/>
              </w:rPr>
              <w:instrText xml:space="preserve"> NOTEREF _Ref441678159 \h </w:instrText>
            </w:r>
            <w:r>
              <w:rPr>
                <w:szCs w:val="21"/>
                <w:vertAlign w:val="superscript"/>
              </w:rPr>
              <w:instrText xml:space="preserve"> \* MERGEFORMAT </w:instrText>
            </w:r>
            <w:r w:rsidRPr="008A7095">
              <w:rPr>
                <w:szCs w:val="21"/>
                <w:vertAlign w:val="superscript"/>
              </w:rPr>
            </w:r>
            <w:r w:rsidRPr="008A7095">
              <w:rPr>
                <w:szCs w:val="21"/>
                <w:vertAlign w:val="superscript"/>
              </w:rPr>
              <w:fldChar w:fldCharType="separate"/>
            </w:r>
            <w:r w:rsidRPr="008A7095">
              <w:rPr>
                <w:szCs w:val="21"/>
                <w:vertAlign w:val="superscript"/>
              </w:rPr>
              <w:t>1</w:t>
            </w:r>
            <w:r w:rsidRPr="008A7095">
              <w:rPr>
                <w:szCs w:val="21"/>
                <w:vertAlign w:val="superscript"/>
              </w:rPr>
              <w:fldChar w:fldCharType="end"/>
            </w:r>
            <w:r w:rsidRPr="002E0720">
              <w:rPr>
                <w:szCs w:val="21"/>
              </w:rPr>
              <w:t xml:space="preserve">, the Form 32 and witness list (if the matter proceeded by way of contested committal) </w:t>
            </w:r>
            <w:r w:rsidRPr="002E0720">
              <w:rPr>
                <w:b/>
                <w:szCs w:val="21"/>
              </w:rPr>
              <w:t xml:space="preserve">within 28 days of the Initial Directions Hearing via </w:t>
            </w:r>
            <w:r w:rsidRPr="002E0720">
              <w:rPr>
                <w:i/>
                <w:szCs w:val="21"/>
              </w:rPr>
              <w:t>Submit Correspondence – Trial Documentation</w:t>
            </w:r>
            <w:r w:rsidRPr="002E0720">
              <w:rPr>
                <w:b/>
                <w:szCs w:val="21"/>
              </w:rPr>
              <w:t xml:space="preserve"> </w:t>
            </w:r>
            <w:r w:rsidRPr="002E0720">
              <w:rPr>
                <w:szCs w:val="21"/>
              </w:rPr>
              <w:t>unless this has already been provided at the contested committal stage</w:t>
            </w:r>
          </w:p>
        </w:tc>
        <w:tc>
          <w:tcPr>
            <w:tcW w:w="1470" w:type="dxa"/>
          </w:tcPr>
          <w:p w14:paraId="13E81E16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66B1DD19" w14:textId="77777777" w:rsidTr="004A46E6">
        <w:trPr>
          <w:cantSplit/>
        </w:trPr>
        <w:tc>
          <w:tcPr>
            <w:tcW w:w="8170" w:type="dxa"/>
          </w:tcPr>
          <w:p w14:paraId="35109185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the Crown Opening (including Notices of Pre-Trial Admissions Sought, Hearsay, Tendency and/or Coincidence Notices and a draft trial preparation plan at least </w:t>
            </w:r>
            <w:r w:rsidRPr="002E0720">
              <w:rPr>
                <w:b/>
                <w:szCs w:val="21"/>
              </w:rPr>
              <w:t>14 days prior to the Final Directions Hearing</w:t>
            </w:r>
          </w:p>
        </w:tc>
        <w:tc>
          <w:tcPr>
            <w:tcW w:w="1470" w:type="dxa"/>
          </w:tcPr>
          <w:p w14:paraId="57AB6E43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46A4A668" w14:textId="77777777" w:rsidTr="004A46E6">
        <w:trPr>
          <w:cantSplit/>
        </w:trPr>
        <w:tc>
          <w:tcPr>
            <w:tcW w:w="8170" w:type="dxa"/>
          </w:tcPr>
          <w:p w14:paraId="507C0357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lastRenderedPageBreak/>
              <w:t xml:space="preserve">Submit the Defence Response (including pre-trial issues, Notice of Pre-Trial Issues and other matters addressed in </w:t>
            </w:r>
            <w:hyperlink r:id="rId10" w:history="1">
              <w:r w:rsidRPr="002E0720">
                <w:rPr>
                  <w:rStyle w:val="Hyperlink"/>
                  <w:szCs w:val="21"/>
                </w:rPr>
                <w:t>County Court Criminal Division Practice Note 6.4</w:t>
              </w:r>
            </w:hyperlink>
            <w:r w:rsidRPr="002E0720">
              <w:rPr>
                <w:szCs w:val="21"/>
              </w:rPr>
              <w:t xml:space="preserve">) at least </w:t>
            </w:r>
            <w:r w:rsidRPr="002E0720">
              <w:rPr>
                <w:b/>
                <w:szCs w:val="21"/>
              </w:rPr>
              <w:t>7 days prior to the Final Directions Hearing</w:t>
            </w:r>
          </w:p>
        </w:tc>
        <w:tc>
          <w:tcPr>
            <w:tcW w:w="1470" w:type="dxa"/>
          </w:tcPr>
          <w:p w14:paraId="4098F2BA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7685FCC2" w14:textId="77777777" w:rsidTr="004A46E6">
        <w:trPr>
          <w:cantSplit/>
        </w:trPr>
        <w:tc>
          <w:tcPr>
            <w:tcW w:w="8170" w:type="dxa"/>
          </w:tcPr>
          <w:p w14:paraId="3590BFA5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any Notice of Additional Evidence by the prosecution and updated trial preparation plan </w:t>
            </w:r>
            <w:r w:rsidRPr="002E0720">
              <w:rPr>
                <w:b/>
                <w:szCs w:val="21"/>
              </w:rPr>
              <w:t xml:space="preserve">within 7 days of receipt </w:t>
            </w:r>
            <w:r w:rsidRPr="002E0720">
              <w:rPr>
                <w:szCs w:val="21"/>
              </w:rPr>
              <w:t>of the notice if it is likely to extend the duration of the trial or materially alter the direction of the trial</w:t>
            </w:r>
          </w:p>
        </w:tc>
        <w:tc>
          <w:tcPr>
            <w:tcW w:w="1470" w:type="dxa"/>
          </w:tcPr>
          <w:p w14:paraId="0D14EAF2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237A338D" w14:textId="77777777" w:rsidTr="004A46E6">
        <w:trPr>
          <w:cantSplit/>
        </w:trPr>
        <w:tc>
          <w:tcPr>
            <w:tcW w:w="8170" w:type="dxa"/>
          </w:tcPr>
          <w:p w14:paraId="0D3E9D2F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all charge sheets where there are both State and Commonwealth charges via </w:t>
            </w:r>
            <w:r w:rsidRPr="002E0720">
              <w:rPr>
                <w:i/>
                <w:szCs w:val="21"/>
              </w:rPr>
              <w:t>Submit Correspondence – Trial Documentation</w:t>
            </w:r>
          </w:p>
        </w:tc>
        <w:tc>
          <w:tcPr>
            <w:tcW w:w="1470" w:type="dxa"/>
          </w:tcPr>
          <w:p w14:paraId="3620CD8C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1B0B270F" w14:textId="77777777" w:rsidTr="004A46E6">
        <w:trPr>
          <w:cantSplit/>
        </w:trPr>
        <w:tc>
          <w:tcPr>
            <w:tcW w:w="8170" w:type="dxa"/>
          </w:tcPr>
          <w:p w14:paraId="22186AD6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>Request additional trial days within two business days of the last day that is covered under the trial grant of legal assistance</w:t>
            </w:r>
          </w:p>
        </w:tc>
        <w:tc>
          <w:tcPr>
            <w:tcW w:w="1470" w:type="dxa"/>
          </w:tcPr>
          <w:p w14:paraId="1DC75994" w14:textId="77777777" w:rsidR="008A7095" w:rsidRDefault="008A7095" w:rsidP="004A46E6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1F2F63">
              <w:rPr>
                <w:sz w:val="18"/>
                <w:szCs w:val="18"/>
              </w:rPr>
              <w:t>ompleted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  <w:p w14:paraId="03C44156" w14:textId="77777777" w:rsidR="008A7095" w:rsidRDefault="008A7095" w:rsidP="004A46E6">
            <w:pPr>
              <w:jc w:val="center"/>
              <w:rPr>
                <w:sz w:val="18"/>
                <w:szCs w:val="18"/>
              </w:rPr>
            </w:pPr>
            <w:r w:rsidRPr="00EF7071">
              <w:rPr>
                <w:sz w:val="18"/>
                <w:szCs w:val="18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246BB">
              <w:rPr>
                <w:sz w:val="28"/>
                <w:szCs w:val="28"/>
              </w:rPr>
            </w:r>
            <w:r w:rsidR="00F246B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15E62160" w14:textId="77777777" w:rsidR="008A7095" w:rsidRPr="007F1D7F" w:rsidRDefault="008A7095" w:rsidP="008A7095">
      <w:pPr>
        <w:rPr>
          <w:sz w:val="18"/>
          <w:szCs w:val="18"/>
        </w:rPr>
      </w:pPr>
    </w:p>
    <w:p w14:paraId="389B18D2" w14:textId="77777777" w:rsidR="00040F0B" w:rsidRPr="008A7095" w:rsidRDefault="00040F0B" w:rsidP="008A7095"/>
    <w:sectPr w:rsidR="00040F0B" w:rsidRPr="008A7095" w:rsidSect="00094F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126" w:right="1100" w:bottom="1077" w:left="1100" w:header="284" w:footer="227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6714" w14:textId="77777777" w:rsidR="00F246BB" w:rsidRDefault="00F246BB" w:rsidP="00D30B8E">
      <w:r>
        <w:separator/>
      </w:r>
    </w:p>
  </w:endnote>
  <w:endnote w:type="continuationSeparator" w:id="0">
    <w:p w14:paraId="05130BBD" w14:textId="77777777" w:rsidR="00F246BB" w:rsidRDefault="00F246BB" w:rsidP="00D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C75A" w14:textId="77777777" w:rsidR="009D539D" w:rsidRDefault="009D539D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77D32" w14:textId="77777777" w:rsidR="009D539D" w:rsidRDefault="009D539D" w:rsidP="008074B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E978" w14:textId="77777777" w:rsidR="009D539D" w:rsidRDefault="009D539D" w:rsidP="00896E60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42E4">
      <w:rPr>
        <w:rStyle w:val="PageNumber"/>
        <w:noProof/>
      </w:rPr>
      <w:t>2</w:t>
    </w:r>
    <w:r>
      <w:rPr>
        <w:rStyle w:val="PageNumber"/>
      </w:rPr>
      <w:fldChar w:fldCharType="end"/>
    </w:r>
    <w:r w:rsidR="008B507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6324F4" wp14:editId="638D8A9E">
              <wp:simplePos x="0" y="0"/>
              <wp:positionH relativeFrom="page">
                <wp:posOffset>180340</wp:posOffset>
              </wp:positionH>
              <wp:positionV relativeFrom="page">
                <wp:posOffset>10286365</wp:posOffset>
              </wp:positionV>
              <wp:extent cx="7200265" cy="0"/>
              <wp:effectExtent l="8890" t="8890" r="10795" b="1016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47ECE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9.95pt" to="581.1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ECB9" w14:textId="77777777" w:rsidR="009D539D" w:rsidRDefault="009D539D" w:rsidP="00680746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42E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3DB6" w14:textId="77777777" w:rsidR="00F246BB" w:rsidRDefault="00F246BB" w:rsidP="00D30B8E">
      <w:r>
        <w:separator/>
      </w:r>
    </w:p>
  </w:footnote>
  <w:footnote w:type="continuationSeparator" w:id="0">
    <w:p w14:paraId="4A958C68" w14:textId="77777777" w:rsidR="00F246BB" w:rsidRDefault="00F246BB" w:rsidP="00D30B8E">
      <w:r>
        <w:continuationSeparator/>
      </w:r>
    </w:p>
  </w:footnote>
  <w:footnote w:id="1">
    <w:p w14:paraId="738CB7CB" w14:textId="77777777" w:rsidR="008A7095" w:rsidRDefault="008A70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F1D7F">
        <w:rPr>
          <w:szCs w:val="18"/>
        </w:rPr>
        <w:t xml:space="preserve">VLA staff lawyers must use the </w:t>
      </w:r>
      <w:hyperlink r:id="rId1" w:tooltip="www.legalaid.vic.gov.au/information-for-lawyers/practice-resources/criminal-law-resources" w:history="1">
        <w:r w:rsidRPr="00933E05">
          <w:rPr>
            <w:rStyle w:val="Hyperlink"/>
            <w:szCs w:val="18"/>
          </w:rPr>
          <w:t>Brief Analysis and Case Strategy, Committal Report and Trial Preparation Plan and Brief and Handover to Counsel quality tools</w:t>
        </w:r>
      </w:hyperlink>
      <w:r w:rsidRPr="007F1D7F">
        <w:rPr>
          <w:szCs w:val="18"/>
        </w:rPr>
        <w:t>. Private practitioners are not required to use the documents as long as all the required information in the quality tools is submitted to Victoria Legal Aid.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8655" w14:textId="77777777" w:rsidR="009D539D" w:rsidRDefault="009D539D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B10A46" w14:textId="77777777" w:rsidR="009D539D" w:rsidRDefault="009D539D" w:rsidP="00091AF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C217" w14:textId="77777777" w:rsidR="00DE3C33" w:rsidRPr="006A6FC6" w:rsidRDefault="00DE3C33" w:rsidP="00DE3C33">
    <w:pPr>
      <w:spacing w:after="80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</w:p>
  <w:p w14:paraId="782EC13F" w14:textId="77777777" w:rsidR="009D539D" w:rsidRPr="006A6FC6" w:rsidRDefault="00DE3C33" w:rsidP="00DE3C33">
    <w:pPr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(Document title)</w:t>
    </w:r>
    <w:r w:rsidR="008B5071" w:rsidRPr="006A6FC6">
      <w:rPr>
        <w:rFonts w:ascii="Arial Bold" w:hAnsi="Arial Bold" w:cs="Arial"/>
        <w:b/>
        <w:noProof/>
        <w:color w:val="B1005D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BE67CDE" wp14:editId="2450F8BD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396240"/>
              <wp:effectExtent l="8890" t="8255" r="10795" b="508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396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363DB" id="Straight Connector 3" o:spid="_x0000_s1026" alt=" 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4895" w14:textId="77777777" w:rsidR="00DE3C33" w:rsidRDefault="008B5071" w:rsidP="00DE3C33">
    <w:pPr>
      <w:pStyle w:val="VLAProgram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80BB168" wp14:editId="03A1ACBD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143750" cy="1076325"/>
          <wp:effectExtent l="0" t="0" r="0" b="0"/>
          <wp:wrapNone/>
          <wp:docPr id="30" name="Picture 30" descr="Victoria Legal Aid Lawyers and Leg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Victoria Legal Aid Lawyers and Leg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1E5B5D" w14:textId="77777777" w:rsidR="009D539D" w:rsidRDefault="008A7095" w:rsidP="00DE3C33">
    <w:pPr>
      <w:pStyle w:val="VLAPublicationdate"/>
    </w:pPr>
    <w:r>
      <w:t>1 February 2016</w:t>
    </w:r>
    <w:r w:rsidR="00DE3C33" w:rsidRPr="00244499">
      <w:t xml:space="preserve"> </w:t>
    </w:r>
    <w:r w:rsidR="008B5071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C6C8CD9" wp14:editId="1B6457E5">
              <wp:simplePos x="0" y="0"/>
              <wp:positionH relativeFrom="page">
                <wp:posOffset>180340</wp:posOffset>
              </wp:positionH>
              <wp:positionV relativeFrom="page">
                <wp:posOffset>10285730</wp:posOffset>
              </wp:positionV>
              <wp:extent cx="7200265" cy="0"/>
              <wp:effectExtent l="8890" t="8255" r="10795" b="10795"/>
              <wp:wrapNone/>
              <wp:docPr id="1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C5E7A" id="Line 3" o:spid="_x0000_s1026" alt=" 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9.9pt" to="581.15pt,8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" w15:restartNumberingAfterBreak="0">
    <w:nsid w:val="339B0545"/>
    <w:multiLevelType w:val="hybridMultilevel"/>
    <w:tmpl w:val="16EC9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8134211"/>
    <w:multiLevelType w:val="multilevel"/>
    <w:tmpl w:val="2138BD6C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6" w15:restartNumberingAfterBreak="0">
    <w:nsid w:val="557C3AE2"/>
    <w:multiLevelType w:val="multilevel"/>
    <w:tmpl w:val="43B62B0C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7" w15:restartNumberingAfterBreak="0">
    <w:nsid w:val="59DD487A"/>
    <w:multiLevelType w:val="hybridMultilevel"/>
    <w:tmpl w:val="030C42D0"/>
    <w:lvl w:ilvl="0" w:tplc="7C4A8D96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5748"/>
    <w:multiLevelType w:val="hybridMultilevel"/>
    <w:tmpl w:val="D45A32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22113">
    <w:abstractNumId w:val="0"/>
  </w:num>
  <w:num w:numId="2" w16cid:durableId="1844198275">
    <w:abstractNumId w:val="3"/>
  </w:num>
  <w:num w:numId="3" w16cid:durableId="896280833">
    <w:abstractNumId w:val="6"/>
  </w:num>
  <w:num w:numId="4" w16cid:durableId="914824809">
    <w:abstractNumId w:val="5"/>
  </w:num>
  <w:num w:numId="5" w16cid:durableId="1074282923">
    <w:abstractNumId w:val="6"/>
  </w:num>
  <w:num w:numId="6" w16cid:durableId="1316571113">
    <w:abstractNumId w:val="6"/>
  </w:num>
  <w:num w:numId="7" w16cid:durableId="444934542">
    <w:abstractNumId w:val="7"/>
  </w:num>
  <w:num w:numId="8" w16cid:durableId="470363404">
    <w:abstractNumId w:val="6"/>
  </w:num>
  <w:num w:numId="9" w16cid:durableId="591276339">
    <w:abstractNumId w:val="4"/>
  </w:num>
  <w:num w:numId="10" w16cid:durableId="736974769">
    <w:abstractNumId w:val="1"/>
  </w:num>
  <w:num w:numId="11" w16cid:durableId="191305153">
    <w:abstractNumId w:val="8"/>
  </w:num>
  <w:num w:numId="12" w16cid:durableId="13364233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6E2130"/>
    <w:rsid w:val="000078CE"/>
    <w:rsid w:val="000360EC"/>
    <w:rsid w:val="00040F0B"/>
    <w:rsid w:val="000525DF"/>
    <w:rsid w:val="00057FDC"/>
    <w:rsid w:val="000759A6"/>
    <w:rsid w:val="00091AFC"/>
    <w:rsid w:val="00094FE1"/>
    <w:rsid w:val="000A1C94"/>
    <w:rsid w:val="000C6955"/>
    <w:rsid w:val="000E1BEB"/>
    <w:rsid w:val="00151B7E"/>
    <w:rsid w:val="00160C7E"/>
    <w:rsid w:val="00181303"/>
    <w:rsid w:val="0021722B"/>
    <w:rsid w:val="002B73A4"/>
    <w:rsid w:val="002F7860"/>
    <w:rsid w:val="00306C10"/>
    <w:rsid w:val="00310DD1"/>
    <w:rsid w:val="00315C03"/>
    <w:rsid w:val="003224F8"/>
    <w:rsid w:val="003315F4"/>
    <w:rsid w:val="00360994"/>
    <w:rsid w:val="003655D7"/>
    <w:rsid w:val="00402557"/>
    <w:rsid w:val="004158B6"/>
    <w:rsid w:val="00427C16"/>
    <w:rsid w:val="004421BD"/>
    <w:rsid w:val="00443649"/>
    <w:rsid w:val="004707EF"/>
    <w:rsid w:val="004D7100"/>
    <w:rsid w:val="00504F13"/>
    <w:rsid w:val="005317C2"/>
    <w:rsid w:val="00546C0D"/>
    <w:rsid w:val="00574BD1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E2130"/>
    <w:rsid w:val="006F181A"/>
    <w:rsid w:val="006F2D6F"/>
    <w:rsid w:val="00714549"/>
    <w:rsid w:val="00724661"/>
    <w:rsid w:val="00781FFA"/>
    <w:rsid w:val="0078739B"/>
    <w:rsid w:val="007B0612"/>
    <w:rsid w:val="007C168B"/>
    <w:rsid w:val="007D5BA7"/>
    <w:rsid w:val="007F3162"/>
    <w:rsid w:val="008074B3"/>
    <w:rsid w:val="00847377"/>
    <w:rsid w:val="00856DA8"/>
    <w:rsid w:val="008958CB"/>
    <w:rsid w:val="00896E60"/>
    <w:rsid w:val="008A1E5F"/>
    <w:rsid w:val="008A7095"/>
    <w:rsid w:val="008B5071"/>
    <w:rsid w:val="008C388A"/>
    <w:rsid w:val="008F4DC6"/>
    <w:rsid w:val="00940614"/>
    <w:rsid w:val="00940793"/>
    <w:rsid w:val="0099270D"/>
    <w:rsid w:val="009A74F1"/>
    <w:rsid w:val="009B0D09"/>
    <w:rsid w:val="009B59BF"/>
    <w:rsid w:val="009D539D"/>
    <w:rsid w:val="009E1AC3"/>
    <w:rsid w:val="00A4395A"/>
    <w:rsid w:val="00A93509"/>
    <w:rsid w:val="00AB5376"/>
    <w:rsid w:val="00AC3D95"/>
    <w:rsid w:val="00B044A6"/>
    <w:rsid w:val="00B61E5E"/>
    <w:rsid w:val="00B85795"/>
    <w:rsid w:val="00BD3873"/>
    <w:rsid w:val="00BE36EB"/>
    <w:rsid w:val="00C16B80"/>
    <w:rsid w:val="00C33AEF"/>
    <w:rsid w:val="00C415B1"/>
    <w:rsid w:val="00C50858"/>
    <w:rsid w:val="00C61CB5"/>
    <w:rsid w:val="00C64A61"/>
    <w:rsid w:val="00C81372"/>
    <w:rsid w:val="00C84D28"/>
    <w:rsid w:val="00CB48F9"/>
    <w:rsid w:val="00CC216F"/>
    <w:rsid w:val="00CF2D05"/>
    <w:rsid w:val="00D30B8E"/>
    <w:rsid w:val="00DB42E4"/>
    <w:rsid w:val="00DD5EE1"/>
    <w:rsid w:val="00DE037E"/>
    <w:rsid w:val="00DE3C33"/>
    <w:rsid w:val="00E92D5D"/>
    <w:rsid w:val="00EF4FC5"/>
    <w:rsid w:val="00F0005B"/>
    <w:rsid w:val="00F246BB"/>
    <w:rsid w:val="00F63972"/>
    <w:rsid w:val="00FB3760"/>
    <w:rsid w:val="00F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7D34E"/>
  <w15:chartTrackingRefBased/>
  <w15:docId w15:val="{1BFF7632-030F-4CB9-B219-923BB656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095"/>
    <w:rPr>
      <w:rFonts w:ascii="Arial" w:eastAsia="Times New Roman" w:hAnsi="Arial"/>
      <w:sz w:val="21"/>
    </w:rPr>
  </w:style>
  <w:style w:type="paragraph" w:styleId="Heading1">
    <w:name w:val="heading 1"/>
    <w:next w:val="Normal"/>
    <w:qFormat/>
    <w:rsid w:val="009B0D09"/>
    <w:pPr>
      <w:keepNext/>
      <w:spacing w:before="240" w:after="240" w:line="300" w:lineRule="atLeast"/>
      <w:outlineLvl w:val="0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9B0D09"/>
    <w:pPr>
      <w:keepNext/>
      <w:spacing w:before="160" w:after="40" w:line="300" w:lineRule="atLeast"/>
      <w:outlineLvl w:val="1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0759A6"/>
    <w:pPr>
      <w:keepNext/>
      <w:spacing w:before="120" w:after="40" w:line="300" w:lineRule="atLeast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958CB"/>
    <w:pPr>
      <w:keepNext/>
      <w:numPr>
        <w:numId w:val="7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ind w:right="284"/>
      <w:outlineLvl w:val="3"/>
    </w:pPr>
  </w:style>
  <w:style w:type="paragraph" w:styleId="Heading5">
    <w:name w:val="heading 5"/>
    <w:basedOn w:val="Normal"/>
    <w:qFormat/>
    <w:locked/>
    <w:rsid w:val="008958CB"/>
    <w:pPr>
      <w:keepNext/>
      <w:numPr>
        <w:numId w:val="8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7">
    <w:name w:val="heading 7"/>
    <w:next w:val="Normal"/>
    <w:qFormat/>
    <w:locked/>
    <w:rsid w:val="00306C10"/>
    <w:pPr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1"/>
      <w:szCs w:val="24"/>
      <w:lang w:eastAsia="en-US"/>
    </w:rPr>
  </w:style>
  <w:style w:type="paragraph" w:styleId="Heading8">
    <w:name w:val="heading 8"/>
    <w:next w:val="Normal"/>
    <w:qFormat/>
    <w:locked/>
    <w:rsid w:val="00306C10"/>
    <w:pPr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qFormat/>
    <w:locked/>
    <w:rsid w:val="00306C10"/>
    <w:pPr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0759A6"/>
    <w:pPr>
      <w:tabs>
        <w:tab w:val="center" w:pos="4604"/>
        <w:tab w:val="right" w:pos="9214"/>
      </w:tabs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9B0D09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F63972"/>
    <w:pPr>
      <w:numPr>
        <w:numId w:val="10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rsid w:val="000759A6"/>
    <w:pPr>
      <w:widowControl w:val="0"/>
      <w:tabs>
        <w:tab w:val="right" w:pos="9214"/>
      </w:tabs>
      <w:spacing w:before="40" w:after="40" w:line="300" w:lineRule="atLeast"/>
    </w:pPr>
    <w:rPr>
      <w:rFonts w:ascii="Arial" w:eastAsia="Times New Roman" w:hAnsi="Arial"/>
      <w:snapToGrid w:val="0"/>
      <w:sz w:val="14"/>
      <w:lang w:eastAsia="en-US"/>
    </w:rPr>
  </w:style>
  <w:style w:type="paragraph" w:styleId="ListBullet2">
    <w:name w:val="List Bullet 2"/>
    <w:rsid w:val="000759A6"/>
    <w:pPr>
      <w:numPr>
        <w:ilvl w:val="1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306C10"/>
    <w:rPr>
      <w:rFonts w:ascii="Arial" w:hAnsi="Arial"/>
      <w:sz w:val="18"/>
    </w:rPr>
  </w:style>
  <w:style w:type="paragraph" w:styleId="ListBullet3">
    <w:name w:val="List Bullet 3"/>
    <w:rsid w:val="000759A6"/>
    <w:pPr>
      <w:numPr>
        <w:ilvl w:val="2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basedOn w:val="DefaultParagraphFont"/>
    <w:rsid w:val="00680746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680746"/>
    <w:pPr>
      <w:ind w:left="284" w:hanging="284"/>
    </w:pPr>
    <w:rPr>
      <w:sz w:val="18"/>
    </w:rPr>
  </w:style>
  <w:style w:type="paragraph" w:customStyle="1" w:styleId="AppendixH1">
    <w:name w:val="Appendix H1"/>
    <w:next w:val="Normal"/>
    <w:rsid w:val="00C61CB5"/>
    <w:pPr>
      <w:spacing w:before="240" w:after="240" w:line="300" w:lineRule="atLeast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customStyle="1" w:styleId="VLAi">
    <w:name w:val="VLA i."/>
    <w:aliases w:val="ii.,iii."/>
    <w:rsid w:val="000759A6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icture">
    <w:name w:val="VLA picture"/>
    <w:next w:val="VLAcaption"/>
    <w:rsid w:val="00306C10"/>
    <w:pPr>
      <w:spacing w:after="60" w:line="300" w:lineRule="atLeast"/>
    </w:pPr>
    <w:rPr>
      <w:rFonts w:ascii="Arial" w:eastAsia="Times New Roman" w:hAnsi="Arial"/>
      <w:szCs w:val="24"/>
      <w:lang w:eastAsia="en-US"/>
    </w:rPr>
  </w:style>
  <w:style w:type="paragraph" w:customStyle="1" w:styleId="VLAcaption">
    <w:name w:val="VLA caption"/>
    <w:next w:val="Normal"/>
    <w:rsid w:val="00306C10"/>
    <w:pPr>
      <w:spacing w:after="120" w:line="280" w:lineRule="atLeast"/>
    </w:pPr>
    <w:rPr>
      <w:rFonts w:ascii="Arial" w:eastAsia="Times New Roman" w:hAnsi="Arial"/>
      <w:i/>
      <w:sz w:val="18"/>
      <w:szCs w:val="24"/>
      <w:lang w:eastAsia="en-US"/>
    </w:rPr>
  </w:style>
  <w:style w:type="paragraph" w:customStyle="1" w:styleId="VLAquotation">
    <w:name w:val="VLA quotation"/>
    <w:next w:val="Normal"/>
    <w:rsid w:val="00310DD1"/>
    <w:pPr>
      <w:spacing w:line="240" w:lineRule="atLeast"/>
      <w:ind w:left="720"/>
    </w:pPr>
    <w:rPr>
      <w:rFonts w:ascii="Arial" w:eastAsia="Times New Roman" w:hAnsi="Arial"/>
      <w:i/>
      <w:szCs w:val="24"/>
      <w:lang w:eastAsia="en-US"/>
    </w:rPr>
  </w:style>
  <w:style w:type="paragraph" w:customStyle="1" w:styleId="VLA1">
    <w:name w:val="VLA 1."/>
    <w:aliases w:val="2.,3."/>
    <w:rsid w:val="000759A6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a">
    <w:name w:val="VLA a."/>
    <w:aliases w:val="b.,c."/>
    <w:rsid w:val="000759A6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306C10"/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basedOn w:val="DefaultParagraphFont"/>
    <w:rsid w:val="00680746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306C10"/>
    <w:pPr>
      <w:spacing w:after="80"/>
    </w:pPr>
  </w:style>
  <w:style w:type="character" w:styleId="Strong">
    <w:name w:val="Strong"/>
    <w:basedOn w:val="DefaultParagraphFont"/>
    <w:qFormat/>
    <w:locked/>
    <w:rsid w:val="00680746"/>
    <w:rPr>
      <w:b/>
      <w:bCs/>
    </w:rPr>
  </w:style>
  <w:style w:type="table" w:styleId="TableGrid">
    <w:name w:val="Table Grid"/>
    <w:basedOn w:val="TableNormal"/>
    <w:locked/>
    <w:rsid w:val="00680746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next w:val="Normal"/>
    <w:rsid w:val="00306C10"/>
    <w:pPr>
      <w:tabs>
        <w:tab w:val="left" w:pos="1701"/>
      </w:tabs>
      <w:ind w:left="1701" w:hanging="1701"/>
    </w:p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rogram">
    <w:name w:val="VLA Program"/>
    <w:basedOn w:val="Header"/>
    <w:next w:val="Normal"/>
    <w:rsid w:val="00DE3C33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F0005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NormalBold">
    <w:name w:val="Normal Bold"/>
    <w:basedOn w:val="Normal"/>
    <w:next w:val="Normal"/>
    <w:rsid w:val="00F0005B"/>
    <w:rPr>
      <w:b/>
    </w:rPr>
  </w:style>
  <w:style w:type="paragraph" w:customStyle="1" w:styleId="AppendixH2">
    <w:name w:val="Appendix H2"/>
    <w:next w:val="Normal"/>
    <w:rsid w:val="00C61CB5"/>
    <w:pPr>
      <w:spacing w:before="160" w:after="40" w:line="300" w:lineRule="atLeast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customStyle="1" w:styleId="AppendixH3">
    <w:name w:val="Appendix H3"/>
    <w:next w:val="Normal"/>
    <w:rsid w:val="008958CB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40F0B"/>
    <w:pPr>
      <w:numPr>
        <w:numId w:val="9"/>
      </w:numPr>
      <w:spacing w:before="240" w:after="240" w:line="280" w:lineRule="exact"/>
      <w:ind w:left="1760" w:hanging="1760"/>
    </w:pPr>
    <w:rPr>
      <w:rFonts w:ascii="Arial" w:eastAsia="Times New Roman" w:hAnsi="Arial" w:cs="Arial"/>
      <w:b/>
      <w:bCs/>
      <w:color w:val="B1005D"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8A70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0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information-for-lawyers/doing-legal-aid-work/delivering-high-quality-criminal-trials/action-5-implement-new-framework-for-managing-major-criminal-trials/major-criminal-cases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untycourt.vic.gov.au/sites/default/files/forms/County%20Court%20Criminal%20Division%20Practice%20Note%20PNCR%201-2015%2021.10.15_0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VLA89\users\ro8697\!Rhys\other\templates\Office%202013%20templates\handbook.vla.vic.gov.au\invoice-forms-and-worksheet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laid.vic.gov.au/information-for-lawyers/practice-resources/criminal-law-resourc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81B9-CEFF-4608-8946-6ADFA042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3464</Characters>
  <Application>Microsoft Office Word</Application>
  <DocSecurity>0</DocSecurity>
  <Lines>93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Criminal Cases Framework compliance guide</vt:lpstr>
    </vt:vector>
  </TitlesOfParts>
  <Manager/>
  <Company>Victoria Legal Aid</Company>
  <LinksUpToDate>false</LinksUpToDate>
  <CharactersWithSpaces>4040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Criminal Cases Framework compliance guide</dc:title>
  <dc:subject/>
  <dc:creator>Victoria Legal Aid</dc:creator>
  <cp:keywords/>
  <dc:description/>
  <cp:lastModifiedBy>Gabrielle Mundana</cp:lastModifiedBy>
  <cp:revision>2</cp:revision>
  <dcterms:created xsi:type="dcterms:W3CDTF">2022-04-26T05:29:00Z</dcterms:created>
  <dcterms:modified xsi:type="dcterms:W3CDTF">2022-04-26T05:29:00Z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MarkAsFinal">
    <vt:bool>true</vt:bool>
  </property>
</Properties>
</file>