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6626" w14:textId="20469CC3" w:rsidR="00E50B26" w:rsidRDefault="00627BED" w:rsidP="0082604E">
      <w:pPr>
        <w:pStyle w:val="Heading1"/>
        <w:tabs>
          <w:tab w:val="left" w:pos="2268"/>
        </w:tabs>
        <w:rPr>
          <w:sz w:val="24"/>
          <w:szCs w:val="24"/>
        </w:rPr>
      </w:pPr>
      <w:r>
        <w:t xml:space="preserve">Victoria Legal Aid </w:t>
      </w:r>
      <w:r w:rsidR="004175B7">
        <w:t>20</w:t>
      </w:r>
      <w:r w:rsidR="00214F4D">
        <w:t>2</w:t>
      </w:r>
      <w:r w:rsidR="00B378B6">
        <w:t>1</w:t>
      </w:r>
      <w:r w:rsidR="004175B7">
        <w:t>–2</w:t>
      </w:r>
      <w:r w:rsidR="00B378B6">
        <w:t>2</w:t>
      </w:r>
      <w:r w:rsidR="004175B7">
        <w:t xml:space="preserve"> </w:t>
      </w:r>
      <w:r w:rsidR="79DAA64C">
        <w:t>Q</w:t>
      </w:r>
      <w:r w:rsidR="004175B7">
        <w:t xml:space="preserve">uarter </w:t>
      </w:r>
      <w:r w:rsidR="1414C464">
        <w:t>T</w:t>
      </w:r>
      <w:r w:rsidR="00B378B6">
        <w:t>hree</w:t>
      </w:r>
      <w:r w:rsidR="00214F4D">
        <w:t xml:space="preserve"> </w:t>
      </w:r>
      <w:r w:rsidR="2FDC21A0">
        <w:t>R</w:t>
      </w:r>
      <w:r w:rsidR="004175B7">
        <w:t>eport</w:t>
      </w:r>
      <w:r w:rsidR="00544E69">
        <w:t xml:space="preserve"> </w:t>
      </w:r>
      <w:r>
        <w:br/>
      </w:r>
      <w:r w:rsidR="00DC4815" w:rsidRPr="79C9147B">
        <w:rPr>
          <w:sz w:val="24"/>
          <w:szCs w:val="24"/>
        </w:rPr>
        <w:t>1 J</w:t>
      </w:r>
      <w:r w:rsidR="00B378B6">
        <w:rPr>
          <w:sz w:val="24"/>
          <w:szCs w:val="24"/>
        </w:rPr>
        <w:t>anuary</w:t>
      </w:r>
      <w:r w:rsidR="00544E69" w:rsidRPr="79C9147B">
        <w:rPr>
          <w:sz w:val="24"/>
          <w:szCs w:val="24"/>
        </w:rPr>
        <w:t xml:space="preserve"> – </w:t>
      </w:r>
      <w:r w:rsidR="00DC4815" w:rsidRPr="79C9147B">
        <w:rPr>
          <w:sz w:val="24"/>
          <w:szCs w:val="24"/>
        </w:rPr>
        <w:t>3</w:t>
      </w:r>
      <w:r w:rsidR="00B378B6">
        <w:rPr>
          <w:sz w:val="24"/>
          <w:szCs w:val="24"/>
        </w:rPr>
        <w:t>1</w:t>
      </w:r>
      <w:r w:rsidR="00DC4815" w:rsidRPr="79C9147B">
        <w:rPr>
          <w:sz w:val="24"/>
          <w:szCs w:val="24"/>
        </w:rPr>
        <w:t xml:space="preserve"> </w:t>
      </w:r>
      <w:r w:rsidR="00B378B6">
        <w:rPr>
          <w:sz w:val="24"/>
          <w:szCs w:val="24"/>
        </w:rPr>
        <w:t>March</w:t>
      </w:r>
      <w:r w:rsidR="00DC4815" w:rsidRPr="79C9147B">
        <w:rPr>
          <w:sz w:val="24"/>
          <w:szCs w:val="24"/>
        </w:rPr>
        <w:t xml:space="preserve"> </w:t>
      </w:r>
      <w:r w:rsidR="00544E69" w:rsidRPr="79C9147B">
        <w:rPr>
          <w:sz w:val="24"/>
          <w:szCs w:val="24"/>
        </w:rPr>
        <w:t>20</w:t>
      </w:r>
      <w:r w:rsidR="00DC4815" w:rsidRPr="79C9147B">
        <w:rPr>
          <w:sz w:val="24"/>
          <w:szCs w:val="24"/>
        </w:rPr>
        <w:t>2</w:t>
      </w:r>
      <w:r w:rsidR="00B378B6">
        <w:rPr>
          <w:sz w:val="24"/>
          <w:szCs w:val="24"/>
        </w:rPr>
        <w:t>2</w:t>
      </w:r>
    </w:p>
    <w:p w14:paraId="518903F1" w14:textId="52E9E7BF" w:rsidR="005128D9" w:rsidRPr="005128D9" w:rsidRDefault="00BF1E92" w:rsidP="00871D98">
      <w:pPr>
        <w:pStyle w:val="Heading2"/>
      </w:pPr>
      <w:r>
        <w:t xml:space="preserve">Message from the </w:t>
      </w:r>
      <w:r w:rsidRPr="001F0CF5">
        <w:t>CEO</w:t>
      </w:r>
    </w:p>
    <w:p w14:paraId="43AF092A" w14:textId="77777777" w:rsidR="007977A3" w:rsidRPr="0036609D" w:rsidRDefault="007977A3">
      <w:pPr>
        <w:spacing w:after="0" w:line="240" w:lineRule="auto"/>
        <w:rPr>
          <w:sz w:val="28"/>
          <w:szCs w:val="32"/>
        </w:rPr>
      </w:pPr>
    </w:p>
    <w:p w14:paraId="5F13DC4A" w14:textId="44861640" w:rsidR="0036609D" w:rsidRDefault="005D6436" w:rsidP="00BB0DFC">
      <w:pPr>
        <w:spacing w:line="300" w:lineRule="exact"/>
        <w:rPr>
          <w:rFonts w:cs="Arial"/>
          <w:color w:val="333333"/>
          <w:szCs w:val="22"/>
          <w:shd w:val="clear" w:color="auto" w:fill="FFFFFF"/>
        </w:rPr>
      </w:pPr>
      <w:r>
        <w:rPr>
          <w:rFonts w:cs="Arial"/>
          <w:color w:val="333333"/>
          <w:szCs w:val="22"/>
          <w:shd w:val="clear" w:color="auto" w:fill="FFFFFF"/>
        </w:rPr>
        <w:t xml:space="preserve">March 2022 marked two years since the start of the </w:t>
      </w:r>
      <w:r w:rsidR="000E3EAD">
        <w:rPr>
          <w:rFonts w:cs="Arial"/>
          <w:color w:val="333333"/>
          <w:szCs w:val="22"/>
          <w:shd w:val="clear" w:color="auto" w:fill="FFFFFF"/>
        </w:rPr>
        <w:t xml:space="preserve">ongoing </w:t>
      </w:r>
      <w:r>
        <w:rPr>
          <w:rFonts w:cs="Arial"/>
          <w:color w:val="333333"/>
          <w:szCs w:val="22"/>
          <w:shd w:val="clear" w:color="auto" w:fill="FFFFFF"/>
        </w:rPr>
        <w:t>COVID-19 pandemic</w:t>
      </w:r>
      <w:r w:rsidR="004626F6">
        <w:rPr>
          <w:rFonts w:cs="Arial"/>
          <w:color w:val="333333"/>
          <w:szCs w:val="22"/>
          <w:shd w:val="clear" w:color="auto" w:fill="FFFFFF"/>
        </w:rPr>
        <w:t>.</w:t>
      </w:r>
      <w:r w:rsidR="002F59BB">
        <w:rPr>
          <w:rFonts w:cs="Arial"/>
          <w:color w:val="333333"/>
          <w:szCs w:val="22"/>
          <w:shd w:val="clear" w:color="auto" w:fill="FFFFFF"/>
        </w:rPr>
        <w:t xml:space="preserve"> As restrictions are ease</w:t>
      </w:r>
      <w:r w:rsidR="000E3EAD">
        <w:rPr>
          <w:rFonts w:cs="Arial"/>
          <w:color w:val="333333"/>
          <w:szCs w:val="22"/>
          <w:shd w:val="clear" w:color="auto" w:fill="FFFFFF"/>
        </w:rPr>
        <w:t>d</w:t>
      </w:r>
      <w:r w:rsidR="002F59BB">
        <w:rPr>
          <w:rFonts w:cs="Arial"/>
          <w:color w:val="333333"/>
          <w:szCs w:val="22"/>
          <w:shd w:val="clear" w:color="auto" w:fill="FFFFFF"/>
        </w:rPr>
        <w:t>,</w:t>
      </w:r>
      <w:r w:rsidR="00C70C84">
        <w:rPr>
          <w:rFonts w:cs="Arial"/>
          <w:color w:val="333333"/>
          <w:szCs w:val="22"/>
          <w:shd w:val="clear" w:color="auto" w:fill="FFFFFF"/>
        </w:rPr>
        <w:t xml:space="preserve"> </w:t>
      </w:r>
      <w:r w:rsidR="002F59BB">
        <w:rPr>
          <w:rFonts w:cs="Arial"/>
          <w:color w:val="333333"/>
          <w:szCs w:val="22"/>
          <w:shd w:val="clear" w:color="auto" w:fill="FFFFFF"/>
        </w:rPr>
        <w:t>a</w:t>
      </w:r>
      <w:r w:rsidR="001D255D">
        <w:rPr>
          <w:rFonts w:cs="Arial"/>
          <w:color w:val="333333"/>
          <w:szCs w:val="22"/>
          <w:shd w:val="clear" w:color="auto" w:fill="FFFFFF"/>
        </w:rPr>
        <w:t xml:space="preserve"> transition back to face-to-face services </w:t>
      </w:r>
      <w:r w:rsidR="002F59BB">
        <w:rPr>
          <w:rFonts w:cs="Arial"/>
          <w:color w:val="333333"/>
          <w:szCs w:val="22"/>
          <w:shd w:val="clear" w:color="auto" w:fill="FFFFFF"/>
        </w:rPr>
        <w:t>is beginning across</w:t>
      </w:r>
      <w:r w:rsidR="0036609D" w:rsidRPr="0036609D">
        <w:rPr>
          <w:rFonts w:cs="Arial"/>
          <w:color w:val="333333"/>
          <w:szCs w:val="22"/>
          <w:shd w:val="clear" w:color="auto" w:fill="FFFFFF"/>
        </w:rPr>
        <w:t xml:space="preserve"> courts in Victoria</w:t>
      </w:r>
      <w:r w:rsidR="00DA3B5C">
        <w:rPr>
          <w:rFonts w:cs="Arial"/>
          <w:color w:val="333333"/>
          <w:szCs w:val="22"/>
          <w:shd w:val="clear" w:color="auto" w:fill="FFFFFF"/>
        </w:rPr>
        <w:t xml:space="preserve">. </w:t>
      </w:r>
      <w:r w:rsidR="00CA47A1">
        <w:rPr>
          <w:rFonts w:cs="Arial"/>
          <w:color w:val="333333"/>
          <w:szCs w:val="22"/>
          <w:shd w:val="clear" w:color="auto" w:fill="FFFFFF"/>
        </w:rPr>
        <w:t xml:space="preserve">We will be focusing </w:t>
      </w:r>
      <w:r w:rsidR="00B07065">
        <w:rPr>
          <w:rFonts w:cs="Arial"/>
          <w:color w:val="333333"/>
          <w:szCs w:val="22"/>
          <w:shd w:val="clear" w:color="auto" w:fill="FFFFFF"/>
        </w:rPr>
        <w:t xml:space="preserve">on supporting both the </w:t>
      </w:r>
      <w:r w:rsidR="00DA3B5C">
        <w:rPr>
          <w:rFonts w:cs="Arial"/>
          <w:color w:val="333333"/>
          <w:szCs w:val="22"/>
          <w:shd w:val="clear" w:color="auto" w:fill="FFFFFF"/>
        </w:rPr>
        <w:t>c</w:t>
      </w:r>
      <w:r w:rsidR="00B07065">
        <w:rPr>
          <w:rFonts w:cs="Arial"/>
          <w:color w:val="333333"/>
          <w:szCs w:val="22"/>
          <w:shd w:val="clear" w:color="auto" w:fill="FFFFFF"/>
        </w:rPr>
        <w:t>ourts and clients to ensure we are providing services</w:t>
      </w:r>
      <w:r w:rsidR="006E7589">
        <w:rPr>
          <w:rFonts w:cs="Arial"/>
          <w:color w:val="333333"/>
          <w:szCs w:val="22"/>
          <w:shd w:val="clear" w:color="auto" w:fill="FFFFFF"/>
        </w:rPr>
        <w:t xml:space="preserve"> in line with client needs</w:t>
      </w:r>
      <w:r w:rsidR="00321A8E">
        <w:rPr>
          <w:rFonts w:cs="Arial"/>
          <w:color w:val="333333"/>
          <w:szCs w:val="22"/>
          <w:shd w:val="clear" w:color="auto" w:fill="FFFFFF"/>
        </w:rPr>
        <w:t xml:space="preserve"> and that they </w:t>
      </w:r>
      <w:r w:rsidR="003621CB">
        <w:rPr>
          <w:rFonts w:cs="Arial"/>
          <w:color w:val="333333"/>
          <w:szCs w:val="22"/>
          <w:shd w:val="clear" w:color="auto" w:fill="FFFFFF"/>
        </w:rPr>
        <w:t>receive</w:t>
      </w:r>
      <w:r w:rsidR="00321A8E">
        <w:rPr>
          <w:rFonts w:cs="Arial"/>
          <w:color w:val="333333"/>
          <w:szCs w:val="22"/>
          <w:shd w:val="clear" w:color="auto" w:fill="FFFFFF"/>
        </w:rPr>
        <w:t xml:space="preserve"> the most appropriate hearing type – either </w:t>
      </w:r>
      <w:r w:rsidR="001B4CEA">
        <w:rPr>
          <w:rFonts w:cs="Arial"/>
          <w:color w:val="333333"/>
          <w:szCs w:val="22"/>
          <w:shd w:val="clear" w:color="auto" w:fill="FFFFFF"/>
        </w:rPr>
        <w:t xml:space="preserve">remote </w:t>
      </w:r>
      <w:r w:rsidR="00321A8E">
        <w:rPr>
          <w:rFonts w:cs="Arial"/>
          <w:color w:val="333333"/>
          <w:szCs w:val="22"/>
          <w:shd w:val="clear" w:color="auto" w:fill="FFFFFF"/>
        </w:rPr>
        <w:t xml:space="preserve">or </w:t>
      </w:r>
      <w:r w:rsidR="001B4CEA">
        <w:rPr>
          <w:rFonts w:cs="Arial"/>
          <w:color w:val="333333"/>
          <w:szCs w:val="22"/>
          <w:shd w:val="clear" w:color="auto" w:fill="FFFFFF"/>
        </w:rPr>
        <w:t xml:space="preserve">in-person. </w:t>
      </w:r>
      <w:r w:rsidR="004A1F4D">
        <w:rPr>
          <w:rFonts w:cs="Arial"/>
          <w:color w:val="333333"/>
          <w:szCs w:val="22"/>
          <w:shd w:val="clear" w:color="auto" w:fill="FFFFFF"/>
        </w:rPr>
        <w:t>COVID</w:t>
      </w:r>
      <w:r w:rsidR="003440DD">
        <w:rPr>
          <w:rFonts w:cs="Arial"/>
          <w:color w:val="333333"/>
          <w:szCs w:val="22"/>
          <w:shd w:val="clear" w:color="auto" w:fill="FFFFFF"/>
        </w:rPr>
        <w:t>-Safe measures</w:t>
      </w:r>
      <w:r w:rsidR="00673163">
        <w:rPr>
          <w:rFonts w:cs="Arial"/>
          <w:color w:val="333333"/>
          <w:szCs w:val="22"/>
          <w:shd w:val="clear" w:color="auto" w:fill="FFFFFF"/>
        </w:rPr>
        <w:t xml:space="preserve"> are</w:t>
      </w:r>
      <w:r w:rsidR="003440DD">
        <w:rPr>
          <w:rFonts w:cs="Arial"/>
          <w:color w:val="333333"/>
          <w:szCs w:val="22"/>
          <w:shd w:val="clear" w:color="auto" w:fill="FFFFFF"/>
        </w:rPr>
        <w:t xml:space="preserve"> in place across all </w:t>
      </w:r>
      <w:r w:rsidR="00CC1A69">
        <w:rPr>
          <w:rFonts w:cs="Arial"/>
          <w:color w:val="333333"/>
          <w:szCs w:val="22"/>
          <w:shd w:val="clear" w:color="auto" w:fill="FFFFFF"/>
        </w:rPr>
        <w:t xml:space="preserve">court </w:t>
      </w:r>
      <w:r w:rsidR="003440DD">
        <w:rPr>
          <w:rFonts w:cs="Arial"/>
          <w:color w:val="333333"/>
          <w:szCs w:val="22"/>
          <w:shd w:val="clear" w:color="auto" w:fill="FFFFFF"/>
        </w:rPr>
        <w:t>buildings</w:t>
      </w:r>
      <w:r w:rsidR="008E005A">
        <w:rPr>
          <w:rFonts w:cs="Arial"/>
          <w:color w:val="333333"/>
          <w:szCs w:val="22"/>
          <w:shd w:val="clear" w:color="auto" w:fill="FFFFFF"/>
        </w:rPr>
        <w:t xml:space="preserve"> </w:t>
      </w:r>
      <w:r w:rsidR="00CC1A69">
        <w:rPr>
          <w:rFonts w:cs="Arial"/>
          <w:color w:val="333333"/>
          <w:szCs w:val="22"/>
          <w:shd w:val="clear" w:color="auto" w:fill="FFFFFF"/>
        </w:rPr>
        <w:t>and Victoria Legal Aid (VLA) offices</w:t>
      </w:r>
      <w:r w:rsidR="001B4CEA">
        <w:rPr>
          <w:rFonts w:cs="Arial"/>
          <w:color w:val="333333"/>
          <w:szCs w:val="22"/>
          <w:shd w:val="clear" w:color="auto" w:fill="FFFFFF"/>
        </w:rPr>
        <w:t xml:space="preserve"> to ensure the safety of our clients and staff</w:t>
      </w:r>
      <w:r w:rsidR="00321A8E">
        <w:rPr>
          <w:rFonts w:cs="Arial"/>
          <w:color w:val="333333"/>
          <w:szCs w:val="22"/>
          <w:shd w:val="clear" w:color="auto" w:fill="FFFFFF"/>
        </w:rPr>
        <w:t>.</w:t>
      </w:r>
      <w:r w:rsidR="006707DA">
        <w:rPr>
          <w:rFonts w:cs="Arial"/>
          <w:color w:val="333333"/>
          <w:szCs w:val="22"/>
          <w:shd w:val="clear" w:color="auto" w:fill="FFFFFF"/>
        </w:rPr>
        <w:t xml:space="preserve"> </w:t>
      </w:r>
    </w:p>
    <w:p w14:paraId="0A0A510F" w14:textId="66D6A863" w:rsidR="00064C49" w:rsidRDefault="00777089" w:rsidP="00BB0DFC">
      <w:pPr>
        <w:spacing w:line="300" w:lineRule="exact"/>
        <w:rPr>
          <w:rFonts w:cs="Arial"/>
          <w:color w:val="333333"/>
          <w:szCs w:val="22"/>
          <w:shd w:val="clear" w:color="auto" w:fill="FFFFFF"/>
        </w:rPr>
      </w:pPr>
      <w:r>
        <w:rPr>
          <w:rFonts w:cs="Arial"/>
          <w:color w:val="333333"/>
          <w:szCs w:val="22"/>
          <w:shd w:val="clear" w:color="auto" w:fill="FFFFFF"/>
        </w:rPr>
        <w:t xml:space="preserve">Courts are facing </w:t>
      </w:r>
      <w:r w:rsidR="00AD193D">
        <w:rPr>
          <w:rFonts w:cs="Arial"/>
          <w:color w:val="333333"/>
          <w:szCs w:val="22"/>
          <w:shd w:val="clear" w:color="auto" w:fill="FFFFFF"/>
        </w:rPr>
        <w:t xml:space="preserve">significant pressure to address the backlog in cases created by the pandemic. </w:t>
      </w:r>
      <w:r w:rsidR="00006EAD">
        <w:rPr>
          <w:rFonts w:cs="Arial"/>
          <w:color w:val="333333"/>
          <w:szCs w:val="22"/>
          <w:shd w:val="clear" w:color="auto" w:fill="FFFFFF"/>
        </w:rPr>
        <w:t xml:space="preserve">However, there are also </w:t>
      </w:r>
      <w:r w:rsidR="00257720">
        <w:rPr>
          <w:rFonts w:cs="Arial"/>
          <w:color w:val="333333"/>
          <w:szCs w:val="22"/>
          <w:shd w:val="clear" w:color="auto" w:fill="FFFFFF"/>
        </w:rPr>
        <w:t xml:space="preserve">opportunities </w:t>
      </w:r>
      <w:r w:rsidR="00006EAD">
        <w:rPr>
          <w:rFonts w:cs="Arial"/>
          <w:color w:val="333333"/>
          <w:szCs w:val="22"/>
          <w:shd w:val="clear" w:color="auto" w:fill="FFFFFF"/>
        </w:rPr>
        <w:t xml:space="preserve">for innovation </w:t>
      </w:r>
      <w:r w:rsidR="003E51F8">
        <w:rPr>
          <w:rFonts w:cs="Arial"/>
          <w:color w:val="333333"/>
          <w:szCs w:val="22"/>
          <w:shd w:val="clear" w:color="auto" w:fill="FFFFFF"/>
        </w:rPr>
        <w:t xml:space="preserve">and for a focus on restorative justice processes </w:t>
      </w:r>
      <w:r w:rsidR="00257720">
        <w:rPr>
          <w:rFonts w:cs="Arial"/>
          <w:color w:val="333333"/>
          <w:szCs w:val="22"/>
          <w:shd w:val="clear" w:color="auto" w:fill="FFFFFF"/>
        </w:rPr>
        <w:t xml:space="preserve">to address </w:t>
      </w:r>
      <w:r w:rsidR="00240CB6">
        <w:rPr>
          <w:rFonts w:cs="Arial"/>
          <w:color w:val="333333"/>
          <w:szCs w:val="22"/>
          <w:shd w:val="clear" w:color="auto" w:fill="FFFFFF"/>
        </w:rPr>
        <w:t>systemic issues that further entrench communities and individuals in</w:t>
      </w:r>
      <w:r w:rsidR="00ED72CF">
        <w:rPr>
          <w:rFonts w:cs="Arial"/>
          <w:color w:val="333333"/>
          <w:szCs w:val="22"/>
          <w:shd w:val="clear" w:color="auto" w:fill="FFFFFF"/>
        </w:rPr>
        <w:t>to</w:t>
      </w:r>
      <w:r w:rsidR="00240CB6">
        <w:rPr>
          <w:rFonts w:cs="Arial"/>
          <w:color w:val="333333"/>
          <w:szCs w:val="22"/>
          <w:shd w:val="clear" w:color="auto" w:fill="FFFFFF"/>
        </w:rPr>
        <w:t xml:space="preserve"> the criminal justice system</w:t>
      </w:r>
      <w:r w:rsidR="00ED72CF">
        <w:rPr>
          <w:rFonts w:cs="Arial"/>
          <w:color w:val="333333"/>
          <w:szCs w:val="22"/>
          <w:shd w:val="clear" w:color="auto" w:fill="FFFFFF"/>
        </w:rPr>
        <w:t>. We</w:t>
      </w:r>
      <w:r w:rsidR="00DD530C">
        <w:rPr>
          <w:rFonts w:cs="Arial"/>
          <w:color w:val="333333"/>
          <w:szCs w:val="22"/>
          <w:shd w:val="clear" w:color="auto" w:fill="FFFFFF"/>
        </w:rPr>
        <w:t xml:space="preserve"> strongly</w:t>
      </w:r>
      <w:r w:rsidR="00ED72CF">
        <w:rPr>
          <w:rFonts w:cs="Arial"/>
          <w:color w:val="333333"/>
          <w:szCs w:val="22"/>
          <w:shd w:val="clear" w:color="auto" w:fill="FFFFFF"/>
        </w:rPr>
        <w:t xml:space="preserve"> support </w:t>
      </w:r>
      <w:r w:rsidR="00DD684C">
        <w:rPr>
          <w:rFonts w:cs="Arial"/>
          <w:color w:val="333333"/>
          <w:szCs w:val="22"/>
          <w:shd w:val="clear" w:color="auto" w:fill="FFFFFF"/>
        </w:rPr>
        <w:t>many</w:t>
      </w:r>
      <w:r w:rsidR="001D7959">
        <w:rPr>
          <w:rFonts w:cs="Arial"/>
          <w:color w:val="333333"/>
          <w:szCs w:val="22"/>
          <w:shd w:val="clear" w:color="auto" w:fill="FFFFFF"/>
        </w:rPr>
        <w:t xml:space="preserve"> of the recommendations that have b</w:t>
      </w:r>
      <w:r w:rsidR="00DD684C">
        <w:rPr>
          <w:rFonts w:cs="Arial"/>
          <w:color w:val="333333"/>
          <w:szCs w:val="22"/>
          <w:shd w:val="clear" w:color="auto" w:fill="FFFFFF"/>
        </w:rPr>
        <w:t>e</w:t>
      </w:r>
      <w:r w:rsidR="001D7959">
        <w:rPr>
          <w:rFonts w:cs="Arial"/>
          <w:color w:val="333333"/>
          <w:szCs w:val="22"/>
          <w:shd w:val="clear" w:color="auto" w:fill="FFFFFF"/>
        </w:rPr>
        <w:t>en made by the Victorian</w:t>
      </w:r>
      <w:r w:rsidR="001F3018">
        <w:rPr>
          <w:rFonts w:cs="Arial"/>
          <w:color w:val="333333"/>
          <w:szCs w:val="22"/>
          <w:shd w:val="clear" w:color="auto" w:fill="FFFFFF"/>
        </w:rPr>
        <w:t xml:space="preserve"> Parliament</w:t>
      </w:r>
      <w:r w:rsidR="004B28F5">
        <w:rPr>
          <w:rFonts w:cs="Arial"/>
          <w:color w:val="333333"/>
          <w:szCs w:val="22"/>
          <w:shd w:val="clear" w:color="auto" w:fill="FFFFFF"/>
        </w:rPr>
        <w:t>'</w:t>
      </w:r>
      <w:r w:rsidR="001F3018">
        <w:rPr>
          <w:rFonts w:cs="Arial"/>
          <w:color w:val="333333"/>
          <w:szCs w:val="22"/>
          <w:shd w:val="clear" w:color="auto" w:fill="FFFFFF"/>
        </w:rPr>
        <w:t xml:space="preserve">s Legal and Social Affairs Committee </w:t>
      </w:r>
      <w:r w:rsidR="00E834A8">
        <w:rPr>
          <w:rFonts w:cs="Arial"/>
          <w:color w:val="333333"/>
          <w:szCs w:val="22"/>
          <w:shd w:val="clear" w:color="auto" w:fill="FFFFFF"/>
        </w:rPr>
        <w:t xml:space="preserve">that would contribute towards </w:t>
      </w:r>
      <w:hyperlink r:id="rId11" w:history="1">
        <w:r w:rsidR="00E834A8" w:rsidRPr="006F387F">
          <w:rPr>
            <w:rStyle w:val="Hyperlink"/>
            <w:rFonts w:cs="Arial"/>
            <w:szCs w:val="22"/>
            <w:shd w:val="clear" w:color="auto" w:fill="FFFFFF"/>
          </w:rPr>
          <w:t>a fairer and more effective criminal justice system</w:t>
        </w:r>
      </w:hyperlink>
      <w:r w:rsidR="00E834A8">
        <w:rPr>
          <w:rFonts w:cs="Arial"/>
          <w:color w:val="333333"/>
          <w:szCs w:val="22"/>
          <w:shd w:val="clear" w:color="auto" w:fill="FFFFFF"/>
        </w:rPr>
        <w:t xml:space="preserve">. </w:t>
      </w:r>
    </w:p>
    <w:p w14:paraId="2DD52710" w14:textId="266941C4" w:rsidR="00F95192" w:rsidRPr="0036609D" w:rsidRDefault="00F95192" w:rsidP="00BB0DFC">
      <w:pPr>
        <w:spacing w:line="300" w:lineRule="exact"/>
        <w:rPr>
          <w:rFonts w:cs="Arial"/>
          <w:color w:val="333333"/>
          <w:shd w:val="clear" w:color="auto" w:fill="FFFFFF"/>
        </w:rPr>
      </w:pPr>
      <w:r w:rsidRPr="181F2593">
        <w:rPr>
          <w:rFonts w:cs="Arial"/>
          <w:color w:val="333333"/>
          <w:shd w:val="clear" w:color="auto" w:fill="FFFFFF"/>
        </w:rPr>
        <w:t>We</w:t>
      </w:r>
      <w:r w:rsidR="00AC3769">
        <w:rPr>
          <w:rFonts w:cs="Arial"/>
          <w:color w:val="333333"/>
          <w:shd w:val="clear" w:color="auto" w:fill="FFFFFF"/>
        </w:rPr>
        <w:t xml:space="preserve"> have</w:t>
      </w:r>
      <w:r w:rsidRPr="181F2593">
        <w:rPr>
          <w:rFonts w:cs="Arial"/>
          <w:color w:val="333333"/>
          <w:shd w:val="clear" w:color="auto" w:fill="FFFFFF"/>
        </w:rPr>
        <w:t xml:space="preserve"> launched </w:t>
      </w:r>
      <w:bookmarkStart w:id="0" w:name="_Int_96qJgkDQ"/>
      <w:r w:rsidRPr="181F2593">
        <w:rPr>
          <w:rFonts w:cs="Arial"/>
          <w:color w:val="333333"/>
          <w:shd w:val="clear" w:color="auto" w:fill="FFFFFF"/>
        </w:rPr>
        <w:t>our</w:t>
      </w:r>
      <w:bookmarkEnd w:id="0"/>
      <w:r w:rsidRPr="181F2593">
        <w:rPr>
          <w:rFonts w:cs="Arial"/>
          <w:color w:val="333333"/>
          <w:shd w:val="clear" w:color="auto" w:fill="FFFFFF"/>
        </w:rPr>
        <w:t xml:space="preserve"> </w:t>
      </w:r>
      <w:hyperlink r:id="rId12" w:history="1">
        <w:r w:rsidR="001A626B">
          <w:rPr>
            <w:rStyle w:val="Hyperlink"/>
            <w:rFonts w:cs="Arial"/>
            <w:shd w:val="clear" w:color="auto" w:fill="FFFFFF"/>
          </w:rPr>
          <w:t>Outcomes Framework 2022–30</w:t>
        </w:r>
      </w:hyperlink>
      <w:r w:rsidRPr="181F2593">
        <w:rPr>
          <w:rFonts w:cs="Arial"/>
          <w:color w:val="333333"/>
          <w:shd w:val="clear" w:color="auto" w:fill="FFFFFF"/>
        </w:rPr>
        <w:t>, which defines the intended outcomes of our work and the differences we want our services to make for our clients and the Victorian community. The framework will guide our services, programs and strategies over the next eight years and help us achieve positive outcomes for people seeking help with their legal and related problems. Taking an outcomes and evidence-based approach to our services will make them more responsive to the needs and voices of our clients.</w:t>
      </w:r>
    </w:p>
    <w:p w14:paraId="6D186E76" w14:textId="55E02DC9" w:rsidR="007F12B8" w:rsidRDefault="009C70F9" w:rsidP="00BB0DFC">
      <w:pPr>
        <w:spacing w:line="300" w:lineRule="exact"/>
        <w:rPr>
          <w:rFonts w:cs="Arial"/>
          <w:color w:val="333333"/>
          <w:shd w:val="clear" w:color="auto" w:fill="FFFFFF"/>
        </w:rPr>
      </w:pPr>
      <w:r>
        <w:rPr>
          <w:rFonts w:cs="Arial"/>
          <w:color w:val="333333"/>
          <w:shd w:val="clear" w:color="auto" w:fill="FFFFFF"/>
        </w:rPr>
        <w:t>We</w:t>
      </w:r>
      <w:r w:rsidR="007977A3" w:rsidRPr="181F2593">
        <w:rPr>
          <w:rFonts w:cs="Arial"/>
          <w:color w:val="333333"/>
          <w:shd w:val="clear" w:color="auto" w:fill="FFFFFF"/>
        </w:rPr>
        <w:t xml:space="preserve"> formally launched our new </w:t>
      </w:r>
      <w:hyperlink r:id="rId13" w:history="1">
        <w:r w:rsidR="007977A3" w:rsidRPr="181F2593">
          <w:rPr>
            <w:rStyle w:val="Hyperlink"/>
            <w:rFonts w:cs="Arial"/>
            <w:shd w:val="clear" w:color="auto" w:fill="FFFFFF"/>
          </w:rPr>
          <w:t>Equitable Briefing Strategy</w:t>
        </w:r>
      </w:hyperlink>
      <w:r w:rsidR="007977A3" w:rsidRPr="181F2593">
        <w:rPr>
          <w:rFonts w:cs="Arial"/>
          <w:color w:val="333333"/>
          <w:shd w:val="clear" w:color="auto" w:fill="FFFFFF"/>
        </w:rPr>
        <w:t xml:space="preserve"> at </w:t>
      </w:r>
      <w:r w:rsidR="00C07973">
        <w:rPr>
          <w:rFonts w:cs="Arial"/>
          <w:color w:val="333333"/>
          <w:shd w:val="clear" w:color="auto" w:fill="FFFFFF"/>
        </w:rPr>
        <w:t>VLA’s</w:t>
      </w:r>
      <w:r w:rsidR="007977A3" w:rsidRPr="181F2593">
        <w:rPr>
          <w:rFonts w:cs="Arial"/>
          <w:color w:val="333333"/>
          <w:shd w:val="clear" w:color="auto" w:fill="FFFFFF"/>
        </w:rPr>
        <w:t xml:space="preserve"> International Women</w:t>
      </w:r>
      <w:r w:rsidR="004B28F5">
        <w:rPr>
          <w:rFonts w:cs="Arial"/>
          <w:color w:val="333333"/>
          <w:shd w:val="clear" w:color="auto" w:fill="FFFFFF"/>
        </w:rPr>
        <w:t>'</w:t>
      </w:r>
      <w:r w:rsidR="007977A3" w:rsidRPr="181F2593">
        <w:rPr>
          <w:rFonts w:cs="Arial"/>
          <w:color w:val="333333"/>
          <w:shd w:val="clear" w:color="auto" w:fill="FFFFFF"/>
        </w:rPr>
        <w:t>s Day event.</w:t>
      </w:r>
      <w:r w:rsidR="008C3AB0" w:rsidRPr="181F2593">
        <w:rPr>
          <w:rFonts w:cs="Arial"/>
          <w:color w:val="333333"/>
          <w:shd w:val="clear" w:color="auto" w:fill="FFFFFF"/>
        </w:rPr>
        <w:t xml:space="preserve"> The </w:t>
      </w:r>
      <w:r w:rsidR="005E4AD1">
        <w:rPr>
          <w:rFonts w:cs="Arial"/>
          <w:color w:val="333333"/>
          <w:shd w:val="clear" w:color="auto" w:fill="FFFFFF"/>
        </w:rPr>
        <w:t>s</w:t>
      </w:r>
      <w:r w:rsidR="008C3AB0" w:rsidRPr="181F2593">
        <w:rPr>
          <w:rFonts w:cs="Arial"/>
          <w:color w:val="333333"/>
          <w:shd w:val="clear" w:color="auto" w:fill="FFFFFF"/>
        </w:rPr>
        <w:t>trategy sets annual targets to improve the number of women and counsel from diverse backgrounds we brief, both for in-house matters and via private practitioners.</w:t>
      </w:r>
      <w:r w:rsidR="003D7B4F" w:rsidRPr="181F2593">
        <w:rPr>
          <w:rFonts w:cs="Arial"/>
          <w:color w:val="333333"/>
          <w:shd w:val="clear" w:color="auto" w:fill="FFFFFF"/>
        </w:rPr>
        <w:t xml:space="preserve"> </w:t>
      </w:r>
      <w:r w:rsidR="005E3A00">
        <w:rPr>
          <w:rFonts w:cs="Arial"/>
          <w:color w:val="333333"/>
          <w:shd w:val="clear" w:color="auto" w:fill="FFFFFF"/>
        </w:rPr>
        <w:t xml:space="preserve">It also </w:t>
      </w:r>
      <w:r w:rsidR="003D7B4F" w:rsidRPr="181F2593">
        <w:rPr>
          <w:rFonts w:cs="Arial"/>
          <w:color w:val="333333"/>
          <w:shd w:val="clear" w:color="auto" w:fill="FFFFFF"/>
        </w:rPr>
        <w:t xml:space="preserve">commits </w:t>
      </w:r>
      <w:r w:rsidR="005E3A00">
        <w:rPr>
          <w:rFonts w:cs="Arial"/>
          <w:color w:val="333333"/>
          <w:shd w:val="clear" w:color="auto" w:fill="FFFFFF"/>
        </w:rPr>
        <w:t xml:space="preserve">VLA </w:t>
      </w:r>
      <w:r w:rsidR="003D7B4F" w:rsidRPr="181F2593">
        <w:rPr>
          <w:rFonts w:cs="Arial"/>
          <w:color w:val="333333"/>
          <w:shd w:val="clear" w:color="auto" w:fill="FFFFFF"/>
        </w:rPr>
        <w:t>and our partners to abide by a set of briefing considerations and management oversight, ensuring we all make consistent</w:t>
      </w:r>
      <w:r w:rsidR="00C4488F">
        <w:rPr>
          <w:rFonts w:cs="Arial"/>
          <w:color w:val="333333"/>
          <w:shd w:val="clear" w:color="auto" w:fill="FFFFFF"/>
        </w:rPr>
        <w:t xml:space="preserve"> </w:t>
      </w:r>
      <w:r w:rsidR="003D7B4F" w:rsidRPr="181F2593">
        <w:rPr>
          <w:rFonts w:cs="Arial"/>
          <w:color w:val="333333"/>
          <w:shd w:val="clear" w:color="auto" w:fill="FFFFFF"/>
        </w:rPr>
        <w:t>and equitable briefing choices.</w:t>
      </w:r>
    </w:p>
    <w:p w14:paraId="0C4EF593" w14:textId="3A934DA8" w:rsidR="00256CAC" w:rsidRDefault="007F12B8" w:rsidP="00BB0DFC">
      <w:pPr>
        <w:spacing w:line="300" w:lineRule="exact"/>
        <w:rPr>
          <w:rFonts w:cs="Arial"/>
          <w:color w:val="333333"/>
          <w:shd w:val="clear" w:color="auto" w:fill="FFFFFF"/>
        </w:rPr>
      </w:pPr>
      <w:r w:rsidRPr="181F2593">
        <w:rPr>
          <w:rFonts w:cs="Arial"/>
          <w:color w:val="333333"/>
          <w:shd w:val="clear" w:color="auto" w:fill="FFFFFF"/>
        </w:rPr>
        <w:t xml:space="preserve">We also updated </w:t>
      </w:r>
      <w:bookmarkStart w:id="1" w:name="_Int_ePcnO6ZV"/>
      <w:r w:rsidRPr="181F2593">
        <w:rPr>
          <w:rFonts w:cs="Arial"/>
          <w:color w:val="333333"/>
          <w:shd w:val="clear" w:color="auto" w:fill="FFFFFF"/>
        </w:rPr>
        <w:t>our</w:t>
      </w:r>
      <w:bookmarkEnd w:id="1"/>
      <w:r w:rsidRPr="181F2593">
        <w:rPr>
          <w:rFonts w:cs="Arial"/>
          <w:color w:val="333333"/>
          <w:shd w:val="clear" w:color="auto" w:fill="FFFFFF"/>
        </w:rPr>
        <w:t xml:space="preserve"> </w:t>
      </w:r>
      <w:hyperlink r:id="rId14" w:history="1">
        <w:r w:rsidRPr="181F2593">
          <w:rPr>
            <w:rStyle w:val="Hyperlink"/>
            <w:rFonts w:cs="Arial"/>
            <w:shd w:val="clear" w:color="auto" w:fill="FFFFFF"/>
          </w:rPr>
          <w:t>cultural diversity and anti-racism plan</w:t>
        </w:r>
      </w:hyperlink>
      <w:r w:rsidR="00063941">
        <w:rPr>
          <w:rStyle w:val="Hyperlink"/>
          <w:rFonts w:cs="Arial"/>
          <w:shd w:val="clear" w:color="auto" w:fill="FFFFFF"/>
        </w:rPr>
        <w:t>,</w:t>
      </w:r>
      <w:r w:rsidR="00153522" w:rsidRPr="181F2593">
        <w:rPr>
          <w:rFonts w:cs="Arial"/>
          <w:color w:val="333333"/>
          <w:shd w:val="clear" w:color="auto" w:fill="FFFFFF"/>
        </w:rPr>
        <w:t xml:space="preserve"> </w:t>
      </w:r>
      <w:r w:rsidR="006E4A60" w:rsidRPr="181F2593">
        <w:rPr>
          <w:rFonts w:cs="Arial"/>
          <w:color w:val="333333"/>
          <w:shd w:val="clear" w:color="auto" w:fill="FFFFFF"/>
        </w:rPr>
        <w:t xml:space="preserve">which addresses both the </w:t>
      </w:r>
      <w:r w:rsidR="00747E52" w:rsidRPr="181F2593">
        <w:rPr>
          <w:rFonts w:cs="Arial"/>
          <w:color w:val="333333"/>
          <w:shd w:val="clear" w:color="auto" w:fill="FFFFFF"/>
        </w:rPr>
        <w:t xml:space="preserve">individual impact of racism on staff and clients, and the larger systemic issues where we believe we can make </w:t>
      </w:r>
      <w:r w:rsidR="00B626F3" w:rsidRPr="181F2593">
        <w:rPr>
          <w:rFonts w:cs="Arial"/>
          <w:color w:val="333333"/>
          <w:shd w:val="clear" w:color="auto" w:fill="FFFFFF"/>
        </w:rPr>
        <w:t xml:space="preserve">a meaningful contribution. </w:t>
      </w:r>
      <w:r w:rsidR="00120A89" w:rsidRPr="181F2593">
        <w:rPr>
          <w:rFonts w:cs="Arial"/>
          <w:color w:val="333333"/>
          <w:shd w:val="clear" w:color="auto" w:fill="FFFFFF"/>
        </w:rPr>
        <w:t xml:space="preserve">In March we </w:t>
      </w:r>
      <w:r w:rsidR="00322555" w:rsidRPr="181F2593">
        <w:rPr>
          <w:rFonts w:cs="Arial"/>
          <w:color w:val="333333"/>
          <w:shd w:val="clear" w:color="auto" w:fill="FFFFFF"/>
        </w:rPr>
        <w:t>made two submissions</w:t>
      </w:r>
      <w:r w:rsidR="00063941">
        <w:rPr>
          <w:rFonts w:cs="Arial"/>
          <w:color w:val="333333"/>
          <w:shd w:val="clear" w:color="auto" w:fill="FFFFFF"/>
        </w:rPr>
        <w:t>—</w:t>
      </w:r>
      <w:r w:rsidR="00322555" w:rsidRPr="181F2593">
        <w:rPr>
          <w:rFonts w:cs="Arial"/>
          <w:color w:val="333333"/>
          <w:shd w:val="clear" w:color="auto" w:fill="FFFFFF"/>
        </w:rPr>
        <w:t>one to the</w:t>
      </w:r>
      <w:r w:rsidR="00120A89" w:rsidRPr="181F2593">
        <w:rPr>
          <w:rFonts w:cs="Arial"/>
          <w:color w:val="333333"/>
          <w:shd w:val="clear" w:color="auto" w:fill="FFFFFF"/>
        </w:rPr>
        <w:t xml:space="preserve"> </w:t>
      </w:r>
      <w:r w:rsidR="005931AB" w:rsidRPr="181F2593">
        <w:rPr>
          <w:rFonts w:cs="Arial"/>
          <w:color w:val="333333"/>
          <w:shd w:val="clear" w:color="auto" w:fill="FFFFFF"/>
        </w:rPr>
        <w:t>Australian Human Rights Commission on its </w:t>
      </w:r>
      <w:hyperlink r:id="rId15" w:history="1">
        <w:r w:rsidR="005931AB" w:rsidRPr="181F2593">
          <w:rPr>
            <w:rStyle w:val="Hyperlink"/>
            <w:rFonts w:cs="Arial"/>
            <w:shd w:val="clear" w:color="auto" w:fill="FFFFFF"/>
          </w:rPr>
          <w:t>proposed National Anti-Racism Framework</w:t>
        </w:r>
      </w:hyperlink>
      <w:r w:rsidR="005931AB" w:rsidRPr="181F2593">
        <w:rPr>
          <w:rFonts w:cs="Arial"/>
          <w:color w:val="333333"/>
          <w:shd w:val="clear" w:color="auto" w:fill="FFFFFF"/>
        </w:rPr>
        <w:t> and the second was a response to the </w:t>
      </w:r>
      <w:hyperlink r:id="rId16" w:history="1">
        <w:r w:rsidR="005931AB" w:rsidRPr="181F2593">
          <w:rPr>
            <w:rStyle w:val="Hyperlink"/>
            <w:rFonts w:cs="Arial"/>
            <w:shd w:val="clear" w:color="auto" w:fill="FFFFFF"/>
          </w:rPr>
          <w:t>Victorian Anti-Racism Taskforce</w:t>
        </w:r>
      </w:hyperlink>
      <w:r w:rsidR="005931AB" w:rsidRPr="181F2593">
        <w:rPr>
          <w:rFonts w:cs="Arial"/>
          <w:color w:val="333333"/>
          <w:shd w:val="clear" w:color="auto" w:fill="FFFFFF"/>
        </w:rPr>
        <w:t>, which is developing a Victorian Anti-Racism Strategy.</w:t>
      </w:r>
      <w:r w:rsidR="009E15B3" w:rsidRPr="009E15B3">
        <w:rPr>
          <w:rFonts w:cs="Arial"/>
          <w:color w:val="333333"/>
          <w:sz w:val="18"/>
          <w:szCs w:val="18"/>
          <w:shd w:val="clear" w:color="auto" w:fill="FFFFFF"/>
        </w:rPr>
        <w:t xml:space="preserve"> </w:t>
      </w:r>
      <w:r w:rsidR="009E15B3" w:rsidRPr="181F2593">
        <w:rPr>
          <w:rFonts w:cs="Arial"/>
          <w:color w:val="333333"/>
          <w:shd w:val="clear" w:color="auto" w:fill="FFFFFF"/>
        </w:rPr>
        <w:t>Our submissions recognise the impact of structural racism on First Nations people and culturally and linguistically diverse people, highlighting the importance of self-determination, and the need to embed anti-racism policies within the legal, mental health, social, welfare, child protection and other relevant sectors. </w:t>
      </w:r>
    </w:p>
    <w:p w14:paraId="5F9D8905" w14:textId="77777777" w:rsidR="00256CAC" w:rsidRDefault="00256CAC">
      <w:pPr>
        <w:spacing w:after="0" w:line="240" w:lineRule="auto"/>
        <w:rPr>
          <w:rFonts w:cs="Arial"/>
          <w:color w:val="333333"/>
          <w:szCs w:val="22"/>
          <w:shd w:val="clear" w:color="auto" w:fill="FFFFFF"/>
        </w:rPr>
      </w:pPr>
    </w:p>
    <w:p w14:paraId="7F6483CE" w14:textId="093B9479" w:rsidR="001C238C" w:rsidRDefault="001C238C">
      <w:pPr>
        <w:spacing w:after="0" w:line="240" w:lineRule="auto"/>
      </w:pPr>
      <w:r>
        <w:br w:type="page"/>
      </w:r>
    </w:p>
    <w:p w14:paraId="1C7CBEA9" w14:textId="3954A164" w:rsidR="00E43EE2" w:rsidRDefault="009E5C83" w:rsidP="00597600">
      <w:pPr>
        <w:pStyle w:val="Heading2"/>
      </w:pPr>
      <w:r>
        <w:lastRenderedPageBreak/>
        <w:t>Client Services</w:t>
      </w:r>
      <w:r w:rsidR="007F609B">
        <w:t xml:space="preserve"> </w:t>
      </w:r>
      <w:r w:rsidR="004175B7" w:rsidRPr="004175B7">
        <w:t xml:space="preserve"> </w:t>
      </w:r>
    </w:p>
    <w:p w14:paraId="626D1854" w14:textId="77777777" w:rsidR="007F2259" w:rsidRPr="00BC0216" w:rsidRDefault="007F2259" w:rsidP="007F2259">
      <w:pPr>
        <w:pStyle w:val="Tableheader"/>
        <w:rPr>
          <w:b w:val="0"/>
          <w:bCs w:val="0"/>
        </w:rPr>
      </w:pPr>
      <w:r w:rsidRPr="00A3290E">
        <w:rPr>
          <w:b w:val="0"/>
          <w:bCs w:val="0"/>
          <w:sz w:val="22"/>
          <w:szCs w:val="22"/>
        </w:rPr>
        <w:t>The number of unique clients fe</w:t>
      </w:r>
      <w:r>
        <w:rPr>
          <w:b w:val="0"/>
          <w:bCs w:val="0"/>
          <w:sz w:val="22"/>
          <w:szCs w:val="22"/>
        </w:rPr>
        <w:t>l</w:t>
      </w:r>
      <w:r w:rsidRPr="00A3290E">
        <w:rPr>
          <w:b w:val="0"/>
          <w:bCs w:val="0"/>
          <w:sz w:val="22"/>
          <w:szCs w:val="22"/>
        </w:rPr>
        <w:t>l in quarter three 2021</w:t>
      </w:r>
      <w:r w:rsidRPr="001A626B">
        <w:rPr>
          <w:b w:val="0"/>
          <w:bCs w:val="0"/>
        </w:rPr>
        <w:t>–</w:t>
      </w:r>
      <w:r w:rsidRPr="00A3290E">
        <w:rPr>
          <w:b w:val="0"/>
          <w:bCs w:val="0"/>
          <w:sz w:val="22"/>
          <w:szCs w:val="22"/>
        </w:rPr>
        <w:t>22</w:t>
      </w:r>
      <w:r>
        <w:rPr>
          <w:b w:val="0"/>
          <w:bCs w:val="0"/>
          <w:sz w:val="22"/>
          <w:szCs w:val="22"/>
        </w:rPr>
        <w:t xml:space="preserve"> </w:t>
      </w:r>
      <w:r w:rsidRPr="00A3290E">
        <w:rPr>
          <w:b w:val="0"/>
          <w:bCs w:val="0"/>
          <w:sz w:val="22"/>
          <w:szCs w:val="22"/>
        </w:rPr>
        <w:t>compared to the previous quarter. However</w:t>
      </w:r>
      <w:r>
        <w:rPr>
          <w:b w:val="0"/>
          <w:bCs w:val="0"/>
          <w:sz w:val="22"/>
          <w:szCs w:val="22"/>
        </w:rPr>
        <w:t>,</w:t>
      </w:r>
      <w:r w:rsidRPr="00A3290E">
        <w:rPr>
          <w:b w:val="0"/>
          <w:bCs w:val="0"/>
          <w:sz w:val="22"/>
          <w:szCs w:val="22"/>
        </w:rPr>
        <w:t xml:space="preserve"> it is consistent with quarter three</w:t>
      </w:r>
      <w:r>
        <w:rPr>
          <w:b w:val="0"/>
          <w:bCs w:val="0"/>
          <w:sz w:val="22"/>
          <w:szCs w:val="22"/>
        </w:rPr>
        <w:t xml:space="preserve"> in the previous financial year,</w:t>
      </w:r>
      <w:r w:rsidRPr="00A3290E">
        <w:rPr>
          <w:b w:val="0"/>
          <w:bCs w:val="0"/>
          <w:sz w:val="22"/>
          <w:szCs w:val="22"/>
        </w:rPr>
        <w:t xml:space="preserve"> 2020</w:t>
      </w:r>
      <w:r w:rsidRPr="001A626B">
        <w:rPr>
          <w:b w:val="0"/>
          <w:bCs w:val="0"/>
        </w:rPr>
        <w:t>–</w:t>
      </w:r>
      <w:r w:rsidRPr="00A3290E">
        <w:rPr>
          <w:b w:val="0"/>
          <w:bCs w:val="0"/>
          <w:sz w:val="22"/>
          <w:szCs w:val="22"/>
        </w:rPr>
        <w:t>21</w:t>
      </w:r>
      <w:r>
        <w:rPr>
          <w:b w:val="0"/>
          <w:bCs w:val="0"/>
          <w:sz w:val="22"/>
          <w:szCs w:val="22"/>
        </w:rPr>
        <w:t>,</w:t>
      </w:r>
      <w:r w:rsidRPr="00A3290E">
        <w:rPr>
          <w:b w:val="0"/>
          <w:bCs w:val="0"/>
          <w:sz w:val="22"/>
          <w:szCs w:val="22"/>
        </w:rPr>
        <w:t xml:space="preserve"> where there were 15,036 clients. Before the COVID-19 pandemic, quarter three of any given financial year would often have the low</w:t>
      </w:r>
      <w:r w:rsidRPr="00B109CE">
        <w:rPr>
          <w:b w:val="0"/>
          <w:bCs w:val="0"/>
          <w:sz w:val="22"/>
          <w:szCs w:val="22"/>
        </w:rPr>
        <w:t>est client figure as the summer months and significant holidays fall within this quarter.</w:t>
      </w:r>
      <w:r>
        <w:rPr>
          <w:b w:val="0"/>
          <w:bCs w:val="0"/>
          <w:sz w:val="22"/>
          <w:szCs w:val="22"/>
        </w:rPr>
        <w:t xml:space="preserve"> This seasonal variation is reflected in many of our services.</w:t>
      </w:r>
      <w:r w:rsidRPr="00B109CE">
        <w:rPr>
          <w:b w:val="0"/>
          <w:bCs w:val="0"/>
          <w:sz w:val="22"/>
          <w:szCs w:val="22"/>
        </w:rPr>
        <w:t xml:space="preserve"> </w:t>
      </w:r>
    </w:p>
    <w:p w14:paraId="74825A6B" w14:textId="77777777" w:rsidR="00586B13" w:rsidRPr="00586B13" w:rsidRDefault="00586B13" w:rsidP="00586B13">
      <w:pPr>
        <w:spacing w:after="0" w:line="240" w:lineRule="auto"/>
        <w:rPr>
          <w:rFonts w:cs="Arial"/>
          <w:szCs w:val="22"/>
        </w:rPr>
      </w:pPr>
    </w:p>
    <w:p w14:paraId="3C21063F" w14:textId="6764E295" w:rsidR="00E43EE2" w:rsidRDefault="007C1487" w:rsidP="55245693">
      <w:pPr>
        <w:rPr>
          <w:b/>
          <w:bCs/>
          <w:sz w:val="24"/>
        </w:rPr>
      </w:pPr>
      <w:r>
        <w:rPr>
          <w:b/>
          <w:bCs/>
          <w:sz w:val="24"/>
        </w:rPr>
        <w:t xml:space="preserve">Table 1.1 </w:t>
      </w:r>
      <w:r w:rsidR="00E43EE2" w:rsidRPr="55245693">
        <w:rPr>
          <w:b/>
          <w:bCs/>
          <w:sz w:val="24"/>
        </w:rPr>
        <w:t>Clients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09"/>
        <w:gridCol w:w="2001"/>
        <w:gridCol w:w="2285"/>
        <w:gridCol w:w="2281"/>
      </w:tblGrid>
      <w:tr w:rsidR="005613DD" w:rsidRPr="000E7EED" w14:paraId="5105FACB" w14:textId="61515848" w:rsidTr="76583814">
        <w:trPr>
          <w:cnfStyle w:val="100000000000" w:firstRow="1" w:lastRow="0" w:firstColumn="0" w:lastColumn="0" w:oddVBand="0" w:evenVBand="0" w:oddHBand="0" w:evenHBand="0" w:firstRowFirstColumn="0" w:firstRowLastColumn="0" w:lastRowFirstColumn="0" w:lastRowLastColumn="0"/>
          <w:trHeight w:val="190"/>
        </w:trPr>
        <w:tc>
          <w:tcPr>
            <w:cnfStyle w:val="000010000000" w:firstRow="0" w:lastRow="0" w:firstColumn="0" w:lastColumn="0" w:oddVBand="1" w:evenVBand="0" w:oddHBand="0" w:evenHBand="0" w:firstRowFirstColumn="0" w:firstRowLastColumn="0" w:lastRowFirstColumn="0" w:lastRowLastColumn="0"/>
            <w:tcW w:w="1741" w:type="pct"/>
            <w:shd w:val="clear" w:color="auto" w:fill="C3AFCC"/>
          </w:tcPr>
          <w:p w14:paraId="02AC0E7C" w14:textId="77777777" w:rsidR="005613DD" w:rsidRPr="000E7EED" w:rsidRDefault="005613DD" w:rsidP="0039260E">
            <w:pPr>
              <w:rPr>
                <w:color w:val="000000" w:themeColor="text1"/>
              </w:rPr>
            </w:pPr>
            <w:bookmarkStart w:id="2" w:name="_Hlk31869858"/>
            <w:r w:rsidRPr="000E7EED">
              <w:rPr>
                <w:b/>
                <w:color w:val="000000" w:themeColor="text1"/>
              </w:rPr>
              <w:t>Clients</w:t>
            </w:r>
          </w:p>
        </w:tc>
        <w:tc>
          <w:tcPr>
            <w:cnfStyle w:val="000001000000" w:firstRow="0" w:lastRow="0" w:firstColumn="0" w:lastColumn="0" w:oddVBand="0" w:evenVBand="1" w:oddHBand="0" w:evenHBand="0" w:firstRowFirstColumn="0" w:firstRowLastColumn="0" w:lastRowFirstColumn="0" w:lastRowLastColumn="0"/>
            <w:tcW w:w="993" w:type="pct"/>
            <w:shd w:val="clear" w:color="auto" w:fill="C3AFCC"/>
          </w:tcPr>
          <w:p w14:paraId="1DB462B9" w14:textId="2303DD90" w:rsidR="005613DD" w:rsidRPr="000E7EED" w:rsidRDefault="005613DD" w:rsidP="55245693">
            <w:pPr>
              <w:jc w:val="center"/>
              <w:rPr>
                <w:b/>
                <w:color w:val="000000" w:themeColor="text1"/>
              </w:rPr>
            </w:pPr>
            <w:r>
              <w:rPr>
                <w:b/>
                <w:color w:val="000000" w:themeColor="text1"/>
              </w:rPr>
              <w:t>Q</w:t>
            </w:r>
            <w:r w:rsidR="008E713C">
              <w:rPr>
                <w:b/>
                <w:color w:val="000000" w:themeColor="text1"/>
              </w:rPr>
              <w:t>2</w:t>
            </w:r>
          </w:p>
          <w:p w14:paraId="2C3C051D" w14:textId="6BF268C4" w:rsidR="005613DD" w:rsidRPr="000E7EED" w:rsidRDefault="005613DD" w:rsidP="0039260E">
            <w:pPr>
              <w:jc w:val="center"/>
              <w:rPr>
                <w:color w:val="000000" w:themeColor="text1"/>
              </w:rPr>
            </w:pPr>
            <w:r w:rsidRPr="000E7EED">
              <w:rPr>
                <w:b/>
                <w:color w:val="000000" w:themeColor="text1"/>
              </w:rPr>
              <w:t>20</w:t>
            </w:r>
            <w:r>
              <w:rPr>
                <w:b/>
                <w:color w:val="000000" w:themeColor="text1"/>
              </w:rPr>
              <w:t>2</w:t>
            </w:r>
            <w:r w:rsidR="008E713C">
              <w:rPr>
                <w:b/>
                <w:color w:val="000000" w:themeColor="text1"/>
              </w:rPr>
              <w:t>1</w:t>
            </w:r>
            <w:r>
              <w:rPr>
                <w:b/>
                <w:color w:val="000000" w:themeColor="text1"/>
              </w:rPr>
              <w:t>-2</w:t>
            </w:r>
            <w:r w:rsidR="008E713C">
              <w:rPr>
                <w:b/>
                <w:color w:val="000000" w:themeColor="text1"/>
              </w:rPr>
              <w:t>2</w:t>
            </w:r>
          </w:p>
        </w:tc>
        <w:tc>
          <w:tcPr>
            <w:cnfStyle w:val="000010000000" w:firstRow="0" w:lastRow="0" w:firstColumn="0" w:lastColumn="0" w:oddVBand="1" w:evenVBand="0" w:oddHBand="0" w:evenHBand="0" w:firstRowFirstColumn="0" w:firstRowLastColumn="0" w:lastRowFirstColumn="0" w:lastRowLastColumn="0"/>
            <w:tcW w:w="1134" w:type="pct"/>
            <w:shd w:val="clear" w:color="auto" w:fill="C3AFCC"/>
          </w:tcPr>
          <w:p w14:paraId="47FD7D32" w14:textId="4AC46B40" w:rsidR="005613DD" w:rsidRDefault="005613DD" w:rsidP="55245693">
            <w:pPr>
              <w:jc w:val="center"/>
              <w:rPr>
                <w:b/>
                <w:color w:val="000000" w:themeColor="text1"/>
              </w:rPr>
            </w:pPr>
            <w:r w:rsidRPr="55245693">
              <w:rPr>
                <w:b/>
                <w:color w:val="000000" w:themeColor="text1"/>
              </w:rPr>
              <w:t>Q</w:t>
            </w:r>
            <w:r w:rsidR="008E713C">
              <w:rPr>
                <w:b/>
                <w:color w:val="000000" w:themeColor="text1"/>
              </w:rPr>
              <w:t>3</w:t>
            </w:r>
          </w:p>
          <w:p w14:paraId="62B8B011" w14:textId="1143EEB9" w:rsidR="005613DD" w:rsidRPr="00A76427" w:rsidRDefault="005613DD" w:rsidP="0039260E">
            <w:pPr>
              <w:jc w:val="center"/>
              <w:rPr>
                <w:b/>
                <w:color w:val="000000" w:themeColor="text1"/>
              </w:rPr>
            </w:pPr>
            <w:r w:rsidRPr="000E7EED">
              <w:rPr>
                <w:b/>
                <w:color w:val="000000" w:themeColor="text1"/>
              </w:rPr>
              <w:t>20</w:t>
            </w:r>
            <w:r>
              <w:rPr>
                <w:b/>
                <w:color w:val="000000" w:themeColor="text1"/>
              </w:rPr>
              <w:t>2</w:t>
            </w:r>
            <w:r w:rsidR="008E713C">
              <w:rPr>
                <w:b/>
                <w:color w:val="000000" w:themeColor="text1"/>
              </w:rPr>
              <w:t>1</w:t>
            </w:r>
            <w:r>
              <w:rPr>
                <w:b/>
                <w:color w:val="000000" w:themeColor="text1"/>
              </w:rPr>
              <w:t>-22</w:t>
            </w:r>
          </w:p>
        </w:tc>
        <w:tc>
          <w:tcPr>
            <w:cnfStyle w:val="000001000000" w:firstRow="0" w:lastRow="0" w:firstColumn="0" w:lastColumn="0" w:oddVBand="0" w:evenVBand="1" w:oddHBand="0" w:evenHBand="0" w:firstRowFirstColumn="0" w:firstRowLastColumn="0" w:lastRowFirstColumn="0" w:lastRowLastColumn="0"/>
            <w:tcW w:w="1132" w:type="pct"/>
            <w:shd w:val="clear" w:color="auto" w:fill="C3AFCC"/>
          </w:tcPr>
          <w:p w14:paraId="6B1834FE" w14:textId="1A437599" w:rsidR="005613DD" w:rsidRDefault="005613DD" w:rsidP="55245693">
            <w:pPr>
              <w:jc w:val="center"/>
              <w:rPr>
                <w:b/>
                <w:bCs w:val="0"/>
                <w:color w:val="000000" w:themeColor="text1"/>
              </w:rPr>
            </w:pPr>
            <w:r>
              <w:rPr>
                <w:b/>
                <w:color w:val="000000" w:themeColor="text1"/>
              </w:rPr>
              <w:t>Q</w:t>
            </w:r>
            <w:r w:rsidR="00F02419">
              <w:rPr>
                <w:b/>
                <w:color w:val="000000" w:themeColor="text1"/>
              </w:rPr>
              <w:t>4</w:t>
            </w:r>
            <w:r>
              <w:rPr>
                <w:b/>
                <w:color w:val="000000" w:themeColor="text1"/>
              </w:rPr>
              <w:t xml:space="preserve"> 2021</w:t>
            </w:r>
            <w:r w:rsidR="00A93727">
              <w:rPr>
                <w:b/>
                <w:color w:val="000000" w:themeColor="text1"/>
              </w:rPr>
              <w:t>-22</w:t>
            </w:r>
          </w:p>
          <w:p w14:paraId="08B49C60" w14:textId="4461BA4C" w:rsidR="005613DD" w:rsidRPr="55245693" w:rsidRDefault="005613DD" w:rsidP="55245693">
            <w:pPr>
              <w:jc w:val="center"/>
              <w:rPr>
                <w:b/>
                <w:color w:val="000000" w:themeColor="text1"/>
              </w:rPr>
            </w:pPr>
            <w:r>
              <w:rPr>
                <w:b/>
                <w:color w:val="000000" w:themeColor="text1"/>
              </w:rPr>
              <w:t>projection</w:t>
            </w:r>
          </w:p>
        </w:tc>
      </w:tr>
      <w:tr w:rsidR="005613DD" w:rsidRPr="000E7EED" w14:paraId="712E240F" w14:textId="13DFB6AA" w:rsidTr="76583814">
        <w:trPr>
          <w:cnfStyle w:val="000000100000" w:firstRow="0" w:lastRow="0" w:firstColumn="0" w:lastColumn="0" w:oddVBand="0" w:evenVBand="0" w:oddHBand="1" w:evenHBand="0" w:firstRowFirstColumn="0" w:firstRowLastColumn="0" w:lastRowFirstColumn="0" w:lastRowLastColumn="0"/>
          <w:trHeight w:val="566"/>
        </w:trPr>
        <w:tc>
          <w:tcPr>
            <w:cnfStyle w:val="000010000000" w:firstRow="0" w:lastRow="0" w:firstColumn="0" w:lastColumn="0" w:oddVBand="1" w:evenVBand="0" w:oddHBand="0" w:evenHBand="0" w:firstRowFirstColumn="0" w:firstRowLastColumn="0" w:lastRowFirstColumn="0" w:lastRowLastColumn="0"/>
            <w:tcW w:w="1741" w:type="pct"/>
          </w:tcPr>
          <w:p w14:paraId="6D73261E" w14:textId="77777777" w:rsidR="005613DD" w:rsidRPr="000E7EED" w:rsidRDefault="005613DD" w:rsidP="0039260E">
            <w:pPr>
              <w:rPr>
                <w:color w:val="000000" w:themeColor="text1"/>
              </w:rPr>
            </w:pPr>
            <w:r w:rsidRPr="000E7EED">
              <w:rPr>
                <w:color w:val="000000" w:themeColor="text1"/>
              </w:rPr>
              <w:t>Unique clients</w:t>
            </w:r>
            <w:r w:rsidRPr="000E7EED">
              <w:rPr>
                <w:rStyle w:val="FootnoteReference"/>
                <w:color w:val="000000" w:themeColor="text1"/>
              </w:rPr>
              <w:footnoteReference w:id="2"/>
            </w:r>
          </w:p>
        </w:tc>
        <w:tc>
          <w:tcPr>
            <w:cnfStyle w:val="000001000000" w:firstRow="0" w:lastRow="0" w:firstColumn="0" w:lastColumn="0" w:oddVBand="0" w:evenVBand="1" w:oddHBand="0" w:evenHBand="0" w:firstRowFirstColumn="0" w:firstRowLastColumn="0" w:lastRowFirstColumn="0" w:lastRowLastColumn="0"/>
            <w:tcW w:w="993" w:type="pct"/>
            <w:vAlign w:val="center"/>
          </w:tcPr>
          <w:p w14:paraId="758A4E12" w14:textId="0CB7CBEC" w:rsidR="005613DD" w:rsidRPr="000E7EED" w:rsidRDefault="00FC2DBF" w:rsidP="001C26CE">
            <w:pPr>
              <w:jc w:val="center"/>
              <w:rPr>
                <w:color w:val="000000" w:themeColor="text1"/>
              </w:rPr>
            </w:pPr>
            <w:r>
              <w:t>16,729</w:t>
            </w:r>
          </w:p>
        </w:tc>
        <w:tc>
          <w:tcPr>
            <w:cnfStyle w:val="000010000000" w:firstRow="0" w:lastRow="0" w:firstColumn="0" w:lastColumn="0" w:oddVBand="1" w:evenVBand="0" w:oddHBand="0" w:evenHBand="0" w:firstRowFirstColumn="0" w:firstRowLastColumn="0" w:lastRowFirstColumn="0" w:lastRowLastColumn="0"/>
            <w:tcW w:w="1134" w:type="pct"/>
            <w:shd w:val="clear" w:color="auto" w:fill="D9D9D9" w:themeFill="background1" w:themeFillShade="D9"/>
            <w:vAlign w:val="center"/>
          </w:tcPr>
          <w:p w14:paraId="5C50A8F1" w14:textId="201203EE" w:rsidR="005613DD" w:rsidRPr="0021615C" w:rsidRDefault="3DA007BF" w:rsidP="3DA007BF">
            <w:pPr>
              <w:jc w:val="center"/>
              <w:rPr>
                <w:szCs w:val="22"/>
              </w:rPr>
            </w:pPr>
            <w:r w:rsidRPr="3DA007BF">
              <w:rPr>
                <w:rFonts w:eastAsia="Arial" w:cs="Arial"/>
                <w:szCs w:val="22"/>
              </w:rPr>
              <w:t>1</w:t>
            </w:r>
            <w:r w:rsidR="00A4033C">
              <w:rPr>
                <w:rFonts w:eastAsia="Arial" w:cs="Arial"/>
                <w:szCs w:val="22"/>
              </w:rPr>
              <w:t>5</w:t>
            </w:r>
            <w:r w:rsidRPr="3DA007BF">
              <w:rPr>
                <w:rFonts w:eastAsia="Arial" w:cs="Arial"/>
                <w:szCs w:val="22"/>
              </w:rPr>
              <w:t>,</w:t>
            </w:r>
            <w:r w:rsidR="00A4033C">
              <w:rPr>
                <w:rFonts w:eastAsia="Arial" w:cs="Arial"/>
                <w:szCs w:val="22"/>
              </w:rPr>
              <w:t>197</w:t>
            </w:r>
          </w:p>
        </w:tc>
        <w:tc>
          <w:tcPr>
            <w:cnfStyle w:val="000001000000" w:firstRow="0" w:lastRow="0" w:firstColumn="0" w:lastColumn="0" w:oddVBand="0" w:evenVBand="1" w:oddHBand="0" w:evenHBand="0" w:firstRowFirstColumn="0" w:firstRowLastColumn="0" w:lastRowFirstColumn="0" w:lastRowLastColumn="0"/>
            <w:tcW w:w="1132" w:type="pct"/>
            <w:shd w:val="clear" w:color="auto" w:fill="auto"/>
            <w:vAlign w:val="center"/>
          </w:tcPr>
          <w:p w14:paraId="086F5C8C" w14:textId="2D773533" w:rsidR="00ED72B2" w:rsidRDefault="002C398F" w:rsidP="00ED72B2">
            <w:pPr>
              <w:jc w:val="center"/>
            </w:pPr>
            <w:r>
              <w:t>21,248</w:t>
            </w:r>
          </w:p>
        </w:tc>
      </w:tr>
    </w:tbl>
    <w:p w14:paraId="6D2EC900" w14:textId="77777777" w:rsidR="00790F68" w:rsidRPr="00007466" w:rsidRDefault="00790F68" w:rsidP="00790F68">
      <w:pPr>
        <w:pStyle w:val="Tableheader"/>
        <w:rPr>
          <w:b w:val="0"/>
          <w:bCs w:val="0"/>
          <w:sz w:val="22"/>
          <w:szCs w:val="22"/>
        </w:rPr>
      </w:pPr>
      <w:bookmarkStart w:id="3" w:name="_Hlk52886498"/>
      <w:bookmarkEnd w:id="2"/>
      <w:r w:rsidRPr="00007466">
        <w:rPr>
          <w:b w:val="0"/>
          <w:bCs w:val="0"/>
          <w:sz w:val="22"/>
          <w:szCs w:val="22"/>
        </w:rPr>
        <w:t xml:space="preserve">The projected service figures for quarter four 2021–22 </w:t>
      </w:r>
      <w:proofErr w:type="gramStart"/>
      <w:r w:rsidRPr="00007466">
        <w:rPr>
          <w:b w:val="0"/>
          <w:bCs w:val="0"/>
          <w:sz w:val="22"/>
          <w:szCs w:val="22"/>
        </w:rPr>
        <w:t>are</w:t>
      </w:r>
      <w:proofErr w:type="gramEnd"/>
      <w:r w:rsidRPr="00007466">
        <w:rPr>
          <w:b w:val="0"/>
          <w:bCs w:val="0"/>
          <w:sz w:val="22"/>
          <w:szCs w:val="22"/>
        </w:rPr>
        <w:t xml:space="preserve"> contingent on the courts resuming full operations. Services are expected to return to pre-COVID levels as restrictions continue to ease and courts increase their capacity.</w:t>
      </w:r>
    </w:p>
    <w:p w14:paraId="71C1B22F" w14:textId="37827D1C" w:rsidR="00E43EE2" w:rsidRDefault="007C1487" w:rsidP="00E43EE2">
      <w:pPr>
        <w:pStyle w:val="Tableheader"/>
      </w:pPr>
      <w:r>
        <w:t xml:space="preserve">Table 1.2 </w:t>
      </w:r>
      <w:r w:rsidR="00495A11">
        <w:t xml:space="preserve">Legal Help </w:t>
      </w:r>
      <w:r w:rsidR="00495A11" w:rsidRPr="001F0CF5">
        <w:t>phoneline</w:t>
      </w:r>
      <w:r w:rsidR="00E43EE2">
        <w:t xml:space="preserve"> </w:t>
      </w:r>
      <w:r w:rsidR="001F1CD9">
        <w:t xml:space="preserve">and web chat </w:t>
      </w:r>
      <w:r w:rsidR="00E43EE2">
        <w:t>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473"/>
        <w:gridCol w:w="2110"/>
        <w:gridCol w:w="1661"/>
        <w:gridCol w:w="1916"/>
        <w:gridCol w:w="1916"/>
      </w:tblGrid>
      <w:tr w:rsidR="00CA2B34" w:rsidRPr="000E7EED" w14:paraId="610BF466" w14:textId="21499514" w:rsidTr="00F52F92">
        <w:trPr>
          <w:cnfStyle w:val="100000000000" w:firstRow="1" w:lastRow="0" w:firstColumn="0" w:lastColumn="0" w:oddVBand="0" w:evenVBand="0" w:oddHBand="0" w:evenHBand="0" w:firstRowFirstColumn="0" w:firstRowLastColumn="0" w:lastRowFirstColumn="0" w:lastRowLastColumn="0"/>
          <w:trHeight w:val="365"/>
        </w:trPr>
        <w:tc>
          <w:tcPr>
            <w:cnfStyle w:val="000010000000" w:firstRow="0" w:lastRow="0" w:firstColumn="0" w:lastColumn="0" w:oddVBand="1" w:evenVBand="0" w:oddHBand="0" w:evenHBand="0" w:firstRowFirstColumn="0" w:firstRowLastColumn="0" w:lastRowFirstColumn="0" w:lastRowLastColumn="0"/>
            <w:tcW w:w="1227" w:type="pct"/>
            <w:shd w:val="clear" w:color="auto" w:fill="C4B0CC"/>
          </w:tcPr>
          <w:p w14:paraId="685BCF7D" w14:textId="306AA6B1" w:rsidR="00CA2B34" w:rsidRPr="000E7EED" w:rsidRDefault="00CA2B34" w:rsidP="00CA2B34">
            <w:pPr>
              <w:rPr>
                <w:color w:val="000000" w:themeColor="text1"/>
              </w:rPr>
            </w:pPr>
            <w:bookmarkStart w:id="4" w:name="_Hlk31804015"/>
            <w:r>
              <w:rPr>
                <w:b/>
                <w:color w:val="000000" w:themeColor="text1"/>
              </w:rPr>
              <w:t>Legal Help</w:t>
            </w:r>
            <w:r w:rsidRPr="000E7EED">
              <w:rPr>
                <w:b/>
                <w:color w:val="000000" w:themeColor="text1"/>
              </w:rPr>
              <w:t xml:space="preserve"> </w:t>
            </w:r>
          </w:p>
        </w:tc>
        <w:tc>
          <w:tcPr>
            <w:cnfStyle w:val="000001000000" w:firstRow="0" w:lastRow="0" w:firstColumn="0" w:lastColumn="0" w:oddVBand="0" w:evenVBand="1" w:oddHBand="0" w:evenHBand="0" w:firstRowFirstColumn="0" w:firstRowLastColumn="0" w:lastRowFirstColumn="0" w:lastRowLastColumn="0"/>
            <w:tcW w:w="1047" w:type="pct"/>
            <w:shd w:val="clear" w:color="auto" w:fill="C3AFCC"/>
          </w:tcPr>
          <w:p w14:paraId="7CEF1135" w14:textId="57655427" w:rsidR="00CA2B34" w:rsidRPr="55245693" w:rsidRDefault="00CA2B34" w:rsidP="00CA2B34">
            <w:pPr>
              <w:jc w:val="center"/>
              <w:rPr>
                <w:b/>
                <w:color w:val="000000" w:themeColor="text1"/>
              </w:rPr>
            </w:pPr>
            <w:r>
              <w:rPr>
                <w:b/>
                <w:color w:val="000000" w:themeColor="text1"/>
              </w:rPr>
              <w:t>Service Delivery type</w:t>
            </w:r>
          </w:p>
        </w:tc>
        <w:tc>
          <w:tcPr>
            <w:cnfStyle w:val="000010000000" w:firstRow="0" w:lastRow="0" w:firstColumn="0" w:lastColumn="0" w:oddVBand="1" w:evenVBand="0" w:oddHBand="0" w:evenHBand="0" w:firstRowFirstColumn="0" w:firstRowLastColumn="0" w:lastRowFirstColumn="0" w:lastRowLastColumn="0"/>
            <w:tcW w:w="824" w:type="pct"/>
            <w:shd w:val="clear" w:color="auto" w:fill="C3AFCC"/>
          </w:tcPr>
          <w:p w14:paraId="783291FD" w14:textId="77777777" w:rsidR="00CA2B34" w:rsidRPr="000E7EED" w:rsidRDefault="00CA2B34" w:rsidP="00CA2B34">
            <w:pPr>
              <w:jc w:val="center"/>
              <w:rPr>
                <w:b/>
                <w:color w:val="000000" w:themeColor="text1"/>
              </w:rPr>
            </w:pPr>
            <w:r>
              <w:rPr>
                <w:b/>
                <w:color w:val="000000" w:themeColor="text1"/>
              </w:rPr>
              <w:t>Q2</w:t>
            </w:r>
          </w:p>
          <w:p w14:paraId="537B5889" w14:textId="471788A7" w:rsidR="00CA2B34" w:rsidRPr="000E7EED" w:rsidRDefault="00CA2B34" w:rsidP="00CA2B34">
            <w:pPr>
              <w:jc w:val="center"/>
              <w:rPr>
                <w:color w:val="000000" w:themeColor="text1"/>
              </w:rPr>
            </w:pPr>
            <w:r w:rsidRPr="000E7EED">
              <w:rPr>
                <w:b/>
                <w:color w:val="000000" w:themeColor="text1"/>
              </w:rPr>
              <w:t>20</w:t>
            </w:r>
            <w:r>
              <w:rPr>
                <w:b/>
                <w:color w:val="000000" w:themeColor="text1"/>
              </w:rPr>
              <w:t>21-22</w:t>
            </w:r>
          </w:p>
        </w:tc>
        <w:tc>
          <w:tcPr>
            <w:cnfStyle w:val="000001000000" w:firstRow="0" w:lastRow="0" w:firstColumn="0" w:lastColumn="0" w:oddVBand="0" w:evenVBand="1" w:oddHBand="0" w:evenHBand="0" w:firstRowFirstColumn="0" w:firstRowLastColumn="0" w:lastRowFirstColumn="0" w:lastRowLastColumn="0"/>
            <w:tcW w:w="951" w:type="pct"/>
            <w:shd w:val="clear" w:color="auto" w:fill="C3AFCC"/>
          </w:tcPr>
          <w:p w14:paraId="3E7D867D" w14:textId="77777777" w:rsidR="00CA2B34" w:rsidRDefault="00CA2B34" w:rsidP="00CA2B34">
            <w:pPr>
              <w:jc w:val="center"/>
              <w:rPr>
                <w:b/>
                <w:color w:val="000000" w:themeColor="text1"/>
              </w:rPr>
            </w:pPr>
            <w:r w:rsidRPr="55245693">
              <w:rPr>
                <w:b/>
                <w:color w:val="000000" w:themeColor="text1"/>
              </w:rPr>
              <w:t>Q</w:t>
            </w:r>
            <w:r>
              <w:rPr>
                <w:b/>
                <w:color w:val="000000" w:themeColor="text1"/>
              </w:rPr>
              <w:t>3</w:t>
            </w:r>
          </w:p>
          <w:p w14:paraId="7F054B76" w14:textId="709D33F6" w:rsidR="00CA2B34" w:rsidRPr="00A76427" w:rsidRDefault="00CA2B34" w:rsidP="00CA2B34">
            <w:pPr>
              <w:jc w:val="center"/>
              <w:rPr>
                <w:b/>
                <w:color w:val="000000" w:themeColor="text1"/>
              </w:rPr>
            </w:pPr>
            <w:r w:rsidRPr="000E7EED">
              <w:rPr>
                <w:b/>
                <w:color w:val="000000" w:themeColor="text1"/>
              </w:rPr>
              <w:t>20</w:t>
            </w:r>
            <w:r>
              <w:rPr>
                <w:b/>
                <w:color w:val="000000" w:themeColor="text1"/>
              </w:rPr>
              <w:t>21-22</w:t>
            </w:r>
          </w:p>
        </w:tc>
        <w:tc>
          <w:tcPr>
            <w:cnfStyle w:val="000010000000" w:firstRow="0" w:lastRow="0" w:firstColumn="0" w:lastColumn="0" w:oddVBand="1" w:evenVBand="0" w:oddHBand="0" w:evenHBand="0" w:firstRowFirstColumn="0" w:firstRowLastColumn="0" w:lastRowFirstColumn="0" w:lastRowLastColumn="0"/>
            <w:tcW w:w="951" w:type="pct"/>
            <w:shd w:val="clear" w:color="auto" w:fill="C3AFCC"/>
          </w:tcPr>
          <w:p w14:paraId="68983894" w14:textId="77777777" w:rsidR="00CA2B34" w:rsidRDefault="00CA2B34" w:rsidP="00CA2B34">
            <w:pPr>
              <w:jc w:val="center"/>
              <w:rPr>
                <w:b/>
                <w:bCs w:val="0"/>
                <w:color w:val="000000" w:themeColor="text1"/>
              </w:rPr>
            </w:pPr>
            <w:r>
              <w:rPr>
                <w:b/>
                <w:color w:val="000000" w:themeColor="text1"/>
              </w:rPr>
              <w:t>Q4 2021-22</w:t>
            </w:r>
          </w:p>
          <w:p w14:paraId="1EE8EA13" w14:textId="32BF623A" w:rsidR="00CA2B34" w:rsidRPr="55245693" w:rsidRDefault="00CA2B34" w:rsidP="00CA2B34">
            <w:pPr>
              <w:jc w:val="center"/>
              <w:rPr>
                <w:b/>
                <w:color w:val="000000" w:themeColor="text1"/>
              </w:rPr>
            </w:pPr>
            <w:r>
              <w:rPr>
                <w:b/>
                <w:color w:val="000000" w:themeColor="text1"/>
              </w:rPr>
              <w:t>projection</w:t>
            </w:r>
          </w:p>
        </w:tc>
      </w:tr>
      <w:tr w:rsidR="009C3C2B" w:rsidRPr="000E7EED" w14:paraId="673A80E6" w14:textId="68688B27" w:rsidTr="76583814">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227" w:type="pct"/>
            <w:vMerge w:val="restart"/>
          </w:tcPr>
          <w:p w14:paraId="22ABC519" w14:textId="103D0FC9" w:rsidR="009C3C2B" w:rsidRPr="001F0CF5" w:rsidRDefault="009C3C2B" w:rsidP="009C3C2B">
            <w:pPr>
              <w:rPr>
                <w:color w:val="000000" w:themeColor="text1"/>
              </w:rPr>
            </w:pPr>
            <w:r w:rsidRPr="001F0CF5">
              <w:rPr>
                <w:color w:val="000000" w:themeColor="text1"/>
              </w:rPr>
              <w:t>Requests for Legal Help assistance</w:t>
            </w:r>
          </w:p>
        </w:tc>
        <w:tc>
          <w:tcPr>
            <w:cnfStyle w:val="000001000000" w:firstRow="0" w:lastRow="0" w:firstColumn="0" w:lastColumn="0" w:oddVBand="0" w:evenVBand="1" w:oddHBand="0" w:evenHBand="0" w:firstRowFirstColumn="0" w:firstRowLastColumn="0" w:lastRowFirstColumn="0" w:lastRowLastColumn="0"/>
            <w:tcW w:w="1047" w:type="pct"/>
          </w:tcPr>
          <w:p w14:paraId="50E1615B" w14:textId="185CA98D" w:rsidR="009C3C2B" w:rsidRPr="000E7EED" w:rsidRDefault="009C3C2B" w:rsidP="009C3C2B">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824" w:type="pct"/>
          </w:tcPr>
          <w:p w14:paraId="32B513F8" w14:textId="005ACC41" w:rsidR="009C3C2B" w:rsidRPr="000E7EED" w:rsidRDefault="009C3C2B" w:rsidP="009C3C2B">
            <w:pPr>
              <w:jc w:val="center"/>
              <w:rPr>
                <w:color w:val="000000" w:themeColor="text1"/>
              </w:rPr>
            </w:pPr>
            <w:r>
              <w:t>33,698</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vAlign w:val="center"/>
          </w:tcPr>
          <w:p w14:paraId="12828136" w14:textId="31669E60" w:rsidR="009C3C2B" w:rsidRPr="0021615C" w:rsidRDefault="000262DD" w:rsidP="009C3C2B">
            <w:pPr>
              <w:jc w:val="center"/>
            </w:pPr>
            <w:r>
              <w:t>35,716</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vAlign w:val="center"/>
          </w:tcPr>
          <w:p w14:paraId="0DAF5679" w14:textId="7992A503" w:rsidR="009C3C2B" w:rsidRDefault="00281FEE" w:rsidP="009C3C2B">
            <w:pPr>
              <w:jc w:val="center"/>
              <w:rPr>
                <w:szCs w:val="22"/>
              </w:rPr>
            </w:pPr>
            <w:r>
              <w:rPr>
                <w:szCs w:val="22"/>
              </w:rPr>
              <w:t>37,038</w:t>
            </w:r>
          </w:p>
        </w:tc>
      </w:tr>
      <w:tr w:rsidR="009C3C2B" w:rsidRPr="000E7EED" w14:paraId="1B8D8858" w14:textId="1A952ABD" w:rsidTr="76583814">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227" w:type="pct"/>
            <w:vMerge/>
          </w:tcPr>
          <w:p w14:paraId="6FE97750" w14:textId="77777777" w:rsidR="009C3C2B" w:rsidRPr="001F0CF5" w:rsidRDefault="009C3C2B" w:rsidP="009C3C2B">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047" w:type="pct"/>
            <w:tcBorders>
              <w:top w:val="single" w:sz="4" w:space="0" w:color="7F7F7F" w:themeColor="text1" w:themeTint="80"/>
            </w:tcBorders>
          </w:tcPr>
          <w:p w14:paraId="6A9325D5" w14:textId="17639081" w:rsidR="009C3C2B" w:rsidRPr="000E7EED" w:rsidRDefault="009C3C2B" w:rsidP="009C3C2B">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824" w:type="pct"/>
          </w:tcPr>
          <w:p w14:paraId="2A1F3A44" w14:textId="365A799C" w:rsidR="009C3C2B" w:rsidRPr="000E7EED" w:rsidRDefault="009C3C2B" w:rsidP="009C3C2B">
            <w:pPr>
              <w:jc w:val="center"/>
              <w:rPr>
                <w:color w:val="000000" w:themeColor="text1"/>
              </w:rPr>
            </w:pPr>
            <w:r>
              <w:t>8,882</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vAlign w:val="center"/>
          </w:tcPr>
          <w:p w14:paraId="0B0B0D09" w14:textId="45299704" w:rsidR="009C3C2B" w:rsidRPr="0021615C" w:rsidRDefault="000262DD" w:rsidP="08050EEF">
            <w:pPr>
              <w:jc w:val="center"/>
              <w:rPr>
                <w:szCs w:val="22"/>
              </w:rPr>
            </w:pPr>
            <w:r>
              <w:rPr>
                <w:szCs w:val="22"/>
              </w:rPr>
              <w:t>9,679</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vAlign w:val="center"/>
          </w:tcPr>
          <w:p w14:paraId="679552C6" w14:textId="4D61FDE6" w:rsidR="009C3C2B" w:rsidRDefault="00281FEE" w:rsidP="009C3C2B">
            <w:pPr>
              <w:jc w:val="center"/>
            </w:pPr>
            <w:r>
              <w:t>9,984</w:t>
            </w:r>
          </w:p>
        </w:tc>
      </w:tr>
      <w:tr w:rsidR="009C3C2B" w:rsidRPr="000E7EED" w14:paraId="63EA8C9D" w14:textId="66956605" w:rsidTr="76583814">
        <w:trPr>
          <w:cnfStyle w:val="000000100000" w:firstRow="0" w:lastRow="0" w:firstColumn="0" w:lastColumn="0" w:oddVBand="0" w:evenVBand="0" w:oddHBand="1" w:evenHBand="0"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227" w:type="pct"/>
            <w:vMerge w:val="restart"/>
          </w:tcPr>
          <w:p w14:paraId="343F4B5B" w14:textId="11A27AD7" w:rsidR="009C3C2B" w:rsidRPr="001F0CF5" w:rsidRDefault="009C3C2B" w:rsidP="009C3C2B">
            <w:pPr>
              <w:rPr>
                <w:color w:val="000000" w:themeColor="text1"/>
              </w:rPr>
            </w:pPr>
            <w:r>
              <w:rPr>
                <w:color w:val="000000" w:themeColor="text1"/>
              </w:rPr>
              <w:t>Number of Legal Help sessions delivered</w:t>
            </w:r>
          </w:p>
        </w:tc>
        <w:tc>
          <w:tcPr>
            <w:cnfStyle w:val="000001000000" w:firstRow="0" w:lastRow="0" w:firstColumn="0" w:lastColumn="0" w:oddVBand="0" w:evenVBand="1" w:oddHBand="0" w:evenHBand="0" w:firstRowFirstColumn="0" w:firstRowLastColumn="0" w:lastRowFirstColumn="0" w:lastRowLastColumn="0"/>
            <w:tcW w:w="1047" w:type="pct"/>
          </w:tcPr>
          <w:p w14:paraId="2AA551BD" w14:textId="762B83B8" w:rsidR="009C3C2B" w:rsidRPr="000E7EED" w:rsidRDefault="009C3C2B" w:rsidP="009C3C2B">
            <w:pPr>
              <w:rPr>
                <w:color w:val="000000" w:themeColor="text1"/>
              </w:rPr>
            </w:pPr>
            <w:r>
              <w:rPr>
                <w:color w:val="000000" w:themeColor="text1"/>
              </w:rPr>
              <w:t>Phoneline</w:t>
            </w:r>
          </w:p>
        </w:tc>
        <w:tc>
          <w:tcPr>
            <w:cnfStyle w:val="000010000000" w:firstRow="0" w:lastRow="0" w:firstColumn="0" w:lastColumn="0" w:oddVBand="1" w:evenVBand="0" w:oddHBand="0" w:evenHBand="0" w:firstRowFirstColumn="0" w:firstRowLastColumn="0" w:lastRowFirstColumn="0" w:lastRowLastColumn="0"/>
            <w:tcW w:w="824" w:type="pct"/>
          </w:tcPr>
          <w:p w14:paraId="7B3AC051" w14:textId="47F81EA7" w:rsidR="009C3C2B" w:rsidRPr="000E7EED" w:rsidRDefault="009C3C2B" w:rsidP="009C3C2B">
            <w:pPr>
              <w:jc w:val="center"/>
              <w:rPr>
                <w:color w:val="000000" w:themeColor="text1"/>
              </w:rPr>
            </w:pPr>
            <w:r>
              <w:t>21,880</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vAlign w:val="center"/>
          </w:tcPr>
          <w:p w14:paraId="0C7F4A16" w14:textId="7F78C354" w:rsidR="009C3C2B" w:rsidRPr="0021615C" w:rsidRDefault="000262DD" w:rsidP="009C3C2B">
            <w:pPr>
              <w:jc w:val="center"/>
            </w:pPr>
            <w:r>
              <w:t>20,086</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vAlign w:val="center"/>
          </w:tcPr>
          <w:p w14:paraId="0C77C3D5" w14:textId="43FCD19B" w:rsidR="009C3C2B" w:rsidRDefault="00281FEE" w:rsidP="009C3C2B">
            <w:pPr>
              <w:jc w:val="center"/>
            </w:pPr>
            <w:r>
              <w:t>15,</w:t>
            </w:r>
            <w:r w:rsidR="00796786">
              <w:t>671</w:t>
            </w:r>
          </w:p>
        </w:tc>
      </w:tr>
      <w:tr w:rsidR="009C3C2B" w:rsidRPr="000E7EED" w14:paraId="7DCD8807" w14:textId="69A07913" w:rsidTr="76583814">
        <w:trPr>
          <w:cnfStyle w:val="000000010000" w:firstRow="0" w:lastRow="0" w:firstColumn="0" w:lastColumn="0" w:oddVBand="0" w:evenVBand="0" w:oddHBand="0" w:evenHBand="1" w:firstRowFirstColumn="0" w:firstRowLastColumn="0" w:lastRowFirstColumn="0" w:lastRowLastColumn="0"/>
          <w:trHeight w:val="581"/>
        </w:trPr>
        <w:tc>
          <w:tcPr>
            <w:cnfStyle w:val="000010000000" w:firstRow="0" w:lastRow="0" w:firstColumn="0" w:lastColumn="0" w:oddVBand="1" w:evenVBand="0" w:oddHBand="0" w:evenHBand="0" w:firstRowFirstColumn="0" w:firstRowLastColumn="0" w:lastRowFirstColumn="0" w:lastRowLastColumn="0"/>
            <w:tcW w:w="1227" w:type="pct"/>
            <w:vMerge/>
          </w:tcPr>
          <w:p w14:paraId="58C5451E" w14:textId="77777777" w:rsidR="009C3C2B" w:rsidRDefault="009C3C2B" w:rsidP="009C3C2B">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1047" w:type="pct"/>
            <w:tcBorders>
              <w:top w:val="single" w:sz="4" w:space="0" w:color="7F7F7F" w:themeColor="text1" w:themeTint="80"/>
            </w:tcBorders>
          </w:tcPr>
          <w:p w14:paraId="22F965B2" w14:textId="769783D4" w:rsidR="009C3C2B" w:rsidRPr="000E7EED" w:rsidRDefault="009C3C2B" w:rsidP="009C3C2B">
            <w:pPr>
              <w:rPr>
                <w:color w:val="000000" w:themeColor="text1"/>
              </w:rPr>
            </w:pPr>
            <w:r>
              <w:rPr>
                <w:color w:val="000000" w:themeColor="text1"/>
              </w:rPr>
              <w:t>Web chat</w:t>
            </w:r>
          </w:p>
        </w:tc>
        <w:tc>
          <w:tcPr>
            <w:cnfStyle w:val="000010000000" w:firstRow="0" w:lastRow="0" w:firstColumn="0" w:lastColumn="0" w:oddVBand="1" w:evenVBand="0" w:oddHBand="0" w:evenHBand="0" w:firstRowFirstColumn="0" w:firstRowLastColumn="0" w:lastRowFirstColumn="0" w:lastRowLastColumn="0"/>
            <w:tcW w:w="824" w:type="pct"/>
          </w:tcPr>
          <w:p w14:paraId="54BF1051" w14:textId="14BCD1C0" w:rsidR="009C3C2B" w:rsidRPr="000E7EED" w:rsidRDefault="009C3C2B" w:rsidP="009C3C2B">
            <w:pPr>
              <w:jc w:val="center"/>
              <w:rPr>
                <w:color w:val="000000" w:themeColor="text1"/>
              </w:rPr>
            </w:pPr>
            <w:r>
              <w:t>8,453</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vAlign w:val="center"/>
          </w:tcPr>
          <w:p w14:paraId="40E1C52C" w14:textId="56EA5717" w:rsidR="009C3C2B" w:rsidRPr="0021615C" w:rsidRDefault="00281FEE" w:rsidP="08050EEF">
            <w:pPr>
              <w:jc w:val="center"/>
            </w:pPr>
            <w:r>
              <w:t>9,314</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vAlign w:val="center"/>
          </w:tcPr>
          <w:p w14:paraId="4C51BEAB" w14:textId="764A134F" w:rsidR="009C3C2B" w:rsidRDefault="00796786" w:rsidP="009C3C2B">
            <w:pPr>
              <w:jc w:val="center"/>
            </w:pPr>
            <w:r>
              <w:t>8,996</w:t>
            </w:r>
          </w:p>
        </w:tc>
      </w:tr>
      <w:tr w:rsidR="009C3C2B" w:rsidRPr="000E7EED" w14:paraId="413F851F" w14:textId="77777777" w:rsidTr="76583814">
        <w:trPr>
          <w:cnfStyle w:val="000000100000" w:firstRow="0" w:lastRow="0" w:firstColumn="0" w:lastColumn="0" w:oddVBand="0" w:evenVBand="0" w:oddHBand="1" w:evenHBand="0" w:firstRowFirstColumn="0" w:firstRowLastColumn="0" w:lastRowFirstColumn="0" w:lastRowLastColumn="0"/>
          <w:trHeight w:val="339"/>
        </w:trPr>
        <w:tc>
          <w:tcPr>
            <w:cnfStyle w:val="000010000000" w:firstRow="0" w:lastRow="0" w:firstColumn="0" w:lastColumn="0" w:oddVBand="1" w:evenVBand="0" w:oddHBand="0" w:evenHBand="0" w:firstRowFirstColumn="0" w:firstRowLastColumn="0" w:lastRowFirstColumn="0" w:lastRowLastColumn="0"/>
            <w:tcW w:w="1227" w:type="pct"/>
          </w:tcPr>
          <w:p w14:paraId="152892DE" w14:textId="35505119" w:rsidR="009C3C2B" w:rsidRPr="673921BC" w:rsidRDefault="009C3C2B" w:rsidP="009C3C2B">
            <w:pPr>
              <w:rPr>
                <w:color w:val="000000" w:themeColor="text1"/>
              </w:rPr>
            </w:pPr>
            <w:r w:rsidRPr="673921BC">
              <w:rPr>
                <w:color w:val="000000" w:themeColor="text1"/>
              </w:rPr>
              <w:t>Average wait time (minutes</w:t>
            </w:r>
            <w:r w:rsidR="00F52F92">
              <w:rPr>
                <w:color w:val="000000" w:themeColor="text1"/>
              </w:rPr>
              <w:t>)</w:t>
            </w:r>
          </w:p>
        </w:tc>
        <w:tc>
          <w:tcPr>
            <w:cnfStyle w:val="000001000000" w:firstRow="0" w:lastRow="0" w:firstColumn="0" w:lastColumn="0" w:oddVBand="0" w:evenVBand="1" w:oddHBand="0" w:evenHBand="0" w:firstRowFirstColumn="0" w:firstRowLastColumn="0" w:lastRowFirstColumn="0" w:lastRowLastColumn="0"/>
            <w:tcW w:w="1047" w:type="pct"/>
          </w:tcPr>
          <w:p w14:paraId="5096FFF3" w14:textId="6576256E" w:rsidR="009C3C2B" w:rsidRDefault="009C3C2B" w:rsidP="009C3C2B">
            <w:pPr>
              <w:rPr>
                <w:color w:val="000000" w:themeColor="text1"/>
              </w:rPr>
            </w:pPr>
            <w:r>
              <w:rPr>
                <w:color w:val="000000" w:themeColor="text1"/>
              </w:rPr>
              <w:t>Phoneline and web chat (consolidated)</w:t>
            </w:r>
          </w:p>
        </w:tc>
        <w:tc>
          <w:tcPr>
            <w:cnfStyle w:val="000010000000" w:firstRow="0" w:lastRow="0" w:firstColumn="0" w:lastColumn="0" w:oddVBand="1" w:evenVBand="0" w:oddHBand="0" w:evenHBand="0" w:firstRowFirstColumn="0" w:firstRowLastColumn="0" w:lastRowFirstColumn="0" w:lastRowLastColumn="0"/>
            <w:tcW w:w="824" w:type="pct"/>
          </w:tcPr>
          <w:p w14:paraId="4BE5FB0C" w14:textId="170125F3" w:rsidR="009C3C2B" w:rsidRDefault="009C3C2B" w:rsidP="009C3C2B">
            <w:pPr>
              <w:jc w:val="center"/>
              <w:rPr>
                <w:color w:val="000000" w:themeColor="text1"/>
              </w:rPr>
            </w:pPr>
            <w:r>
              <w:t>9:42</w:t>
            </w:r>
          </w:p>
        </w:tc>
        <w:tc>
          <w:tcPr>
            <w:cnfStyle w:val="000001000000" w:firstRow="0" w:lastRow="0" w:firstColumn="0" w:lastColumn="0" w:oddVBand="0" w:evenVBand="1" w:oddHBand="0" w:evenHBand="0" w:firstRowFirstColumn="0" w:firstRowLastColumn="0" w:lastRowFirstColumn="0" w:lastRowLastColumn="0"/>
            <w:tcW w:w="951" w:type="pct"/>
            <w:shd w:val="clear" w:color="auto" w:fill="D9D9D9" w:themeFill="background1" w:themeFillShade="D9"/>
            <w:vAlign w:val="center"/>
          </w:tcPr>
          <w:p w14:paraId="50DCD92B" w14:textId="660491F8" w:rsidR="009C3C2B" w:rsidRDefault="00281FEE" w:rsidP="3DA007BF">
            <w:pPr>
              <w:jc w:val="center"/>
              <w:rPr>
                <w:szCs w:val="22"/>
              </w:rPr>
            </w:pPr>
            <w:r>
              <w:rPr>
                <w:szCs w:val="22"/>
              </w:rPr>
              <w:t>12:57</w:t>
            </w:r>
          </w:p>
        </w:tc>
        <w:tc>
          <w:tcPr>
            <w:cnfStyle w:val="000010000000" w:firstRow="0" w:lastRow="0" w:firstColumn="0" w:lastColumn="0" w:oddVBand="1" w:evenVBand="0" w:oddHBand="0" w:evenHBand="0" w:firstRowFirstColumn="0" w:firstRowLastColumn="0" w:lastRowFirstColumn="0" w:lastRowLastColumn="0"/>
            <w:tcW w:w="951" w:type="pct"/>
            <w:shd w:val="clear" w:color="auto" w:fill="auto"/>
            <w:vAlign w:val="center"/>
          </w:tcPr>
          <w:p w14:paraId="43843058" w14:textId="285B5087" w:rsidR="009C3C2B" w:rsidRDefault="00796786" w:rsidP="009C3C2B">
            <w:pPr>
              <w:jc w:val="center"/>
            </w:pPr>
            <w:r>
              <w:t>12:30</w:t>
            </w:r>
          </w:p>
        </w:tc>
      </w:tr>
    </w:tbl>
    <w:bookmarkEnd w:id="3"/>
    <w:bookmarkEnd w:id="4"/>
    <w:p w14:paraId="4925531C" w14:textId="77777777" w:rsidR="00623761" w:rsidRDefault="006C0C5D" w:rsidP="00E43EE2">
      <w:pPr>
        <w:pStyle w:val="Tableheader"/>
        <w:rPr>
          <w:b w:val="0"/>
          <w:bCs w:val="0"/>
          <w:sz w:val="22"/>
          <w:szCs w:val="22"/>
        </w:rPr>
      </w:pPr>
      <w:r>
        <w:rPr>
          <w:b w:val="0"/>
          <w:bCs w:val="0"/>
          <w:sz w:val="22"/>
          <w:szCs w:val="22"/>
        </w:rPr>
        <w:t>The total number of</w:t>
      </w:r>
      <w:r w:rsidR="004A285A">
        <w:rPr>
          <w:b w:val="0"/>
          <w:bCs w:val="0"/>
          <w:sz w:val="22"/>
          <w:szCs w:val="22"/>
        </w:rPr>
        <w:t xml:space="preserve"> requests for Legal Help </w:t>
      </w:r>
      <w:r w:rsidR="00842138">
        <w:rPr>
          <w:b w:val="0"/>
          <w:bCs w:val="0"/>
          <w:sz w:val="22"/>
          <w:szCs w:val="22"/>
        </w:rPr>
        <w:t>a</w:t>
      </w:r>
      <w:r w:rsidR="004A285A">
        <w:rPr>
          <w:b w:val="0"/>
          <w:bCs w:val="0"/>
          <w:sz w:val="22"/>
          <w:szCs w:val="22"/>
        </w:rPr>
        <w:t>ssistance</w:t>
      </w:r>
      <w:r w:rsidR="007E2D4F">
        <w:rPr>
          <w:b w:val="0"/>
          <w:bCs w:val="0"/>
          <w:sz w:val="22"/>
          <w:szCs w:val="22"/>
        </w:rPr>
        <w:t xml:space="preserve"> (45,395)</w:t>
      </w:r>
      <w:r w:rsidR="004A285A">
        <w:rPr>
          <w:b w:val="0"/>
          <w:bCs w:val="0"/>
          <w:sz w:val="22"/>
          <w:szCs w:val="22"/>
        </w:rPr>
        <w:t xml:space="preserve"> increased in quarter three compared to the previous quarter</w:t>
      </w:r>
      <w:r w:rsidR="00767F53">
        <w:rPr>
          <w:b w:val="0"/>
          <w:bCs w:val="0"/>
          <w:sz w:val="22"/>
          <w:szCs w:val="22"/>
        </w:rPr>
        <w:t xml:space="preserve"> (</w:t>
      </w:r>
      <w:r w:rsidR="0079615B">
        <w:rPr>
          <w:b w:val="0"/>
          <w:bCs w:val="0"/>
          <w:sz w:val="22"/>
          <w:szCs w:val="22"/>
        </w:rPr>
        <w:t>42,580)</w:t>
      </w:r>
      <w:r w:rsidR="004A285A">
        <w:rPr>
          <w:b w:val="0"/>
          <w:bCs w:val="0"/>
          <w:sz w:val="22"/>
          <w:szCs w:val="22"/>
        </w:rPr>
        <w:t>.</w:t>
      </w:r>
      <w:r w:rsidR="00411D22">
        <w:rPr>
          <w:b w:val="0"/>
          <w:bCs w:val="0"/>
          <w:sz w:val="22"/>
          <w:szCs w:val="22"/>
        </w:rPr>
        <w:t xml:space="preserve"> As courts increase the number of matters heard we expect that demand </w:t>
      </w:r>
      <w:r w:rsidR="00FE7035">
        <w:rPr>
          <w:b w:val="0"/>
          <w:bCs w:val="0"/>
          <w:sz w:val="22"/>
          <w:szCs w:val="22"/>
        </w:rPr>
        <w:t xml:space="preserve">for Legal Help services will increase as people seek help with their more immediate </w:t>
      </w:r>
      <w:r w:rsidR="006261B1">
        <w:rPr>
          <w:b w:val="0"/>
          <w:bCs w:val="0"/>
          <w:sz w:val="22"/>
          <w:szCs w:val="22"/>
        </w:rPr>
        <w:t>issues.</w:t>
      </w:r>
      <w:r w:rsidR="004A285A">
        <w:rPr>
          <w:b w:val="0"/>
          <w:bCs w:val="0"/>
          <w:sz w:val="22"/>
          <w:szCs w:val="22"/>
        </w:rPr>
        <w:t xml:space="preserve"> </w:t>
      </w:r>
    </w:p>
    <w:p w14:paraId="13A8E8B5" w14:textId="70B12245" w:rsidR="00EF5A0F" w:rsidRDefault="006261B1" w:rsidP="00E43EE2">
      <w:pPr>
        <w:pStyle w:val="Tableheader"/>
        <w:rPr>
          <w:b w:val="0"/>
          <w:bCs w:val="0"/>
          <w:sz w:val="22"/>
          <w:szCs w:val="22"/>
        </w:rPr>
      </w:pPr>
      <w:r>
        <w:rPr>
          <w:b w:val="0"/>
          <w:bCs w:val="0"/>
          <w:sz w:val="22"/>
          <w:szCs w:val="22"/>
        </w:rPr>
        <w:t>F</w:t>
      </w:r>
      <w:r w:rsidR="0031354D">
        <w:rPr>
          <w:b w:val="0"/>
          <w:bCs w:val="0"/>
          <w:sz w:val="22"/>
          <w:szCs w:val="22"/>
        </w:rPr>
        <w:t>ewer Legal Help sessions were delivered</w:t>
      </w:r>
      <w:r w:rsidR="0097086B">
        <w:rPr>
          <w:b w:val="0"/>
          <w:bCs w:val="0"/>
          <w:sz w:val="22"/>
          <w:szCs w:val="22"/>
        </w:rPr>
        <w:t xml:space="preserve"> </w:t>
      </w:r>
      <w:r>
        <w:rPr>
          <w:b w:val="0"/>
          <w:bCs w:val="0"/>
          <w:sz w:val="22"/>
          <w:szCs w:val="22"/>
        </w:rPr>
        <w:t>in quarter three than quarter two</w:t>
      </w:r>
      <w:r w:rsidR="00483783">
        <w:rPr>
          <w:b w:val="0"/>
          <w:bCs w:val="0"/>
          <w:sz w:val="22"/>
          <w:szCs w:val="22"/>
        </w:rPr>
        <w:t>.</w:t>
      </w:r>
      <w:r>
        <w:rPr>
          <w:b w:val="0"/>
          <w:bCs w:val="0"/>
          <w:sz w:val="22"/>
          <w:szCs w:val="22"/>
        </w:rPr>
        <w:t xml:space="preserve"> </w:t>
      </w:r>
      <w:r w:rsidR="009F71E7">
        <w:rPr>
          <w:b w:val="0"/>
          <w:bCs w:val="0"/>
          <w:sz w:val="22"/>
          <w:szCs w:val="22"/>
        </w:rPr>
        <w:t>The average wait time for a person to be connected to a Legal Help service in quarter three</w:t>
      </w:r>
      <w:r w:rsidR="00016454">
        <w:rPr>
          <w:b w:val="0"/>
          <w:bCs w:val="0"/>
          <w:sz w:val="22"/>
          <w:szCs w:val="22"/>
        </w:rPr>
        <w:t xml:space="preserve"> also</w:t>
      </w:r>
      <w:r w:rsidR="009F71E7">
        <w:rPr>
          <w:b w:val="0"/>
          <w:bCs w:val="0"/>
          <w:sz w:val="22"/>
          <w:szCs w:val="22"/>
        </w:rPr>
        <w:t xml:space="preserve"> increased by 3 minutes and 15 seconds from the previous quarter.</w:t>
      </w:r>
      <w:r w:rsidR="00CE314D">
        <w:rPr>
          <w:b w:val="0"/>
          <w:bCs w:val="0"/>
          <w:sz w:val="22"/>
          <w:szCs w:val="22"/>
        </w:rPr>
        <w:t xml:space="preserve"> </w:t>
      </w:r>
      <w:r w:rsidR="00016454">
        <w:rPr>
          <w:b w:val="0"/>
          <w:bCs w:val="0"/>
          <w:sz w:val="22"/>
          <w:szCs w:val="22"/>
        </w:rPr>
        <w:t>U</w:t>
      </w:r>
      <w:r w:rsidR="00433315">
        <w:rPr>
          <w:b w:val="0"/>
          <w:bCs w:val="0"/>
          <w:sz w:val="22"/>
          <w:szCs w:val="22"/>
        </w:rPr>
        <w:t xml:space="preserve">nplanned </w:t>
      </w:r>
      <w:r w:rsidR="00051A01">
        <w:rPr>
          <w:b w:val="0"/>
          <w:bCs w:val="0"/>
          <w:sz w:val="22"/>
          <w:szCs w:val="22"/>
        </w:rPr>
        <w:t>absences</w:t>
      </w:r>
      <w:r w:rsidR="004E6449">
        <w:rPr>
          <w:b w:val="0"/>
          <w:bCs w:val="0"/>
          <w:sz w:val="22"/>
          <w:szCs w:val="22"/>
        </w:rPr>
        <w:t xml:space="preserve"> due to the pandemic, </w:t>
      </w:r>
      <w:r w:rsidR="009D3041">
        <w:rPr>
          <w:b w:val="0"/>
          <w:bCs w:val="0"/>
          <w:sz w:val="22"/>
          <w:szCs w:val="22"/>
        </w:rPr>
        <w:t xml:space="preserve">seasonal staffing fluctuations </w:t>
      </w:r>
      <w:r w:rsidR="004E6449">
        <w:rPr>
          <w:b w:val="0"/>
          <w:bCs w:val="0"/>
          <w:sz w:val="22"/>
          <w:szCs w:val="22"/>
        </w:rPr>
        <w:t xml:space="preserve">over the summer months and staff turnover contributed to </w:t>
      </w:r>
      <w:r w:rsidR="00B95454">
        <w:rPr>
          <w:b w:val="0"/>
          <w:bCs w:val="0"/>
          <w:sz w:val="22"/>
          <w:szCs w:val="22"/>
        </w:rPr>
        <w:t xml:space="preserve">a </w:t>
      </w:r>
      <w:r w:rsidR="004E6449">
        <w:rPr>
          <w:b w:val="0"/>
          <w:bCs w:val="0"/>
          <w:sz w:val="22"/>
          <w:szCs w:val="22"/>
        </w:rPr>
        <w:t>l</w:t>
      </w:r>
      <w:r w:rsidR="00051A01">
        <w:rPr>
          <w:b w:val="0"/>
          <w:bCs w:val="0"/>
          <w:sz w:val="22"/>
          <w:szCs w:val="22"/>
        </w:rPr>
        <w:t>onger average wait time</w:t>
      </w:r>
      <w:r w:rsidR="00557D40">
        <w:rPr>
          <w:b w:val="0"/>
          <w:bCs w:val="0"/>
          <w:sz w:val="22"/>
          <w:szCs w:val="22"/>
        </w:rPr>
        <w:t xml:space="preserve"> and </w:t>
      </w:r>
      <w:r w:rsidR="00557D40">
        <w:rPr>
          <w:b w:val="0"/>
          <w:bCs w:val="0"/>
          <w:sz w:val="22"/>
          <w:szCs w:val="22"/>
        </w:rPr>
        <w:lastRenderedPageBreak/>
        <w:t>fewer sessions delivered</w:t>
      </w:r>
      <w:r w:rsidR="00051A01">
        <w:rPr>
          <w:b w:val="0"/>
          <w:bCs w:val="0"/>
          <w:sz w:val="22"/>
          <w:szCs w:val="22"/>
        </w:rPr>
        <w:t>.</w:t>
      </w:r>
      <w:r w:rsidR="009F71E7">
        <w:rPr>
          <w:b w:val="0"/>
          <w:bCs w:val="0"/>
          <w:sz w:val="22"/>
          <w:szCs w:val="22"/>
        </w:rPr>
        <w:t xml:space="preserve"> </w:t>
      </w:r>
      <w:r w:rsidR="008D119B">
        <w:rPr>
          <w:b w:val="0"/>
          <w:bCs w:val="0"/>
          <w:sz w:val="22"/>
          <w:szCs w:val="22"/>
        </w:rPr>
        <w:t xml:space="preserve">Work to complete </w:t>
      </w:r>
      <w:r w:rsidR="00991FC7">
        <w:rPr>
          <w:b w:val="0"/>
          <w:bCs w:val="0"/>
          <w:sz w:val="22"/>
          <w:szCs w:val="22"/>
        </w:rPr>
        <w:t xml:space="preserve">the modernisation of our core </w:t>
      </w:r>
      <w:r w:rsidR="008C715D">
        <w:rPr>
          <w:b w:val="0"/>
          <w:bCs w:val="0"/>
          <w:sz w:val="22"/>
          <w:szCs w:val="22"/>
        </w:rPr>
        <w:t xml:space="preserve">technology </w:t>
      </w:r>
      <w:r w:rsidR="00991FC7">
        <w:rPr>
          <w:b w:val="0"/>
          <w:bCs w:val="0"/>
          <w:sz w:val="22"/>
          <w:szCs w:val="22"/>
        </w:rPr>
        <w:t xml:space="preserve">software </w:t>
      </w:r>
      <w:r w:rsidR="00F7571E">
        <w:rPr>
          <w:b w:val="0"/>
          <w:bCs w:val="0"/>
          <w:sz w:val="22"/>
          <w:szCs w:val="22"/>
        </w:rPr>
        <w:t xml:space="preserve">and </w:t>
      </w:r>
      <w:r w:rsidR="00DD6647">
        <w:rPr>
          <w:b w:val="0"/>
          <w:bCs w:val="0"/>
          <w:sz w:val="22"/>
          <w:szCs w:val="22"/>
        </w:rPr>
        <w:t xml:space="preserve">unplanned absences due to </w:t>
      </w:r>
      <w:r w:rsidR="003B3CAE">
        <w:rPr>
          <w:b w:val="0"/>
          <w:bCs w:val="0"/>
          <w:sz w:val="22"/>
          <w:szCs w:val="22"/>
        </w:rPr>
        <w:t>COVID</w:t>
      </w:r>
      <w:r w:rsidR="00DD6647">
        <w:rPr>
          <w:b w:val="0"/>
          <w:bCs w:val="0"/>
          <w:sz w:val="22"/>
          <w:szCs w:val="22"/>
        </w:rPr>
        <w:t xml:space="preserve">-19 and flu season </w:t>
      </w:r>
      <w:r w:rsidR="008D119B">
        <w:rPr>
          <w:b w:val="0"/>
          <w:bCs w:val="0"/>
          <w:sz w:val="22"/>
          <w:szCs w:val="22"/>
        </w:rPr>
        <w:t xml:space="preserve">will continue to affect our capacity in the short term, meaning we </w:t>
      </w:r>
      <w:r w:rsidR="009F71E7">
        <w:rPr>
          <w:b w:val="0"/>
          <w:bCs w:val="0"/>
          <w:sz w:val="22"/>
          <w:szCs w:val="22"/>
        </w:rPr>
        <w:t>expect wait times to be consistent into quarter four</w:t>
      </w:r>
      <w:r w:rsidR="00777934">
        <w:rPr>
          <w:b w:val="0"/>
          <w:bCs w:val="0"/>
          <w:sz w:val="22"/>
          <w:szCs w:val="22"/>
        </w:rPr>
        <w:t xml:space="preserve"> and service numbers to be lower than Q3. </w:t>
      </w:r>
      <w:r w:rsidR="00623761">
        <w:rPr>
          <w:b w:val="0"/>
          <w:bCs w:val="0"/>
          <w:sz w:val="22"/>
          <w:szCs w:val="22"/>
        </w:rPr>
        <w:t xml:space="preserve">However, </w:t>
      </w:r>
      <w:r w:rsidR="00F802FD">
        <w:rPr>
          <w:b w:val="0"/>
          <w:bCs w:val="0"/>
          <w:sz w:val="22"/>
          <w:szCs w:val="22"/>
        </w:rPr>
        <w:t>we</w:t>
      </w:r>
      <w:r w:rsidR="00623761" w:rsidRPr="00623761">
        <w:rPr>
          <w:b w:val="0"/>
          <w:bCs w:val="0"/>
          <w:sz w:val="22"/>
          <w:szCs w:val="22"/>
        </w:rPr>
        <w:t xml:space="preserve"> </w:t>
      </w:r>
      <w:r w:rsidR="00991FC7">
        <w:rPr>
          <w:b w:val="0"/>
          <w:bCs w:val="0"/>
          <w:sz w:val="22"/>
          <w:szCs w:val="22"/>
        </w:rPr>
        <w:t xml:space="preserve">anticipate that </w:t>
      </w:r>
      <w:r w:rsidR="00F802FD">
        <w:rPr>
          <w:b w:val="0"/>
          <w:bCs w:val="0"/>
          <w:sz w:val="22"/>
          <w:szCs w:val="22"/>
        </w:rPr>
        <w:t xml:space="preserve">the </w:t>
      </w:r>
      <w:r w:rsidR="00596D26">
        <w:rPr>
          <w:b w:val="0"/>
          <w:bCs w:val="0"/>
          <w:sz w:val="22"/>
          <w:szCs w:val="22"/>
        </w:rPr>
        <w:t xml:space="preserve">enhanced functionality and reliability of the </w:t>
      </w:r>
      <w:r w:rsidR="00F802FD">
        <w:rPr>
          <w:b w:val="0"/>
          <w:bCs w:val="0"/>
          <w:sz w:val="22"/>
          <w:szCs w:val="22"/>
        </w:rPr>
        <w:t xml:space="preserve">new </w:t>
      </w:r>
      <w:r w:rsidR="00991FC7">
        <w:rPr>
          <w:b w:val="0"/>
          <w:bCs w:val="0"/>
          <w:sz w:val="22"/>
          <w:szCs w:val="22"/>
        </w:rPr>
        <w:t xml:space="preserve">software will </w:t>
      </w:r>
      <w:r w:rsidR="00F802FD">
        <w:rPr>
          <w:b w:val="0"/>
          <w:bCs w:val="0"/>
          <w:sz w:val="22"/>
          <w:szCs w:val="22"/>
        </w:rPr>
        <w:t xml:space="preserve">improve our </w:t>
      </w:r>
      <w:r w:rsidR="00623761" w:rsidRPr="00623761">
        <w:rPr>
          <w:b w:val="0"/>
          <w:bCs w:val="0"/>
          <w:sz w:val="22"/>
          <w:szCs w:val="22"/>
        </w:rPr>
        <w:t>ability to answer calls and webchat in the long</w:t>
      </w:r>
      <w:r w:rsidR="00596D26">
        <w:rPr>
          <w:b w:val="0"/>
          <w:bCs w:val="0"/>
          <w:sz w:val="22"/>
          <w:szCs w:val="22"/>
        </w:rPr>
        <w:t>er</w:t>
      </w:r>
      <w:r w:rsidR="00623761" w:rsidRPr="00623761">
        <w:rPr>
          <w:b w:val="0"/>
          <w:bCs w:val="0"/>
          <w:sz w:val="22"/>
          <w:szCs w:val="22"/>
        </w:rPr>
        <w:t xml:space="preserve"> term.</w:t>
      </w:r>
    </w:p>
    <w:p w14:paraId="548B2E87" w14:textId="345C7060" w:rsidR="008F1B38" w:rsidRDefault="007C1487" w:rsidP="00E43EE2">
      <w:pPr>
        <w:pStyle w:val="Tableheader"/>
      </w:pPr>
      <w:r>
        <w:t xml:space="preserve">Table 1.3 </w:t>
      </w:r>
      <w:r w:rsidR="00495A11" w:rsidRPr="00495A11">
        <w:t>Early Intervention and Preventative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25"/>
        <w:gridCol w:w="1973"/>
        <w:gridCol w:w="2289"/>
        <w:gridCol w:w="2289"/>
      </w:tblGrid>
      <w:tr w:rsidR="00C5333D" w14:paraId="4E36734E" w14:textId="6F69B069" w:rsidTr="3DA007BF">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1749" w:type="pct"/>
            <w:shd w:val="clear" w:color="auto" w:fill="C4B0CC"/>
          </w:tcPr>
          <w:p w14:paraId="69A5DE08" w14:textId="77777777" w:rsidR="00C5333D" w:rsidRPr="00495A11" w:rsidRDefault="00C5333D" w:rsidP="00C5333D">
            <w:pPr>
              <w:rPr>
                <w:b/>
                <w:color w:val="000000" w:themeColor="text1"/>
              </w:rPr>
            </w:pPr>
            <w:r w:rsidRPr="00495A11">
              <w:rPr>
                <w:b/>
                <w:color w:val="000000" w:themeColor="text1"/>
              </w:rPr>
              <w:t>Early Intervention and Preventative services</w:t>
            </w:r>
          </w:p>
        </w:tc>
        <w:tc>
          <w:tcPr>
            <w:cnfStyle w:val="000001000000" w:firstRow="0" w:lastRow="0" w:firstColumn="0" w:lastColumn="0" w:oddVBand="0" w:evenVBand="1" w:oddHBand="0" w:evenHBand="0" w:firstRowFirstColumn="0" w:firstRowLastColumn="0" w:lastRowFirstColumn="0" w:lastRowLastColumn="0"/>
            <w:tcW w:w="979" w:type="pct"/>
            <w:shd w:val="clear" w:color="auto" w:fill="C4B0CC"/>
          </w:tcPr>
          <w:p w14:paraId="22926EA4" w14:textId="77777777" w:rsidR="00C5333D" w:rsidRPr="000E7EED" w:rsidRDefault="00C5333D" w:rsidP="00C5333D">
            <w:pPr>
              <w:jc w:val="center"/>
              <w:rPr>
                <w:b/>
                <w:color w:val="000000" w:themeColor="text1"/>
              </w:rPr>
            </w:pPr>
            <w:r>
              <w:rPr>
                <w:b/>
                <w:color w:val="000000" w:themeColor="text1"/>
              </w:rPr>
              <w:t>Q2</w:t>
            </w:r>
          </w:p>
          <w:p w14:paraId="1B43C195" w14:textId="66AB4A04" w:rsidR="00C5333D" w:rsidRPr="00495A11" w:rsidRDefault="00C5333D" w:rsidP="00C5333D">
            <w:pPr>
              <w:jc w:val="center"/>
              <w:rPr>
                <w:b/>
                <w:color w:val="000000" w:themeColor="text1"/>
              </w:rPr>
            </w:pPr>
            <w:r w:rsidRPr="000E7EED">
              <w:rPr>
                <w:b/>
                <w:color w:val="000000" w:themeColor="text1"/>
              </w:rPr>
              <w:t>20</w:t>
            </w:r>
            <w:r>
              <w:rPr>
                <w:b/>
                <w:color w:val="000000" w:themeColor="text1"/>
              </w:rPr>
              <w:t>21-22</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C4B0CC"/>
          </w:tcPr>
          <w:p w14:paraId="376261F4" w14:textId="77777777" w:rsidR="00C5333D" w:rsidRDefault="00C5333D" w:rsidP="00C5333D">
            <w:pPr>
              <w:jc w:val="center"/>
              <w:rPr>
                <w:b/>
                <w:color w:val="000000" w:themeColor="text1"/>
              </w:rPr>
            </w:pPr>
            <w:r w:rsidRPr="55245693">
              <w:rPr>
                <w:b/>
                <w:color w:val="000000" w:themeColor="text1"/>
              </w:rPr>
              <w:t>Q</w:t>
            </w:r>
            <w:r>
              <w:rPr>
                <w:b/>
                <w:color w:val="000000" w:themeColor="text1"/>
              </w:rPr>
              <w:t>3</w:t>
            </w:r>
          </w:p>
          <w:p w14:paraId="1AE9CE31" w14:textId="54548FF4" w:rsidR="00C5333D" w:rsidRPr="00495A11" w:rsidRDefault="00C5333D" w:rsidP="00C5333D">
            <w:pPr>
              <w:jc w:val="center"/>
              <w:rPr>
                <w:b/>
                <w:color w:val="000000" w:themeColor="text1"/>
              </w:rPr>
            </w:pPr>
            <w:r w:rsidRPr="000E7EED">
              <w:rPr>
                <w:b/>
                <w:color w:val="000000" w:themeColor="text1"/>
              </w:rPr>
              <w:t>20</w:t>
            </w:r>
            <w:r>
              <w:rPr>
                <w:b/>
                <w:color w:val="000000" w:themeColor="text1"/>
              </w:rPr>
              <w:t>21-22</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C4B0CC"/>
          </w:tcPr>
          <w:p w14:paraId="2558F9C8" w14:textId="77777777" w:rsidR="00C5333D" w:rsidRDefault="00C5333D" w:rsidP="00C5333D">
            <w:pPr>
              <w:jc w:val="center"/>
              <w:rPr>
                <w:b/>
                <w:bCs w:val="0"/>
                <w:color w:val="000000" w:themeColor="text1"/>
              </w:rPr>
            </w:pPr>
            <w:r>
              <w:rPr>
                <w:b/>
                <w:color w:val="000000" w:themeColor="text1"/>
              </w:rPr>
              <w:t>Q4 2021-22</w:t>
            </w:r>
          </w:p>
          <w:p w14:paraId="44A1A4EE" w14:textId="61733955" w:rsidR="00C5333D" w:rsidRPr="55245693" w:rsidRDefault="00C5333D" w:rsidP="00C5333D">
            <w:pPr>
              <w:jc w:val="center"/>
              <w:rPr>
                <w:b/>
                <w:color w:val="000000" w:themeColor="text1"/>
              </w:rPr>
            </w:pPr>
            <w:r>
              <w:rPr>
                <w:b/>
                <w:color w:val="000000" w:themeColor="text1"/>
              </w:rPr>
              <w:t>projection</w:t>
            </w:r>
          </w:p>
        </w:tc>
      </w:tr>
      <w:tr w:rsidR="00680053" w:rsidRPr="0021615C" w14:paraId="17F5CA1B" w14:textId="084127E4" w:rsidTr="3DA007BF">
        <w:trPr>
          <w:cnfStyle w:val="000000100000" w:firstRow="0" w:lastRow="0" w:firstColumn="0" w:lastColumn="0" w:oddVBand="0" w:evenVBand="0" w:oddHBand="1" w:evenHBand="0" w:firstRowFirstColumn="0" w:firstRowLastColumn="0" w:lastRowFirstColumn="0" w:lastRowLastColumn="0"/>
          <w:trHeight w:val="531"/>
        </w:trPr>
        <w:tc>
          <w:tcPr>
            <w:cnfStyle w:val="000010000000" w:firstRow="0" w:lastRow="0" w:firstColumn="0" w:lastColumn="0" w:oddVBand="1" w:evenVBand="0" w:oddHBand="0" w:evenHBand="0" w:firstRowFirstColumn="0" w:firstRowLastColumn="0" w:lastRowFirstColumn="0" w:lastRowLastColumn="0"/>
            <w:tcW w:w="1749" w:type="pct"/>
          </w:tcPr>
          <w:p w14:paraId="19F24B7C" w14:textId="49986B26" w:rsidR="00680053" w:rsidRPr="000E7EED" w:rsidRDefault="00680053" w:rsidP="00680053">
            <w:pPr>
              <w:rPr>
                <w:color w:val="000000" w:themeColor="text1"/>
              </w:rPr>
            </w:pPr>
            <w:r w:rsidRPr="000E7EED">
              <w:rPr>
                <w:color w:val="000000" w:themeColor="text1"/>
              </w:rPr>
              <w:t xml:space="preserve">Information </w:t>
            </w:r>
            <w:r>
              <w:rPr>
                <w:color w:val="000000" w:themeColor="text1"/>
              </w:rPr>
              <w:t>sessions</w:t>
            </w:r>
          </w:p>
        </w:tc>
        <w:tc>
          <w:tcPr>
            <w:cnfStyle w:val="000001000000" w:firstRow="0" w:lastRow="0" w:firstColumn="0" w:lastColumn="0" w:oddVBand="0" w:evenVBand="1" w:oddHBand="0" w:evenHBand="0" w:firstRowFirstColumn="0" w:firstRowLastColumn="0" w:lastRowFirstColumn="0" w:lastRowLastColumn="0"/>
            <w:tcW w:w="979" w:type="pct"/>
          </w:tcPr>
          <w:p w14:paraId="7F4686D8" w14:textId="49980374" w:rsidR="00680053" w:rsidRPr="000E7EED" w:rsidRDefault="00680053" w:rsidP="00680053">
            <w:pPr>
              <w:jc w:val="center"/>
              <w:rPr>
                <w:color w:val="000000" w:themeColor="text1"/>
              </w:rPr>
            </w:pPr>
            <w:r>
              <w:t>27,072</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30C32A25" w14:textId="7DB5EB6E" w:rsidR="00680053" w:rsidRPr="0021615C" w:rsidRDefault="00552749" w:rsidP="00680053">
            <w:pPr>
              <w:jc w:val="center"/>
            </w:pPr>
            <w:r>
              <w:t>26,751</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46A3F8BF" w14:textId="1A4ABB4A" w:rsidR="00680053" w:rsidRDefault="00F45721" w:rsidP="00680053">
            <w:pPr>
              <w:jc w:val="center"/>
            </w:pPr>
            <w:r>
              <w:t>24,724</w:t>
            </w:r>
          </w:p>
        </w:tc>
      </w:tr>
      <w:tr w:rsidR="00680053" w14:paraId="63D578F8" w14:textId="1B8A8397" w:rsidTr="3DA007BF">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9" w:type="pct"/>
          </w:tcPr>
          <w:p w14:paraId="3941F306" w14:textId="4F191B1A" w:rsidR="00680053" w:rsidRPr="000E7EED" w:rsidRDefault="00680053" w:rsidP="00680053">
            <w:pPr>
              <w:rPr>
                <w:color w:val="000000" w:themeColor="text1"/>
              </w:rPr>
            </w:pPr>
            <w:r>
              <w:rPr>
                <w:color w:val="000000" w:themeColor="text1"/>
              </w:rPr>
              <w:t>Legal Advice sessions</w:t>
            </w:r>
          </w:p>
        </w:tc>
        <w:tc>
          <w:tcPr>
            <w:cnfStyle w:val="000001000000" w:firstRow="0" w:lastRow="0" w:firstColumn="0" w:lastColumn="0" w:oddVBand="0" w:evenVBand="1" w:oddHBand="0" w:evenHBand="0" w:firstRowFirstColumn="0" w:firstRowLastColumn="0" w:lastRowFirstColumn="0" w:lastRowLastColumn="0"/>
            <w:tcW w:w="979" w:type="pct"/>
          </w:tcPr>
          <w:p w14:paraId="321509DE" w14:textId="67C9687B" w:rsidR="00680053" w:rsidRPr="000E7EED" w:rsidRDefault="00680053" w:rsidP="00680053">
            <w:pPr>
              <w:jc w:val="center"/>
              <w:rPr>
                <w:color w:val="000000" w:themeColor="text1"/>
              </w:rPr>
            </w:pPr>
            <w:r>
              <w:rPr>
                <w:color w:val="000000" w:themeColor="text1"/>
              </w:rPr>
              <w:t>9,585</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62B478A5" w14:textId="30E3EED1" w:rsidR="00AD5D30" w:rsidRPr="000E7EED" w:rsidRDefault="00AD5D30" w:rsidP="00AD5D30">
            <w:pPr>
              <w:jc w:val="center"/>
              <w:rPr>
                <w:color w:val="000000" w:themeColor="text1"/>
              </w:rPr>
            </w:pPr>
            <w:r>
              <w:rPr>
                <w:color w:val="000000" w:themeColor="text1"/>
              </w:rPr>
              <w:t>8,563</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2BE70748" w14:textId="2628F834" w:rsidR="00680053" w:rsidRDefault="00E12526" w:rsidP="00680053">
            <w:pPr>
              <w:jc w:val="center"/>
              <w:rPr>
                <w:color w:val="000000" w:themeColor="text1"/>
              </w:rPr>
            </w:pPr>
            <w:r>
              <w:rPr>
                <w:color w:val="000000" w:themeColor="text1"/>
              </w:rPr>
              <w:t>9,552</w:t>
            </w:r>
          </w:p>
        </w:tc>
      </w:tr>
      <w:tr w:rsidR="00680053" w14:paraId="72BA4F0C" w14:textId="77777777" w:rsidTr="3DA007BF">
        <w:trPr>
          <w:cnfStyle w:val="000000100000" w:firstRow="0" w:lastRow="0" w:firstColumn="0" w:lastColumn="0" w:oddVBand="0" w:evenVBand="0" w:oddHBand="1" w:evenHBand="0"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9" w:type="pct"/>
          </w:tcPr>
          <w:p w14:paraId="62630860" w14:textId="5D7100D4" w:rsidR="00680053" w:rsidRDefault="00680053" w:rsidP="00680053">
            <w:pPr>
              <w:rPr>
                <w:color w:val="000000" w:themeColor="text1"/>
              </w:rPr>
            </w:pPr>
            <w:r>
              <w:rPr>
                <w:color w:val="000000" w:themeColor="text1"/>
              </w:rPr>
              <w:t>Community Legal Education sessions</w:t>
            </w:r>
          </w:p>
        </w:tc>
        <w:tc>
          <w:tcPr>
            <w:cnfStyle w:val="000001000000" w:firstRow="0" w:lastRow="0" w:firstColumn="0" w:lastColumn="0" w:oddVBand="0" w:evenVBand="1" w:oddHBand="0" w:evenHBand="0" w:firstRowFirstColumn="0" w:firstRowLastColumn="0" w:lastRowFirstColumn="0" w:lastRowLastColumn="0"/>
            <w:tcW w:w="979" w:type="pct"/>
            <w:vAlign w:val="center"/>
          </w:tcPr>
          <w:p w14:paraId="54A6C641" w14:textId="34BA33BD" w:rsidR="00680053" w:rsidRDefault="00680053" w:rsidP="00680053">
            <w:pPr>
              <w:jc w:val="center"/>
              <w:rPr>
                <w:color w:val="000000" w:themeColor="text1"/>
              </w:rPr>
            </w:pPr>
            <w:r>
              <w:rPr>
                <w:color w:val="000000" w:themeColor="text1"/>
              </w:rPr>
              <w:t>27</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1D108980" w14:textId="248B7E80" w:rsidR="00680053" w:rsidRDefault="00674B61" w:rsidP="3DA007BF">
            <w:pPr>
              <w:jc w:val="center"/>
              <w:rPr>
                <w:color w:val="000000" w:themeColor="text1"/>
                <w:highlight w:val="yellow"/>
              </w:rPr>
            </w:pPr>
            <w:r w:rsidRPr="002213F1">
              <w:rPr>
                <w:color w:val="000000" w:themeColor="text1"/>
              </w:rPr>
              <w:t>20</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1E77BDD5" w14:textId="0B1169CB" w:rsidR="00680053" w:rsidRDefault="002213F1" w:rsidP="00680053">
            <w:pPr>
              <w:jc w:val="center"/>
              <w:rPr>
                <w:color w:val="000000" w:themeColor="text1"/>
              </w:rPr>
            </w:pPr>
            <w:r>
              <w:rPr>
                <w:color w:val="000000" w:themeColor="text1"/>
              </w:rPr>
              <w:t>30</w:t>
            </w:r>
          </w:p>
        </w:tc>
      </w:tr>
      <w:tr w:rsidR="00680053" w14:paraId="3ADBA7D7" w14:textId="77777777" w:rsidTr="00281FEE">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9" w:type="pct"/>
          </w:tcPr>
          <w:p w14:paraId="1702BE28" w14:textId="02086054" w:rsidR="00680053" w:rsidRDefault="00680053" w:rsidP="00680053">
            <w:pPr>
              <w:rPr>
                <w:color w:val="000000" w:themeColor="text1"/>
              </w:rPr>
            </w:pPr>
            <w:r>
              <w:rPr>
                <w:color w:val="000000" w:themeColor="text1"/>
              </w:rPr>
              <w:t xml:space="preserve">Website sessions </w:t>
            </w:r>
          </w:p>
        </w:tc>
        <w:tc>
          <w:tcPr>
            <w:cnfStyle w:val="000001000000" w:firstRow="0" w:lastRow="0" w:firstColumn="0" w:lastColumn="0" w:oddVBand="0" w:evenVBand="1" w:oddHBand="0" w:evenHBand="0" w:firstRowFirstColumn="0" w:firstRowLastColumn="0" w:lastRowFirstColumn="0" w:lastRowLastColumn="0"/>
            <w:tcW w:w="979" w:type="pct"/>
          </w:tcPr>
          <w:p w14:paraId="11604E83" w14:textId="665FB991" w:rsidR="00680053" w:rsidRDefault="00680053" w:rsidP="00680053">
            <w:pPr>
              <w:jc w:val="center"/>
              <w:rPr>
                <w:color w:val="000000" w:themeColor="text1"/>
              </w:rPr>
            </w:pPr>
            <w:r>
              <w:rPr>
                <w:color w:val="000000" w:themeColor="text1"/>
              </w:rPr>
              <w:t>669,983</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36B0BBC7" w14:textId="53AE2196" w:rsidR="00680053" w:rsidRDefault="00BE258D" w:rsidP="00281FEE">
            <w:pPr>
              <w:jc w:val="center"/>
              <w:rPr>
                <w:color w:val="000000" w:themeColor="text1"/>
              </w:rPr>
            </w:pPr>
            <w:r>
              <w:rPr>
                <w:color w:val="000000" w:themeColor="text1"/>
              </w:rPr>
              <w:t>642,501</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tcPr>
          <w:p w14:paraId="35208002" w14:textId="3EE98039" w:rsidR="00680053" w:rsidRDefault="00F22604" w:rsidP="00281FEE">
            <w:pPr>
              <w:jc w:val="center"/>
              <w:rPr>
                <w:color w:val="000000" w:themeColor="text1"/>
              </w:rPr>
            </w:pPr>
            <w:r>
              <w:rPr>
                <w:color w:val="000000" w:themeColor="text1"/>
              </w:rPr>
              <w:t>621,900</w:t>
            </w:r>
          </w:p>
        </w:tc>
      </w:tr>
    </w:tbl>
    <w:p w14:paraId="5F6975BE" w14:textId="0F7E526A" w:rsidR="00EC3027" w:rsidRDefault="00F92DC1" w:rsidP="00844BD8">
      <w:pPr>
        <w:pStyle w:val="Tableheader"/>
        <w:spacing w:before="0"/>
        <w:rPr>
          <w:b w:val="0"/>
          <w:bCs w:val="0"/>
          <w:sz w:val="22"/>
          <w:szCs w:val="22"/>
        </w:rPr>
      </w:pPr>
      <w:r>
        <w:rPr>
          <w:b w:val="0"/>
          <w:bCs w:val="0"/>
          <w:sz w:val="22"/>
          <w:szCs w:val="22"/>
        </w:rPr>
        <w:br/>
        <w:t xml:space="preserve">Legal Help is </w:t>
      </w:r>
      <w:r w:rsidR="003A19FB">
        <w:rPr>
          <w:b w:val="0"/>
          <w:bCs w:val="0"/>
          <w:sz w:val="22"/>
          <w:szCs w:val="22"/>
        </w:rPr>
        <w:t>the way that we deliver</w:t>
      </w:r>
      <w:r w:rsidR="00CC64CB">
        <w:rPr>
          <w:b w:val="0"/>
          <w:bCs w:val="0"/>
          <w:sz w:val="22"/>
          <w:szCs w:val="22"/>
        </w:rPr>
        <w:t xml:space="preserve"> </w:t>
      </w:r>
      <w:r w:rsidR="006015EE">
        <w:rPr>
          <w:b w:val="0"/>
          <w:bCs w:val="0"/>
          <w:sz w:val="22"/>
          <w:szCs w:val="22"/>
        </w:rPr>
        <w:t>most of the</w:t>
      </w:r>
      <w:r w:rsidR="003A19FB">
        <w:rPr>
          <w:b w:val="0"/>
          <w:bCs w:val="0"/>
          <w:sz w:val="22"/>
          <w:szCs w:val="22"/>
        </w:rPr>
        <w:t xml:space="preserve"> information and </w:t>
      </w:r>
      <w:r w:rsidR="00E43F1C">
        <w:rPr>
          <w:b w:val="0"/>
          <w:bCs w:val="0"/>
          <w:sz w:val="22"/>
          <w:szCs w:val="22"/>
        </w:rPr>
        <w:t xml:space="preserve">many </w:t>
      </w:r>
      <w:r w:rsidR="003A19FB">
        <w:rPr>
          <w:b w:val="0"/>
          <w:bCs w:val="0"/>
          <w:sz w:val="22"/>
          <w:szCs w:val="22"/>
        </w:rPr>
        <w:t xml:space="preserve">advice sessions </w:t>
      </w:r>
      <w:r w:rsidR="00A54D8F">
        <w:rPr>
          <w:b w:val="0"/>
          <w:bCs w:val="0"/>
          <w:sz w:val="22"/>
          <w:szCs w:val="22"/>
        </w:rPr>
        <w:t>at VLA</w:t>
      </w:r>
      <w:r w:rsidR="00CC64CB">
        <w:rPr>
          <w:b w:val="0"/>
          <w:bCs w:val="0"/>
          <w:sz w:val="22"/>
          <w:szCs w:val="22"/>
        </w:rPr>
        <w:t>, especially during the pandemic where there have been fewer face-to-face services available</w:t>
      </w:r>
      <w:r w:rsidR="00A54D8F">
        <w:rPr>
          <w:b w:val="0"/>
          <w:bCs w:val="0"/>
          <w:sz w:val="22"/>
          <w:szCs w:val="22"/>
        </w:rPr>
        <w:t>. The lower number of Legal Help sessions delivered translates into</w:t>
      </w:r>
      <w:r w:rsidR="0066204C">
        <w:rPr>
          <w:b w:val="0"/>
          <w:bCs w:val="0"/>
          <w:sz w:val="22"/>
          <w:szCs w:val="22"/>
        </w:rPr>
        <w:t xml:space="preserve"> slightly</w:t>
      </w:r>
      <w:r w:rsidR="00A54D8F">
        <w:rPr>
          <w:b w:val="0"/>
          <w:bCs w:val="0"/>
          <w:sz w:val="22"/>
          <w:szCs w:val="22"/>
        </w:rPr>
        <w:t xml:space="preserve"> fewer information</w:t>
      </w:r>
      <w:r w:rsidR="0066204C">
        <w:rPr>
          <w:b w:val="0"/>
          <w:bCs w:val="0"/>
          <w:sz w:val="22"/>
          <w:szCs w:val="22"/>
        </w:rPr>
        <w:t xml:space="preserve"> </w:t>
      </w:r>
      <w:r w:rsidR="00B71C35">
        <w:rPr>
          <w:b w:val="0"/>
          <w:bCs w:val="0"/>
          <w:sz w:val="22"/>
          <w:szCs w:val="22"/>
        </w:rPr>
        <w:t xml:space="preserve">sessions </w:t>
      </w:r>
      <w:r w:rsidR="0066204C">
        <w:rPr>
          <w:b w:val="0"/>
          <w:bCs w:val="0"/>
          <w:sz w:val="22"/>
          <w:szCs w:val="22"/>
        </w:rPr>
        <w:t>(</w:t>
      </w:r>
      <w:r w:rsidR="00E471CB">
        <w:rPr>
          <w:b w:val="0"/>
          <w:bCs w:val="0"/>
          <w:sz w:val="22"/>
          <w:szCs w:val="22"/>
        </w:rPr>
        <w:t>-1.2</w:t>
      </w:r>
      <w:r w:rsidR="00B85767">
        <w:rPr>
          <w:b w:val="0"/>
          <w:bCs w:val="0"/>
          <w:sz w:val="22"/>
          <w:szCs w:val="22"/>
        </w:rPr>
        <w:t xml:space="preserve"> per cent</w:t>
      </w:r>
      <w:r w:rsidR="00E471CB">
        <w:rPr>
          <w:b w:val="0"/>
          <w:bCs w:val="0"/>
          <w:sz w:val="22"/>
          <w:szCs w:val="22"/>
        </w:rPr>
        <w:t>)</w:t>
      </w:r>
      <w:r w:rsidR="00F444AD">
        <w:rPr>
          <w:b w:val="0"/>
          <w:bCs w:val="0"/>
          <w:sz w:val="22"/>
          <w:szCs w:val="22"/>
        </w:rPr>
        <w:t xml:space="preserve"> </w:t>
      </w:r>
      <w:r w:rsidR="00B71C35">
        <w:rPr>
          <w:b w:val="0"/>
          <w:bCs w:val="0"/>
          <w:sz w:val="22"/>
          <w:szCs w:val="22"/>
        </w:rPr>
        <w:t xml:space="preserve">however, they were </w:t>
      </w:r>
      <w:r w:rsidR="00DA1A57">
        <w:rPr>
          <w:b w:val="0"/>
          <w:bCs w:val="0"/>
          <w:sz w:val="22"/>
          <w:szCs w:val="22"/>
        </w:rPr>
        <w:t xml:space="preserve">consistent with quarter three of the previous financial year (-0.1 per cent). </w:t>
      </w:r>
      <w:r w:rsidR="00F016D8">
        <w:rPr>
          <w:b w:val="0"/>
          <w:bCs w:val="0"/>
          <w:sz w:val="22"/>
          <w:szCs w:val="22"/>
        </w:rPr>
        <w:t xml:space="preserve"> </w:t>
      </w:r>
      <w:r w:rsidR="00281C41">
        <w:rPr>
          <w:b w:val="0"/>
          <w:bCs w:val="0"/>
          <w:sz w:val="22"/>
          <w:szCs w:val="22"/>
        </w:rPr>
        <w:t>There were also fewer advice sessions delivered (-10.7 per cent)</w:t>
      </w:r>
      <w:r w:rsidR="00DA1A57">
        <w:rPr>
          <w:b w:val="0"/>
          <w:bCs w:val="0"/>
          <w:sz w:val="22"/>
          <w:szCs w:val="22"/>
        </w:rPr>
        <w:t xml:space="preserve"> both through Legal Help</w:t>
      </w:r>
      <w:r w:rsidR="00B71C35">
        <w:rPr>
          <w:b w:val="0"/>
          <w:bCs w:val="0"/>
          <w:sz w:val="22"/>
          <w:szCs w:val="22"/>
        </w:rPr>
        <w:t xml:space="preserve"> and in-person</w:t>
      </w:r>
      <w:r w:rsidR="00852B14">
        <w:rPr>
          <w:b w:val="0"/>
          <w:bCs w:val="0"/>
          <w:sz w:val="22"/>
          <w:szCs w:val="22"/>
        </w:rPr>
        <w:t xml:space="preserve">. </w:t>
      </w:r>
      <w:r w:rsidR="007C7237">
        <w:rPr>
          <w:b w:val="0"/>
          <w:bCs w:val="0"/>
          <w:sz w:val="22"/>
          <w:szCs w:val="22"/>
        </w:rPr>
        <w:t xml:space="preserve">The lower number of advice sessions delivered is likely due to the </w:t>
      </w:r>
      <w:r w:rsidR="00F53266">
        <w:rPr>
          <w:b w:val="0"/>
          <w:bCs w:val="0"/>
          <w:sz w:val="22"/>
          <w:szCs w:val="22"/>
        </w:rPr>
        <w:t>seasonal fluctuations that have impacted many of our services.</w:t>
      </w:r>
      <w:r w:rsidR="00281C41">
        <w:rPr>
          <w:b w:val="0"/>
          <w:bCs w:val="0"/>
          <w:sz w:val="22"/>
          <w:szCs w:val="22"/>
        </w:rPr>
        <w:t xml:space="preserve"> </w:t>
      </w:r>
      <w:r w:rsidR="00982542">
        <w:rPr>
          <w:b w:val="0"/>
          <w:bCs w:val="0"/>
          <w:sz w:val="22"/>
          <w:szCs w:val="22"/>
        </w:rPr>
        <w:t>H</w:t>
      </w:r>
      <w:r w:rsidR="00944961">
        <w:rPr>
          <w:b w:val="0"/>
          <w:bCs w:val="0"/>
          <w:sz w:val="22"/>
          <w:szCs w:val="22"/>
        </w:rPr>
        <w:t xml:space="preserve">owever, we provided </w:t>
      </w:r>
      <w:r w:rsidR="00C631A6">
        <w:rPr>
          <w:b w:val="0"/>
          <w:bCs w:val="0"/>
          <w:sz w:val="22"/>
          <w:szCs w:val="22"/>
        </w:rPr>
        <w:t>nearly 2</w:t>
      </w:r>
      <w:r w:rsidR="00C55E43">
        <w:rPr>
          <w:b w:val="0"/>
          <w:bCs w:val="0"/>
          <w:sz w:val="22"/>
          <w:szCs w:val="22"/>
        </w:rPr>
        <w:t>,</w:t>
      </w:r>
      <w:r w:rsidR="00C631A6">
        <w:rPr>
          <w:b w:val="0"/>
          <w:bCs w:val="0"/>
          <w:sz w:val="22"/>
          <w:szCs w:val="22"/>
        </w:rPr>
        <w:t xml:space="preserve">000 more advice sessions </w:t>
      </w:r>
      <w:r w:rsidR="00064104">
        <w:rPr>
          <w:b w:val="0"/>
          <w:bCs w:val="0"/>
          <w:sz w:val="22"/>
          <w:szCs w:val="22"/>
        </w:rPr>
        <w:t>compared to quarter three 2020</w:t>
      </w:r>
      <w:r w:rsidR="00F713D0" w:rsidRPr="00F713D0">
        <w:rPr>
          <w:b w:val="0"/>
          <w:bCs w:val="0"/>
        </w:rPr>
        <w:t>–</w:t>
      </w:r>
      <w:r w:rsidR="00064104">
        <w:rPr>
          <w:b w:val="0"/>
          <w:bCs w:val="0"/>
          <w:sz w:val="22"/>
          <w:szCs w:val="22"/>
        </w:rPr>
        <w:t xml:space="preserve">21 </w:t>
      </w:r>
      <w:r w:rsidR="00AF67CA">
        <w:rPr>
          <w:b w:val="0"/>
          <w:bCs w:val="0"/>
          <w:sz w:val="22"/>
          <w:szCs w:val="22"/>
        </w:rPr>
        <w:t>(</w:t>
      </w:r>
      <w:r w:rsidR="00064104">
        <w:rPr>
          <w:b w:val="0"/>
          <w:bCs w:val="0"/>
          <w:sz w:val="22"/>
          <w:szCs w:val="22"/>
        </w:rPr>
        <w:t>6,880</w:t>
      </w:r>
      <w:r w:rsidR="00A37240">
        <w:rPr>
          <w:b w:val="0"/>
          <w:bCs w:val="0"/>
          <w:sz w:val="22"/>
          <w:szCs w:val="22"/>
        </w:rPr>
        <w:t>)</w:t>
      </w:r>
      <w:r w:rsidR="00982542">
        <w:rPr>
          <w:b w:val="0"/>
          <w:bCs w:val="0"/>
          <w:sz w:val="22"/>
          <w:szCs w:val="22"/>
        </w:rPr>
        <w:t>,</w:t>
      </w:r>
      <w:r w:rsidR="00064104">
        <w:rPr>
          <w:b w:val="0"/>
          <w:bCs w:val="0"/>
          <w:sz w:val="22"/>
          <w:szCs w:val="22"/>
        </w:rPr>
        <w:t xml:space="preserve"> an increase </w:t>
      </w:r>
      <w:r w:rsidR="00B0787B">
        <w:rPr>
          <w:b w:val="0"/>
          <w:bCs w:val="0"/>
          <w:sz w:val="22"/>
          <w:szCs w:val="22"/>
        </w:rPr>
        <w:t xml:space="preserve">of 24.5 per cent. </w:t>
      </w:r>
      <w:r w:rsidR="00D43192">
        <w:rPr>
          <w:b w:val="0"/>
          <w:bCs w:val="0"/>
          <w:sz w:val="22"/>
          <w:szCs w:val="22"/>
        </w:rPr>
        <w:t xml:space="preserve"> </w:t>
      </w:r>
    </w:p>
    <w:p w14:paraId="4ADA30AD" w14:textId="7DC8B330" w:rsidR="0005119B" w:rsidRDefault="0005119B" w:rsidP="00844BD8">
      <w:pPr>
        <w:pStyle w:val="Tableheader"/>
        <w:spacing w:before="0"/>
        <w:rPr>
          <w:b w:val="0"/>
          <w:bCs w:val="0"/>
          <w:sz w:val="22"/>
          <w:szCs w:val="22"/>
        </w:rPr>
      </w:pPr>
      <w:r>
        <w:rPr>
          <w:b w:val="0"/>
          <w:bCs w:val="0"/>
          <w:sz w:val="22"/>
          <w:szCs w:val="22"/>
        </w:rPr>
        <w:t xml:space="preserve">We delivered fewer community legal education (CLE) </w:t>
      </w:r>
      <w:r w:rsidR="003A3203">
        <w:rPr>
          <w:b w:val="0"/>
          <w:bCs w:val="0"/>
          <w:sz w:val="22"/>
          <w:szCs w:val="22"/>
        </w:rPr>
        <w:t>sessions</w:t>
      </w:r>
      <w:r w:rsidR="005D2336">
        <w:rPr>
          <w:b w:val="0"/>
          <w:bCs w:val="0"/>
          <w:sz w:val="22"/>
          <w:szCs w:val="22"/>
        </w:rPr>
        <w:t xml:space="preserve"> (-</w:t>
      </w:r>
      <w:r w:rsidR="00CD00FD">
        <w:rPr>
          <w:b w:val="0"/>
          <w:bCs w:val="0"/>
          <w:sz w:val="22"/>
          <w:szCs w:val="22"/>
        </w:rPr>
        <w:t>26 per cent)</w:t>
      </w:r>
      <w:r w:rsidR="003A3203">
        <w:rPr>
          <w:b w:val="0"/>
          <w:bCs w:val="0"/>
          <w:sz w:val="22"/>
          <w:szCs w:val="22"/>
        </w:rPr>
        <w:t xml:space="preserve"> as </w:t>
      </w:r>
      <w:r w:rsidR="001326E0" w:rsidRPr="001326E0">
        <w:rPr>
          <w:b w:val="0"/>
          <w:bCs w:val="0"/>
          <w:sz w:val="22"/>
          <w:szCs w:val="22"/>
        </w:rPr>
        <w:t xml:space="preserve">most education settings </w:t>
      </w:r>
      <w:r w:rsidR="00291CDA">
        <w:rPr>
          <w:b w:val="0"/>
          <w:bCs w:val="0"/>
          <w:sz w:val="22"/>
          <w:szCs w:val="22"/>
        </w:rPr>
        <w:t>we</w:t>
      </w:r>
      <w:r w:rsidR="001326E0" w:rsidRPr="001326E0">
        <w:rPr>
          <w:b w:val="0"/>
          <w:bCs w:val="0"/>
          <w:sz w:val="22"/>
          <w:szCs w:val="22"/>
        </w:rPr>
        <w:t xml:space="preserve">re closed </w:t>
      </w:r>
      <w:r w:rsidR="001326E0">
        <w:rPr>
          <w:b w:val="0"/>
          <w:bCs w:val="0"/>
          <w:sz w:val="22"/>
          <w:szCs w:val="22"/>
        </w:rPr>
        <w:t>over the summer months</w:t>
      </w:r>
      <w:r w:rsidR="001139B0">
        <w:rPr>
          <w:b w:val="0"/>
          <w:bCs w:val="0"/>
          <w:sz w:val="22"/>
          <w:szCs w:val="22"/>
        </w:rPr>
        <w:t xml:space="preserve"> and d</w:t>
      </w:r>
      <w:r w:rsidR="00647304">
        <w:rPr>
          <w:b w:val="0"/>
          <w:bCs w:val="0"/>
          <w:sz w:val="22"/>
          <w:szCs w:val="22"/>
        </w:rPr>
        <w:t>idn’t</w:t>
      </w:r>
      <w:r w:rsidR="001139B0">
        <w:rPr>
          <w:b w:val="0"/>
          <w:bCs w:val="0"/>
          <w:sz w:val="22"/>
          <w:szCs w:val="22"/>
        </w:rPr>
        <w:t xml:space="preserve"> reopen un</w:t>
      </w:r>
      <w:r w:rsidR="001326E0" w:rsidRPr="001326E0">
        <w:rPr>
          <w:b w:val="0"/>
          <w:bCs w:val="0"/>
          <w:sz w:val="22"/>
          <w:szCs w:val="22"/>
        </w:rPr>
        <w:t>til February</w:t>
      </w:r>
      <w:r w:rsidR="00DB4CF9">
        <w:rPr>
          <w:b w:val="0"/>
          <w:bCs w:val="0"/>
          <w:sz w:val="22"/>
          <w:szCs w:val="22"/>
        </w:rPr>
        <w:t>.</w:t>
      </w:r>
      <w:r w:rsidR="001326E0" w:rsidRPr="001326E0">
        <w:rPr>
          <w:b w:val="0"/>
          <w:bCs w:val="0"/>
          <w:sz w:val="22"/>
          <w:szCs w:val="22"/>
        </w:rPr>
        <w:t xml:space="preserve"> </w:t>
      </w:r>
      <w:r w:rsidR="00110B12">
        <w:rPr>
          <w:b w:val="0"/>
          <w:bCs w:val="0"/>
          <w:sz w:val="22"/>
          <w:szCs w:val="22"/>
        </w:rPr>
        <w:t xml:space="preserve">We predict that there will be an increase in quarter four </w:t>
      </w:r>
      <w:r w:rsidR="00744144">
        <w:rPr>
          <w:b w:val="0"/>
          <w:bCs w:val="0"/>
          <w:sz w:val="22"/>
          <w:szCs w:val="22"/>
        </w:rPr>
        <w:t xml:space="preserve">as </w:t>
      </w:r>
      <w:r w:rsidR="00593C88">
        <w:rPr>
          <w:b w:val="0"/>
          <w:bCs w:val="0"/>
          <w:sz w:val="22"/>
          <w:szCs w:val="22"/>
        </w:rPr>
        <w:t xml:space="preserve">we are seeing </w:t>
      </w:r>
      <w:r w:rsidR="00744144">
        <w:rPr>
          <w:b w:val="0"/>
          <w:bCs w:val="0"/>
          <w:sz w:val="22"/>
          <w:szCs w:val="22"/>
        </w:rPr>
        <w:t xml:space="preserve">demand </w:t>
      </w:r>
      <w:r w:rsidR="00151489">
        <w:rPr>
          <w:b w:val="0"/>
          <w:bCs w:val="0"/>
          <w:sz w:val="22"/>
          <w:szCs w:val="22"/>
        </w:rPr>
        <w:t>for CLE</w:t>
      </w:r>
      <w:r w:rsidR="00593C88">
        <w:rPr>
          <w:b w:val="0"/>
          <w:bCs w:val="0"/>
          <w:sz w:val="22"/>
          <w:szCs w:val="22"/>
        </w:rPr>
        <w:t xml:space="preserve"> increasing</w:t>
      </w:r>
      <w:r w:rsidR="00151489">
        <w:rPr>
          <w:b w:val="0"/>
          <w:bCs w:val="0"/>
          <w:sz w:val="22"/>
          <w:szCs w:val="22"/>
        </w:rPr>
        <w:t>, both remotely and in-person. We hope to be able to deliver</w:t>
      </w:r>
      <w:r w:rsidR="00593C88">
        <w:rPr>
          <w:b w:val="0"/>
          <w:bCs w:val="0"/>
          <w:sz w:val="22"/>
          <w:szCs w:val="22"/>
        </w:rPr>
        <w:t xml:space="preserve"> </w:t>
      </w:r>
      <w:r w:rsidR="00151489">
        <w:rPr>
          <w:b w:val="0"/>
          <w:bCs w:val="0"/>
          <w:sz w:val="22"/>
          <w:szCs w:val="22"/>
        </w:rPr>
        <w:t>more CLE sessions in</w:t>
      </w:r>
      <w:r w:rsidR="00291CDA">
        <w:rPr>
          <w:b w:val="0"/>
          <w:bCs w:val="0"/>
          <w:sz w:val="22"/>
          <w:szCs w:val="22"/>
        </w:rPr>
        <w:t xml:space="preserve"> </w:t>
      </w:r>
      <w:r w:rsidR="00151489">
        <w:rPr>
          <w:b w:val="0"/>
          <w:bCs w:val="0"/>
          <w:sz w:val="22"/>
          <w:szCs w:val="22"/>
        </w:rPr>
        <w:t>person as pandemic restrictions ease.</w:t>
      </w:r>
    </w:p>
    <w:p w14:paraId="4BEB3ED0" w14:textId="36EAB6DF" w:rsidR="00153FA7" w:rsidRDefault="00C848B7" w:rsidP="00844BD8">
      <w:pPr>
        <w:pStyle w:val="Tableheader"/>
        <w:spacing w:before="0"/>
        <w:rPr>
          <w:b w:val="0"/>
          <w:bCs w:val="0"/>
          <w:sz w:val="22"/>
          <w:szCs w:val="22"/>
        </w:rPr>
      </w:pPr>
      <w:r>
        <w:rPr>
          <w:b w:val="0"/>
          <w:bCs w:val="0"/>
          <w:sz w:val="22"/>
          <w:szCs w:val="22"/>
        </w:rPr>
        <w:t xml:space="preserve">The summer months could also have impacted the number of people seeking information on our website, as there is a yearly dip in </w:t>
      </w:r>
      <w:r w:rsidR="007C3B60">
        <w:rPr>
          <w:b w:val="0"/>
          <w:bCs w:val="0"/>
          <w:sz w:val="22"/>
          <w:szCs w:val="22"/>
        </w:rPr>
        <w:t>the number of website sessions in quarter three compared to quarter two</w:t>
      </w:r>
      <w:r w:rsidR="00153FA7">
        <w:rPr>
          <w:b w:val="0"/>
          <w:bCs w:val="0"/>
          <w:sz w:val="22"/>
          <w:szCs w:val="22"/>
        </w:rPr>
        <w:t xml:space="preserve">. There was a 4.1 per cent decrease in website sessions in quarter three compared to quarter two of 2021-22, but only a </w:t>
      </w:r>
      <w:r w:rsidR="00AD21C8">
        <w:rPr>
          <w:b w:val="0"/>
          <w:bCs w:val="0"/>
          <w:sz w:val="22"/>
          <w:szCs w:val="22"/>
        </w:rPr>
        <w:t>1.4 per cent decrease compared to quarter three of the previous financial year, 2020-21.</w:t>
      </w:r>
    </w:p>
    <w:p w14:paraId="2E3CD043" w14:textId="7A6D43DE" w:rsidR="008B41A3" w:rsidRPr="002C53EA" w:rsidRDefault="008B41A3" w:rsidP="008B41A3">
      <w:pPr>
        <w:pStyle w:val="Heading3"/>
        <w:rPr>
          <w:rFonts w:cs="Times New Roman"/>
          <w:sz w:val="22"/>
          <w:szCs w:val="24"/>
          <w:lang w:eastAsia="en-US"/>
        </w:rPr>
      </w:pPr>
      <w:r w:rsidRPr="002C53EA">
        <w:rPr>
          <w:rFonts w:cs="Times New Roman"/>
          <w:sz w:val="22"/>
          <w:szCs w:val="24"/>
          <w:lang w:eastAsia="en-US"/>
        </w:rPr>
        <w:t>Table 1.</w:t>
      </w:r>
      <w:r w:rsidR="00E54A93">
        <w:rPr>
          <w:rFonts w:cs="Times New Roman"/>
          <w:sz w:val="22"/>
          <w:szCs w:val="24"/>
          <w:lang w:eastAsia="en-US"/>
        </w:rPr>
        <w:t>4</w:t>
      </w:r>
      <w:r w:rsidRPr="002C53EA">
        <w:rPr>
          <w:rFonts w:cs="Times New Roman"/>
          <w:sz w:val="22"/>
          <w:szCs w:val="24"/>
          <w:lang w:eastAsia="en-US"/>
        </w:rPr>
        <w:t xml:space="preserve"> Specialist resolution and advocacy services</w:t>
      </w:r>
    </w:p>
    <w:tbl>
      <w:tblPr>
        <w:tblpPr w:leftFromText="180" w:rightFromText="180" w:vertAnchor="text" w:horzAnchor="margin" w:tblpY="15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302"/>
        <w:gridCol w:w="2082"/>
        <w:gridCol w:w="1846"/>
        <w:gridCol w:w="1846"/>
      </w:tblGrid>
      <w:tr w:rsidR="008B41A3" w14:paraId="2211A330" w14:textId="77777777" w:rsidTr="3DA007BF">
        <w:trPr>
          <w:cantSplit/>
          <w:trHeight w:val="361"/>
          <w:tblHeader/>
        </w:trPr>
        <w:tc>
          <w:tcPr>
            <w:tcW w:w="2135" w:type="pct"/>
            <w:shd w:val="clear" w:color="auto" w:fill="C4B0CC"/>
            <w:hideMark/>
          </w:tcPr>
          <w:p w14:paraId="6E0E644B" w14:textId="77777777" w:rsidR="008B41A3" w:rsidRDefault="008B41A3" w:rsidP="00EC5A6A">
            <w:pPr>
              <w:rPr>
                <w:b/>
                <w:color w:val="000000" w:themeColor="text1"/>
                <w:lang w:eastAsia="en-AU"/>
              </w:rPr>
            </w:pPr>
            <w:r w:rsidRPr="006B69F9">
              <w:rPr>
                <w:b/>
                <w:bCs/>
                <w:color w:val="000000" w:themeColor="text1"/>
                <w:szCs w:val="20"/>
                <w:lang w:eastAsia="en-AU"/>
              </w:rPr>
              <w:t>Specialist resolution and advocacy services</w:t>
            </w:r>
          </w:p>
        </w:tc>
        <w:tc>
          <w:tcPr>
            <w:tcW w:w="1033" w:type="pct"/>
            <w:shd w:val="clear" w:color="auto" w:fill="C4B0CC"/>
          </w:tcPr>
          <w:p w14:paraId="392A75CD" w14:textId="77777777" w:rsidR="008B41A3" w:rsidRPr="000E7EED" w:rsidRDefault="008B41A3" w:rsidP="00EC5A6A">
            <w:pPr>
              <w:jc w:val="center"/>
              <w:rPr>
                <w:b/>
                <w:color w:val="000000" w:themeColor="text1"/>
              </w:rPr>
            </w:pPr>
            <w:r>
              <w:rPr>
                <w:b/>
                <w:color w:val="000000" w:themeColor="text1"/>
              </w:rPr>
              <w:t>Q2</w:t>
            </w:r>
          </w:p>
          <w:p w14:paraId="2CF60A52" w14:textId="77777777" w:rsidR="008B41A3" w:rsidRDefault="008B41A3" w:rsidP="00EC5A6A">
            <w:pPr>
              <w:jc w:val="center"/>
              <w:rPr>
                <w:b/>
                <w:color w:val="000000" w:themeColor="text1"/>
                <w:lang w:eastAsia="en-AU"/>
              </w:rPr>
            </w:pPr>
            <w:r w:rsidRPr="000E7EED">
              <w:rPr>
                <w:b/>
                <w:color w:val="000000" w:themeColor="text1"/>
              </w:rPr>
              <w:t>20</w:t>
            </w:r>
            <w:r>
              <w:rPr>
                <w:b/>
                <w:color w:val="000000" w:themeColor="text1"/>
              </w:rPr>
              <w:t>21-22</w:t>
            </w:r>
          </w:p>
        </w:tc>
        <w:tc>
          <w:tcPr>
            <w:tcW w:w="916" w:type="pct"/>
            <w:shd w:val="clear" w:color="auto" w:fill="C4B0CC"/>
          </w:tcPr>
          <w:p w14:paraId="75F6C540" w14:textId="77777777" w:rsidR="008B41A3" w:rsidRDefault="008B41A3" w:rsidP="00EC5A6A">
            <w:pPr>
              <w:jc w:val="center"/>
              <w:rPr>
                <w:b/>
                <w:color w:val="000000" w:themeColor="text1"/>
              </w:rPr>
            </w:pPr>
            <w:r w:rsidRPr="55245693">
              <w:rPr>
                <w:b/>
                <w:color w:val="000000" w:themeColor="text1"/>
              </w:rPr>
              <w:t>Q</w:t>
            </w:r>
            <w:r>
              <w:rPr>
                <w:b/>
                <w:color w:val="000000" w:themeColor="text1"/>
              </w:rPr>
              <w:t>3</w:t>
            </w:r>
          </w:p>
          <w:p w14:paraId="16FA23CF" w14:textId="77777777" w:rsidR="008B41A3" w:rsidRDefault="008B41A3" w:rsidP="00EC5A6A">
            <w:pPr>
              <w:jc w:val="center"/>
              <w:rPr>
                <w:b/>
                <w:color w:val="000000" w:themeColor="text1"/>
                <w:lang w:eastAsia="en-AU"/>
              </w:rPr>
            </w:pPr>
            <w:r w:rsidRPr="000E7EED">
              <w:rPr>
                <w:b/>
                <w:color w:val="000000" w:themeColor="text1"/>
              </w:rPr>
              <w:t>20</w:t>
            </w:r>
            <w:r>
              <w:rPr>
                <w:b/>
                <w:color w:val="000000" w:themeColor="text1"/>
              </w:rPr>
              <w:t>21-22</w:t>
            </w:r>
          </w:p>
        </w:tc>
        <w:tc>
          <w:tcPr>
            <w:tcW w:w="916" w:type="pct"/>
            <w:shd w:val="clear" w:color="auto" w:fill="C4B0CC"/>
          </w:tcPr>
          <w:p w14:paraId="153C83E9" w14:textId="77777777" w:rsidR="008B41A3" w:rsidRDefault="008B41A3" w:rsidP="00EC5A6A">
            <w:pPr>
              <w:jc w:val="center"/>
              <w:rPr>
                <w:b/>
                <w:bCs/>
                <w:color w:val="000000" w:themeColor="text1"/>
              </w:rPr>
            </w:pPr>
            <w:r>
              <w:rPr>
                <w:b/>
                <w:color w:val="000000" w:themeColor="text1"/>
              </w:rPr>
              <w:t>Q4 2021-22</w:t>
            </w:r>
          </w:p>
          <w:p w14:paraId="4D9D2E9A" w14:textId="77777777" w:rsidR="008B41A3" w:rsidRDefault="008B41A3" w:rsidP="00EC5A6A">
            <w:pPr>
              <w:jc w:val="center"/>
              <w:rPr>
                <w:b/>
                <w:color w:val="000000" w:themeColor="text1"/>
                <w:lang w:eastAsia="en-AU"/>
              </w:rPr>
            </w:pPr>
            <w:r>
              <w:rPr>
                <w:b/>
                <w:color w:val="000000" w:themeColor="text1"/>
              </w:rPr>
              <w:t>projection</w:t>
            </w:r>
          </w:p>
        </w:tc>
      </w:tr>
      <w:tr w:rsidR="00D06F60" w14:paraId="74641AD5" w14:textId="77777777" w:rsidTr="00EC5A6A">
        <w:trPr>
          <w:trHeight w:val="531"/>
        </w:trPr>
        <w:tc>
          <w:tcPr>
            <w:tcW w:w="2135" w:type="pct"/>
            <w:tcBorders>
              <w:bottom w:val="single" w:sz="4" w:space="0" w:color="7F7F7F" w:themeColor="text1" w:themeTint="80"/>
            </w:tcBorders>
            <w:hideMark/>
          </w:tcPr>
          <w:p w14:paraId="19AE28BB" w14:textId="77777777" w:rsidR="00D06F60" w:rsidRDefault="00D06F60" w:rsidP="00D06F60">
            <w:pPr>
              <w:rPr>
                <w:color w:val="000000" w:themeColor="text1"/>
                <w:lang w:eastAsia="en-AU"/>
              </w:rPr>
            </w:pPr>
            <w:r>
              <w:rPr>
                <w:color w:val="000000" w:themeColor="text1"/>
                <w:lang w:eastAsia="en-AU"/>
              </w:rPr>
              <w:t>IMHA information and referral sessions</w:t>
            </w:r>
          </w:p>
        </w:tc>
        <w:tc>
          <w:tcPr>
            <w:tcW w:w="1033" w:type="pct"/>
            <w:tcBorders>
              <w:bottom w:val="single" w:sz="4" w:space="0" w:color="7F7F7F" w:themeColor="text1" w:themeTint="80"/>
            </w:tcBorders>
            <w:shd w:val="clear" w:color="auto" w:fill="auto"/>
            <w:vAlign w:val="center"/>
          </w:tcPr>
          <w:p w14:paraId="495D3B91" w14:textId="122EB900" w:rsidR="00D06F60" w:rsidRDefault="00D06F60" w:rsidP="00D06F60">
            <w:pPr>
              <w:jc w:val="center"/>
              <w:rPr>
                <w:lang w:eastAsia="en-AU"/>
              </w:rPr>
            </w:pPr>
            <w:r>
              <w:rPr>
                <w:lang w:eastAsia="en-AU"/>
              </w:rPr>
              <w:t>5,857</w:t>
            </w:r>
          </w:p>
        </w:tc>
        <w:tc>
          <w:tcPr>
            <w:tcW w:w="916" w:type="pct"/>
            <w:tcBorders>
              <w:bottom w:val="single" w:sz="4" w:space="0" w:color="7F7F7F" w:themeColor="text1" w:themeTint="80"/>
            </w:tcBorders>
            <w:shd w:val="clear" w:color="auto" w:fill="D9D9D9" w:themeFill="background1" w:themeFillShade="D9"/>
          </w:tcPr>
          <w:p w14:paraId="18C2F4E8" w14:textId="5D77EE0C" w:rsidR="00D06F60" w:rsidRDefault="00D06F60" w:rsidP="00D06F60">
            <w:pPr>
              <w:jc w:val="center"/>
              <w:rPr>
                <w:lang w:eastAsia="en-AU"/>
              </w:rPr>
            </w:pPr>
            <w:r w:rsidRPr="001B1DCE">
              <w:t>6,258</w:t>
            </w:r>
          </w:p>
        </w:tc>
        <w:tc>
          <w:tcPr>
            <w:tcW w:w="916" w:type="pct"/>
            <w:tcBorders>
              <w:bottom w:val="single" w:sz="4" w:space="0" w:color="7F7F7F" w:themeColor="text1" w:themeTint="80"/>
            </w:tcBorders>
            <w:shd w:val="clear" w:color="auto" w:fill="auto"/>
          </w:tcPr>
          <w:p w14:paraId="0A3A29D9" w14:textId="511ECCB7" w:rsidR="00D06F60" w:rsidRDefault="00D06F60" w:rsidP="00D06F60">
            <w:pPr>
              <w:jc w:val="center"/>
              <w:rPr>
                <w:lang w:eastAsia="en-AU"/>
              </w:rPr>
            </w:pPr>
            <w:r w:rsidRPr="00092BBD">
              <w:t>6,300</w:t>
            </w:r>
          </w:p>
        </w:tc>
      </w:tr>
      <w:tr w:rsidR="00D06F60" w14:paraId="4C60CB6E" w14:textId="77777777" w:rsidTr="00EC5A6A">
        <w:trPr>
          <w:trHeight w:val="531"/>
        </w:trPr>
        <w:tc>
          <w:tcPr>
            <w:tcW w:w="2135" w:type="pct"/>
            <w:tcBorders>
              <w:bottom w:val="single" w:sz="4" w:space="0" w:color="7F7F7F" w:themeColor="text1" w:themeTint="80"/>
            </w:tcBorders>
          </w:tcPr>
          <w:p w14:paraId="3F6655A4" w14:textId="77777777" w:rsidR="00D06F60" w:rsidRDefault="00D06F60" w:rsidP="00D06F60">
            <w:pPr>
              <w:rPr>
                <w:color w:val="000000" w:themeColor="text1"/>
                <w:lang w:eastAsia="en-AU"/>
              </w:rPr>
            </w:pPr>
            <w:r>
              <w:rPr>
                <w:color w:val="000000" w:themeColor="text1"/>
                <w:lang w:eastAsia="en-AU"/>
              </w:rPr>
              <w:t>IMHA advocacy and self-advocacy</w:t>
            </w:r>
          </w:p>
        </w:tc>
        <w:tc>
          <w:tcPr>
            <w:tcW w:w="1033" w:type="pct"/>
            <w:tcBorders>
              <w:bottom w:val="single" w:sz="4" w:space="0" w:color="7F7F7F" w:themeColor="text1" w:themeTint="80"/>
            </w:tcBorders>
            <w:shd w:val="clear" w:color="auto" w:fill="auto"/>
            <w:vAlign w:val="center"/>
          </w:tcPr>
          <w:p w14:paraId="53F03C95" w14:textId="1EFC91B3" w:rsidR="00D06F60" w:rsidRPr="003E5897" w:rsidRDefault="00D06F60" w:rsidP="00D06F60">
            <w:pPr>
              <w:jc w:val="center"/>
              <w:rPr>
                <w:lang w:eastAsia="en-AU"/>
              </w:rPr>
            </w:pPr>
            <w:r>
              <w:rPr>
                <w:lang w:eastAsia="en-AU"/>
              </w:rPr>
              <w:t>3,293</w:t>
            </w:r>
          </w:p>
        </w:tc>
        <w:tc>
          <w:tcPr>
            <w:tcW w:w="916" w:type="pct"/>
            <w:tcBorders>
              <w:bottom w:val="single" w:sz="4" w:space="0" w:color="7F7F7F" w:themeColor="text1" w:themeTint="80"/>
            </w:tcBorders>
            <w:shd w:val="clear" w:color="auto" w:fill="D9D9D9" w:themeFill="background1" w:themeFillShade="D9"/>
          </w:tcPr>
          <w:p w14:paraId="42510F53" w14:textId="5CF41CB9" w:rsidR="00D06F60" w:rsidRPr="003E5897" w:rsidRDefault="00D06F60" w:rsidP="00D06F60">
            <w:pPr>
              <w:jc w:val="center"/>
              <w:rPr>
                <w:lang w:eastAsia="en-AU"/>
              </w:rPr>
            </w:pPr>
            <w:r w:rsidRPr="001B1DCE">
              <w:t>3,254</w:t>
            </w:r>
          </w:p>
        </w:tc>
        <w:tc>
          <w:tcPr>
            <w:tcW w:w="916" w:type="pct"/>
            <w:tcBorders>
              <w:bottom w:val="single" w:sz="4" w:space="0" w:color="7F7F7F" w:themeColor="text1" w:themeTint="80"/>
            </w:tcBorders>
            <w:shd w:val="clear" w:color="auto" w:fill="auto"/>
          </w:tcPr>
          <w:p w14:paraId="3AC5ABE9" w14:textId="25A05E20" w:rsidR="00D06F60" w:rsidRPr="00DB6276" w:rsidRDefault="00D06F60" w:rsidP="00D06F60">
            <w:pPr>
              <w:jc w:val="center"/>
              <w:rPr>
                <w:lang w:eastAsia="en-AU"/>
              </w:rPr>
            </w:pPr>
            <w:r w:rsidRPr="00092BBD">
              <w:t>3,200</w:t>
            </w:r>
          </w:p>
        </w:tc>
      </w:tr>
      <w:tr w:rsidR="00D06F60" w14:paraId="0C2BB9D6" w14:textId="77777777" w:rsidTr="00EC5A6A">
        <w:trPr>
          <w:trHeight w:val="194"/>
        </w:trPr>
        <w:tc>
          <w:tcPr>
            <w:tcW w:w="2135" w:type="pct"/>
            <w:tcBorders>
              <w:top w:val="single" w:sz="4" w:space="0" w:color="auto"/>
              <w:bottom w:val="single" w:sz="4" w:space="0" w:color="auto"/>
            </w:tcBorders>
            <w:hideMark/>
          </w:tcPr>
          <w:p w14:paraId="3869273C" w14:textId="77777777" w:rsidR="00D06F60" w:rsidRDefault="00D06F60" w:rsidP="00D06F60">
            <w:pPr>
              <w:rPr>
                <w:color w:val="000000" w:themeColor="text1"/>
                <w:lang w:eastAsia="en-AU"/>
              </w:rPr>
            </w:pPr>
            <w:r>
              <w:rPr>
                <w:color w:val="000000" w:themeColor="text1"/>
                <w:lang w:eastAsia="en-AU"/>
              </w:rPr>
              <w:t xml:space="preserve">IFAS information and referral sessions </w:t>
            </w:r>
          </w:p>
        </w:tc>
        <w:tc>
          <w:tcPr>
            <w:tcW w:w="1033" w:type="pct"/>
            <w:tcBorders>
              <w:top w:val="single" w:sz="4" w:space="0" w:color="auto"/>
              <w:bottom w:val="single" w:sz="4" w:space="0" w:color="auto"/>
            </w:tcBorders>
            <w:shd w:val="clear" w:color="auto" w:fill="auto"/>
            <w:vAlign w:val="center"/>
          </w:tcPr>
          <w:p w14:paraId="3512EE55" w14:textId="53558F88" w:rsidR="00D06F60" w:rsidRDefault="00D06F60" w:rsidP="00D06F60">
            <w:pPr>
              <w:jc w:val="center"/>
              <w:rPr>
                <w:color w:val="000000" w:themeColor="text1"/>
                <w:lang w:eastAsia="en-AU"/>
              </w:rPr>
            </w:pPr>
            <w:r>
              <w:rPr>
                <w:color w:val="000000" w:themeColor="text1"/>
                <w:lang w:eastAsia="en-AU"/>
              </w:rPr>
              <w:t>434</w:t>
            </w:r>
          </w:p>
        </w:tc>
        <w:tc>
          <w:tcPr>
            <w:tcW w:w="916" w:type="pct"/>
            <w:tcBorders>
              <w:top w:val="single" w:sz="4" w:space="0" w:color="auto"/>
              <w:bottom w:val="single" w:sz="4" w:space="0" w:color="auto"/>
            </w:tcBorders>
            <w:shd w:val="clear" w:color="auto" w:fill="D9D9D9" w:themeFill="background1" w:themeFillShade="D9"/>
          </w:tcPr>
          <w:p w14:paraId="324DFBEF" w14:textId="1BFEC14C" w:rsidR="00D06F60" w:rsidRDefault="00D06F60" w:rsidP="00D06F60">
            <w:pPr>
              <w:jc w:val="center"/>
              <w:rPr>
                <w:color w:val="000000" w:themeColor="text1"/>
                <w:lang w:eastAsia="en-AU"/>
              </w:rPr>
            </w:pPr>
            <w:r w:rsidRPr="001B1DCE">
              <w:t>527</w:t>
            </w:r>
          </w:p>
        </w:tc>
        <w:tc>
          <w:tcPr>
            <w:tcW w:w="916" w:type="pct"/>
            <w:tcBorders>
              <w:top w:val="single" w:sz="4" w:space="0" w:color="auto"/>
              <w:bottom w:val="single" w:sz="4" w:space="0" w:color="auto"/>
            </w:tcBorders>
            <w:shd w:val="clear" w:color="auto" w:fill="auto"/>
          </w:tcPr>
          <w:p w14:paraId="74C6DD7B" w14:textId="1447BCB5" w:rsidR="00D06F60" w:rsidRDefault="00D06F60" w:rsidP="00D06F60">
            <w:pPr>
              <w:jc w:val="center"/>
              <w:rPr>
                <w:lang w:eastAsia="en-AU"/>
              </w:rPr>
            </w:pPr>
            <w:r w:rsidRPr="00092BBD">
              <w:t>540</w:t>
            </w:r>
          </w:p>
        </w:tc>
      </w:tr>
      <w:tr w:rsidR="00D06F60" w14:paraId="3D3068F7" w14:textId="77777777" w:rsidTr="00EC5A6A">
        <w:trPr>
          <w:trHeight w:val="194"/>
        </w:trPr>
        <w:tc>
          <w:tcPr>
            <w:tcW w:w="2135" w:type="pct"/>
            <w:tcBorders>
              <w:top w:val="single" w:sz="4" w:space="0" w:color="auto"/>
              <w:bottom w:val="single" w:sz="4" w:space="0" w:color="auto"/>
            </w:tcBorders>
          </w:tcPr>
          <w:p w14:paraId="04850DDA" w14:textId="77777777" w:rsidR="00D06F60" w:rsidRDefault="00D06F60" w:rsidP="00D06F60">
            <w:pPr>
              <w:rPr>
                <w:color w:val="000000" w:themeColor="text1"/>
                <w:lang w:eastAsia="en-AU"/>
              </w:rPr>
            </w:pPr>
            <w:r>
              <w:rPr>
                <w:color w:val="000000" w:themeColor="text1"/>
                <w:lang w:eastAsia="en-AU"/>
              </w:rPr>
              <w:t>IFAS advocacy and self-advocacy</w:t>
            </w:r>
          </w:p>
        </w:tc>
        <w:tc>
          <w:tcPr>
            <w:tcW w:w="1033" w:type="pct"/>
            <w:tcBorders>
              <w:top w:val="single" w:sz="4" w:space="0" w:color="auto"/>
              <w:bottom w:val="single" w:sz="4" w:space="0" w:color="auto"/>
            </w:tcBorders>
            <w:shd w:val="clear" w:color="auto" w:fill="auto"/>
            <w:vAlign w:val="center"/>
          </w:tcPr>
          <w:p w14:paraId="7F712621" w14:textId="2F0CB42A" w:rsidR="00D06F60" w:rsidRPr="006C14A7" w:rsidRDefault="00D06F60" w:rsidP="00D06F60">
            <w:pPr>
              <w:jc w:val="center"/>
              <w:rPr>
                <w:lang w:eastAsia="en-AU"/>
              </w:rPr>
            </w:pPr>
            <w:r>
              <w:rPr>
                <w:lang w:eastAsia="en-AU"/>
              </w:rPr>
              <w:t>542</w:t>
            </w:r>
          </w:p>
        </w:tc>
        <w:tc>
          <w:tcPr>
            <w:tcW w:w="916" w:type="pct"/>
            <w:tcBorders>
              <w:top w:val="single" w:sz="4" w:space="0" w:color="auto"/>
              <w:bottom w:val="single" w:sz="4" w:space="0" w:color="auto"/>
            </w:tcBorders>
            <w:shd w:val="clear" w:color="auto" w:fill="D9D9D9" w:themeFill="background1" w:themeFillShade="D9"/>
          </w:tcPr>
          <w:p w14:paraId="32D0BA33" w14:textId="174A3D27" w:rsidR="00D06F60" w:rsidRPr="006C14A7" w:rsidRDefault="00D06F60" w:rsidP="00D06F60">
            <w:pPr>
              <w:jc w:val="center"/>
              <w:rPr>
                <w:lang w:eastAsia="en-AU"/>
              </w:rPr>
            </w:pPr>
            <w:r w:rsidRPr="001B1DCE">
              <w:t>563</w:t>
            </w:r>
          </w:p>
        </w:tc>
        <w:tc>
          <w:tcPr>
            <w:tcW w:w="916" w:type="pct"/>
            <w:tcBorders>
              <w:top w:val="single" w:sz="4" w:space="0" w:color="auto"/>
              <w:bottom w:val="single" w:sz="4" w:space="0" w:color="auto"/>
            </w:tcBorders>
            <w:shd w:val="clear" w:color="auto" w:fill="auto"/>
          </w:tcPr>
          <w:p w14:paraId="0C83F3E6" w14:textId="1F1F1F62" w:rsidR="00D06F60" w:rsidRDefault="00D06F60" w:rsidP="00D06F60">
            <w:pPr>
              <w:jc w:val="center"/>
              <w:rPr>
                <w:lang w:eastAsia="en-AU"/>
              </w:rPr>
            </w:pPr>
            <w:r w:rsidRPr="00092BBD">
              <w:t>560</w:t>
            </w:r>
          </w:p>
        </w:tc>
      </w:tr>
    </w:tbl>
    <w:p w14:paraId="6CE05AA8" w14:textId="77777777" w:rsidR="006B778E" w:rsidRDefault="006B778E" w:rsidP="008B41A3">
      <w:pPr>
        <w:rPr>
          <w:rFonts w:cs="Arial"/>
          <w:szCs w:val="22"/>
          <w:lang w:eastAsia="en-AU"/>
        </w:rPr>
      </w:pPr>
    </w:p>
    <w:p w14:paraId="05379E3B" w14:textId="32E24126" w:rsidR="008B41A3" w:rsidRDefault="00D40B30" w:rsidP="008B41A3">
      <w:pPr>
        <w:rPr>
          <w:rFonts w:cs="Arial"/>
          <w:szCs w:val="22"/>
          <w:lang w:eastAsia="en-AU"/>
        </w:rPr>
      </w:pPr>
      <w:r>
        <w:rPr>
          <w:rFonts w:cs="Arial"/>
          <w:szCs w:val="22"/>
          <w:lang w:eastAsia="en-AU"/>
        </w:rPr>
        <w:t xml:space="preserve">Overall, there has been an increase in the number of </w:t>
      </w:r>
      <w:r w:rsidR="00982542">
        <w:rPr>
          <w:rFonts w:cs="Arial"/>
          <w:szCs w:val="22"/>
          <w:lang w:eastAsia="en-AU"/>
        </w:rPr>
        <w:t xml:space="preserve">Independent </w:t>
      </w:r>
      <w:r>
        <w:rPr>
          <w:rFonts w:cs="Arial"/>
          <w:szCs w:val="22"/>
          <w:lang w:eastAsia="en-AU"/>
        </w:rPr>
        <w:t>M</w:t>
      </w:r>
      <w:r w:rsidR="00DF3326">
        <w:rPr>
          <w:rFonts w:cs="Arial"/>
          <w:szCs w:val="22"/>
          <w:lang w:eastAsia="en-AU"/>
        </w:rPr>
        <w:t xml:space="preserve">ental Health </w:t>
      </w:r>
      <w:r w:rsidR="00B12840">
        <w:rPr>
          <w:rFonts w:cs="Arial"/>
          <w:szCs w:val="22"/>
          <w:lang w:eastAsia="en-AU"/>
        </w:rPr>
        <w:t>Advocacy</w:t>
      </w:r>
      <w:r w:rsidR="006B778E">
        <w:rPr>
          <w:rFonts w:cs="Arial"/>
          <w:szCs w:val="22"/>
          <w:lang w:eastAsia="en-AU"/>
        </w:rPr>
        <w:t xml:space="preserve"> (+6.9 per cent)</w:t>
      </w:r>
      <w:r>
        <w:rPr>
          <w:rFonts w:cs="Arial"/>
          <w:szCs w:val="22"/>
          <w:lang w:eastAsia="en-AU"/>
        </w:rPr>
        <w:t xml:space="preserve"> and </w:t>
      </w:r>
      <w:r w:rsidR="00AB6681">
        <w:rPr>
          <w:rFonts w:cs="Arial"/>
          <w:szCs w:val="22"/>
          <w:lang w:eastAsia="en-AU"/>
        </w:rPr>
        <w:t xml:space="preserve">Independent </w:t>
      </w:r>
      <w:r>
        <w:rPr>
          <w:rFonts w:cs="Arial"/>
          <w:szCs w:val="22"/>
          <w:lang w:eastAsia="en-AU"/>
        </w:rPr>
        <w:t>F</w:t>
      </w:r>
      <w:r w:rsidR="00AB6681">
        <w:rPr>
          <w:rFonts w:cs="Arial"/>
          <w:szCs w:val="22"/>
          <w:lang w:eastAsia="en-AU"/>
        </w:rPr>
        <w:t xml:space="preserve">amily </w:t>
      </w:r>
      <w:r>
        <w:rPr>
          <w:rFonts w:cs="Arial"/>
          <w:szCs w:val="22"/>
          <w:lang w:eastAsia="en-AU"/>
        </w:rPr>
        <w:t>A</w:t>
      </w:r>
      <w:r w:rsidR="00AB6681">
        <w:rPr>
          <w:rFonts w:cs="Arial"/>
          <w:szCs w:val="22"/>
          <w:lang w:eastAsia="en-AU"/>
        </w:rPr>
        <w:t xml:space="preserve">dvocacy </w:t>
      </w:r>
      <w:r>
        <w:rPr>
          <w:rFonts w:cs="Arial"/>
          <w:szCs w:val="22"/>
          <w:lang w:eastAsia="en-AU"/>
        </w:rPr>
        <w:t>S</w:t>
      </w:r>
      <w:r w:rsidR="00B12840">
        <w:rPr>
          <w:rFonts w:cs="Arial"/>
          <w:szCs w:val="22"/>
          <w:lang w:eastAsia="en-AU"/>
        </w:rPr>
        <w:t>upport</w:t>
      </w:r>
      <w:r w:rsidR="006B778E">
        <w:rPr>
          <w:rFonts w:cs="Arial"/>
          <w:szCs w:val="22"/>
          <w:lang w:eastAsia="en-AU"/>
        </w:rPr>
        <w:t xml:space="preserve"> (+</w:t>
      </w:r>
      <w:r w:rsidR="0077521E">
        <w:rPr>
          <w:rFonts w:cs="Arial"/>
          <w:szCs w:val="22"/>
          <w:lang w:eastAsia="en-AU"/>
        </w:rPr>
        <w:t>21.4 per cent)</w:t>
      </w:r>
      <w:r>
        <w:rPr>
          <w:rFonts w:cs="Arial"/>
          <w:szCs w:val="22"/>
          <w:lang w:eastAsia="en-AU"/>
        </w:rPr>
        <w:t xml:space="preserve"> information and referral</w:t>
      </w:r>
      <w:r w:rsidR="0077521E">
        <w:rPr>
          <w:rFonts w:cs="Arial"/>
          <w:szCs w:val="22"/>
          <w:lang w:eastAsia="en-AU"/>
        </w:rPr>
        <w:t xml:space="preserve"> sessions delivered in </w:t>
      </w:r>
      <w:r w:rsidR="0074418E">
        <w:rPr>
          <w:rFonts w:cs="Arial"/>
          <w:szCs w:val="22"/>
          <w:lang w:eastAsia="en-AU"/>
        </w:rPr>
        <w:t xml:space="preserve">quarter three compared to quarter two 2021-22. </w:t>
      </w:r>
      <w:r w:rsidR="00B07551">
        <w:rPr>
          <w:rFonts w:cs="Arial"/>
          <w:szCs w:val="22"/>
          <w:lang w:eastAsia="en-AU"/>
        </w:rPr>
        <w:t>We have been actively working with mental health service providers</w:t>
      </w:r>
      <w:r w:rsidR="00741F7C">
        <w:rPr>
          <w:rFonts w:cs="Arial"/>
          <w:szCs w:val="22"/>
          <w:lang w:eastAsia="en-AU"/>
        </w:rPr>
        <w:t>,</w:t>
      </w:r>
      <w:r w:rsidR="00B07551">
        <w:rPr>
          <w:rFonts w:cs="Arial"/>
          <w:szCs w:val="22"/>
          <w:lang w:eastAsia="en-AU"/>
        </w:rPr>
        <w:t xml:space="preserve"> </w:t>
      </w:r>
      <w:r w:rsidR="00D25F7D">
        <w:rPr>
          <w:rFonts w:cs="Arial"/>
          <w:szCs w:val="22"/>
          <w:lang w:eastAsia="en-AU"/>
        </w:rPr>
        <w:t xml:space="preserve">which has resulted </w:t>
      </w:r>
      <w:r w:rsidR="00741F7C">
        <w:rPr>
          <w:rFonts w:cs="Arial"/>
          <w:szCs w:val="22"/>
          <w:lang w:eastAsia="en-AU"/>
        </w:rPr>
        <w:t>in</w:t>
      </w:r>
      <w:r w:rsidR="00D25F7D">
        <w:rPr>
          <w:rFonts w:cs="Arial"/>
          <w:szCs w:val="22"/>
          <w:lang w:eastAsia="en-AU"/>
        </w:rPr>
        <w:t xml:space="preserve"> an increase in demand for these services. We anticipate that there will be continued demand for these services into quarter four.</w:t>
      </w:r>
    </w:p>
    <w:p w14:paraId="41BDF063" w14:textId="2EBBCD39" w:rsidR="008B41A3" w:rsidRDefault="008B41A3" w:rsidP="008B41A3">
      <w:pPr>
        <w:spacing w:after="0" w:line="240" w:lineRule="auto"/>
      </w:pPr>
    </w:p>
    <w:p w14:paraId="2A1F0837" w14:textId="2157804E" w:rsidR="00495A11" w:rsidRDefault="003C201C" w:rsidP="003C201C">
      <w:pPr>
        <w:ind w:left="720" w:hanging="720"/>
        <w:rPr>
          <w:b/>
          <w:bCs/>
        </w:rPr>
      </w:pPr>
      <w:r>
        <w:rPr>
          <w:b/>
          <w:bCs/>
        </w:rPr>
        <w:t>T</w:t>
      </w:r>
      <w:r w:rsidR="007C1487" w:rsidRPr="00E46959">
        <w:rPr>
          <w:b/>
          <w:bCs/>
        </w:rPr>
        <w:t>able 1.</w:t>
      </w:r>
      <w:r w:rsidR="00E54A93">
        <w:rPr>
          <w:b/>
          <w:bCs/>
        </w:rPr>
        <w:t>5</w:t>
      </w:r>
      <w:r w:rsidR="007C1487" w:rsidRPr="00E46959">
        <w:rPr>
          <w:b/>
          <w:bCs/>
        </w:rPr>
        <w:t xml:space="preserve"> </w:t>
      </w:r>
      <w:r w:rsidR="00B84476">
        <w:rPr>
          <w:b/>
          <w:bCs/>
        </w:rPr>
        <w:t>Court assistance</w:t>
      </w:r>
      <w:r w:rsidR="007C1487" w:rsidRPr="00E46959">
        <w:rPr>
          <w:b/>
          <w:bCs/>
        </w:rPr>
        <w:t xml:space="preserve"> services snapshot</w:t>
      </w: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525"/>
        <w:gridCol w:w="1973"/>
        <w:gridCol w:w="2289"/>
        <w:gridCol w:w="2289"/>
      </w:tblGrid>
      <w:tr w:rsidR="003C201C" w14:paraId="023F7EAE" w14:textId="77777777" w:rsidTr="3DA007BF">
        <w:trPr>
          <w:cnfStyle w:val="100000000000" w:firstRow="1" w:lastRow="0" w:firstColumn="0" w:lastColumn="0" w:oddVBand="0" w:evenVBand="0" w:oddHBand="0" w:evenHBand="0" w:firstRowFirstColumn="0" w:firstRowLastColumn="0" w:lastRowFirstColumn="0" w:lastRowLastColumn="0"/>
          <w:trHeight w:val="361"/>
        </w:trPr>
        <w:tc>
          <w:tcPr>
            <w:cnfStyle w:val="000010000000" w:firstRow="0" w:lastRow="0" w:firstColumn="0" w:lastColumn="0" w:oddVBand="1" w:evenVBand="0" w:oddHBand="0" w:evenHBand="0" w:firstRowFirstColumn="0" w:firstRowLastColumn="0" w:lastRowFirstColumn="0" w:lastRowLastColumn="0"/>
            <w:tcW w:w="1749" w:type="pct"/>
            <w:shd w:val="clear" w:color="auto" w:fill="C4B0CC"/>
          </w:tcPr>
          <w:p w14:paraId="19CA7266" w14:textId="1867E3E8" w:rsidR="003C201C" w:rsidRPr="00495A11" w:rsidRDefault="003C201C" w:rsidP="003C201C">
            <w:pPr>
              <w:rPr>
                <w:b/>
                <w:color w:val="000000" w:themeColor="text1"/>
              </w:rPr>
            </w:pPr>
            <w:r>
              <w:rPr>
                <w:b/>
                <w:color w:val="000000" w:themeColor="text1"/>
              </w:rPr>
              <w:t>Court assistance services</w:t>
            </w:r>
          </w:p>
        </w:tc>
        <w:tc>
          <w:tcPr>
            <w:cnfStyle w:val="000001000000" w:firstRow="0" w:lastRow="0" w:firstColumn="0" w:lastColumn="0" w:oddVBand="0" w:evenVBand="1" w:oddHBand="0" w:evenHBand="0" w:firstRowFirstColumn="0" w:firstRowLastColumn="0" w:lastRowFirstColumn="0" w:lastRowLastColumn="0"/>
            <w:tcW w:w="979" w:type="pct"/>
            <w:shd w:val="clear" w:color="auto" w:fill="C4B0CC"/>
          </w:tcPr>
          <w:p w14:paraId="4A91A1C6" w14:textId="77777777" w:rsidR="003C201C" w:rsidRPr="000E7EED" w:rsidRDefault="003C201C" w:rsidP="003C201C">
            <w:pPr>
              <w:jc w:val="center"/>
              <w:rPr>
                <w:b/>
                <w:color w:val="000000" w:themeColor="text1"/>
              </w:rPr>
            </w:pPr>
            <w:r>
              <w:rPr>
                <w:b/>
                <w:color w:val="000000" w:themeColor="text1"/>
              </w:rPr>
              <w:t>Q2</w:t>
            </w:r>
          </w:p>
          <w:p w14:paraId="64A6E195" w14:textId="4FF806BD" w:rsidR="003C201C" w:rsidRPr="00495A11" w:rsidRDefault="003C201C" w:rsidP="003C201C">
            <w:pPr>
              <w:jc w:val="center"/>
              <w:rPr>
                <w:b/>
                <w:color w:val="000000" w:themeColor="text1"/>
              </w:rPr>
            </w:pPr>
            <w:r w:rsidRPr="000E7EED">
              <w:rPr>
                <w:b/>
                <w:color w:val="000000" w:themeColor="text1"/>
              </w:rPr>
              <w:t>20</w:t>
            </w:r>
            <w:r>
              <w:rPr>
                <w:b/>
                <w:color w:val="000000" w:themeColor="text1"/>
              </w:rPr>
              <w:t>21-22</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C4B0CC"/>
          </w:tcPr>
          <w:p w14:paraId="782916C0" w14:textId="77777777" w:rsidR="003C201C" w:rsidRDefault="003C201C" w:rsidP="003C201C">
            <w:pPr>
              <w:jc w:val="center"/>
              <w:rPr>
                <w:b/>
                <w:color w:val="000000" w:themeColor="text1"/>
              </w:rPr>
            </w:pPr>
            <w:r w:rsidRPr="55245693">
              <w:rPr>
                <w:b/>
                <w:color w:val="000000" w:themeColor="text1"/>
              </w:rPr>
              <w:t>Q</w:t>
            </w:r>
            <w:r>
              <w:rPr>
                <w:b/>
                <w:color w:val="000000" w:themeColor="text1"/>
              </w:rPr>
              <w:t>3</w:t>
            </w:r>
          </w:p>
          <w:p w14:paraId="4C9C7D4E" w14:textId="5B5ACC58" w:rsidR="003C201C" w:rsidRPr="00495A11" w:rsidRDefault="003C201C" w:rsidP="003C201C">
            <w:pPr>
              <w:jc w:val="center"/>
              <w:rPr>
                <w:b/>
                <w:color w:val="000000" w:themeColor="text1"/>
              </w:rPr>
            </w:pPr>
            <w:r w:rsidRPr="000E7EED">
              <w:rPr>
                <w:b/>
                <w:color w:val="000000" w:themeColor="text1"/>
              </w:rPr>
              <w:t>20</w:t>
            </w:r>
            <w:r>
              <w:rPr>
                <w:b/>
                <w:color w:val="000000" w:themeColor="text1"/>
              </w:rPr>
              <w:t>21-22</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C4B0CC"/>
          </w:tcPr>
          <w:p w14:paraId="48A0BF14" w14:textId="77777777" w:rsidR="003C201C" w:rsidRDefault="003C201C" w:rsidP="003C201C">
            <w:pPr>
              <w:jc w:val="center"/>
              <w:rPr>
                <w:b/>
                <w:bCs w:val="0"/>
                <w:color w:val="000000" w:themeColor="text1"/>
              </w:rPr>
            </w:pPr>
            <w:r>
              <w:rPr>
                <w:b/>
                <w:color w:val="000000" w:themeColor="text1"/>
              </w:rPr>
              <w:t>Q4 2021-22</w:t>
            </w:r>
          </w:p>
          <w:p w14:paraId="09C91536" w14:textId="59CF2FF7" w:rsidR="003C201C" w:rsidRPr="55245693" w:rsidRDefault="003C201C" w:rsidP="003C201C">
            <w:pPr>
              <w:jc w:val="center"/>
              <w:rPr>
                <w:b/>
                <w:color w:val="000000" w:themeColor="text1"/>
              </w:rPr>
            </w:pPr>
            <w:r>
              <w:rPr>
                <w:b/>
                <w:color w:val="000000" w:themeColor="text1"/>
              </w:rPr>
              <w:t>projection</w:t>
            </w:r>
          </w:p>
        </w:tc>
      </w:tr>
      <w:tr w:rsidR="00B52DA5" w:rsidRPr="0021615C" w14:paraId="64EE6B24" w14:textId="77777777" w:rsidTr="3DA007BF">
        <w:trPr>
          <w:cnfStyle w:val="000000100000" w:firstRow="0" w:lastRow="0" w:firstColumn="0" w:lastColumn="0" w:oddVBand="0" w:evenVBand="0" w:oddHBand="1" w:evenHBand="0" w:firstRowFirstColumn="0" w:firstRowLastColumn="0" w:lastRowFirstColumn="0" w:lastRowLastColumn="0"/>
          <w:trHeight w:val="531"/>
        </w:trPr>
        <w:tc>
          <w:tcPr>
            <w:cnfStyle w:val="000010000000" w:firstRow="0" w:lastRow="0" w:firstColumn="0" w:lastColumn="0" w:oddVBand="1" w:evenVBand="0" w:oddHBand="0" w:evenHBand="0" w:firstRowFirstColumn="0" w:firstRowLastColumn="0" w:lastRowFirstColumn="0" w:lastRowLastColumn="0"/>
            <w:tcW w:w="1749" w:type="pct"/>
          </w:tcPr>
          <w:p w14:paraId="58EB8651" w14:textId="7C4BF1A2" w:rsidR="00B52DA5" w:rsidRPr="000E7EED" w:rsidRDefault="00B52DA5" w:rsidP="00B52DA5">
            <w:pPr>
              <w:rPr>
                <w:color w:val="000000" w:themeColor="text1"/>
              </w:rPr>
            </w:pPr>
            <w:r>
              <w:rPr>
                <w:color w:val="000000" w:themeColor="text1"/>
              </w:rPr>
              <w:t>Duty Lawyer Services</w:t>
            </w:r>
          </w:p>
        </w:tc>
        <w:tc>
          <w:tcPr>
            <w:cnfStyle w:val="000001000000" w:firstRow="0" w:lastRow="0" w:firstColumn="0" w:lastColumn="0" w:oddVBand="0" w:evenVBand="1" w:oddHBand="0" w:evenHBand="0" w:firstRowFirstColumn="0" w:firstRowLastColumn="0" w:lastRowFirstColumn="0" w:lastRowLastColumn="0"/>
            <w:tcW w:w="979" w:type="pct"/>
          </w:tcPr>
          <w:p w14:paraId="5792E15B" w14:textId="4B18F41D" w:rsidR="00B52DA5" w:rsidRPr="000E7EED" w:rsidRDefault="00B52DA5" w:rsidP="00B52DA5">
            <w:pPr>
              <w:jc w:val="center"/>
              <w:rPr>
                <w:color w:val="000000" w:themeColor="text1"/>
              </w:rPr>
            </w:pPr>
            <w:r>
              <w:rPr>
                <w:color w:val="000000" w:themeColor="text1"/>
              </w:rPr>
              <w:t>13,637</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38DC521A" w14:textId="2B5C3996" w:rsidR="00F92770" w:rsidRPr="0021615C" w:rsidRDefault="00F92770" w:rsidP="00F92770">
            <w:pPr>
              <w:jc w:val="center"/>
              <w:rPr>
                <w:szCs w:val="22"/>
              </w:rPr>
            </w:pPr>
            <w:r>
              <w:rPr>
                <w:szCs w:val="22"/>
              </w:rPr>
              <w:t>12,541</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77467474" w14:textId="01FB46E1" w:rsidR="00B52DA5" w:rsidRDefault="009060B5" w:rsidP="00B52DA5">
            <w:pPr>
              <w:jc w:val="center"/>
            </w:pPr>
            <w:r>
              <w:t>16,930</w:t>
            </w:r>
          </w:p>
        </w:tc>
      </w:tr>
      <w:tr w:rsidR="00B52DA5" w14:paraId="39912EC6" w14:textId="77777777" w:rsidTr="3DA007BF">
        <w:trPr>
          <w:cnfStyle w:val="000000010000" w:firstRow="0" w:lastRow="0" w:firstColumn="0" w:lastColumn="0" w:oddVBand="0" w:evenVBand="0" w:oddHBand="0" w:evenHBand="1" w:firstRowFirstColumn="0" w:firstRowLastColumn="0" w:lastRowFirstColumn="0" w:lastRowLastColumn="0"/>
          <w:trHeight w:val="194"/>
        </w:trPr>
        <w:tc>
          <w:tcPr>
            <w:cnfStyle w:val="000010000000" w:firstRow="0" w:lastRow="0" w:firstColumn="0" w:lastColumn="0" w:oddVBand="1" w:evenVBand="0" w:oddHBand="0" w:evenHBand="0" w:firstRowFirstColumn="0" w:firstRowLastColumn="0" w:lastRowFirstColumn="0" w:lastRowLastColumn="0"/>
            <w:tcW w:w="1749" w:type="pct"/>
          </w:tcPr>
          <w:p w14:paraId="29913E96" w14:textId="3C9F4AE6" w:rsidR="00B52DA5" w:rsidRPr="000E7EED" w:rsidRDefault="00B52DA5" w:rsidP="00B52DA5">
            <w:pPr>
              <w:rPr>
                <w:color w:val="000000" w:themeColor="text1"/>
              </w:rPr>
            </w:pPr>
            <w:r>
              <w:rPr>
                <w:color w:val="000000" w:themeColor="text1"/>
              </w:rPr>
              <w:t>Grants of Legal Assistance</w:t>
            </w:r>
          </w:p>
        </w:tc>
        <w:tc>
          <w:tcPr>
            <w:cnfStyle w:val="000001000000" w:firstRow="0" w:lastRow="0" w:firstColumn="0" w:lastColumn="0" w:oddVBand="0" w:evenVBand="1" w:oddHBand="0" w:evenHBand="0" w:firstRowFirstColumn="0" w:firstRowLastColumn="0" w:lastRowFirstColumn="0" w:lastRowLastColumn="0"/>
            <w:tcW w:w="979" w:type="pct"/>
          </w:tcPr>
          <w:p w14:paraId="551CE1B7" w14:textId="1759C7C4" w:rsidR="00B52DA5" w:rsidRPr="000E7EED" w:rsidRDefault="00B52DA5" w:rsidP="00B52DA5">
            <w:pPr>
              <w:jc w:val="center"/>
              <w:rPr>
                <w:color w:val="000000" w:themeColor="text1"/>
              </w:rPr>
            </w:pPr>
            <w:r>
              <w:rPr>
                <w:color w:val="000000" w:themeColor="text1"/>
              </w:rPr>
              <w:t>9,994</w:t>
            </w:r>
          </w:p>
        </w:tc>
        <w:tc>
          <w:tcPr>
            <w:cnfStyle w:val="000010000000" w:firstRow="0" w:lastRow="0" w:firstColumn="0" w:lastColumn="0" w:oddVBand="1" w:evenVBand="0" w:oddHBand="0" w:evenHBand="0" w:firstRowFirstColumn="0" w:firstRowLastColumn="0" w:lastRowFirstColumn="0" w:lastRowLastColumn="0"/>
            <w:tcW w:w="1136" w:type="pct"/>
            <w:shd w:val="clear" w:color="auto" w:fill="D9D9D9" w:themeFill="background1" w:themeFillShade="D9"/>
            <w:vAlign w:val="center"/>
          </w:tcPr>
          <w:p w14:paraId="500C0198" w14:textId="0A461ED2" w:rsidR="00B52DA5" w:rsidRPr="000E7EED" w:rsidRDefault="3DA007BF" w:rsidP="00B52DA5">
            <w:pPr>
              <w:jc w:val="center"/>
              <w:rPr>
                <w:color w:val="000000" w:themeColor="text1"/>
              </w:rPr>
            </w:pPr>
            <w:r w:rsidRPr="3DA007BF">
              <w:rPr>
                <w:color w:val="000000" w:themeColor="text1"/>
              </w:rPr>
              <w:t>9,96</w:t>
            </w:r>
            <w:r w:rsidR="006720A3">
              <w:rPr>
                <w:color w:val="000000" w:themeColor="text1"/>
              </w:rPr>
              <w:t>9</w:t>
            </w:r>
          </w:p>
        </w:tc>
        <w:tc>
          <w:tcPr>
            <w:cnfStyle w:val="000001000000" w:firstRow="0" w:lastRow="0" w:firstColumn="0" w:lastColumn="0" w:oddVBand="0" w:evenVBand="1" w:oddHBand="0" w:evenHBand="0" w:firstRowFirstColumn="0" w:firstRowLastColumn="0" w:lastRowFirstColumn="0" w:lastRowLastColumn="0"/>
            <w:tcW w:w="1136" w:type="pct"/>
            <w:shd w:val="clear" w:color="auto" w:fill="auto"/>
            <w:vAlign w:val="center"/>
          </w:tcPr>
          <w:p w14:paraId="77A6156F" w14:textId="30862D0E" w:rsidR="00B52DA5" w:rsidRDefault="00AE34DE" w:rsidP="00B52DA5">
            <w:pPr>
              <w:jc w:val="center"/>
              <w:rPr>
                <w:color w:val="000000" w:themeColor="text1"/>
              </w:rPr>
            </w:pPr>
            <w:r>
              <w:rPr>
                <w:color w:val="000000" w:themeColor="text1"/>
              </w:rPr>
              <w:t>12,098</w:t>
            </w:r>
          </w:p>
        </w:tc>
      </w:tr>
    </w:tbl>
    <w:p w14:paraId="3B16F187" w14:textId="733E9D17" w:rsidR="00E54A93" w:rsidRDefault="00E54A93" w:rsidP="00AC4948"/>
    <w:p w14:paraId="3D2ED246" w14:textId="101389C5" w:rsidR="00AC4948" w:rsidRDefault="0062615F" w:rsidP="00AC4948">
      <w:r>
        <w:t>In quarter three we</w:t>
      </w:r>
      <w:r w:rsidR="005D61CE">
        <w:t xml:space="preserve"> continue</w:t>
      </w:r>
      <w:r>
        <w:t>d</w:t>
      </w:r>
      <w:r w:rsidR="005D61CE">
        <w:t xml:space="preserve"> to meet </w:t>
      </w:r>
      <w:r>
        <w:t xml:space="preserve">the demand of current court levels for our duty lawyer services. </w:t>
      </w:r>
      <w:r w:rsidR="003E60B6">
        <w:t xml:space="preserve">As courts continued to work at a reduced </w:t>
      </w:r>
      <w:r w:rsidR="00912F06">
        <w:t>capacity, exacerbated by the summer months,</w:t>
      </w:r>
      <w:r w:rsidR="003E60B6">
        <w:t xml:space="preserve"> </w:t>
      </w:r>
      <w:r w:rsidR="00AD703A">
        <w:t>we provided fewer duty lawyer services (-</w:t>
      </w:r>
      <w:r w:rsidR="00751307">
        <w:t>8 per cent)</w:t>
      </w:r>
      <w:r w:rsidR="00AD703A">
        <w:t xml:space="preserve"> than the previous quarter</w:t>
      </w:r>
      <w:r w:rsidR="00751307">
        <w:t>. However, when compared to the previous financial year</w:t>
      </w:r>
      <w:r w:rsidR="00674E2D">
        <w:t xml:space="preserve">, where we delivered 11,807 duty lawyer services, </w:t>
      </w:r>
      <w:r w:rsidR="00B41B73">
        <w:t xml:space="preserve">there was an increase of 6.2 per cent. The number of grants of legal assistance </w:t>
      </w:r>
      <w:r w:rsidR="00054928">
        <w:t xml:space="preserve">remained consistent with the previous quarter </w:t>
      </w:r>
      <w:r w:rsidR="00AD6AC3">
        <w:br/>
      </w:r>
      <w:r w:rsidR="00054928">
        <w:t>(</w:t>
      </w:r>
      <w:r w:rsidR="00912CC0">
        <w:t>-0.25 per cent)</w:t>
      </w:r>
      <w:r w:rsidR="00AD703A">
        <w:t xml:space="preserve"> </w:t>
      </w:r>
      <w:r w:rsidR="00912CC0">
        <w:t xml:space="preserve">and </w:t>
      </w:r>
      <w:r w:rsidR="009B1AA5">
        <w:t>quarter three of the previous financial year (-1.9 per cent).</w:t>
      </w:r>
      <w:r w:rsidR="001C5FB8">
        <w:t xml:space="preserve"> Service levels for both duty lawyers and grants of legal assistance are expected to gradually increase as courts increase their capacity. </w:t>
      </w:r>
    </w:p>
    <w:p w14:paraId="7F807649" w14:textId="77777777" w:rsidR="00E54A93" w:rsidRDefault="00E54A93">
      <w:pPr>
        <w:spacing w:after="0" w:line="240" w:lineRule="auto"/>
        <w:rPr>
          <w:rFonts w:cs="Arial"/>
          <w:b/>
          <w:bCs/>
          <w:iCs/>
          <w:color w:val="971A4B"/>
          <w:sz w:val="28"/>
          <w:szCs w:val="28"/>
          <w:lang w:eastAsia="en-AU"/>
        </w:rPr>
      </w:pPr>
      <w:r>
        <w:br w:type="page"/>
      </w:r>
    </w:p>
    <w:p w14:paraId="6EB8CCDC" w14:textId="7A3C89D4" w:rsidR="004175B7" w:rsidRDefault="004175B7" w:rsidP="004175B7">
      <w:pPr>
        <w:pStyle w:val="Heading2"/>
      </w:pPr>
      <w:r w:rsidRPr="004175B7">
        <w:lastRenderedPageBreak/>
        <w:t xml:space="preserve">Financial </w:t>
      </w:r>
      <w:r w:rsidR="00B03011">
        <w:t>S</w:t>
      </w:r>
      <w:r w:rsidRPr="004175B7">
        <w:t>ummary</w:t>
      </w:r>
    </w:p>
    <w:p w14:paraId="5FDDDF55" w14:textId="1AB72283" w:rsidR="00E21BCB" w:rsidRDefault="0059464F" w:rsidP="004175B7">
      <w:pPr>
        <w:pStyle w:val="Heading3"/>
        <w:rPr>
          <w:b w:val="0"/>
          <w:bCs w:val="0"/>
          <w:sz w:val="22"/>
          <w:szCs w:val="22"/>
        </w:rPr>
      </w:pPr>
      <w:bookmarkStart w:id="5" w:name="_Hlk33006424"/>
      <w:bookmarkStart w:id="6" w:name="_Hlk25835001"/>
      <w:r>
        <w:rPr>
          <w:b w:val="0"/>
          <w:bCs w:val="0"/>
          <w:sz w:val="22"/>
          <w:szCs w:val="22"/>
        </w:rPr>
        <w:t xml:space="preserve">Our operating position for quarter three 2021-22 was a small surplus of </w:t>
      </w:r>
      <w:r w:rsidR="002B30FB">
        <w:rPr>
          <w:b w:val="0"/>
          <w:bCs w:val="0"/>
          <w:sz w:val="22"/>
          <w:szCs w:val="22"/>
        </w:rPr>
        <w:t xml:space="preserve">$2.9 million. </w:t>
      </w:r>
      <w:r w:rsidR="004128B2">
        <w:rPr>
          <w:b w:val="0"/>
          <w:bCs w:val="0"/>
          <w:sz w:val="22"/>
          <w:szCs w:val="22"/>
        </w:rPr>
        <w:t xml:space="preserve">In quarter three we received additional funds as part of </w:t>
      </w:r>
      <w:r w:rsidR="00C711F2">
        <w:rPr>
          <w:b w:val="0"/>
          <w:bCs w:val="0"/>
          <w:sz w:val="22"/>
          <w:szCs w:val="22"/>
        </w:rPr>
        <w:t xml:space="preserve">a new bilateral agreement </w:t>
      </w:r>
      <w:r w:rsidR="004128B2">
        <w:rPr>
          <w:b w:val="0"/>
          <w:bCs w:val="0"/>
          <w:sz w:val="22"/>
          <w:szCs w:val="22"/>
        </w:rPr>
        <w:t xml:space="preserve">under the National Legal </w:t>
      </w:r>
      <w:r w:rsidR="00C711F2">
        <w:rPr>
          <w:b w:val="0"/>
          <w:bCs w:val="0"/>
          <w:sz w:val="22"/>
          <w:szCs w:val="22"/>
        </w:rPr>
        <w:t xml:space="preserve">Assistance </w:t>
      </w:r>
      <w:r w:rsidR="004128B2">
        <w:rPr>
          <w:b w:val="0"/>
          <w:bCs w:val="0"/>
          <w:sz w:val="22"/>
          <w:szCs w:val="22"/>
        </w:rPr>
        <w:t>Partnership</w:t>
      </w:r>
      <w:r w:rsidR="00C711F2">
        <w:rPr>
          <w:b w:val="0"/>
          <w:bCs w:val="0"/>
          <w:sz w:val="22"/>
          <w:szCs w:val="22"/>
        </w:rPr>
        <w:t xml:space="preserve"> 2020-25. </w:t>
      </w:r>
      <w:r w:rsidR="00E65CD2">
        <w:rPr>
          <w:b w:val="0"/>
          <w:bCs w:val="0"/>
          <w:sz w:val="22"/>
          <w:szCs w:val="22"/>
        </w:rPr>
        <w:t>The revenue we received from the State</w:t>
      </w:r>
      <w:r w:rsidR="00012FC1">
        <w:rPr>
          <w:b w:val="0"/>
          <w:bCs w:val="0"/>
          <w:sz w:val="22"/>
          <w:szCs w:val="22"/>
        </w:rPr>
        <w:t xml:space="preserve"> Government</w:t>
      </w:r>
      <w:r w:rsidR="00477198">
        <w:rPr>
          <w:b w:val="0"/>
          <w:bCs w:val="0"/>
          <w:sz w:val="22"/>
          <w:szCs w:val="22"/>
        </w:rPr>
        <w:t>, other income</w:t>
      </w:r>
      <w:r w:rsidR="00E65CD2">
        <w:rPr>
          <w:b w:val="0"/>
          <w:bCs w:val="0"/>
          <w:sz w:val="22"/>
          <w:szCs w:val="22"/>
        </w:rPr>
        <w:t xml:space="preserve"> and through case revenue also increased, which offset the reduction in </w:t>
      </w:r>
      <w:r w:rsidR="00477198">
        <w:rPr>
          <w:b w:val="0"/>
          <w:bCs w:val="0"/>
          <w:sz w:val="22"/>
          <w:szCs w:val="22"/>
        </w:rPr>
        <w:t xml:space="preserve">revenue from the Public Purpose Fund. </w:t>
      </w:r>
      <w:r w:rsidR="00EC0C6C">
        <w:rPr>
          <w:b w:val="0"/>
          <w:bCs w:val="0"/>
          <w:sz w:val="22"/>
          <w:szCs w:val="22"/>
        </w:rPr>
        <w:t xml:space="preserve">Our case </w:t>
      </w:r>
      <w:r w:rsidR="004E6C01">
        <w:rPr>
          <w:b w:val="0"/>
          <w:bCs w:val="0"/>
          <w:sz w:val="22"/>
          <w:szCs w:val="22"/>
        </w:rPr>
        <w:t>expenditure</w:t>
      </w:r>
      <w:r w:rsidR="00EC0C6C">
        <w:rPr>
          <w:b w:val="0"/>
          <w:bCs w:val="0"/>
          <w:sz w:val="22"/>
          <w:szCs w:val="22"/>
        </w:rPr>
        <w:t xml:space="preserve"> was 7.9 per cent below quarter two</w:t>
      </w:r>
      <w:r w:rsidR="004E6C01">
        <w:rPr>
          <w:b w:val="0"/>
          <w:bCs w:val="0"/>
          <w:sz w:val="22"/>
          <w:szCs w:val="22"/>
        </w:rPr>
        <w:t>. This i</w:t>
      </w:r>
      <w:r w:rsidR="00C9269B">
        <w:rPr>
          <w:b w:val="0"/>
          <w:bCs w:val="0"/>
          <w:sz w:val="22"/>
          <w:szCs w:val="22"/>
        </w:rPr>
        <w:t>s</w:t>
      </w:r>
      <w:r w:rsidR="004E6C01">
        <w:rPr>
          <w:b w:val="0"/>
          <w:bCs w:val="0"/>
          <w:sz w:val="22"/>
          <w:szCs w:val="22"/>
        </w:rPr>
        <w:t xml:space="preserve"> a result of </w:t>
      </w:r>
      <w:r w:rsidR="00F869DC">
        <w:rPr>
          <w:b w:val="0"/>
          <w:bCs w:val="0"/>
          <w:sz w:val="22"/>
          <w:szCs w:val="22"/>
        </w:rPr>
        <w:t xml:space="preserve">continuing COVID-19 restrictions on courts, combined with </w:t>
      </w:r>
      <w:r w:rsidR="004E6C01">
        <w:rPr>
          <w:b w:val="0"/>
          <w:bCs w:val="0"/>
          <w:sz w:val="22"/>
          <w:szCs w:val="22"/>
        </w:rPr>
        <w:t xml:space="preserve">the </w:t>
      </w:r>
      <w:r w:rsidR="002D6184">
        <w:rPr>
          <w:b w:val="0"/>
          <w:bCs w:val="0"/>
          <w:sz w:val="22"/>
          <w:szCs w:val="22"/>
        </w:rPr>
        <w:t>summer slow-down</w:t>
      </w:r>
      <w:r w:rsidR="00021B72">
        <w:rPr>
          <w:b w:val="0"/>
          <w:bCs w:val="0"/>
          <w:sz w:val="22"/>
          <w:szCs w:val="22"/>
        </w:rPr>
        <w:t xml:space="preserve"> and</w:t>
      </w:r>
      <w:r w:rsidR="002D6184">
        <w:rPr>
          <w:b w:val="0"/>
          <w:bCs w:val="0"/>
          <w:sz w:val="22"/>
          <w:szCs w:val="22"/>
        </w:rPr>
        <w:t xml:space="preserve"> </w:t>
      </w:r>
      <w:r w:rsidR="00DA28B1">
        <w:rPr>
          <w:b w:val="0"/>
          <w:bCs w:val="0"/>
          <w:sz w:val="22"/>
          <w:szCs w:val="22"/>
        </w:rPr>
        <w:t>February being a short month.</w:t>
      </w:r>
      <w:r w:rsidR="00021B72">
        <w:rPr>
          <w:b w:val="0"/>
          <w:bCs w:val="0"/>
          <w:sz w:val="22"/>
          <w:szCs w:val="22"/>
        </w:rPr>
        <w:t xml:space="preserve"> </w:t>
      </w:r>
    </w:p>
    <w:p w14:paraId="252956ED" w14:textId="00B4ED75" w:rsidR="00CA644B" w:rsidRPr="009A31BE" w:rsidRDefault="00CA405F" w:rsidP="004175B7">
      <w:pPr>
        <w:pStyle w:val="Heading3"/>
        <w:rPr>
          <w:rStyle w:val="Heading3Char"/>
          <w:b/>
          <w:bCs/>
          <w:sz w:val="22"/>
          <w:szCs w:val="22"/>
        </w:rPr>
      </w:pPr>
      <w:r w:rsidRPr="009A31BE">
        <w:rPr>
          <w:b w:val="0"/>
          <w:bCs w:val="0"/>
          <w:sz w:val="22"/>
          <w:szCs w:val="22"/>
        </w:rPr>
        <w:t>We are projecting a year-end deficit of approximately $6</w:t>
      </w:r>
      <w:r w:rsidR="00192820">
        <w:rPr>
          <w:b w:val="0"/>
          <w:bCs w:val="0"/>
          <w:sz w:val="22"/>
          <w:szCs w:val="22"/>
        </w:rPr>
        <w:t xml:space="preserve"> </w:t>
      </w:r>
      <w:r w:rsidR="006446E8" w:rsidRPr="009A31BE">
        <w:rPr>
          <w:b w:val="0"/>
          <w:bCs w:val="0"/>
          <w:sz w:val="22"/>
          <w:szCs w:val="22"/>
        </w:rPr>
        <w:t>m</w:t>
      </w:r>
      <w:r w:rsidR="00192820">
        <w:rPr>
          <w:b w:val="0"/>
          <w:bCs w:val="0"/>
          <w:sz w:val="22"/>
          <w:szCs w:val="22"/>
        </w:rPr>
        <w:t>illion</w:t>
      </w:r>
      <w:r w:rsidR="006723F7" w:rsidRPr="009A31BE">
        <w:rPr>
          <w:b w:val="0"/>
          <w:bCs w:val="0"/>
          <w:sz w:val="22"/>
          <w:szCs w:val="22"/>
        </w:rPr>
        <w:t>.</w:t>
      </w:r>
      <w:r w:rsidR="00AF4DFA" w:rsidRPr="009A31BE">
        <w:rPr>
          <w:b w:val="0"/>
          <w:bCs w:val="0"/>
          <w:sz w:val="22"/>
          <w:szCs w:val="22"/>
        </w:rPr>
        <w:t xml:space="preserve"> Q</w:t>
      </w:r>
      <w:r w:rsidR="00087C09">
        <w:rPr>
          <w:b w:val="0"/>
          <w:bCs w:val="0"/>
          <w:sz w:val="22"/>
          <w:szCs w:val="22"/>
        </w:rPr>
        <w:t>uarter four</w:t>
      </w:r>
      <w:r w:rsidR="00AF4DFA" w:rsidRPr="009A31BE">
        <w:rPr>
          <w:b w:val="0"/>
          <w:bCs w:val="0"/>
          <w:sz w:val="22"/>
          <w:szCs w:val="22"/>
        </w:rPr>
        <w:t xml:space="preserve"> </w:t>
      </w:r>
      <w:r w:rsidR="00087C09">
        <w:rPr>
          <w:b w:val="0"/>
          <w:bCs w:val="0"/>
          <w:sz w:val="22"/>
          <w:szCs w:val="22"/>
        </w:rPr>
        <w:t>t</w:t>
      </w:r>
      <w:r w:rsidR="00811E6F" w:rsidRPr="009A31BE">
        <w:rPr>
          <w:b w:val="0"/>
          <w:bCs w:val="0"/>
          <w:sz w:val="22"/>
          <w:szCs w:val="22"/>
        </w:rPr>
        <w:t>otal</w:t>
      </w:r>
      <w:r w:rsidR="00AF4DFA" w:rsidRPr="009A31BE">
        <w:rPr>
          <w:b w:val="0"/>
          <w:bCs w:val="0"/>
          <w:sz w:val="22"/>
          <w:szCs w:val="22"/>
        </w:rPr>
        <w:t xml:space="preserve"> </w:t>
      </w:r>
      <w:r w:rsidR="006446E8" w:rsidRPr="009A31BE">
        <w:rPr>
          <w:b w:val="0"/>
          <w:bCs w:val="0"/>
          <w:sz w:val="22"/>
          <w:szCs w:val="22"/>
        </w:rPr>
        <w:t>expenditure</w:t>
      </w:r>
      <w:r w:rsidR="00AF4DFA" w:rsidRPr="009A31BE">
        <w:rPr>
          <w:b w:val="0"/>
          <w:bCs w:val="0"/>
          <w:sz w:val="22"/>
          <w:szCs w:val="22"/>
        </w:rPr>
        <w:t xml:space="preserve"> </w:t>
      </w:r>
      <w:r w:rsidR="004B28F5" w:rsidRPr="009A31BE">
        <w:rPr>
          <w:b w:val="0"/>
          <w:bCs w:val="0"/>
          <w:sz w:val="22"/>
          <w:szCs w:val="22"/>
        </w:rPr>
        <w:t xml:space="preserve">is </w:t>
      </w:r>
      <w:r w:rsidR="00C259AC" w:rsidRPr="009A31BE">
        <w:rPr>
          <w:b w:val="0"/>
          <w:bCs w:val="0"/>
          <w:sz w:val="22"/>
          <w:szCs w:val="22"/>
        </w:rPr>
        <w:t>forecasted to be 2</w:t>
      </w:r>
      <w:r w:rsidR="00811E6F" w:rsidRPr="009A31BE">
        <w:rPr>
          <w:b w:val="0"/>
          <w:bCs w:val="0"/>
          <w:sz w:val="22"/>
          <w:szCs w:val="22"/>
        </w:rPr>
        <w:t>0</w:t>
      </w:r>
      <w:r w:rsidR="005743D9">
        <w:rPr>
          <w:b w:val="0"/>
          <w:bCs w:val="0"/>
          <w:sz w:val="22"/>
          <w:szCs w:val="22"/>
        </w:rPr>
        <w:t xml:space="preserve"> per cent</w:t>
      </w:r>
      <w:r w:rsidR="00C259AC" w:rsidRPr="009A31BE">
        <w:rPr>
          <w:b w:val="0"/>
          <w:bCs w:val="0"/>
          <w:sz w:val="22"/>
          <w:szCs w:val="22"/>
        </w:rPr>
        <w:t xml:space="preserve"> higher than </w:t>
      </w:r>
      <w:r w:rsidR="00087C09">
        <w:rPr>
          <w:b w:val="0"/>
          <w:bCs w:val="0"/>
          <w:sz w:val="22"/>
          <w:szCs w:val="22"/>
        </w:rPr>
        <w:t>quarter three</w:t>
      </w:r>
      <w:r w:rsidR="006446E8" w:rsidRPr="009A31BE">
        <w:rPr>
          <w:b w:val="0"/>
          <w:bCs w:val="0"/>
          <w:sz w:val="22"/>
          <w:szCs w:val="22"/>
        </w:rPr>
        <w:t xml:space="preserve"> due to</w:t>
      </w:r>
      <w:r w:rsidR="00087C09">
        <w:rPr>
          <w:b w:val="0"/>
          <w:bCs w:val="0"/>
          <w:sz w:val="22"/>
          <w:szCs w:val="22"/>
        </w:rPr>
        <w:t xml:space="preserve"> an anticipated</w:t>
      </w:r>
      <w:r w:rsidR="006446E8" w:rsidRPr="009A31BE">
        <w:rPr>
          <w:b w:val="0"/>
          <w:bCs w:val="0"/>
          <w:sz w:val="22"/>
          <w:szCs w:val="22"/>
        </w:rPr>
        <w:t xml:space="preserve"> </w:t>
      </w:r>
      <w:r w:rsidR="00087C09">
        <w:rPr>
          <w:b w:val="0"/>
          <w:bCs w:val="0"/>
          <w:sz w:val="22"/>
          <w:szCs w:val="22"/>
        </w:rPr>
        <w:t>‘</w:t>
      </w:r>
      <w:r w:rsidR="006446E8" w:rsidRPr="009A31BE">
        <w:rPr>
          <w:b w:val="0"/>
          <w:bCs w:val="0"/>
          <w:sz w:val="22"/>
          <w:szCs w:val="22"/>
        </w:rPr>
        <w:t>ramp</w:t>
      </w:r>
      <w:r w:rsidR="00087C09">
        <w:rPr>
          <w:b w:val="0"/>
          <w:bCs w:val="0"/>
          <w:sz w:val="22"/>
          <w:szCs w:val="22"/>
        </w:rPr>
        <w:t>ing</w:t>
      </w:r>
      <w:r w:rsidR="006446E8" w:rsidRPr="009A31BE">
        <w:rPr>
          <w:b w:val="0"/>
          <w:bCs w:val="0"/>
          <w:sz w:val="22"/>
          <w:szCs w:val="22"/>
        </w:rPr>
        <w:t>-up</w:t>
      </w:r>
      <w:r w:rsidR="00087C09">
        <w:rPr>
          <w:b w:val="0"/>
          <w:bCs w:val="0"/>
          <w:sz w:val="22"/>
          <w:szCs w:val="22"/>
        </w:rPr>
        <w:t>’</w:t>
      </w:r>
      <w:r w:rsidR="006446E8" w:rsidRPr="009A31BE">
        <w:rPr>
          <w:b w:val="0"/>
          <w:bCs w:val="0"/>
          <w:sz w:val="22"/>
          <w:szCs w:val="22"/>
        </w:rPr>
        <w:t xml:space="preserve"> of court activities</w:t>
      </w:r>
      <w:r w:rsidR="00F90054">
        <w:rPr>
          <w:b w:val="0"/>
          <w:bCs w:val="0"/>
          <w:sz w:val="22"/>
          <w:szCs w:val="22"/>
        </w:rPr>
        <w:t>,</w:t>
      </w:r>
      <w:r w:rsidR="00811E6F" w:rsidRPr="009A31BE">
        <w:rPr>
          <w:b w:val="0"/>
          <w:bCs w:val="0"/>
          <w:sz w:val="22"/>
          <w:szCs w:val="22"/>
        </w:rPr>
        <w:t xml:space="preserve"> </w:t>
      </w:r>
      <w:r w:rsidR="00087C09">
        <w:rPr>
          <w:b w:val="0"/>
          <w:bCs w:val="0"/>
          <w:sz w:val="22"/>
          <w:szCs w:val="22"/>
        </w:rPr>
        <w:t xml:space="preserve">which </w:t>
      </w:r>
      <w:r w:rsidR="005743D9">
        <w:rPr>
          <w:b w:val="0"/>
          <w:bCs w:val="0"/>
          <w:sz w:val="22"/>
          <w:szCs w:val="22"/>
        </w:rPr>
        <w:t xml:space="preserve">would </w:t>
      </w:r>
      <w:r w:rsidR="005743D9" w:rsidRPr="009A31BE">
        <w:rPr>
          <w:b w:val="0"/>
          <w:bCs w:val="0"/>
          <w:sz w:val="22"/>
          <w:szCs w:val="22"/>
        </w:rPr>
        <w:t>gradually</w:t>
      </w:r>
      <w:r w:rsidR="00811E6F" w:rsidRPr="009A31BE">
        <w:rPr>
          <w:b w:val="0"/>
          <w:bCs w:val="0"/>
          <w:sz w:val="22"/>
          <w:szCs w:val="22"/>
        </w:rPr>
        <w:t xml:space="preserve"> return VLA</w:t>
      </w:r>
      <w:r w:rsidR="005743D9">
        <w:rPr>
          <w:b w:val="0"/>
          <w:bCs w:val="0"/>
          <w:sz w:val="22"/>
          <w:szCs w:val="22"/>
        </w:rPr>
        <w:t xml:space="preserve"> to pre-COVID</w:t>
      </w:r>
      <w:r w:rsidR="00811E6F" w:rsidRPr="009A31BE">
        <w:rPr>
          <w:b w:val="0"/>
          <w:bCs w:val="0"/>
          <w:sz w:val="22"/>
          <w:szCs w:val="22"/>
        </w:rPr>
        <w:t xml:space="preserve"> operations.</w:t>
      </w:r>
      <w:r w:rsidR="000230A2" w:rsidRPr="009A31BE">
        <w:rPr>
          <w:b w:val="0"/>
          <w:bCs w:val="0"/>
          <w:sz w:val="22"/>
          <w:szCs w:val="22"/>
        </w:rPr>
        <w:t xml:space="preserve"> </w:t>
      </w:r>
      <w:r w:rsidR="000C5EFC">
        <w:rPr>
          <w:b w:val="0"/>
          <w:bCs w:val="0"/>
          <w:sz w:val="22"/>
          <w:szCs w:val="22"/>
        </w:rPr>
        <w:t>If the expected ramp up does not occur, or is slower than anticipated, this will have a significant impact o</w:t>
      </w:r>
      <w:r w:rsidR="001C5A34">
        <w:rPr>
          <w:b w:val="0"/>
          <w:bCs w:val="0"/>
          <w:sz w:val="22"/>
          <w:szCs w:val="22"/>
        </w:rPr>
        <w:t xml:space="preserve">n the quarter four expenditure and the final year end position.  </w:t>
      </w:r>
      <w:r w:rsidR="004671A3" w:rsidRPr="009A31BE">
        <w:rPr>
          <w:b w:val="0"/>
          <w:bCs w:val="0"/>
          <w:sz w:val="22"/>
          <w:szCs w:val="22"/>
        </w:rPr>
        <w:t>However</w:t>
      </w:r>
      <w:r w:rsidR="00AB3CB4" w:rsidRPr="009A31BE">
        <w:rPr>
          <w:b w:val="0"/>
          <w:bCs w:val="0"/>
          <w:sz w:val="22"/>
          <w:szCs w:val="22"/>
        </w:rPr>
        <w:t>,</w:t>
      </w:r>
      <w:r w:rsidR="000230A2" w:rsidRPr="009A31BE">
        <w:rPr>
          <w:b w:val="0"/>
          <w:bCs w:val="0"/>
          <w:sz w:val="22"/>
          <w:szCs w:val="22"/>
        </w:rPr>
        <w:t xml:space="preserve"> </w:t>
      </w:r>
      <w:r w:rsidR="000C5EFC">
        <w:rPr>
          <w:b w:val="0"/>
          <w:bCs w:val="0"/>
          <w:sz w:val="22"/>
          <w:szCs w:val="22"/>
        </w:rPr>
        <w:t>f</w:t>
      </w:r>
      <w:r w:rsidR="000230A2" w:rsidRPr="009A31BE">
        <w:rPr>
          <w:b w:val="0"/>
          <w:bCs w:val="0"/>
          <w:sz w:val="22"/>
          <w:szCs w:val="22"/>
        </w:rPr>
        <w:t>unds remain available to ensure VLA can meet demand if the courts</w:t>
      </w:r>
      <w:r w:rsidR="0051138B">
        <w:rPr>
          <w:b w:val="0"/>
          <w:bCs w:val="0"/>
          <w:sz w:val="22"/>
          <w:szCs w:val="22"/>
        </w:rPr>
        <w:t xml:space="preserve"> are able to rapidly expand the </w:t>
      </w:r>
      <w:r w:rsidR="00A4220B">
        <w:rPr>
          <w:b w:val="0"/>
          <w:bCs w:val="0"/>
          <w:sz w:val="22"/>
          <w:szCs w:val="22"/>
        </w:rPr>
        <w:t>number of hearings being held.</w:t>
      </w:r>
      <w:r w:rsidR="000230A2" w:rsidRPr="009A31BE">
        <w:rPr>
          <w:b w:val="0"/>
          <w:bCs w:val="0"/>
          <w:sz w:val="22"/>
          <w:szCs w:val="22"/>
        </w:rPr>
        <w:t xml:space="preserve"> </w:t>
      </w:r>
    </w:p>
    <w:p w14:paraId="5C7A41B4" w14:textId="4E00DCE5" w:rsidR="004175B7" w:rsidRPr="004175B7" w:rsidRDefault="00351328" w:rsidP="004175B7">
      <w:pPr>
        <w:pStyle w:val="Heading3"/>
      </w:pPr>
      <w:r w:rsidRPr="004175B7">
        <w:rPr>
          <w:rStyle w:val="Heading3Char"/>
          <w:b/>
          <w:bCs/>
        </w:rPr>
        <w:t>Total</w:t>
      </w:r>
      <w:r w:rsidR="004175B7" w:rsidRPr="004175B7">
        <w:rPr>
          <w:rStyle w:val="Heading3Char"/>
          <w:b/>
          <w:bCs/>
        </w:rPr>
        <w:t xml:space="preserve"> revenue breakdown</w:t>
      </w:r>
      <w:r w:rsidR="007F609B">
        <w:rPr>
          <w:rStyle w:val="Heading3Char"/>
          <w:b/>
          <w:bCs/>
        </w:rPr>
        <w:t xml:space="preserve"> </w:t>
      </w:r>
      <w:r w:rsidR="00A6458C" w:rsidRPr="004175B7">
        <w:rPr>
          <w:rStyle w:val="Heading3Char"/>
          <w:b/>
          <w:bCs/>
        </w:rPr>
        <w:t>(</w:t>
      </w:r>
      <w:r w:rsidR="004175B7" w:rsidRPr="004175B7">
        <w:rPr>
          <w:rStyle w:val="Heading3Char"/>
          <w:b/>
          <w:bCs/>
        </w:rPr>
        <w:t>$</w:t>
      </w:r>
      <w:r w:rsidR="004B28F5">
        <w:rPr>
          <w:rStyle w:val="Heading3Char"/>
          <w:b/>
          <w:bCs/>
        </w:rPr>
        <w:t xml:space="preserve">' </w:t>
      </w:r>
      <w:r w:rsidR="004175B7" w:rsidRPr="004175B7">
        <w:rPr>
          <w:rStyle w:val="Heading3Char"/>
          <w:b/>
          <w:bCs/>
        </w:rPr>
        <w:t>000</w:t>
      </w:r>
      <w:r w:rsidR="004175B7" w:rsidRPr="004175B7">
        <w:t>)</w:t>
      </w:r>
      <w:r w:rsidR="007F609B">
        <w:t xml:space="preserve"> </w:t>
      </w:r>
    </w:p>
    <w:tbl>
      <w:tblPr>
        <w:tblW w:w="9846" w:type="dxa"/>
        <w:tblLook w:val="04A0" w:firstRow="1" w:lastRow="0" w:firstColumn="1" w:lastColumn="0" w:noHBand="0" w:noVBand="1"/>
      </w:tblPr>
      <w:tblGrid>
        <w:gridCol w:w="5382"/>
        <w:gridCol w:w="1417"/>
        <w:gridCol w:w="1560"/>
        <w:gridCol w:w="1487"/>
      </w:tblGrid>
      <w:tr w:rsidR="005E39DB" w:rsidRPr="005E39DB" w14:paraId="13AFBC3D" w14:textId="77777777" w:rsidTr="006015EE">
        <w:trPr>
          <w:trHeight w:val="424"/>
        </w:trPr>
        <w:tc>
          <w:tcPr>
            <w:tcW w:w="5382" w:type="dxa"/>
            <w:vMerge w:val="restart"/>
            <w:tcBorders>
              <w:top w:val="single" w:sz="4" w:space="0" w:color="auto"/>
              <w:left w:val="single" w:sz="4" w:space="0" w:color="auto"/>
              <w:bottom w:val="nil"/>
              <w:right w:val="single" w:sz="4" w:space="0" w:color="auto"/>
            </w:tcBorders>
            <w:shd w:val="clear" w:color="000000" w:fill="C3AFCC"/>
            <w:vAlign w:val="center"/>
            <w:hideMark/>
          </w:tcPr>
          <w:p w14:paraId="3C969982" w14:textId="77777777" w:rsidR="005E39DB" w:rsidRPr="005E39DB" w:rsidRDefault="005E39DB" w:rsidP="005E39DB">
            <w:pPr>
              <w:spacing w:after="0" w:line="240" w:lineRule="auto"/>
              <w:rPr>
                <w:rFonts w:cs="Arial"/>
                <w:b/>
                <w:bCs/>
                <w:color w:val="000000"/>
                <w:szCs w:val="22"/>
                <w:lang w:eastAsia="en-AU"/>
              </w:rPr>
            </w:pPr>
            <w:bookmarkStart w:id="7" w:name="_Hlk10632113"/>
            <w:bookmarkStart w:id="8" w:name="_Hlk33006441"/>
            <w:bookmarkEnd w:id="5"/>
            <w:r w:rsidRPr="005E39DB">
              <w:rPr>
                <w:rFonts w:cs="Arial"/>
                <w:b/>
                <w:bCs/>
                <w:color w:val="000000"/>
                <w:szCs w:val="22"/>
                <w:lang w:eastAsia="en-AU"/>
              </w:rPr>
              <w:t>Revenue</w:t>
            </w:r>
            <w:r w:rsidRPr="005E39DB">
              <w:rPr>
                <w:rFonts w:cs="Arial"/>
                <w:color w:val="000000"/>
                <w:szCs w:val="22"/>
                <w:lang w:eastAsia="en-AU"/>
              </w:rPr>
              <w:t> </w:t>
            </w:r>
          </w:p>
        </w:tc>
        <w:tc>
          <w:tcPr>
            <w:tcW w:w="1417" w:type="dxa"/>
            <w:tcBorders>
              <w:top w:val="single" w:sz="4" w:space="0" w:color="auto"/>
              <w:left w:val="single" w:sz="4" w:space="0" w:color="auto"/>
              <w:bottom w:val="nil"/>
              <w:right w:val="single" w:sz="4" w:space="0" w:color="auto"/>
            </w:tcBorders>
            <w:shd w:val="clear" w:color="000000" w:fill="C3AFCC"/>
            <w:vAlign w:val="center"/>
            <w:hideMark/>
          </w:tcPr>
          <w:p w14:paraId="788BDAB4" w14:textId="77777777" w:rsidR="005E39DB" w:rsidRPr="005E39DB" w:rsidRDefault="005E39DB" w:rsidP="005E39DB">
            <w:pPr>
              <w:spacing w:after="0" w:line="240" w:lineRule="auto"/>
              <w:jc w:val="center"/>
              <w:rPr>
                <w:rFonts w:cs="Arial"/>
                <w:b/>
                <w:bCs/>
                <w:color w:val="000000"/>
                <w:szCs w:val="22"/>
                <w:lang w:eastAsia="en-AU"/>
              </w:rPr>
            </w:pPr>
            <w:r w:rsidRPr="005E39DB">
              <w:rPr>
                <w:rFonts w:cs="Arial"/>
                <w:b/>
                <w:bCs/>
                <w:color w:val="000000"/>
                <w:szCs w:val="22"/>
                <w:lang w:eastAsia="en-AU"/>
              </w:rPr>
              <w:t>Q2</w:t>
            </w:r>
            <w:r w:rsidRPr="005E39DB">
              <w:rPr>
                <w:rFonts w:cs="Arial"/>
                <w:color w:val="000000"/>
                <w:szCs w:val="22"/>
                <w:lang w:eastAsia="en-AU"/>
              </w:rPr>
              <w:t> </w:t>
            </w:r>
          </w:p>
        </w:tc>
        <w:tc>
          <w:tcPr>
            <w:tcW w:w="1560" w:type="dxa"/>
            <w:tcBorders>
              <w:top w:val="single" w:sz="4" w:space="0" w:color="auto"/>
              <w:left w:val="single" w:sz="4" w:space="0" w:color="auto"/>
              <w:bottom w:val="nil"/>
              <w:right w:val="single" w:sz="4" w:space="0" w:color="auto"/>
            </w:tcBorders>
            <w:shd w:val="clear" w:color="000000" w:fill="C3AFCC"/>
            <w:vAlign w:val="center"/>
            <w:hideMark/>
          </w:tcPr>
          <w:p w14:paraId="28521A5C" w14:textId="77777777" w:rsidR="005E39DB" w:rsidRPr="005E39DB" w:rsidRDefault="005E39DB" w:rsidP="005E39DB">
            <w:pPr>
              <w:spacing w:after="0" w:line="240" w:lineRule="auto"/>
              <w:jc w:val="center"/>
              <w:rPr>
                <w:rFonts w:cs="Arial"/>
                <w:b/>
                <w:bCs/>
                <w:color w:val="000000"/>
                <w:szCs w:val="22"/>
                <w:lang w:eastAsia="en-AU"/>
              </w:rPr>
            </w:pPr>
            <w:r w:rsidRPr="005E39DB">
              <w:rPr>
                <w:rFonts w:cs="Arial"/>
                <w:b/>
                <w:bCs/>
                <w:color w:val="000000"/>
                <w:szCs w:val="22"/>
                <w:lang w:eastAsia="en-AU"/>
              </w:rPr>
              <w:t>Q3</w:t>
            </w:r>
            <w:r w:rsidRPr="005E39DB">
              <w:rPr>
                <w:rFonts w:cs="Arial"/>
                <w:color w:val="000000"/>
                <w:szCs w:val="22"/>
                <w:lang w:eastAsia="en-AU"/>
              </w:rPr>
              <w:t> </w:t>
            </w:r>
          </w:p>
        </w:tc>
        <w:tc>
          <w:tcPr>
            <w:tcW w:w="1487" w:type="dxa"/>
            <w:tcBorders>
              <w:top w:val="single" w:sz="4" w:space="0" w:color="auto"/>
              <w:left w:val="single" w:sz="4" w:space="0" w:color="auto"/>
              <w:bottom w:val="nil"/>
              <w:right w:val="single" w:sz="4" w:space="0" w:color="auto"/>
            </w:tcBorders>
            <w:shd w:val="clear" w:color="000000" w:fill="C3AFCC"/>
            <w:vAlign w:val="center"/>
            <w:hideMark/>
          </w:tcPr>
          <w:p w14:paraId="70CA15B5" w14:textId="77777777" w:rsidR="005E39DB" w:rsidRPr="005E39DB" w:rsidRDefault="005E39DB" w:rsidP="005E39DB">
            <w:pPr>
              <w:spacing w:after="0" w:line="240" w:lineRule="auto"/>
              <w:jc w:val="center"/>
              <w:rPr>
                <w:rFonts w:cs="Arial"/>
                <w:b/>
                <w:bCs/>
                <w:color w:val="000000"/>
                <w:szCs w:val="22"/>
                <w:lang w:eastAsia="en-AU"/>
              </w:rPr>
            </w:pPr>
            <w:r w:rsidRPr="005E39DB">
              <w:rPr>
                <w:rFonts w:cs="Arial"/>
                <w:b/>
                <w:bCs/>
                <w:color w:val="000000"/>
                <w:szCs w:val="22"/>
                <w:lang w:eastAsia="en-AU"/>
              </w:rPr>
              <w:t>Q4 2021-22</w:t>
            </w:r>
          </w:p>
        </w:tc>
      </w:tr>
      <w:tr w:rsidR="005E39DB" w:rsidRPr="005E39DB" w14:paraId="33210CB7" w14:textId="77777777" w:rsidTr="006015EE">
        <w:trPr>
          <w:trHeight w:val="133"/>
        </w:trPr>
        <w:tc>
          <w:tcPr>
            <w:tcW w:w="5382" w:type="dxa"/>
            <w:vMerge/>
            <w:tcBorders>
              <w:top w:val="single" w:sz="4" w:space="0" w:color="auto"/>
              <w:left w:val="single" w:sz="4" w:space="0" w:color="auto"/>
              <w:bottom w:val="nil"/>
              <w:right w:val="single" w:sz="4" w:space="0" w:color="auto"/>
            </w:tcBorders>
            <w:vAlign w:val="center"/>
            <w:hideMark/>
          </w:tcPr>
          <w:p w14:paraId="57D530D2" w14:textId="77777777" w:rsidR="005E39DB" w:rsidRPr="005E39DB" w:rsidRDefault="005E39DB" w:rsidP="005E39DB">
            <w:pPr>
              <w:spacing w:after="0" w:line="240" w:lineRule="auto"/>
              <w:rPr>
                <w:rFonts w:cs="Arial"/>
                <w:b/>
                <w:bCs/>
                <w:color w:val="000000"/>
                <w:szCs w:val="22"/>
                <w:lang w:eastAsia="en-AU"/>
              </w:rPr>
            </w:pPr>
          </w:p>
        </w:tc>
        <w:tc>
          <w:tcPr>
            <w:tcW w:w="1417" w:type="dxa"/>
            <w:tcBorders>
              <w:top w:val="nil"/>
              <w:left w:val="single" w:sz="4" w:space="0" w:color="auto"/>
              <w:bottom w:val="nil"/>
              <w:right w:val="single" w:sz="4" w:space="0" w:color="auto"/>
            </w:tcBorders>
            <w:shd w:val="clear" w:color="000000" w:fill="C3AFCC"/>
            <w:vAlign w:val="center"/>
            <w:hideMark/>
          </w:tcPr>
          <w:p w14:paraId="28BEDF21" w14:textId="77777777" w:rsidR="005E39DB" w:rsidRPr="005E39DB" w:rsidRDefault="005E39DB" w:rsidP="005E39DB">
            <w:pPr>
              <w:spacing w:after="0" w:line="240" w:lineRule="auto"/>
              <w:jc w:val="center"/>
              <w:rPr>
                <w:rFonts w:cs="Arial"/>
                <w:b/>
                <w:bCs/>
                <w:color w:val="000000"/>
                <w:szCs w:val="22"/>
                <w:lang w:eastAsia="en-AU"/>
              </w:rPr>
            </w:pPr>
            <w:r w:rsidRPr="005E39DB">
              <w:rPr>
                <w:rFonts w:cs="Arial"/>
                <w:b/>
                <w:bCs/>
                <w:color w:val="000000"/>
                <w:szCs w:val="22"/>
                <w:lang w:eastAsia="en-AU"/>
              </w:rPr>
              <w:t>2021-22</w:t>
            </w:r>
            <w:r w:rsidRPr="005E39DB">
              <w:rPr>
                <w:rFonts w:cs="Arial"/>
                <w:color w:val="000000"/>
                <w:szCs w:val="22"/>
                <w:lang w:eastAsia="en-AU"/>
              </w:rPr>
              <w:t> </w:t>
            </w:r>
          </w:p>
        </w:tc>
        <w:tc>
          <w:tcPr>
            <w:tcW w:w="1560" w:type="dxa"/>
            <w:tcBorders>
              <w:top w:val="nil"/>
              <w:left w:val="single" w:sz="4" w:space="0" w:color="auto"/>
              <w:bottom w:val="nil"/>
              <w:right w:val="single" w:sz="4" w:space="0" w:color="auto"/>
            </w:tcBorders>
            <w:shd w:val="clear" w:color="000000" w:fill="C3AFCC"/>
            <w:vAlign w:val="center"/>
            <w:hideMark/>
          </w:tcPr>
          <w:p w14:paraId="3D82AB9D" w14:textId="77777777" w:rsidR="005E39DB" w:rsidRPr="005E39DB" w:rsidRDefault="005E39DB" w:rsidP="005E39DB">
            <w:pPr>
              <w:spacing w:after="0" w:line="240" w:lineRule="auto"/>
              <w:jc w:val="center"/>
              <w:rPr>
                <w:rFonts w:cs="Arial"/>
                <w:b/>
                <w:bCs/>
                <w:color w:val="000000"/>
                <w:szCs w:val="22"/>
                <w:lang w:eastAsia="en-AU"/>
              </w:rPr>
            </w:pPr>
            <w:r w:rsidRPr="005E39DB">
              <w:rPr>
                <w:rFonts w:cs="Arial"/>
                <w:b/>
                <w:bCs/>
                <w:color w:val="000000"/>
                <w:szCs w:val="22"/>
                <w:lang w:eastAsia="en-AU"/>
              </w:rPr>
              <w:t>2021-22</w:t>
            </w:r>
            <w:r w:rsidRPr="005E39DB">
              <w:rPr>
                <w:rFonts w:cs="Arial"/>
                <w:color w:val="000000"/>
                <w:szCs w:val="22"/>
                <w:lang w:eastAsia="en-AU"/>
              </w:rPr>
              <w:t> </w:t>
            </w:r>
          </w:p>
        </w:tc>
        <w:tc>
          <w:tcPr>
            <w:tcW w:w="1487" w:type="dxa"/>
            <w:tcBorders>
              <w:top w:val="nil"/>
              <w:left w:val="single" w:sz="4" w:space="0" w:color="auto"/>
              <w:bottom w:val="nil"/>
              <w:right w:val="single" w:sz="4" w:space="0" w:color="auto"/>
            </w:tcBorders>
            <w:shd w:val="clear" w:color="000000" w:fill="C3AFCC"/>
            <w:vAlign w:val="center"/>
            <w:hideMark/>
          </w:tcPr>
          <w:p w14:paraId="58FE6978" w14:textId="77777777" w:rsidR="005E39DB" w:rsidRPr="005E39DB" w:rsidRDefault="005E39DB" w:rsidP="005E39DB">
            <w:pPr>
              <w:spacing w:after="0" w:line="240" w:lineRule="auto"/>
              <w:jc w:val="center"/>
              <w:rPr>
                <w:rFonts w:cs="Arial"/>
                <w:b/>
                <w:bCs/>
                <w:color w:val="000000"/>
                <w:szCs w:val="22"/>
                <w:lang w:eastAsia="en-AU"/>
              </w:rPr>
            </w:pPr>
            <w:r w:rsidRPr="005E39DB">
              <w:rPr>
                <w:rFonts w:cs="Arial"/>
                <w:b/>
                <w:bCs/>
                <w:color w:val="000000"/>
                <w:szCs w:val="22"/>
                <w:lang w:eastAsia="en-AU"/>
              </w:rPr>
              <w:t>Projection</w:t>
            </w:r>
          </w:p>
        </w:tc>
      </w:tr>
      <w:tr w:rsidR="005E39DB" w:rsidRPr="005E39DB" w14:paraId="52B716F0" w14:textId="77777777" w:rsidTr="006015EE">
        <w:trPr>
          <w:trHeight w:val="39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1A672" w14:textId="42EF546D" w:rsidR="005E39DB" w:rsidRPr="005E39DB" w:rsidRDefault="005E39DB" w:rsidP="005E39DB">
            <w:pPr>
              <w:spacing w:after="0" w:line="240" w:lineRule="auto"/>
              <w:rPr>
                <w:rFonts w:cs="Arial"/>
                <w:color w:val="000000"/>
                <w:szCs w:val="22"/>
                <w:lang w:eastAsia="en-AU"/>
              </w:rPr>
            </w:pPr>
            <w:r w:rsidRPr="005E39DB">
              <w:rPr>
                <w:rFonts w:cs="Arial"/>
                <w:color w:val="000000"/>
                <w:szCs w:val="22"/>
                <w:lang w:eastAsia="en-AU"/>
              </w:rPr>
              <w:t>Commonwealth – grants</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8B0E58" w14:textId="77777777" w:rsidR="005E39DB" w:rsidRPr="005E39DB" w:rsidRDefault="005E39DB" w:rsidP="005E39DB">
            <w:pPr>
              <w:spacing w:after="0" w:line="240" w:lineRule="auto"/>
              <w:jc w:val="right"/>
              <w:rPr>
                <w:rFonts w:cs="Arial"/>
                <w:szCs w:val="22"/>
                <w:lang w:eastAsia="en-AU"/>
              </w:rPr>
            </w:pPr>
            <w:r w:rsidRPr="005E39DB">
              <w:rPr>
                <w:rFonts w:cs="Arial"/>
                <w:szCs w:val="22"/>
                <w:lang w:eastAsia="en-AU"/>
              </w:rPr>
              <w:t>18,535</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B2493E" w14:textId="77777777" w:rsidR="005E39DB" w:rsidRPr="005E39DB" w:rsidRDefault="005E39DB" w:rsidP="005E39DB">
            <w:pPr>
              <w:spacing w:after="0" w:line="240" w:lineRule="auto"/>
              <w:jc w:val="right"/>
              <w:rPr>
                <w:rFonts w:cs="Arial"/>
                <w:szCs w:val="22"/>
                <w:lang w:eastAsia="en-AU"/>
              </w:rPr>
            </w:pPr>
            <w:r w:rsidRPr="005E39DB">
              <w:rPr>
                <w:rFonts w:cs="Arial"/>
                <w:szCs w:val="22"/>
                <w:lang w:eastAsia="en-AU"/>
              </w:rPr>
              <w:t>21,244</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0B25A" w14:textId="77777777" w:rsidR="005E39DB" w:rsidRPr="005E39DB" w:rsidRDefault="005E39DB" w:rsidP="005E39DB">
            <w:pPr>
              <w:spacing w:after="0" w:line="240" w:lineRule="auto"/>
              <w:jc w:val="right"/>
              <w:rPr>
                <w:rFonts w:cs="Arial"/>
                <w:szCs w:val="22"/>
                <w:lang w:eastAsia="en-AU"/>
              </w:rPr>
            </w:pPr>
            <w:r w:rsidRPr="005E39DB">
              <w:rPr>
                <w:rFonts w:cs="Arial"/>
                <w:szCs w:val="22"/>
                <w:lang w:eastAsia="en-AU"/>
              </w:rPr>
              <w:t>22,764</w:t>
            </w:r>
          </w:p>
        </w:tc>
      </w:tr>
      <w:tr w:rsidR="005E39DB" w:rsidRPr="005E39DB" w14:paraId="0ABA34DE" w14:textId="77777777" w:rsidTr="006015EE">
        <w:trPr>
          <w:trHeight w:val="397"/>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4F7D2C6" w14:textId="77777777" w:rsidR="005E39DB" w:rsidRPr="005E39DB" w:rsidRDefault="005E39DB" w:rsidP="005E39DB">
            <w:pPr>
              <w:spacing w:after="0" w:line="240" w:lineRule="auto"/>
              <w:rPr>
                <w:rFonts w:cs="Arial"/>
                <w:color w:val="000000"/>
                <w:szCs w:val="22"/>
                <w:lang w:eastAsia="en-AU"/>
              </w:rPr>
            </w:pPr>
            <w:r w:rsidRPr="005E39DB">
              <w:rPr>
                <w:rFonts w:cs="Arial"/>
                <w:color w:val="000000"/>
                <w:szCs w:val="22"/>
                <w:lang w:eastAsia="en-AU"/>
              </w:rPr>
              <w:t>ECCCF income </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25DCAC0" w14:textId="77777777" w:rsidR="005E39DB" w:rsidRPr="005E39DB" w:rsidRDefault="005E39DB" w:rsidP="005E39DB">
            <w:pPr>
              <w:spacing w:after="0" w:line="240" w:lineRule="auto"/>
              <w:jc w:val="right"/>
              <w:rPr>
                <w:rFonts w:ascii="Calibri" w:hAnsi="Calibri" w:cs="Calibri"/>
                <w:color w:val="000000"/>
                <w:szCs w:val="22"/>
                <w:lang w:eastAsia="en-AU"/>
              </w:rPr>
            </w:pPr>
            <w:r w:rsidRPr="005E39DB">
              <w:rPr>
                <w:rFonts w:ascii="Calibri" w:hAnsi="Calibri" w:cs="Calibri"/>
                <w:color w:val="000000"/>
                <w:szCs w:val="22"/>
                <w:lang w:eastAsia="en-AU"/>
              </w:rPr>
              <w:t>0</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14:paraId="2337F2E8" w14:textId="77777777" w:rsidR="005E39DB" w:rsidRPr="005E39DB" w:rsidRDefault="005E39DB" w:rsidP="005E39DB">
            <w:pPr>
              <w:spacing w:after="0" w:line="240" w:lineRule="auto"/>
              <w:jc w:val="right"/>
              <w:rPr>
                <w:rFonts w:ascii="Calibri" w:hAnsi="Calibri" w:cs="Calibri"/>
                <w:color w:val="000000"/>
                <w:szCs w:val="22"/>
                <w:lang w:eastAsia="en-AU"/>
              </w:rPr>
            </w:pPr>
            <w:r w:rsidRPr="005E39DB">
              <w:rPr>
                <w:rFonts w:ascii="Calibri" w:hAnsi="Calibri" w:cs="Calibri"/>
                <w:color w:val="000000"/>
                <w:szCs w:val="22"/>
                <w:lang w:eastAsia="en-AU"/>
              </w:rPr>
              <w:t>0</w:t>
            </w:r>
          </w:p>
        </w:tc>
        <w:tc>
          <w:tcPr>
            <w:tcW w:w="1487" w:type="dxa"/>
            <w:tcBorders>
              <w:top w:val="nil"/>
              <w:left w:val="single" w:sz="4" w:space="0" w:color="auto"/>
              <w:bottom w:val="single" w:sz="4" w:space="0" w:color="auto"/>
              <w:right w:val="single" w:sz="4" w:space="0" w:color="auto"/>
            </w:tcBorders>
            <w:shd w:val="clear" w:color="auto" w:fill="auto"/>
            <w:noWrap/>
            <w:vAlign w:val="bottom"/>
            <w:hideMark/>
          </w:tcPr>
          <w:p w14:paraId="346E68E0" w14:textId="77777777" w:rsidR="005E39DB" w:rsidRPr="005E39DB" w:rsidRDefault="005E39DB" w:rsidP="005E39DB">
            <w:pPr>
              <w:spacing w:after="0" w:line="240" w:lineRule="auto"/>
              <w:jc w:val="right"/>
              <w:rPr>
                <w:rFonts w:ascii="Calibri" w:hAnsi="Calibri" w:cs="Calibri"/>
                <w:color w:val="000000"/>
                <w:szCs w:val="22"/>
                <w:lang w:eastAsia="en-AU"/>
              </w:rPr>
            </w:pPr>
            <w:r w:rsidRPr="005E39DB">
              <w:rPr>
                <w:rFonts w:ascii="Calibri" w:hAnsi="Calibri" w:cs="Calibri"/>
                <w:color w:val="000000"/>
                <w:szCs w:val="22"/>
                <w:lang w:eastAsia="en-AU"/>
              </w:rPr>
              <w:t>0</w:t>
            </w:r>
          </w:p>
        </w:tc>
      </w:tr>
      <w:tr w:rsidR="005E39DB" w:rsidRPr="005E39DB" w14:paraId="088B429C" w14:textId="77777777" w:rsidTr="006015EE">
        <w:trPr>
          <w:trHeight w:val="397"/>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248AD3CF" w14:textId="77777777" w:rsidR="005E39DB" w:rsidRPr="005E39DB" w:rsidRDefault="005E39DB" w:rsidP="005E39DB">
            <w:pPr>
              <w:spacing w:after="0" w:line="240" w:lineRule="auto"/>
              <w:rPr>
                <w:rFonts w:cs="Arial"/>
                <w:color w:val="000000"/>
                <w:szCs w:val="22"/>
                <w:lang w:eastAsia="en-AU"/>
              </w:rPr>
            </w:pPr>
            <w:r w:rsidRPr="005E39DB">
              <w:rPr>
                <w:rFonts w:cs="Arial"/>
                <w:color w:val="000000"/>
                <w:szCs w:val="22"/>
                <w:lang w:eastAsia="en-AU"/>
              </w:rPr>
              <w:t>State – grants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7CEC77A6" w14:textId="77777777" w:rsidR="005E39DB" w:rsidRPr="005E39DB" w:rsidRDefault="005E39DB" w:rsidP="005E39DB">
            <w:pPr>
              <w:spacing w:after="0" w:line="240" w:lineRule="auto"/>
              <w:jc w:val="right"/>
              <w:rPr>
                <w:rFonts w:cs="Arial"/>
                <w:szCs w:val="22"/>
                <w:lang w:eastAsia="en-AU"/>
              </w:rPr>
            </w:pPr>
            <w:r w:rsidRPr="005E39DB">
              <w:rPr>
                <w:rFonts w:cs="Arial"/>
                <w:szCs w:val="22"/>
                <w:lang w:eastAsia="en-AU"/>
              </w:rPr>
              <w:t>43,348</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6B71823" w14:textId="77777777" w:rsidR="005E39DB" w:rsidRPr="005E39DB" w:rsidRDefault="005E39DB" w:rsidP="005E39DB">
            <w:pPr>
              <w:spacing w:after="0" w:line="240" w:lineRule="auto"/>
              <w:jc w:val="right"/>
              <w:rPr>
                <w:rFonts w:cs="Arial"/>
                <w:szCs w:val="22"/>
                <w:lang w:eastAsia="en-AU"/>
              </w:rPr>
            </w:pPr>
            <w:r w:rsidRPr="005E39DB">
              <w:rPr>
                <w:rFonts w:cs="Arial"/>
                <w:szCs w:val="22"/>
                <w:lang w:eastAsia="en-AU"/>
              </w:rPr>
              <w:t>45,200</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14:paraId="0925C1DF" w14:textId="77777777" w:rsidR="005E39DB" w:rsidRPr="005E39DB" w:rsidRDefault="005E39DB" w:rsidP="005E39DB">
            <w:pPr>
              <w:spacing w:after="0" w:line="240" w:lineRule="auto"/>
              <w:jc w:val="right"/>
              <w:rPr>
                <w:rFonts w:cs="Arial"/>
                <w:szCs w:val="22"/>
                <w:lang w:eastAsia="en-AU"/>
              </w:rPr>
            </w:pPr>
            <w:r w:rsidRPr="005E39DB">
              <w:rPr>
                <w:rFonts w:cs="Arial"/>
                <w:szCs w:val="22"/>
                <w:lang w:eastAsia="en-AU"/>
              </w:rPr>
              <w:t>43,030</w:t>
            </w:r>
          </w:p>
        </w:tc>
      </w:tr>
      <w:tr w:rsidR="005E39DB" w:rsidRPr="005E39DB" w14:paraId="0FDAA7D8" w14:textId="77777777" w:rsidTr="006015EE">
        <w:trPr>
          <w:trHeight w:val="397"/>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61870FCB" w14:textId="77777777" w:rsidR="005E39DB" w:rsidRPr="005E39DB" w:rsidRDefault="005E39DB" w:rsidP="005E39DB">
            <w:pPr>
              <w:spacing w:after="0" w:line="240" w:lineRule="auto"/>
              <w:rPr>
                <w:rFonts w:cs="Arial"/>
                <w:color w:val="000000"/>
                <w:szCs w:val="22"/>
                <w:lang w:eastAsia="en-AU"/>
              </w:rPr>
            </w:pPr>
            <w:r w:rsidRPr="005E39DB">
              <w:rPr>
                <w:rFonts w:cs="Arial"/>
                <w:color w:val="000000"/>
                <w:szCs w:val="22"/>
                <w:lang w:eastAsia="en-AU"/>
              </w:rPr>
              <w:t>Public Purpose Fund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575D6A2" w14:textId="77777777" w:rsidR="005E39DB" w:rsidRPr="005E39DB" w:rsidRDefault="005E39DB" w:rsidP="005E39DB">
            <w:pPr>
              <w:spacing w:after="0" w:line="240" w:lineRule="auto"/>
              <w:jc w:val="right"/>
              <w:rPr>
                <w:rFonts w:cs="Arial"/>
                <w:szCs w:val="22"/>
                <w:lang w:eastAsia="en-AU"/>
              </w:rPr>
            </w:pPr>
            <w:r w:rsidRPr="005E39DB">
              <w:rPr>
                <w:rFonts w:cs="Arial"/>
                <w:szCs w:val="22"/>
                <w:lang w:eastAsia="en-AU"/>
              </w:rPr>
              <w:t>6,139</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64B7D04D" w14:textId="77777777" w:rsidR="005E39DB" w:rsidRPr="005E39DB" w:rsidRDefault="005E39DB" w:rsidP="005E39DB">
            <w:pPr>
              <w:spacing w:after="0" w:line="240" w:lineRule="auto"/>
              <w:jc w:val="right"/>
              <w:rPr>
                <w:rFonts w:cs="Arial"/>
                <w:szCs w:val="22"/>
                <w:lang w:eastAsia="en-AU"/>
              </w:rPr>
            </w:pPr>
            <w:r w:rsidRPr="005E39DB">
              <w:rPr>
                <w:rFonts w:cs="Arial"/>
                <w:szCs w:val="22"/>
                <w:lang w:eastAsia="en-AU"/>
              </w:rPr>
              <w:t>4,264</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14:paraId="7ABF16CD" w14:textId="77777777" w:rsidR="005E39DB" w:rsidRPr="005E39DB" w:rsidRDefault="005E39DB" w:rsidP="005E39DB">
            <w:pPr>
              <w:spacing w:after="0" w:line="240" w:lineRule="auto"/>
              <w:jc w:val="right"/>
              <w:rPr>
                <w:rFonts w:cs="Arial"/>
                <w:szCs w:val="22"/>
                <w:lang w:eastAsia="en-AU"/>
              </w:rPr>
            </w:pPr>
            <w:r w:rsidRPr="005E39DB">
              <w:rPr>
                <w:rFonts w:cs="Arial"/>
                <w:szCs w:val="22"/>
                <w:lang w:eastAsia="en-AU"/>
              </w:rPr>
              <w:t>6,014</w:t>
            </w:r>
          </w:p>
        </w:tc>
      </w:tr>
      <w:tr w:rsidR="005E39DB" w:rsidRPr="005E39DB" w14:paraId="471D370F" w14:textId="77777777" w:rsidTr="006015EE">
        <w:trPr>
          <w:trHeight w:val="397"/>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5265B633" w14:textId="77777777" w:rsidR="005E39DB" w:rsidRPr="005E39DB" w:rsidRDefault="005E39DB" w:rsidP="005E39DB">
            <w:pPr>
              <w:spacing w:after="0" w:line="240" w:lineRule="auto"/>
              <w:rPr>
                <w:rFonts w:cs="Arial"/>
                <w:color w:val="000000"/>
                <w:szCs w:val="22"/>
                <w:lang w:eastAsia="en-AU"/>
              </w:rPr>
            </w:pPr>
            <w:r w:rsidRPr="005E39DB">
              <w:rPr>
                <w:rFonts w:cs="Arial"/>
                <w:color w:val="000000"/>
                <w:szCs w:val="22"/>
                <w:lang w:eastAsia="en-AU"/>
              </w:rPr>
              <w:t>Case revenue</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230BAD3A" w14:textId="77777777" w:rsidR="005E39DB" w:rsidRPr="005E39DB" w:rsidRDefault="005E39DB" w:rsidP="005E39DB">
            <w:pPr>
              <w:spacing w:after="0" w:line="240" w:lineRule="auto"/>
              <w:jc w:val="right"/>
              <w:rPr>
                <w:rFonts w:cs="Arial"/>
                <w:szCs w:val="22"/>
                <w:lang w:eastAsia="en-AU"/>
              </w:rPr>
            </w:pPr>
            <w:r w:rsidRPr="005E39DB">
              <w:rPr>
                <w:rFonts w:cs="Arial"/>
                <w:szCs w:val="22"/>
                <w:lang w:eastAsia="en-AU"/>
              </w:rPr>
              <w:t>1,108</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120156BA" w14:textId="77777777" w:rsidR="005E39DB" w:rsidRPr="005E39DB" w:rsidRDefault="005E39DB" w:rsidP="005E39DB">
            <w:pPr>
              <w:spacing w:after="0" w:line="240" w:lineRule="auto"/>
              <w:jc w:val="right"/>
              <w:rPr>
                <w:rFonts w:cs="Arial"/>
                <w:szCs w:val="22"/>
                <w:lang w:eastAsia="en-AU"/>
              </w:rPr>
            </w:pPr>
            <w:r w:rsidRPr="005E39DB">
              <w:rPr>
                <w:rFonts w:cs="Arial"/>
                <w:szCs w:val="22"/>
                <w:lang w:eastAsia="en-AU"/>
              </w:rPr>
              <w:t>1,890</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14:paraId="5868CA14" w14:textId="77777777" w:rsidR="005E39DB" w:rsidRPr="005E39DB" w:rsidRDefault="005E39DB" w:rsidP="005E39DB">
            <w:pPr>
              <w:spacing w:after="0" w:line="240" w:lineRule="auto"/>
              <w:jc w:val="right"/>
              <w:rPr>
                <w:rFonts w:cs="Arial"/>
                <w:szCs w:val="22"/>
                <w:lang w:eastAsia="en-AU"/>
              </w:rPr>
            </w:pPr>
            <w:r w:rsidRPr="005E39DB">
              <w:rPr>
                <w:rFonts w:cs="Arial"/>
                <w:szCs w:val="22"/>
                <w:lang w:eastAsia="en-AU"/>
              </w:rPr>
              <w:t>1,173</w:t>
            </w:r>
          </w:p>
        </w:tc>
      </w:tr>
      <w:tr w:rsidR="005E39DB" w:rsidRPr="005E39DB" w14:paraId="6C9B640D" w14:textId="77777777" w:rsidTr="006015EE">
        <w:trPr>
          <w:trHeight w:val="397"/>
        </w:trPr>
        <w:tc>
          <w:tcPr>
            <w:tcW w:w="5382" w:type="dxa"/>
            <w:tcBorders>
              <w:top w:val="nil"/>
              <w:left w:val="single" w:sz="4" w:space="0" w:color="auto"/>
              <w:bottom w:val="single" w:sz="4" w:space="0" w:color="auto"/>
              <w:right w:val="single" w:sz="4" w:space="0" w:color="auto"/>
            </w:tcBorders>
            <w:shd w:val="clear" w:color="auto" w:fill="auto"/>
            <w:vAlign w:val="center"/>
            <w:hideMark/>
          </w:tcPr>
          <w:p w14:paraId="46D61377" w14:textId="77777777" w:rsidR="005E39DB" w:rsidRPr="005E39DB" w:rsidRDefault="005E39DB" w:rsidP="005E39DB">
            <w:pPr>
              <w:spacing w:after="0" w:line="240" w:lineRule="auto"/>
              <w:rPr>
                <w:rFonts w:cs="Arial"/>
                <w:color w:val="000000"/>
                <w:szCs w:val="22"/>
                <w:lang w:eastAsia="en-AU"/>
              </w:rPr>
            </w:pPr>
            <w:r w:rsidRPr="005E39DB">
              <w:rPr>
                <w:rFonts w:cs="Arial"/>
                <w:color w:val="000000"/>
                <w:szCs w:val="22"/>
                <w:lang w:eastAsia="en-AU"/>
              </w:rPr>
              <w:t>Other income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14:paraId="1DB58DFB" w14:textId="77777777" w:rsidR="005E39DB" w:rsidRPr="005E39DB" w:rsidRDefault="005E39DB" w:rsidP="005E39DB">
            <w:pPr>
              <w:spacing w:after="0" w:line="240" w:lineRule="auto"/>
              <w:jc w:val="right"/>
              <w:rPr>
                <w:rFonts w:cs="Arial"/>
                <w:szCs w:val="22"/>
                <w:lang w:eastAsia="en-AU"/>
              </w:rPr>
            </w:pPr>
            <w:r w:rsidRPr="005E39DB">
              <w:rPr>
                <w:rFonts w:cs="Arial"/>
                <w:szCs w:val="22"/>
                <w:lang w:eastAsia="en-AU"/>
              </w:rPr>
              <w:t>76</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14:paraId="5914902D" w14:textId="77777777" w:rsidR="005E39DB" w:rsidRPr="005E39DB" w:rsidRDefault="005E39DB" w:rsidP="005E39DB">
            <w:pPr>
              <w:spacing w:after="0" w:line="240" w:lineRule="auto"/>
              <w:jc w:val="right"/>
              <w:rPr>
                <w:rFonts w:cs="Arial"/>
                <w:szCs w:val="22"/>
                <w:lang w:eastAsia="en-AU"/>
              </w:rPr>
            </w:pPr>
            <w:r w:rsidRPr="005E39DB">
              <w:rPr>
                <w:rFonts w:cs="Arial"/>
                <w:szCs w:val="22"/>
                <w:lang w:eastAsia="en-AU"/>
              </w:rPr>
              <w:t>99</w:t>
            </w:r>
          </w:p>
        </w:tc>
        <w:tc>
          <w:tcPr>
            <w:tcW w:w="1487" w:type="dxa"/>
            <w:tcBorders>
              <w:top w:val="nil"/>
              <w:left w:val="single" w:sz="4" w:space="0" w:color="auto"/>
              <w:bottom w:val="single" w:sz="4" w:space="0" w:color="auto"/>
              <w:right w:val="single" w:sz="4" w:space="0" w:color="auto"/>
            </w:tcBorders>
            <w:shd w:val="clear" w:color="auto" w:fill="auto"/>
            <w:vAlign w:val="center"/>
            <w:hideMark/>
          </w:tcPr>
          <w:p w14:paraId="04EBFED2" w14:textId="77777777" w:rsidR="005E39DB" w:rsidRPr="005E39DB" w:rsidRDefault="005E39DB" w:rsidP="005E39DB">
            <w:pPr>
              <w:spacing w:after="0" w:line="240" w:lineRule="auto"/>
              <w:jc w:val="right"/>
              <w:rPr>
                <w:rFonts w:cs="Arial"/>
                <w:szCs w:val="22"/>
                <w:lang w:eastAsia="en-AU"/>
              </w:rPr>
            </w:pPr>
            <w:r w:rsidRPr="005E39DB">
              <w:rPr>
                <w:rFonts w:cs="Arial"/>
                <w:szCs w:val="22"/>
                <w:lang w:eastAsia="en-AU"/>
              </w:rPr>
              <w:t>54</w:t>
            </w:r>
          </w:p>
        </w:tc>
      </w:tr>
      <w:tr w:rsidR="005E39DB" w:rsidRPr="005E39DB" w14:paraId="6A3AB3DB" w14:textId="77777777" w:rsidTr="006015EE">
        <w:trPr>
          <w:trHeight w:val="397"/>
        </w:trPr>
        <w:tc>
          <w:tcPr>
            <w:tcW w:w="5382" w:type="dxa"/>
            <w:tcBorders>
              <w:top w:val="nil"/>
              <w:left w:val="single" w:sz="4" w:space="0" w:color="auto"/>
              <w:bottom w:val="single" w:sz="4" w:space="0" w:color="auto"/>
              <w:right w:val="single" w:sz="4" w:space="0" w:color="auto"/>
            </w:tcBorders>
            <w:shd w:val="clear" w:color="000000" w:fill="D9D9D9"/>
            <w:vAlign w:val="center"/>
            <w:hideMark/>
          </w:tcPr>
          <w:p w14:paraId="205A358B" w14:textId="77777777" w:rsidR="005E39DB" w:rsidRPr="005E39DB" w:rsidRDefault="005E39DB" w:rsidP="005E39DB">
            <w:pPr>
              <w:spacing w:after="0" w:line="240" w:lineRule="auto"/>
              <w:rPr>
                <w:rFonts w:cs="Arial"/>
                <w:b/>
                <w:bCs/>
                <w:color w:val="000000"/>
                <w:szCs w:val="22"/>
                <w:lang w:eastAsia="en-AU"/>
              </w:rPr>
            </w:pPr>
            <w:r w:rsidRPr="005E39DB">
              <w:rPr>
                <w:rFonts w:cs="Arial"/>
                <w:b/>
                <w:bCs/>
                <w:color w:val="000000"/>
                <w:szCs w:val="22"/>
                <w:lang w:eastAsia="en-AU"/>
              </w:rPr>
              <w:t>Total revenue</w:t>
            </w:r>
            <w:r w:rsidRPr="005E39DB">
              <w:rPr>
                <w:rFonts w:cs="Arial"/>
                <w:color w:val="000000"/>
                <w:szCs w:val="22"/>
                <w:lang w:eastAsia="en-AU"/>
              </w:rPr>
              <w:t> </w:t>
            </w:r>
          </w:p>
        </w:tc>
        <w:tc>
          <w:tcPr>
            <w:tcW w:w="1417" w:type="dxa"/>
            <w:tcBorders>
              <w:top w:val="nil"/>
              <w:left w:val="single" w:sz="4" w:space="0" w:color="auto"/>
              <w:bottom w:val="single" w:sz="4" w:space="0" w:color="auto"/>
              <w:right w:val="single" w:sz="4" w:space="0" w:color="auto"/>
            </w:tcBorders>
            <w:shd w:val="clear" w:color="000000" w:fill="D9D9D9"/>
            <w:vAlign w:val="center"/>
            <w:hideMark/>
          </w:tcPr>
          <w:p w14:paraId="3FC4E1D9" w14:textId="77777777" w:rsidR="005E39DB" w:rsidRPr="005E39DB" w:rsidRDefault="005E39DB" w:rsidP="005E39DB">
            <w:pPr>
              <w:spacing w:after="0" w:line="240" w:lineRule="auto"/>
              <w:jc w:val="right"/>
              <w:rPr>
                <w:rFonts w:cs="Arial"/>
                <w:b/>
                <w:bCs/>
                <w:szCs w:val="22"/>
                <w:lang w:eastAsia="en-AU"/>
              </w:rPr>
            </w:pPr>
            <w:r w:rsidRPr="005E39DB">
              <w:rPr>
                <w:rFonts w:cs="Arial"/>
                <w:b/>
                <w:bCs/>
                <w:szCs w:val="22"/>
                <w:lang w:eastAsia="en-AU"/>
              </w:rPr>
              <w:t>69,206</w:t>
            </w:r>
          </w:p>
        </w:tc>
        <w:tc>
          <w:tcPr>
            <w:tcW w:w="1560" w:type="dxa"/>
            <w:tcBorders>
              <w:top w:val="nil"/>
              <w:left w:val="single" w:sz="4" w:space="0" w:color="auto"/>
              <w:bottom w:val="single" w:sz="4" w:space="0" w:color="auto"/>
              <w:right w:val="single" w:sz="4" w:space="0" w:color="auto"/>
            </w:tcBorders>
            <w:shd w:val="clear" w:color="000000" w:fill="D9D9D9"/>
            <w:vAlign w:val="center"/>
            <w:hideMark/>
          </w:tcPr>
          <w:p w14:paraId="7F191F30" w14:textId="77777777" w:rsidR="005E39DB" w:rsidRPr="005E39DB" w:rsidRDefault="005E39DB" w:rsidP="005E39DB">
            <w:pPr>
              <w:spacing w:after="0" w:line="240" w:lineRule="auto"/>
              <w:jc w:val="right"/>
              <w:rPr>
                <w:rFonts w:cs="Arial"/>
                <w:b/>
                <w:bCs/>
                <w:szCs w:val="22"/>
                <w:lang w:eastAsia="en-AU"/>
              </w:rPr>
            </w:pPr>
            <w:r w:rsidRPr="005E39DB">
              <w:rPr>
                <w:rFonts w:cs="Arial"/>
                <w:b/>
                <w:bCs/>
                <w:szCs w:val="22"/>
                <w:lang w:eastAsia="en-AU"/>
              </w:rPr>
              <w:t>72,698</w:t>
            </w:r>
          </w:p>
        </w:tc>
        <w:tc>
          <w:tcPr>
            <w:tcW w:w="1487" w:type="dxa"/>
            <w:tcBorders>
              <w:top w:val="nil"/>
              <w:left w:val="single" w:sz="4" w:space="0" w:color="auto"/>
              <w:bottom w:val="single" w:sz="4" w:space="0" w:color="auto"/>
              <w:right w:val="single" w:sz="4" w:space="0" w:color="auto"/>
            </w:tcBorders>
            <w:shd w:val="clear" w:color="000000" w:fill="D9D9D9"/>
            <w:vAlign w:val="center"/>
            <w:hideMark/>
          </w:tcPr>
          <w:p w14:paraId="01CE8115" w14:textId="77777777" w:rsidR="005E39DB" w:rsidRPr="005E39DB" w:rsidRDefault="005E39DB" w:rsidP="005E39DB">
            <w:pPr>
              <w:spacing w:after="0" w:line="240" w:lineRule="auto"/>
              <w:jc w:val="right"/>
              <w:rPr>
                <w:rFonts w:cs="Arial"/>
                <w:b/>
                <w:bCs/>
                <w:szCs w:val="22"/>
                <w:lang w:eastAsia="en-AU"/>
              </w:rPr>
            </w:pPr>
            <w:r w:rsidRPr="005E39DB">
              <w:rPr>
                <w:rFonts w:cs="Arial"/>
                <w:b/>
                <w:bCs/>
                <w:szCs w:val="22"/>
                <w:lang w:eastAsia="en-AU"/>
              </w:rPr>
              <w:t>73,034</w:t>
            </w:r>
          </w:p>
        </w:tc>
      </w:tr>
    </w:tbl>
    <w:p w14:paraId="675B492F" w14:textId="77777777" w:rsidR="00383A07" w:rsidRPr="00383A07" w:rsidRDefault="00383A07" w:rsidP="00383A07">
      <w:pPr>
        <w:rPr>
          <w:lang w:eastAsia="en-AU"/>
        </w:rPr>
      </w:pPr>
    </w:p>
    <w:p w14:paraId="4982F0A4" w14:textId="114DB03C" w:rsidR="004175B7" w:rsidRPr="000E7EED" w:rsidRDefault="004175B7" w:rsidP="004175B7">
      <w:pPr>
        <w:pStyle w:val="Heading3"/>
      </w:pPr>
      <w:r w:rsidRPr="000E7EED">
        <w:t>Total expenditure breakdown</w:t>
      </w:r>
      <w:r>
        <w:t xml:space="preserve"> </w:t>
      </w:r>
      <w:r w:rsidRPr="00A64A96">
        <w:t>($,000)</w:t>
      </w:r>
    </w:p>
    <w:tbl>
      <w:tblPr>
        <w:tblW w:w="9918" w:type="dxa"/>
        <w:tblLook w:val="04A0" w:firstRow="1" w:lastRow="0" w:firstColumn="1" w:lastColumn="0" w:noHBand="0" w:noVBand="1"/>
      </w:tblPr>
      <w:tblGrid>
        <w:gridCol w:w="5373"/>
        <w:gridCol w:w="1416"/>
        <w:gridCol w:w="1583"/>
        <w:gridCol w:w="1546"/>
      </w:tblGrid>
      <w:tr w:rsidR="00384EB7" w:rsidRPr="00384EB7" w14:paraId="78E93718" w14:textId="77777777" w:rsidTr="006015EE">
        <w:trPr>
          <w:trHeight w:val="438"/>
        </w:trPr>
        <w:tc>
          <w:tcPr>
            <w:tcW w:w="5373" w:type="dxa"/>
            <w:vMerge w:val="restart"/>
            <w:tcBorders>
              <w:top w:val="single" w:sz="4" w:space="0" w:color="auto"/>
              <w:left w:val="single" w:sz="4" w:space="0" w:color="auto"/>
              <w:bottom w:val="single" w:sz="4" w:space="0" w:color="auto"/>
              <w:right w:val="single" w:sz="4" w:space="0" w:color="auto"/>
            </w:tcBorders>
            <w:shd w:val="clear" w:color="000000" w:fill="C3AFCC"/>
            <w:vAlign w:val="center"/>
            <w:hideMark/>
          </w:tcPr>
          <w:bookmarkEnd w:id="6"/>
          <w:bookmarkEnd w:id="7"/>
          <w:bookmarkEnd w:id="8"/>
          <w:p w14:paraId="136D6762" w14:textId="77777777" w:rsidR="00384EB7" w:rsidRPr="00384EB7" w:rsidRDefault="00384EB7" w:rsidP="00384EB7">
            <w:pPr>
              <w:spacing w:after="0" w:line="240" w:lineRule="auto"/>
              <w:rPr>
                <w:rFonts w:cs="Arial"/>
                <w:b/>
                <w:bCs/>
                <w:color w:val="000000"/>
                <w:szCs w:val="22"/>
                <w:lang w:eastAsia="en-AU"/>
              </w:rPr>
            </w:pPr>
            <w:r w:rsidRPr="00384EB7">
              <w:rPr>
                <w:rFonts w:cs="Arial"/>
                <w:b/>
                <w:bCs/>
                <w:color w:val="000000"/>
                <w:szCs w:val="22"/>
                <w:lang w:eastAsia="en-AU"/>
              </w:rPr>
              <w:t>Expenditure</w:t>
            </w:r>
            <w:r w:rsidRPr="00384EB7">
              <w:rPr>
                <w:rFonts w:cs="Arial"/>
                <w:color w:val="000000"/>
                <w:szCs w:val="22"/>
                <w:lang w:eastAsia="en-AU"/>
              </w:rPr>
              <w:t> </w:t>
            </w:r>
          </w:p>
        </w:tc>
        <w:tc>
          <w:tcPr>
            <w:tcW w:w="1416" w:type="dxa"/>
            <w:tcBorders>
              <w:top w:val="single" w:sz="4" w:space="0" w:color="auto"/>
              <w:left w:val="single" w:sz="4" w:space="0" w:color="auto"/>
              <w:bottom w:val="nil"/>
              <w:right w:val="single" w:sz="4" w:space="0" w:color="auto"/>
            </w:tcBorders>
            <w:shd w:val="clear" w:color="000000" w:fill="C3AFCC"/>
            <w:vAlign w:val="center"/>
            <w:hideMark/>
          </w:tcPr>
          <w:p w14:paraId="6723DBCA" w14:textId="77777777" w:rsidR="00384EB7" w:rsidRPr="00384EB7" w:rsidRDefault="00384EB7" w:rsidP="00384EB7">
            <w:pPr>
              <w:spacing w:after="0" w:line="240" w:lineRule="auto"/>
              <w:jc w:val="center"/>
              <w:rPr>
                <w:rFonts w:cs="Arial"/>
                <w:b/>
                <w:bCs/>
                <w:color w:val="000000"/>
                <w:szCs w:val="22"/>
                <w:lang w:eastAsia="en-AU"/>
              </w:rPr>
            </w:pPr>
            <w:r w:rsidRPr="00384EB7">
              <w:rPr>
                <w:rFonts w:cs="Arial"/>
                <w:b/>
                <w:bCs/>
                <w:color w:val="000000"/>
                <w:szCs w:val="22"/>
                <w:lang w:eastAsia="en-AU"/>
              </w:rPr>
              <w:t>Q2</w:t>
            </w:r>
            <w:r w:rsidRPr="00384EB7">
              <w:rPr>
                <w:rFonts w:cs="Arial"/>
                <w:color w:val="000000"/>
                <w:szCs w:val="22"/>
                <w:lang w:eastAsia="en-AU"/>
              </w:rPr>
              <w:t> </w:t>
            </w:r>
          </w:p>
        </w:tc>
        <w:tc>
          <w:tcPr>
            <w:tcW w:w="1583" w:type="dxa"/>
            <w:tcBorders>
              <w:top w:val="single" w:sz="4" w:space="0" w:color="auto"/>
              <w:left w:val="single" w:sz="4" w:space="0" w:color="auto"/>
              <w:bottom w:val="nil"/>
              <w:right w:val="single" w:sz="4" w:space="0" w:color="auto"/>
            </w:tcBorders>
            <w:shd w:val="clear" w:color="000000" w:fill="C3AFCC"/>
            <w:vAlign w:val="center"/>
            <w:hideMark/>
          </w:tcPr>
          <w:p w14:paraId="65B3AF45" w14:textId="77777777" w:rsidR="00384EB7" w:rsidRPr="00384EB7" w:rsidRDefault="00384EB7" w:rsidP="00384EB7">
            <w:pPr>
              <w:spacing w:after="0" w:line="240" w:lineRule="auto"/>
              <w:jc w:val="center"/>
              <w:rPr>
                <w:rFonts w:cs="Arial"/>
                <w:b/>
                <w:bCs/>
                <w:color w:val="000000"/>
                <w:szCs w:val="22"/>
                <w:lang w:eastAsia="en-AU"/>
              </w:rPr>
            </w:pPr>
            <w:r w:rsidRPr="00384EB7">
              <w:rPr>
                <w:rFonts w:cs="Arial"/>
                <w:b/>
                <w:bCs/>
                <w:color w:val="000000"/>
                <w:szCs w:val="22"/>
                <w:lang w:eastAsia="en-AU"/>
              </w:rPr>
              <w:t>Q3</w:t>
            </w:r>
            <w:r w:rsidRPr="00384EB7">
              <w:rPr>
                <w:rFonts w:cs="Arial"/>
                <w:color w:val="000000"/>
                <w:szCs w:val="22"/>
                <w:lang w:eastAsia="en-AU"/>
              </w:rPr>
              <w:t> </w:t>
            </w:r>
          </w:p>
        </w:tc>
        <w:tc>
          <w:tcPr>
            <w:tcW w:w="1546" w:type="dxa"/>
            <w:tcBorders>
              <w:top w:val="single" w:sz="4" w:space="0" w:color="auto"/>
              <w:left w:val="single" w:sz="4" w:space="0" w:color="auto"/>
              <w:bottom w:val="nil"/>
              <w:right w:val="single" w:sz="4" w:space="0" w:color="auto"/>
            </w:tcBorders>
            <w:shd w:val="clear" w:color="000000" w:fill="C3AFCC"/>
            <w:vAlign w:val="center"/>
            <w:hideMark/>
          </w:tcPr>
          <w:p w14:paraId="3957D092" w14:textId="77777777" w:rsidR="00384EB7" w:rsidRPr="00384EB7" w:rsidRDefault="00384EB7" w:rsidP="00384EB7">
            <w:pPr>
              <w:spacing w:after="0" w:line="240" w:lineRule="auto"/>
              <w:jc w:val="center"/>
              <w:rPr>
                <w:rFonts w:cs="Arial"/>
                <w:b/>
                <w:bCs/>
                <w:color w:val="000000"/>
                <w:szCs w:val="22"/>
                <w:lang w:eastAsia="en-AU"/>
              </w:rPr>
            </w:pPr>
            <w:r w:rsidRPr="00384EB7">
              <w:rPr>
                <w:rFonts w:cs="Arial"/>
                <w:b/>
                <w:bCs/>
                <w:color w:val="000000"/>
                <w:szCs w:val="22"/>
                <w:lang w:eastAsia="en-AU"/>
              </w:rPr>
              <w:t>Q4 2021-22</w:t>
            </w:r>
          </w:p>
        </w:tc>
      </w:tr>
      <w:tr w:rsidR="00384EB7" w:rsidRPr="00384EB7" w14:paraId="0365246A" w14:textId="77777777" w:rsidTr="006015EE">
        <w:trPr>
          <w:trHeight w:val="141"/>
        </w:trPr>
        <w:tc>
          <w:tcPr>
            <w:tcW w:w="5373" w:type="dxa"/>
            <w:vMerge/>
            <w:tcBorders>
              <w:top w:val="single" w:sz="4" w:space="0" w:color="auto"/>
              <w:left w:val="single" w:sz="4" w:space="0" w:color="auto"/>
              <w:bottom w:val="single" w:sz="4" w:space="0" w:color="auto"/>
              <w:right w:val="single" w:sz="4" w:space="0" w:color="auto"/>
            </w:tcBorders>
            <w:vAlign w:val="center"/>
            <w:hideMark/>
          </w:tcPr>
          <w:p w14:paraId="25F38D8E" w14:textId="77777777" w:rsidR="00384EB7" w:rsidRPr="00384EB7" w:rsidRDefault="00384EB7" w:rsidP="00384EB7">
            <w:pPr>
              <w:spacing w:after="0" w:line="240" w:lineRule="auto"/>
              <w:rPr>
                <w:rFonts w:cs="Arial"/>
                <w:b/>
                <w:bCs/>
                <w:color w:val="000000"/>
                <w:szCs w:val="22"/>
                <w:lang w:eastAsia="en-AU"/>
              </w:rPr>
            </w:pPr>
          </w:p>
        </w:tc>
        <w:tc>
          <w:tcPr>
            <w:tcW w:w="1416" w:type="dxa"/>
            <w:tcBorders>
              <w:top w:val="nil"/>
              <w:left w:val="single" w:sz="4" w:space="0" w:color="auto"/>
              <w:bottom w:val="single" w:sz="4" w:space="0" w:color="auto"/>
              <w:right w:val="single" w:sz="4" w:space="0" w:color="auto"/>
            </w:tcBorders>
            <w:shd w:val="clear" w:color="000000" w:fill="C3AFCC"/>
            <w:vAlign w:val="center"/>
            <w:hideMark/>
          </w:tcPr>
          <w:p w14:paraId="0B8A418D" w14:textId="77777777" w:rsidR="00384EB7" w:rsidRPr="00384EB7" w:rsidRDefault="00384EB7" w:rsidP="00384EB7">
            <w:pPr>
              <w:spacing w:after="0" w:line="240" w:lineRule="auto"/>
              <w:jc w:val="center"/>
              <w:rPr>
                <w:rFonts w:cs="Arial"/>
                <w:b/>
                <w:bCs/>
                <w:color w:val="000000"/>
                <w:szCs w:val="22"/>
                <w:lang w:eastAsia="en-AU"/>
              </w:rPr>
            </w:pPr>
            <w:r w:rsidRPr="00384EB7">
              <w:rPr>
                <w:rFonts w:cs="Arial"/>
                <w:b/>
                <w:bCs/>
                <w:color w:val="000000"/>
                <w:szCs w:val="22"/>
                <w:lang w:eastAsia="en-AU"/>
              </w:rPr>
              <w:t>2021-22</w:t>
            </w:r>
            <w:r w:rsidRPr="00384EB7">
              <w:rPr>
                <w:rFonts w:cs="Arial"/>
                <w:color w:val="000000"/>
                <w:szCs w:val="22"/>
                <w:lang w:eastAsia="en-AU"/>
              </w:rPr>
              <w:t> </w:t>
            </w:r>
          </w:p>
        </w:tc>
        <w:tc>
          <w:tcPr>
            <w:tcW w:w="1583" w:type="dxa"/>
            <w:tcBorders>
              <w:top w:val="nil"/>
              <w:left w:val="single" w:sz="4" w:space="0" w:color="auto"/>
              <w:bottom w:val="single" w:sz="4" w:space="0" w:color="auto"/>
              <w:right w:val="single" w:sz="4" w:space="0" w:color="auto"/>
            </w:tcBorders>
            <w:shd w:val="clear" w:color="000000" w:fill="C3AFCC"/>
            <w:vAlign w:val="center"/>
            <w:hideMark/>
          </w:tcPr>
          <w:p w14:paraId="52018434" w14:textId="77777777" w:rsidR="00384EB7" w:rsidRPr="00384EB7" w:rsidRDefault="00384EB7" w:rsidP="00384EB7">
            <w:pPr>
              <w:spacing w:after="0" w:line="240" w:lineRule="auto"/>
              <w:jc w:val="center"/>
              <w:rPr>
                <w:rFonts w:cs="Arial"/>
                <w:b/>
                <w:bCs/>
                <w:color w:val="000000"/>
                <w:szCs w:val="22"/>
                <w:lang w:eastAsia="en-AU"/>
              </w:rPr>
            </w:pPr>
            <w:r w:rsidRPr="00384EB7">
              <w:rPr>
                <w:rFonts w:cs="Arial"/>
                <w:b/>
                <w:bCs/>
                <w:color w:val="000000"/>
                <w:szCs w:val="22"/>
                <w:lang w:eastAsia="en-AU"/>
              </w:rPr>
              <w:t>2021-22</w:t>
            </w:r>
            <w:r w:rsidRPr="00384EB7">
              <w:rPr>
                <w:rFonts w:cs="Arial"/>
                <w:color w:val="000000"/>
                <w:szCs w:val="22"/>
                <w:lang w:eastAsia="en-AU"/>
              </w:rPr>
              <w:t> </w:t>
            </w:r>
          </w:p>
        </w:tc>
        <w:tc>
          <w:tcPr>
            <w:tcW w:w="1546" w:type="dxa"/>
            <w:tcBorders>
              <w:top w:val="nil"/>
              <w:left w:val="single" w:sz="4" w:space="0" w:color="auto"/>
              <w:bottom w:val="nil"/>
              <w:right w:val="single" w:sz="4" w:space="0" w:color="auto"/>
            </w:tcBorders>
            <w:shd w:val="clear" w:color="000000" w:fill="C3AFCC"/>
            <w:vAlign w:val="center"/>
            <w:hideMark/>
          </w:tcPr>
          <w:p w14:paraId="1F39B1C2" w14:textId="77777777" w:rsidR="00384EB7" w:rsidRPr="00384EB7" w:rsidRDefault="00384EB7" w:rsidP="00384EB7">
            <w:pPr>
              <w:spacing w:after="0" w:line="240" w:lineRule="auto"/>
              <w:jc w:val="center"/>
              <w:rPr>
                <w:rFonts w:cs="Arial"/>
                <w:b/>
                <w:bCs/>
                <w:color w:val="000000"/>
                <w:szCs w:val="22"/>
                <w:lang w:eastAsia="en-AU"/>
              </w:rPr>
            </w:pPr>
            <w:r w:rsidRPr="00384EB7">
              <w:rPr>
                <w:rFonts w:cs="Arial"/>
                <w:b/>
                <w:bCs/>
                <w:color w:val="000000"/>
                <w:szCs w:val="22"/>
                <w:lang w:eastAsia="en-AU"/>
              </w:rPr>
              <w:t>Projection</w:t>
            </w:r>
          </w:p>
        </w:tc>
      </w:tr>
      <w:tr w:rsidR="00384EB7" w:rsidRPr="00384EB7" w14:paraId="76C49618" w14:textId="77777777" w:rsidTr="006015EE">
        <w:trPr>
          <w:trHeight w:val="397"/>
        </w:trPr>
        <w:tc>
          <w:tcPr>
            <w:tcW w:w="5373" w:type="dxa"/>
            <w:tcBorders>
              <w:top w:val="nil"/>
              <w:left w:val="single" w:sz="4" w:space="0" w:color="auto"/>
              <w:bottom w:val="single" w:sz="4" w:space="0" w:color="auto"/>
              <w:right w:val="single" w:sz="4" w:space="0" w:color="auto"/>
            </w:tcBorders>
            <w:shd w:val="clear" w:color="auto" w:fill="auto"/>
            <w:vAlign w:val="center"/>
            <w:hideMark/>
          </w:tcPr>
          <w:p w14:paraId="5A32AE2E" w14:textId="6CD15D37" w:rsidR="006015EE" w:rsidRPr="00384EB7" w:rsidRDefault="00384EB7" w:rsidP="00384EB7">
            <w:pPr>
              <w:spacing w:after="0" w:line="240" w:lineRule="auto"/>
              <w:rPr>
                <w:rFonts w:cs="Arial"/>
                <w:color w:val="000000"/>
                <w:szCs w:val="22"/>
                <w:lang w:eastAsia="en-AU"/>
              </w:rPr>
            </w:pPr>
            <w:r w:rsidRPr="00384EB7">
              <w:rPr>
                <w:rFonts w:cs="Arial"/>
                <w:color w:val="000000"/>
                <w:szCs w:val="22"/>
                <w:lang w:eastAsia="en-AU"/>
              </w:rPr>
              <w:t>Case expenditure (including ECCCF) </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6550F2F9" w14:textId="77777777" w:rsidR="00384EB7" w:rsidRPr="00384EB7" w:rsidRDefault="00384EB7" w:rsidP="00384EB7">
            <w:pPr>
              <w:spacing w:after="0" w:line="240" w:lineRule="auto"/>
              <w:jc w:val="right"/>
              <w:rPr>
                <w:rFonts w:cs="Arial"/>
                <w:szCs w:val="22"/>
                <w:lang w:eastAsia="en-AU"/>
              </w:rPr>
            </w:pPr>
            <w:r w:rsidRPr="00384EB7">
              <w:rPr>
                <w:rFonts w:cs="Arial"/>
                <w:szCs w:val="22"/>
                <w:lang w:eastAsia="en-AU"/>
              </w:rPr>
              <w:t>(29,870)</w:t>
            </w:r>
          </w:p>
        </w:tc>
        <w:tc>
          <w:tcPr>
            <w:tcW w:w="1583" w:type="dxa"/>
            <w:tcBorders>
              <w:top w:val="nil"/>
              <w:left w:val="single" w:sz="4" w:space="0" w:color="auto"/>
              <w:bottom w:val="single" w:sz="4" w:space="0" w:color="auto"/>
              <w:right w:val="single" w:sz="4" w:space="0" w:color="auto"/>
            </w:tcBorders>
            <w:shd w:val="clear" w:color="auto" w:fill="auto"/>
            <w:vAlign w:val="center"/>
            <w:hideMark/>
          </w:tcPr>
          <w:p w14:paraId="6D86399C" w14:textId="77777777" w:rsidR="00384EB7" w:rsidRPr="00384EB7" w:rsidRDefault="00384EB7" w:rsidP="00384EB7">
            <w:pPr>
              <w:spacing w:after="0" w:line="240" w:lineRule="auto"/>
              <w:jc w:val="right"/>
              <w:rPr>
                <w:rFonts w:cs="Arial"/>
                <w:szCs w:val="22"/>
                <w:lang w:eastAsia="en-AU"/>
              </w:rPr>
            </w:pPr>
            <w:r w:rsidRPr="00384EB7">
              <w:rPr>
                <w:rFonts w:cs="Arial"/>
                <w:szCs w:val="22"/>
                <w:lang w:eastAsia="en-AU"/>
              </w:rPr>
              <w:t>(27,507)</w:t>
            </w:r>
          </w:p>
        </w:tc>
        <w:tc>
          <w:tcPr>
            <w:tcW w:w="15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CF8E0" w14:textId="77777777" w:rsidR="00384EB7" w:rsidRPr="00384EB7" w:rsidRDefault="00384EB7" w:rsidP="00384EB7">
            <w:pPr>
              <w:spacing w:after="0" w:line="240" w:lineRule="auto"/>
              <w:jc w:val="right"/>
              <w:rPr>
                <w:rFonts w:cs="Arial"/>
                <w:szCs w:val="22"/>
                <w:lang w:eastAsia="en-AU"/>
              </w:rPr>
            </w:pPr>
            <w:r w:rsidRPr="00384EB7">
              <w:rPr>
                <w:rFonts w:cs="Arial"/>
                <w:szCs w:val="22"/>
                <w:lang w:eastAsia="en-AU"/>
              </w:rPr>
              <w:t>(34,547)</w:t>
            </w:r>
          </w:p>
        </w:tc>
      </w:tr>
      <w:tr w:rsidR="00384EB7" w:rsidRPr="00384EB7" w14:paraId="0190B9A5" w14:textId="77777777" w:rsidTr="006015EE">
        <w:trPr>
          <w:trHeight w:val="397"/>
        </w:trPr>
        <w:tc>
          <w:tcPr>
            <w:tcW w:w="5373" w:type="dxa"/>
            <w:tcBorders>
              <w:top w:val="nil"/>
              <w:left w:val="single" w:sz="4" w:space="0" w:color="auto"/>
              <w:bottom w:val="single" w:sz="4" w:space="0" w:color="auto"/>
              <w:right w:val="single" w:sz="4" w:space="0" w:color="auto"/>
            </w:tcBorders>
            <w:shd w:val="clear" w:color="auto" w:fill="auto"/>
            <w:vAlign w:val="center"/>
            <w:hideMark/>
          </w:tcPr>
          <w:p w14:paraId="6EBF060F" w14:textId="77777777" w:rsidR="00384EB7" w:rsidRPr="00384EB7" w:rsidRDefault="00384EB7" w:rsidP="00384EB7">
            <w:pPr>
              <w:spacing w:after="0" w:line="240" w:lineRule="auto"/>
              <w:rPr>
                <w:rFonts w:cs="Arial"/>
                <w:color w:val="000000"/>
                <w:szCs w:val="22"/>
                <w:lang w:eastAsia="en-AU"/>
              </w:rPr>
            </w:pPr>
            <w:r w:rsidRPr="00384EB7">
              <w:rPr>
                <w:rFonts w:cs="Arial"/>
                <w:color w:val="000000"/>
                <w:szCs w:val="22"/>
                <w:lang w:eastAsia="en-AU"/>
              </w:rPr>
              <w:t>Community legal centre payments</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31586AA8" w14:textId="77777777" w:rsidR="00384EB7" w:rsidRPr="00384EB7" w:rsidRDefault="00384EB7" w:rsidP="00384EB7">
            <w:pPr>
              <w:spacing w:after="0" w:line="240" w:lineRule="auto"/>
              <w:jc w:val="right"/>
              <w:rPr>
                <w:rFonts w:cs="Arial"/>
                <w:szCs w:val="22"/>
                <w:lang w:eastAsia="en-AU"/>
              </w:rPr>
            </w:pPr>
            <w:r w:rsidRPr="00384EB7">
              <w:rPr>
                <w:rFonts w:cs="Arial"/>
                <w:szCs w:val="22"/>
                <w:lang w:eastAsia="en-AU"/>
              </w:rPr>
              <w:t>(10,643)</w:t>
            </w:r>
          </w:p>
        </w:tc>
        <w:tc>
          <w:tcPr>
            <w:tcW w:w="1583" w:type="dxa"/>
            <w:tcBorders>
              <w:top w:val="nil"/>
              <w:left w:val="single" w:sz="4" w:space="0" w:color="auto"/>
              <w:bottom w:val="single" w:sz="4" w:space="0" w:color="auto"/>
              <w:right w:val="single" w:sz="4" w:space="0" w:color="auto"/>
            </w:tcBorders>
            <w:shd w:val="clear" w:color="auto" w:fill="auto"/>
            <w:vAlign w:val="center"/>
            <w:hideMark/>
          </w:tcPr>
          <w:p w14:paraId="28007697" w14:textId="77777777" w:rsidR="00384EB7" w:rsidRPr="00384EB7" w:rsidRDefault="00384EB7" w:rsidP="00384EB7">
            <w:pPr>
              <w:spacing w:after="0" w:line="240" w:lineRule="auto"/>
              <w:jc w:val="right"/>
              <w:rPr>
                <w:rFonts w:cs="Arial"/>
                <w:szCs w:val="22"/>
                <w:lang w:eastAsia="en-AU"/>
              </w:rPr>
            </w:pPr>
            <w:r w:rsidRPr="00384EB7">
              <w:rPr>
                <w:rFonts w:cs="Arial"/>
                <w:szCs w:val="22"/>
                <w:lang w:eastAsia="en-AU"/>
              </w:rPr>
              <w:t>(13,969)</w:t>
            </w:r>
          </w:p>
        </w:tc>
        <w:tc>
          <w:tcPr>
            <w:tcW w:w="1546" w:type="dxa"/>
            <w:tcBorders>
              <w:top w:val="nil"/>
              <w:left w:val="single" w:sz="4" w:space="0" w:color="auto"/>
              <w:bottom w:val="single" w:sz="4" w:space="0" w:color="auto"/>
              <w:right w:val="single" w:sz="4" w:space="0" w:color="auto"/>
            </w:tcBorders>
            <w:shd w:val="clear" w:color="auto" w:fill="auto"/>
            <w:vAlign w:val="center"/>
            <w:hideMark/>
          </w:tcPr>
          <w:p w14:paraId="34D2443D" w14:textId="77777777" w:rsidR="00384EB7" w:rsidRPr="00384EB7" w:rsidRDefault="00384EB7" w:rsidP="00384EB7">
            <w:pPr>
              <w:spacing w:after="0" w:line="240" w:lineRule="auto"/>
              <w:jc w:val="right"/>
              <w:rPr>
                <w:rFonts w:cs="Arial"/>
                <w:szCs w:val="22"/>
                <w:lang w:eastAsia="en-AU"/>
              </w:rPr>
            </w:pPr>
            <w:r w:rsidRPr="00384EB7">
              <w:rPr>
                <w:rFonts w:cs="Arial"/>
                <w:szCs w:val="22"/>
                <w:lang w:eastAsia="en-AU"/>
              </w:rPr>
              <w:t>(13,140)</w:t>
            </w:r>
          </w:p>
        </w:tc>
      </w:tr>
      <w:tr w:rsidR="00384EB7" w:rsidRPr="00384EB7" w14:paraId="06FFE5CB" w14:textId="77777777" w:rsidTr="006015EE">
        <w:trPr>
          <w:trHeight w:val="397"/>
        </w:trPr>
        <w:tc>
          <w:tcPr>
            <w:tcW w:w="5373" w:type="dxa"/>
            <w:tcBorders>
              <w:top w:val="nil"/>
              <w:left w:val="single" w:sz="4" w:space="0" w:color="auto"/>
              <w:bottom w:val="single" w:sz="4" w:space="0" w:color="auto"/>
              <w:right w:val="single" w:sz="4" w:space="0" w:color="auto"/>
            </w:tcBorders>
            <w:shd w:val="clear" w:color="auto" w:fill="auto"/>
            <w:vAlign w:val="center"/>
            <w:hideMark/>
          </w:tcPr>
          <w:p w14:paraId="282EAE7B" w14:textId="77777777" w:rsidR="00384EB7" w:rsidRPr="00384EB7" w:rsidRDefault="00384EB7" w:rsidP="00384EB7">
            <w:pPr>
              <w:spacing w:after="0" w:line="240" w:lineRule="auto"/>
              <w:rPr>
                <w:rFonts w:cs="Arial"/>
                <w:color w:val="000000"/>
                <w:szCs w:val="22"/>
                <w:lang w:eastAsia="en-AU"/>
              </w:rPr>
            </w:pPr>
            <w:r w:rsidRPr="00384EB7">
              <w:rPr>
                <w:rFonts w:cs="Arial"/>
                <w:color w:val="000000"/>
                <w:szCs w:val="22"/>
                <w:lang w:eastAsia="en-AU"/>
              </w:rPr>
              <w:t>Staff costs </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21E87FBA" w14:textId="77777777" w:rsidR="00384EB7" w:rsidRPr="00384EB7" w:rsidRDefault="00384EB7" w:rsidP="00384EB7">
            <w:pPr>
              <w:spacing w:after="0" w:line="240" w:lineRule="auto"/>
              <w:jc w:val="right"/>
              <w:rPr>
                <w:rFonts w:cs="Arial"/>
                <w:szCs w:val="22"/>
                <w:lang w:eastAsia="en-AU"/>
              </w:rPr>
            </w:pPr>
            <w:r w:rsidRPr="00384EB7">
              <w:rPr>
                <w:rFonts w:cs="Arial"/>
                <w:szCs w:val="22"/>
                <w:lang w:eastAsia="en-AU"/>
              </w:rPr>
              <w:t>(23,990)</w:t>
            </w:r>
          </w:p>
        </w:tc>
        <w:tc>
          <w:tcPr>
            <w:tcW w:w="1583" w:type="dxa"/>
            <w:tcBorders>
              <w:top w:val="nil"/>
              <w:left w:val="single" w:sz="4" w:space="0" w:color="auto"/>
              <w:bottom w:val="single" w:sz="4" w:space="0" w:color="auto"/>
              <w:right w:val="single" w:sz="4" w:space="0" w:color="auto"/>
            </w:tcBorders>
            <w:shd w:val="clear" w:color="auto" w:fill="auto"/>
            <w:vAlign w:val="center"/>
            <w:hideMark/>
          </w:tcPr>
          <w:p w14:paraId="6F78B5C8" w14:textId="77777777" w:rsidR="00384EB7" w:rsidRPr="00384EB7" w:rsidRDefault="00384EB7" w:rsidP="00384EB7">
            <w:pPr>
              <w:spacing w:after="0" w:line="240" w:lineRule="auto"/>
              <w:jc w:val="right"/>
              <w:rPr>
                <w:rFonts w:cs="Arial"/>
                <w:szCs w:val="22"/>
                <w:lang w:eastAsia="en-AU"/>
              </w:rPr>
            </w:pPr>
            <w:r w:rsidRPr="00384EB7">
              <w:rPr>
                <w:rFonts w:cs="Arial"/>
                <w:szCs w:val="22"/>
                <w:lang w:eastAsia="en-AU"/>
              </w:rPr>
              <w:t>(22,085)</w:t>
            </w:r>
          </w:p>
        </w:tc>
        <w:tc>
          <w:tcPr>
            <w:tcW w:w="1546" w:type="dxa"/>
            <w:tcBorders>
              <w:top w:val="nil"/>
              <w:left w:val="single" w:sz="4" w:space="0" w:color="auto"/>
              <w:bottom w:val="single" w:sz="4" w:space="0" w:color="auto"/>
              <w:right w:val="single" w:sz="4" w:space="0" w:color="auto"/>
            </w:tcBorders>
            <w:shd w:val="clear" w:color="auto" w:fill="auto"/>
            <w:vAlign w:val="center"/>
            <w:hideMark/>
          </w:tcPr>
          <w:p w14:paraId="04E2AC7D" w14:textId="77777777" w:rsidR="00384EB7" w:rsidRPr="00384EB7" w:rsidRDefault="00384EB7" w:rsidP="00384EB7">
            <w:pPr>
              <w:spacing w:after="0" w:line="240" w:lineRule="auto"/>
              <w:jc w:val="right"/>
              <w:rPr>
                <w:rFonts w:cs="Arial"/>
                <w:szCs w:val="22"/>
                <w:lang w:eastAsia="en-AU"/>
              </w:rPr>
            </w:pPr>
            <w:r w:rsidRPr="00384EB7">
              <w:rPr>
                <w:rFonts w:cs="Arial"/>
                <w:szCs w:val="22"/>
                <w:lang w:eastAsia="en-AU"/>
              </w:rPr>
              <w:t>(25,840)</w:t>
            </w:r>
          </w:p>
        </w:tc>
      </w:tr>
      <w:tr w:rsidR="00384EB7" w:rsidRPr="00384EB7" w14:paraId="56E75785" w14:textId="77777777" w:rsidTr="006015EE">
        <w:trPr>
          <w:trHeight w:val="397"/>
        </w:trPr>
        <w:tc>
          <w:tcPr>
            <w:tcW w:w="5373" w:type="dxa"/>
            <w:tcBorders>
              <w:top w:val="nil"/>
              <w:left w:val="single" w:sz="4" w:space="0" w:color="auto"/>
              <w:bottom w:val="single" w:sz="4" w:space="0" w:color="auto"/>
              <w:right w:val="single" w:sz="4" w:space="0" w:color="auto"/>
            </w:tcBorders>
            <w:shd w:val="clear" w:color="auto" w:fill="auto"/>
            <w:vAlign w:val="center"/>
            <w:hideMark/>
          </w:tcPr>
          <w:p w14:paraId="221F60EF" w14:textId="77777777" w:rsidR="00384EB7" w:rsidRPr="00384EB7" w:rsidRDefault="00384EB7" w:rsidP="00384EB7">
            <w:pPr>
              <w:spacing w:after="0" w:line="240" w:lineRule="auto"/>
              <w:rPr>
                <w:rFonts w:cs="Arial"/>
                <w:color w:val="000000"/>
                <w:szCs w:val="22"/>
                <w:lang w:eastAsia="en-AU"/>
              </w:rPr>
            </w:pPr>
            <w:r w:rsidRPr="00384EB7">
              <w:rPr>
                <w:rFonts w:cs="Arial"/>
                <w:color w:val="000000"/>
                <w:szCs w:val="22"/>
                <w:lang w:eastAsia="en-AU"/>
              </w:rPr>
              <w:t>Administration</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28D66F8A" w14:textId="77777777" w:rsidR="00384EB7" w:rsidRPr="00384EB7" w:rsidRDefault="00384EB7" w:rsidP="00384EB7">
            <w:pPr>
              <w:spacing w:after="0" w:line="240" w:lineRule="auto"/>
              <w:jc w:val="right"/>
              <w:rPr>
                <w:rFonts w:cs="Arial"/>
                <w:szCs w:val="22"/>
                <w:lang w:eastAsia="en-AU"/>
              </w:rPr>
            </w:pPr>
            <w:r w:rsidRPr="00384EB7">
              <w:rPr>
                <w:rFonts w:cs="Arial"/>
                <w:szCs w:val="22"/>
                <w:lang w:eastAsia="en-AU"/>
              </w:rPr>
              <w:t>(5,209)</w:t>
            </w:r>
          </w:p>
        </w:tc>
        <w:tc>
          <w:tcPr>
            <w:tcW w:w="1583" w:type="dxa"/>
            <w:tcBorders>
              <w:top w:val="nil"/>
              <w:left w:val="single" w:sz="4" w:space="0" w:color="auto"/>
              <w:bottom w:val="single" w:sz="4" w:space="0" w:color="auto"/>
              <w:right w:val="single" w:sz="4" w:space="0" w:color="auto"/>
            </w:tcBorders>
            <w:shd w:val="clear" w:color="auto" w:fill="auto"/>
            <w:vAlign w:val="center"/>
            <w:hideMark/>
          </w:tcPr>
          <w:p w14:paraId="4581DC3F" w14:textId="77777777" w:rsidR="00384EB7" w:rsidRPr="00384EB7" w:rsidRDefault="00384EB7" w:rsidP="00384EB7">
            <w:pPr>
              <w:spacing w:after="0" w:line="240" w:lineRule="auto"/>
              <w:jc w:val="right"/>
              <w:rPr>
                <w:rFonts w:cs="Arial"/>
                <w:szCs w:val="22"/>
                <w:lang w:eastAsia="en-AU"/>
              </w:rPr>
            </w:pPr>
            <w:r w:rsidRPr="00384EB7">
              <w:rPr>
                <w:rFonts w:cs="Arial"/>
                <w:szCs w:val="22"/>
                <w:lang w:eastAsia="en-AU"/>
              </w:rPr>
              <w:t>(5,657)</w:t>
            </w:r>
          </w:p>
        </w:tc>
        <w:tc>
          <w:tcPr>
            <w:tcW w:w="1546" w:type="dxa"/>
            <w:tcBorders>
              <w:top w:val="nil"/>
              <w:left w:val="single" w:sz="4" w:space="0" w:color="auto"/>
              <w:bottom w:val="single" w:sz="4" w:space="0" w:color="auto"/>
              <w:right w:val="single" w:sz="4" w:space="0" w:color="auto"/>
            </w:tcBorders>
            <w:shd w:val="clear" w:color="auto" w:fill="auto"/>
            <w:vAlign w:val="center"/>
            <w:hideMark/>
          </w:tcPr>
          <w:p w14:paraId="21EB31EF" w14:textId="77777777" w:rsidR="00384EB7" w:rsidRPr="00384EB7" w:rsidRDefault="00384EB7" w:rsidP="00384EB7">
            <w:pPr>
              <w:spacing w:after="0" w:line="240" w:lineRule="auto"/>
              <w:jc w:val="right"/>
              <w:rPr>
                <w:rFonts w:cs="Arial"/>
                <w:szCs w:val="22"/>
                <w:lang w:eastAsia="en-AU"/>
              </w:rPr>
            </w:pPr>
            <w:r w:rsidRPr="00384EB7">
              <w:rPr>
                <w:rFonts w:cs="Arial"/>
                <w:szCs w:val="22"/>
                <w:lang w:eastAsia="en-AU"/>
              </w:rPr>
              <w:t>(9,005)</w:t>
            </w:r>
          </w:p>
        </w:tc>
      </w:tr>
      <w:tr w:rsidR="00384EB7" w:rsidRPr="00384EB7" w14:paraId="79B476AC" w14:textId="77777777" w:rsidTr="006015EE">
        <w:trPr>
          <w:trHeight w:val="397"/>
        </w:trPr>
        <w:tc>
          <w:tcPr>
            <w:tcW w:w="5373" w:type="dxa"/>
            <w:tcBorders>
              <w:top w:val="nil"/>
              <w:left w:val="single" w:sz="4" w:space="0" w:color="auto"/>
              <w:bottom w:val="single" w:sz="4" w:space="0" w:color="auto"/>
              <w:right w:val="single" w:sz="4" w:space="0" w:color="auto"/>
            </w:tcBorders>
            <w:shd w:val="clear" w:color="000000" w:fill="D9D9D9"/>
            <w:vAlign w:val="center"/>
            <w:hideMark/>
          </w:tcPr>
          <w:p w14:paraId="04155DEA" w14:textId="77777777" w:rsidR="00384EB7" w:rsidRPr="00384EB7" w:rsidRDefault="00384EB7" w:rsidP="00384EB7">
            <w:pPr>
              <w:spacing w:after="0" w:line="240" w:lineRule="auto"/>
              <w:rPr>
                <w:rFonts w:cs="Arial"/>
                <w:b/>
                <w:bCs/>
                <w:color w:val="000000"/>
                <w:szCs w:val="22"/>
                <w:lang w:eastAsia="en-AU"/>
              </w:rPr>
            </w:pPr>
            <w:r w:rsidRPr="00384EB7">
              <w:rPr>
                <w:rFonts w:cs="Arial"/>
                <w:b/>
                <w:bCs/>
                <w:color w:val="000000"/>
                <w:szCs w:val="22"/>
                <w:lang w:eastAsia="en-AU"/>
              </w:rPr>
              <w:t xml:space="preserve">Total expenditure </w:t>
            </w:r>
            <w:r w:rsidRPr="00384EB7">
              <w:rPr>
                <w:rFonts w:cs="Arial"/>
                <w:color w:val="000000"/>
                <w:szCs w:val="22"/>
                <w:lang w:eastAsia="en-AU"/>
              </w:rPr>
              <w:t>before Depreciation and revaluation</w:t>
            </w:r>
            <w:r w:rsidRPr="00384EB7">
              <w:rPr>
                <w:rFonts w:cs="Arial"/>
                <w:b/>
                <w:bCs/>
                <w:color w:val="000000"/>
                <w:szCs w:val="22"/>
                <w:lang w:eastAsia="en-AU"/>
              </w:rPr>
              <w:t> </w:t>
            </w:r>
            <w:r w:rsidRPr="00384EB7">
              <w:rPr>
                <w:rFonts w:cs="Arial"/>
                <w:color w:val="000000"/>
                <w:szCs w:val="22"/>
                <w:lang w:eastAsia="en-AU"/>
              </w:rPr>
              <w:t> </w:t>
            </w:r>
          </w:p>
        </w:tc>
        <w:tc>
          <w:tcPr>
            <w:tcW w:w="1416" w:type="dxa"/>
            <w:tcBorders>
              <w:top w:val="nil"/>
              <w:left w:val="single" w:sz="4" w:space="0" w:color="auto"/>
              <w:bottom w:val="single" w:sz="4" w:space="0" w:color="auto"/>
              <w:right w:val="single" w:sz="4" w:space="0" w:color="auto"/>
            </w:tcBorders>
            <w:shd w:val="clear" w:color="000000" w:fill="D9D9D9"/>
            <w:vAlign w:val="center"/>
            <w:hideMark/>
          </w:tcPr>
          <w:p w14:paraId="42C09042" w14:textId="77777777" w:rsidR="00384EB7" w:rsidRPr="00384EB7" w:rsidRDefault="00384EB7" w:rsidP="00384EB7">
            <w:pPr>
              <w:spacing w:after="0" w:line="240" w:lineRule="auto"/>
              <w:jc w:val="right"/>
              <w:rPr>
                <w:rFonts w:cs="Arial"/>
                <w:b/>
                <w:bCs/>
                <w:szCs w:val="22"/>
                <w:lang w:eastAsia="en-AU"/>
              </w:rPr>
            </w:pPr>
            <w:r w:rsidRPr="00384EB7">
              <w:rPr>
                <w:rFonts w:cs="Arial"/>
                <w:b/>
                <w:bCs/>
                <w:szCs w:val="22"/>
                <w:lang w:eastAsia="en-AU"/>
              </w:rPr>
              <w:t>(69,711)</w:t>
            </w:r>
          </w:p>
        </w:tc>
        <w:tc>
          <w:tcPr>
            <w:tcW w:w="1583" w:type="dxa"/>
            <w:tcBorders>
              <w:top w:val="nil"/>
              <w:left w:val="single" w:sz="4" w:space="0" w:color="auto"/>
              <w:bottom w:val="single" w:sz="4" w:space="0" w:color="auto"/>
              <w:right w:val="single" w:sz="4" w:space="0" w:color="auto"/>
            </w:tcBorders>
            <w:shd w:val="clear" w:color="000000" w:fill="D9D9D9"/>
            <w:vAlign w:val="center"/>
            <w:hideMark/>
          </w:tcPr>
          <w:p w14:paraId="706AFAEE" w14:textId="77777777" w:rsidR="00384EB7" w:rsidRPr="00384EB7" w:rsidRDefault="00384EB7" w:rsidP="00384EB7">
            <w:pPr>
              <w:spacing w:after="0" w:line="240" w:lineRule="auto"/>
              <w:jc w:val="right"/>
              <w:rPr>
                <w:rFonts w:cs="Arial"/>
                <w:b/>
                <w:bCs/>
                <w:szCs w:val="22"/>
                <w:lang w:eastAsia="en-AU"/>
              </w:rPr>
            </w:pPr>
            <w:r w:rsidRPr="00384EB7">
              <w:rPr>
                <w:rFonts w:cs="Arial"/>
                <w:b/>
                <w:bCs/>
                <w:szCs w:val="22"/>
                <w:lang w:eastAsia="en-AU"/>
              </w:rPr>
              <w:t>(69,218)</w:t>
            </w:r>
          </w:p>
        </w:tc>
        <w:tc>
          <w:tcPr>
            <w:tcW w:w="1546" w:type="dxa"/>
            <w:tcBorders>
              <w:top w:val="nil"/>
              <w:left w:val="single" w:sz="4" w:space="0" w:color="auto"/>
              <w:bottom w:val="single" w:sz="4" w:space="0" w:color="auto"/>
              <w:right w:val="single" w:sz="4" w:space="0" w:color="auto"/>
            </w:tcBorders>
            <w:shd w:val="clear" w:color="000000" w:fill="D9D9D9"/>
            <w:vAlign w:val="center"/>
            <w:hideMark/>
          </w:tcPr>
          <w:p w14:paraId="53297D30" w14:textId="77777777" w:rsidR="00384EB7" w:rsidRPr="00384EB7" w:rsidRDefault="00384EB7" w:rsidP="00384EB7">
            <w:pPr>
              <w:spacing w:after="0" w:line="240" w:lineRule="auto"/>
              <w:jc w:val="right"/>
              <w:rPr>
                <w:rFonts w:cs="Arial"/>
                <w:b/>
                <w:bCs/>
                <w:szCs w:val="22"/>
                <w:lang w:eastAsia="en-AU"/>
              </w:rPr>
            </w:pPr>
            <w:r w:rsidRPr="00384EB7">
              <w:rPr>
                <w:rFonts w:cs="Arial"/>
                <w:b/>
                <w:bCs/>
                <w:szCs w:val="22"/>
                <w:lang w:eastAsia="en-AU"/>
              </w:rPr>
              <w:t>(82,532)</w:t>
            </w:r>
          </w:p>
        </w:tc>
      </w:tr>
      <w:tr w:rsidR="00384EB7" w:rsidRPr="00384EB7" w14:paraId="3172BC26" w14:textId="77777777" w:rsidTr="006015EE">
        <w:trPr>
          <w:trHeight w:val="397"/>
        </w:trPr>
        <w:tc>
          <w:tcPr>
            <w:tcW w:w="5373" w:type="dxa"/>
            <w:tcBorders>
              <w:top w:val="nil"/>
              <w:left w:val="single" w:sz="4" w:space="0" w:color="auto"/>
              <w:bottom w:val="single" w:sz="4" w:space="0" w:color="auto"/>
              <w:right w:val="single" w:sz="4" w:space="0" w:color="auto"/>
            </w:tcBorders>
            <w:shd w:val="clear" w:color="auto" w:fill="auto"/>
            <w:vAlign w:val="center"/>
            <w:hideMark/>
          </w:tcPr>
          <w:p w14:paraId="1B399554" w14:textId="77777777" w:rsidR="00384EB7" w:rsidRPr="00384EB7" w:rsidRDefault="00384EB7" w:rsidP="00384EB7">
            <w:pPr>
              <w:spacing w:after="0" w:line="240" w:lineRule="auto"/>
              <w:rPr>
                <w:rFonts w:cs="Arial"/>
                <w:color w:val="000000"/>
                <w:szCs w:val="22"/>
                <w:lang w:eastAsia="en-AU"/>
              </w:rPr>
            </w:pPr>
            <w:r w:rsidRPr="00384EB7">
              <w:rPr>
                <w:rFonts w:cs="Arial"/>
                <w:color w:val="000000"/>
                <w:szCs w:val="22"/>
                <w:lang w:eastAsia="en-AU"/>
              </w:rPr>
              <w:t>Depreciation and Revaluation</w:t>
            </w:r>
          </w:p>
        </w:tc>
        <w:tc>
          <w:tcPr>
            <w:tcW w:w="1416" w:type="dxa"/>
            <w:tcBorders>
              <w:top w:val="nil"/>
              <w:left w:val="single" w:sz="4" w:space="0" w:color="auto"/>
              <w:bottom w:val="single" w:sz="4" w:space="0" w:color="auto"/>
              <w:right w:val="single" w:sz="4" w:space="0" w:color="auto"/>
            </w:tcBorders>
            <w:shd w:val="clear" w:color="auto" w:fill="auto"/>
            <w:vAlign w:val="center"/>
            <w:hideMark/>
          </w:tcPr>
          <w:p w14:paraId="0B228046" w14:textId="77777777" w:rsidR="00384EB7" w:rsidRPr="00384EB7" w:rsidRDefault="00384EB7" w:rsidP="00384EB7">
            <w:pPr>
              <w:spacing w:after="0" w:line="240" w:lineRule="auto"/>
              <w:jc w:val="right"/>
              <w:rPr>
                <w:rFonts w:cs="Arial"/>
                <w:szCs w:val="22"/>
                <w:lang w:eastAsia="en-AU"/>
              </w:rPr>
            </w:pPr>
            <w:r w:rsidRPr="00384EB7">
              <w:rPr>
                <w:rFonts w:cs="Arial"/>
                <w:szCs w:val="22"/>
                <w:lang w:eastAsia="en-AU"/>
              </w:rPr>
              <w:t>(590)</w:t>
            </w:r>
          </w:p>
        </w:tc>
        <w:tc>
          <w:tcPr>
            <w:tcW w:w="1583" w:type="dxa"/>
            <w:tcBorders>
              <w:top w:val="nil"/>
              <w:left w:val="single" w:sz="4" w:space="0" w:color="auto"/>
              <w:bottom w:val="single" w:sz="4" w:space="0" w:color="auto"/>
              <w:right w:val="single" w:sz="4" w:space="0" w:color="auto"/>
            </w:tcBorders>
            <w:shd w:val="clear" w:color="auto" w:fill="auto"/>
            <w:vAlign w:val="center"/>
            <w:hideMark/>
          </w:tcPr>
          <w:p w14:paraId="459FBF37" w14:textId="77777777" w:rsidR="00384EB7" w:rsidRPr="00384EB7" w:rsidRDefault="00384EB7" w:rsidP="00384EB7">
            <w:pPr>
              <w:spacing w:after="0" w:line="240" w:lineRule="auto"/>
              <w:jc w:val="right"/>
              <w:rPr>
                <w:rFonts w:cs="Arial"/>
                <w:szCs w:val="22"/>
                <w:lang w:eastAsia="en-AU"/>
              </w:rPr>
            </w:pPr>
            <w:r w:rsidRPr="00384EB7">
              <w:rPr>
                <w:rFonts w:cs="Arial"/>
                <w:szCs w:val="22"/>
                <w:lang w:eastAsia="en-AU"/>
              </w:rPr>
              <w:t>(511)</w:t>
            </w:r>
          </w:p>
        </w:tc>
        <w:tc>
          <w:tcPr>
            <w:tcW w:w="1546" w:type="dxa"/>
            <w:tcBorders>
              <w:top w:val="nil"/>
              <w:left w:val="single" w:sz="4" w:space="0" w:color="auto"/>
              <w:bottom w:val="single" w:sz="4" w:space="0" w:color="auto"/>
              <w:right w:val="single" w:sz="4" w:space="0" w:color="auto"/>
            </w:tcBorders>
            <w:shd w:val="clear" w:color="auto" w:fill="auto"/>
            <w:vAlign w:val="center"/>
            <w:hideMark/>
          </w:tcPr>
          <w:p w14:paraId="1C778D41" w14:textId="77777777" w:rsidR="00384EB7" w:rsidRPr="00384EB7" w:rsidRDefault="00384EB7" w:rsidP="00384EB7">
            <w:pPr>
              <w:spacing w:after="0" w:line="240" w:lineRule="auto"/>
              <w:jc w:val="right"/>
              <w:rPr>
                <w:rFonts w:cs="Arial"/>
                <w:szCs w:val="22"/>
                <w:lang w:eastAsia="en-AU"/>
              </w:rPr>
            </w:pPr>
            <w:r w:rsidRPr="00384EB7">
              <w:rPr>
                <w:rFonts w:cs="Arial"/>
                <w:szCs w:val="22"/>
                <w:lang w:eastAsia="en-AU"/>
              </w:rPr>
              <w:t>(857)</w:t>
            </w:r>
          </w:p>
        </w:tc>
      </w:tr>
      <w:tr w:rsidR="00384EB7" w:rsidRPr="00384EB7" w14:paraId="74562C9E" w14:textId="77777777" w:rsidTr="006015EE">
        <w:trPr>
          <w:trHeight w:val="397"/>
        </w:trPr>
        <w:tc>
          <w:tcPr>
            <w:tcW w:w="5373" w:type="dxa"/>
            <w:tcBorders>
              <w:top w:val="nil"/>
              <w:left w:val="single" w:sz="4" w:space="0" w:color="auto"/>
              <w:bottom w:val="single" w:sz="4" w:space="0" w:color="auto"/>
              <w:right w:val="single" w:sz="4" w:space="0" w:color="auto"/>
            </w:tcBorders>
            <w:shd w:val="clear" w:color="000000" w:fill="D9D9D9"/>
            <w:vAlign w:val="center"/>
            <w:hideMark/>
          </w:tcPr>
          <w:p w14:paraId="19A8C6DD" w14:textId="77777777" w:rsidR="00384EB7" w:rsidRPr="00384EB7" w:rsidRDefault="00384EB7" w:rsidP="00384EB7">
            <w:pPr>
              <w:spacing w:after="0" w:line="240" w:lineRule="auto"/>
              <w:rPr>
                <w:rFonts w:cs="Arial"/>
                <w:b/>
                <w:bCs/>
                <w:color w:val="000000"/>
                <w:szCs w:val="22"/>
                <w:lang w:eastAsia="en-AU"/>
              </w:rPr>
            </w:pPr>
            <w:r w:rsidRPr="00384EB7">
              <w:rPr>
                <w:rFonts w:cs="Arial"/>
                <w:b/>
                <w:bCs/>
                <w:color w:val="000000"/>
                <w:szCs w:val="22"/>
                <w:lang w:eastAsia="en-AU"/>
              </w:rPr>
              <w:t>Total Expenditure</w:t>
            </w:r>
            <w:r w:rsidRPr="00384EB7">
              <w:rPr>
                <w:rFonts w:cs="Arial"/>
                <w:color w:val="000000"/>
                <w:szCs w:val="22"/>
                <w:lang w:eastAsia="en-AU"/>
              </w:rPr>
              <w:t> </w:t>
            </w:r>
          </w:p>
        </w:tc>
        <w:tc>
          <w:tcPr>
            <w:tcW w:w="1416" w:type="dxa"/>
            <w:tcBorders>
              <w:top w:val="nil"/>
              <w:left w:val="single" w:sz="4" w:space="0" w:color="auto"/>
              <w:bottom w:val="single" w:sz="4" w:space="0" w:color="auto"/>
              <w:right w:val="single" w:sz="4" w:space="0" w:color="auto"/>
            </w:tcBorders>
            <w:shd w:val="clear" w:color="000000" w:fill="D9D9D9"/>
            <w:vAlign w:val="center"/>
            <w:hideMark/>
          </w:tcPr>
          <w:p w14:paraId="7AE1C394" w14:textId="77777777" w:rsidR="00384EB7" w:rsidRPr="00384EB7" w:rsidRDefault="00384EB7" w:rsidP="00384EB7">
            <w:pPr>
              <w:spacing w:after="0" w:line="240" w:lineRule="auto"/>
              <w:jc w:val="right"/>
              <w:rPr>
                <w:rFonts w:cs="Arial"/>
                <w:b/>
                <w:bCs/>
                <w:szCs w:val="22"/>
                <w:lang w:eastAsia="en-AU"/>
              </w:rPr>
            </w:pPr>
            <w:r w:rsidRPr="00384EB7">
              <w:rPr>
                <w:rFonts w:cs="Arial"/>
                <w:b/>
                <w:bCs/>
                <w:szCs w:val="22"/>
                <w:lang w:eastAsia="en-AU"/>
              </w:rPr>
              <w:t>(70,302)</w:t>
            </w:r>
          </w:p>
        </w:tc>
        <w:tc>
          <w:tcPr>
            <w:tcW w:w="1583" w:type="dxa"/>
            <w:tcBorders>
              <w:top w:val="nil"/>
              <w:left w:val="single" w:sz="4" w:space="0" w:color="auto"/>
              <w:bottom w:val="single" w:sz="4" w:space="0" w:color="auto"/>
              <w:right w:val="single" w:sz="4" w:space="0" w:color="auto"/>
            </w:tcBorders>
            <w:shd w:val="clear" w:color="000000" w:fill="D9D9D9"/>
            <w:vAlign w:val="center"/>
            <w:hideMark/>
          </w:tcPr>
          <w:p w14:paraId="421906EB" w14:textId="77777777" w:rsidR="00384EB7" w:rsidRPr="00384EB7" w:rsidRDefault="00384EB7" w:rsidP="00384EB7">
            <w:pPr>
              <w:spacing w:after="0" w:line="240" w:lineRule="auto"/>
              <w:jc w:val="right"/>
              <w:rPr>
                <w:rFonts w:cs="Arial"/>
                <w:b/>
                <w:bCs/>
                <w:szCs w:val="22"/>
                <w:lang w:eastAsia="en-AU"/>
              </w:rPr>
            </w:pPr>
            <w:r w:rsidRPr="00384EB7">
              <w:rPr>
                <w:rFonts w:cs="Arial"/>
                <w:b/>
                <w:bCs/>
                <w:szCs w:val="22"/>
                <w:lang w:eastAsia="en-AU"/>
              </w:rPr>
              <w:t>(69,728)</w:t>
            </w:r>
          </w:p>
        </w:tc>
        <w:tc>
          <w:tcPr>
            <w:tcW w:w="1546" w:type="dxa"/>
            <w:tcBorders>
              <w:top w:val="nil"/>
              <w:left w:val="single" w:sz="4" w:space="0" w:color="auto"/>
              <w:bottom w:val="single" w:sz="4" w:space="0" w:color="auto"/>
              <w:right w:val="single" w:sz="4" w:space="0" w:color="auto"/>
            </w:tcBorders>
            <w:shd w:val="clear" w:color="000000" w:fill="D9D9D9"/>
            <w:vAlign w:val="center"/>
            <w:hideMark/>
          </w:tcPr>
          <w:p w14:paraId="552B2C7A" w14:textId="77777777" w:rsidR="00384EB7" w:rsidRPr="00384EB7" w:rsidRDefault="00384EB7" w:rsidP="00384EB7">
            <w:pPr>
              <w:spacing w:after="0" w:line="240" w:lineRule="auto"/>
              <w:jc w:val="right"/>
              <w:rPr>
                <w:rFonts w:cs="Arial"/>
                <w:b/>
                <w:bCs/>
                <w:szCs w:val="22"/>
                <w:lang w:eastAsia="en-AU"/>
              </w:rPr>
            </w:pPr>
            <w:r w:rsidRPr="00384EB7">
              <w:rPr>
                <w:rFonts w:cs="Arial"/>
                <w:b/>
                <w:bCs/>
                <w:szCs w:val="22"/>
                <w:lang w:eastAsia="en-AU"/>
              </w:rPr>
              <w:t>(83,389)</w:t>
            </w:r>
          </w:p>
        </w:tc>
      </w:tr>
    </w:tbl>
    <w:p w14:paraId="364166A5" w14:textId="10B196F1" w:rsidR="00E10C25" w:rsidRDefault="00E10C25" w:rsidP="007B58EB">
      <w:pPr>
        <w:spacing w:after="0" w:line="240" w:lineRule="auto"/>
        <w:rPr>
          <w:rFonts w:cs="Arial"/>
          <w:b/>
          <w:color w:val="000000" w:themeColor="text1"/>
          <w:sz w:val="28"/>
          <w:szCs w:val="28"/>
          <w:lang w:eastAsia="en-AU"/>
        </w:rPr>
      </w:pPr>
    </w:p>
    <w:p w14:paraId="33F5D090" w14:textId="77777777" w:rsidR="009C4B38" w:rsidRPr="00123404" w:rsidRDefault="009C4B38" w:rsidP="007B58EB">
      <w:pPr>
        <w:spacing w:after="0" w:line="240" w:lineRule="auto"/>
        <w:rPr>
          <w:rFonts w:cs="Arial"/>
          <w:b/>
          <w:color w:val="000000" w:themeColor="text1"/>
          <w:sz w:val="28"/>
          <w:szCs w:val="28"/>
          <w:lang w:eastAsia="en-AU"/>
        </w:rPr>
      </w:pPr>
    </w:p>
    <w:sectPr w:rsidR="009C4B38" w:rsidRPr="00123404" w:rsidSect="0039260E">
      <w:headerReference w:type="even" r:id="rId17"/>
      <w:headerReference w:type="default" r:id="rId18"/>
      <w:footerReference w:type="even" r:id="rId19"/>
      <w:footerReference w:type="default" r:id="rId20"/>
      <w:headerReference w:type="first" r:id="rId21"/>
      <w:footerReference w:type="first" r:id="rId22"/>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60D1E" w14:textId="77777777" w:rsidR="008F5CD1" w:rsidRDefault="008F5CD1">
      <w:pPr>
        <w:spacing w:after="0" w:line="240" w:lineRule="auto"/>
      </w:pPr>
      <w:r>
        <w:separator/>
      </w:r>
    </w:p>
  </w:endnote>
  <w:endnote w:type="continuationSeparator" w:id="0">
    <w:p w14:paraId="69288220" w14:textId="77777777" w:rsidR="008F5CD1" w:rsidRDefault="008F5CD1">
      <w:pPr>
        <w:spacing w:after="0" w:line="240" w:lineRule="auto"/>
      </w:pPr>
      <w:r>
        <w:continuationSeparator/>
      </w:r>
    </w:p>
  </w:endnote>
  <w:endnote w:type="continuationNotice" w:id="1">
    <w:p w14:paraId="0A4B762D" w14:textId="77777777" w:rsidR="008F5CD1" w:rsidRDefault="008F5C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EA587" w14:textId="77777777" w:rsidR="0095574A" w:rsidRDefault="0095574A" w:rsidP="003926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EC0D602" w14:textId="77777777" w:rsidR="0095574A" w:rsidRDefault="0095574A" w:rsidP="0039260E">
    <w:pPr>
      <w:pStyle w:val="Footer"/>
      <w:ind w:right="360" w:firstLine="360"/>
    </w:pPr>
  </w:p>
  <w:p w14:paraId="16DEB36A" w14:textId="77777777" w:rsidR="0095574A" w:rsidRDefault="0095574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B773" w14:textId="77777777" w:rsidR="0095574A"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0" behindDoc="0" locked="1" layoutInCell="1" allowOverlap="1" wp14:anchorId="07A85DE2" wp14:editId="61266657">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4822A84B">
            <v:line id="Line 3"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7FA54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45FC" w14:textId="77777777" w:rsidR="0095574A" w:rsidRPr="008636E1" w:rsidRDefault="0095574A" w:rsidP="0039260E">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5079D053" wp14:editId="6C39E275">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5C7B918F">
            <v:line id="Line 3"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805.95pt" to="581.15pt,805.95pt" w14:anchorId="53341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BACBA" w14:textId="77777777" w:rsidR="008F5CD1" w:rsidRDefault="008F5CD1">
      <w:pPr>
        <w:spacing w:after="0" w:line="240" w:lineRule="auto"/>
      </w:pPr>
      <w:r>
        <w:separator/>
      </w:r>
    </w:p>
  </w:footnote>
  <w:footnote w:type="continuationSeparator" w:id="0">
    <w:p w14:paraId="7722ECC3" w14:textId="77777777" w:rsidR="008F5CD1" w:rsidRDefault="008F5CD1">
      <w:pPr>
        <w:spacing w:after="0" w:line="240" w:lineRule="auto"/>
      </w:pPr>
      <w:r>
        <w:continuationSeparator/>
      </w:r>
    </w:p>
  </w:footnote>
  <w:footnote w:type="continuationNotice" w:id="1">
    <w:p w14:paraId="21521D79" w14:textId="77777777" w:rsidR="008F5CD1" w:rsidRDefault="008F5CD1">
      <w:pPr>
        <w:spacing w:after="0" w:line="240" w:lineRule="auto"/>
      </w:pPr>
    </w:p>
  </w:footnote>
  <w:footnote w:id="2">
    <w:p w14:paraId="393D1CF4" w14:textId="77777777" w:rsidR="005613DD" w:rsidRDefault="005613DD" w:rsidP="004175B7">
      <w:pPr>
        <w:pStyle w:val="FootnoteText"/>
      </w:pPr>
      <w:r>
        <w:rPr>
          <w:rStyle w:val="FootnoteReference"/>
        </w:rPr>
        <w:footnoteRef/>
      </w:r>
      <w:r>
        <w:t xml:space="preserve">A unique client is an individual who has accessed one or more of our legal services and a client lawyer relationship was formed. We count our unique clients the first time we see them in the year. This definition does not include those clients who received information over the phone or via our online web chat (Legal Help), from our website, in person at a court counter or those who attended one of our community legal education sessions.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F47CB" w14:textId="77777777" w:rsidR="0095574A" w:rsidRDefault="0095574A" w:rsidP="003926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42141A" w14:textId="77777777" w:rsidR="0095574A" w:rsidRDefault="0095574A" w:rsidP="0039260E">
    <w:pPr>
      <w:pStyle w:val="Header"/>
      <w:ind w:right="360"/>
    </w:pPr>
  </w:p>
  <w:p w14:paraId="250A3616" w14:textId="77777777" w:rsidR="0095574A" w:rsidRDefault="009557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57EE" w14:textId="77777777" w:rsidR="0095574A" w:rsidRPr="006A6FC6" w:rsidRDefault="0095574A" w:rsidP="0039260E">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2D7E2765" w14:textId="70E5A385" w:rsidR="0095574A" w:rsidRPr="00B42FDE" w:rsidRDefault="0095574A" w:rsidP="00CA2B34">
    <w:pPr>
      <w:spacing w:line="240" w:lineRule="auto"/>
      <w:ind w:left="-330"/>
      <w:rPr>
        <w:rFonts w:ascii="Arial Bold" w:hAnsi="Arial Bold" w:cs="Arial"/>
        <w:b/>
        <w:color w:val="B1005D"/>
        <w:sz w:val="18"/>
        <w:szCs w:val="18"/>
      </w:rPr>
    </w:pPr>
    <w:r>
      <w:rPr>
        <w:rFonts w:ascii="Arial Bold" w:hAnsi="Arial Bold" w:cs="Arial"/>
        <w:b/>
        <w:noProof/>
        <w:color w:val="B1005D"/>
        <w:sz w:val="18"/>
        <w:szCs w:val="18"/>
        <w:lang w:val="en-US"/>
      </w:rPr>
      <mc:AlternateContent>
        <mc:Choice Requires="wps">
          <w:drawing>
            <wp:anchor distT="0" distB="0" distL="114300" distR="114300" simplePos="0" relativeHeight="251658242" behindDoc="1" locked="1" layoutInCell="1" allowOverlap="1" wp14:anchorId="0C391D93" wp14:editId="063057E3">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http://schemas.openxmlformats.org/drawingml/2006/main" xmlns:a14="http://schemas.microsoft.com/office/drawing/2010/main">
          <w:pict w14:anchorId="5622B601">
            <v:line id="Straight Connector 3"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alt=" " o:spid="_x0000_s1026" strokecolor="#b1005d" strokeweight=".5pt" from="14.2pt,53.9pt" to="581.15pt,53.9pt" w14:anchorId="00CF4B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w10:wrap anchorx="page" anchory="page"/>
              <w10:anchorlock/>
            </v:line>
          </w:pict>
        </mc:Fallback>
      </mc:AlternateContent>
    </w:r>
    <w:r>
      <w:rPr>
        <w:rFonts w:ascii="Arial Bold" w:hAnsi="Arial Bold" w:cs="Arial"/>
        <w:b/>
        <w:color w:val="B1005D"/>
        <w:sz w:val="18"/>
        <w:szCs w:val="18"/>
      </w:rPr>
      <w:t>20</w:t>
    </w:r>
    <w:r w:rsidR="006B488D">
      <w:rPr>
        <w:rFonts w:ascii="Arial Bold" w:hAnsi="Arial Bold" w:cs="Arial"/>
        <w:b/>
        <w:color w:val="B1005D"/>
        <w:sz w:val="18"/>
        <w:szCs w:val="18"/>
      </w:rPr>
      <w:t>21</w:t>
    </w:r>
    <w:r>
      <w:rPr>
        <w:rFonts w:ascii="Arial Bold" w:hAnsi="Arial Bold" w:cs="Arial"/>
        <w:b/>
        <w:color w:val="B1005D"/>
        <w:sz w:val="18"/>
        <w:szCs w:val="18"/>
      </w:rPr>
      <w:t>–2</w:t>
    </w:r>
    <w:r w:rsidR="006B488D">
      <w:rPr>
        <w:rFonts w:ascii="Arial Bold" w:hAnsi="Arial Bold" w:cs="Arial"/>
        <w:b/>
        <w:color w:val="B1005D"/>
        <w:sz w:val="18"/>
        <w:szCs w:val="18"/>
      </w:rPr>
      <w:t>2</w:t>
    </w:r>
    <w:r>
      <w:rPr>
        <w:rFonts w:ascii="Arial Bold" w:hAnsi="Arial Bold" w:cs="Arial"/>
        <w:b/>
        <w:color w:val="B1005D"/>
        <w:sz w:val="18"/>
        <w:szCs w:val="18"/>
      </w:rPr>
      <w:t xml:space="preserve"> </w:t>
    </w:r>
    <w:r w:rsidR="0043371B">
      <w:rPr>
        <w:rFonts w:ascii="Arial Bold" w:hAnsi="Arial Bold" w:cs="Arial"/>
        <w:b/>
        <w:color w:val="B1005D"/>
        <w:sz w:val="18"/>
        <w:szCs w:val="18"/>
      </w:rPr>
      <w:t>Q</w:t>
    </w:r>
    <w:r>
      <w:rPr>
        <w:rFonts w:ascii="Arial Bold" w:hAnsi="Arial Bold" w:cs="Arial"/>
        <w:b/>
        <w:color w:val="B1005D"/>
        <w:sz w:val="18"/>
        <w:szCs w:val="18"/>
      </w:rPr>
      <w:t xml:space="preserve">uarter </w:t>
    </w:r>
    <w:r w:rsidR="0043371B">
      <w:rPr>
        <w:rFonts w:ascii="Arial Bold" w:hAnsi="Arial Bold" w:cs="Arial"/>
        <w:b/>
        <w:color w:val="B1005D"/>
        <w:sz w:val="18"/>
        <w:szCs w:val="18"/>
      </w:rPr>
      <w:t>T</w:t>
    </w:r>
    <w:r w:rsidR="00CA2B34">
      <w:rPr>
        <w:rFonts w:ascii="Arial Bold" w:hAnsi="Arial Bold" w:cs="Arial"/>
        <w:b/>
        <w:color w:val="B1005D"/>
        <w:sz w:val="18"/>
        <w:szCs w:val="18"/>
      </w:rPr>
      <w:t>hree</w:t>
    </w:r>
    <w:r>
      <w:rPr>
        <w:rFonts w:ascii="Arial Bold" w:hAnsi="Arial Bold" w:cs="Arial"/>
        <w:b/>
        <w:color w:val="B1005D"/>
        <w:sz w:val="18"/>
        <w:szCs w:val="18"/>
      </w:rPr>
      <w:t xml:space="preserve"> </w:t>
    </w:r>
    <w:r w:rsidR="0043371B">
      <w:rPr>
        <w:rFonts w:ascii="Arial Bold" w:hAnsi="Arial Bold" w:cs="Arial"/>
        <w:b/>
        <w:color w:val="B1005D"/>
        <w:sz w:val="18"/>
        <w:szCs w:val="18"/>
      </w:rPr>
      <w:t>R</w:t>
    </w:r>
    <w:r>
      <w:rPr>
        <w:rFonts w:ascii="Arial Bold" w:hAnsi="Arial Bold" w:cs="Arial"/>
        <w:b/>
        <w:color w:val="B1005D"/>
        <w:sz w:val="18"/>
        <w:szCs w:val="18"/>
      </w:rPr>
      <w:t xml:space="preserve">eport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3DE2" w14:textId="77777777" w:rsidR="0095574A" w:rsidRPr="00833658" w:rsidRDefault="0095574A" w:rsidP="0039260E">
    <w:pPr>
      <w:pStyle w:val="VLAProgram"/>
      <w:pBdr>
        <w:bottom w:val="none" w:sz="0" w:space="0" w:color="auto"/>
      </w:pBdr>
      <w:rPr>
        <w:color w:val="FFFFFF" w:themeColor="background1"/>
      </w:rPr>
    </w:pPr>
    <w:r>
      <w:rPr>
        <w:noProof/>
        <w:lang w:val="en-US"/>
      </w:rPr>
      <w:drawing>
        <wp:anchor distT="0" distB="0" distL="114300" distR="114300" simplePos="0" relativeHeight="251658243" behindDoc="1" locked="0" layoutInCell="1" allowOverlap="1" wp14:anchorId="1930FD23" wp14:editId="076BDFEA">
          <wp:simplePos x="0" y="0"/>
          <wp:positionH relativeFrom="column">
            <wp:posOffset>-389129</wp:posOffset>
          </wp:positionH>
          <wp:positionV relativeFrom="paragraph">
            <wp:posOffset>-3359</wp:posOffset>
          </wp:positionV>
          <wp:extent cx="7199983" cy="1257140"/>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stretch>
                    <a:fillRect/>
                  </a:stretch>
                </pic:blipFill>
                <pic:spPr>
                  <a:xfrm>
                    <a:off x="0" y="0"/>
                    <a:ext cx="7199983" cy="1257140"/>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D590282" w14:textId="77777777" w:rsidR="0095574A" w:rsidRPr="00D82005" w:rsidRDefault="0095574A" w:rsidP="0039260E">
    <w:pPr>
      <w:pStyle w:val="VLAPublicationdate"/>
      <w:spacing w:before="240" w:after="1200"/>
    </w:pPr>
  </w:p>
</w:hdr>
</file>

<file path=word/intelligence2.xml><?xml version="1.0" encoding="utf-8"?>
<int2:intelligence xmlns:int2="http://schemas.microsoft.com/office/intelligence/2020/intelligence" xmlns:oel="http://schemas.microsoft.com/office/2019/extlst">
  <int2:observations>
    <int2:bookmark int2:bookmarkName="_Int_96qJgkDQ" int2:invalidationBookmarkName="" int2:hashCode="LNdIS8GxX8z/gi" int2:id="qw0p3TkY">
      <int2:state int2:value="Rejected" int2:type="LegacyProofing"/>
    </int2:bookmark>
    <int2:bookmark int2:bookmarkName="_Int_ePcnO6ZV" int2:invalidationBookmarkName="" int2:hashCode="LNdIS8GxX8z/gi" int2:id="rXa05NGL">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E4E4B7D8"/>
    <w:lvl w:ilvl="0" w:tplc="73E46E96">
      <w:start w:val="1"/>
      <w:numFmt w:val="decimal"/>
      <w:pStyle w:val="ListNumber4"/>
      <w:lvlText w:val="%1."/>
      <w:lvlJc w:val="left"/>
      <w:pPr>
        <w:tabs>
          <w:tab w:val="num" w:pos="1209"/>
        </w:tabs>
        <w:ind w:left="1209" w:hanging="360"/>
      </w:pPr>
    </w:lvl>
    <w:lvl w:ilvl="1" w:tplc="F4FCF986">
      <w:numFmt w:val="decimal"/>
      <w:lvlText w:val=""/>
      <w:lvlJc w:val="left"/>
    </w:lvl>
    <w:lvl w:ilvl="2" w:tplc="48A43150">
      <w:numFmt w:val="decimal"/>
      <w:lvlText w:val=""/>
      <w:lvlJc w:val="left"/>
    </w:lvl>
    <w:lvl w:ilvl="3" w:tplc="35883310">
      <w:numFmt w:val="decimal"/>
      <w:lvlText w:val=""/>
      <w:lvlJc w:val="left"/>
    </w:lvl>
    <w:lvl w:ilvl="4" w:tplc="6A023E80">
      <w:numFmt w:val="decimal"/>
      <w:lvlText w:val=""/>
      <w:lvlJc w:val="left"/>
    </w:lvl>
    <w:lvl w:ilvl="5" w:tplc="418629C2">
      <w:numFmt w:val="decimal"/>
      <w:lvlText w:val=""/>
      <w:lvlJc w:val="left"/>
    </w:lvl>
    <w:lvl w:ilvl="6" w:tplc="6D3AEB9C">
      <w:numFmt w:val="decimal"/>
      <w:lvlText w:val=""/>
      <w:lvlJc w:val="left"/>
    </w:lvl>
    <w:lvl w:ilvl="7" w:tplc="602E60F6">
      <w:numFmt w:val="decimal"/>
      <w:lvlText w:val=""/>
      <w:lvlJc w:val="left"/>
    </w:lvl>
    <w:lvl w:ilvl="8" w:tplc="374E3D58">
      <w:numFmt w:val="decimal"/>
      <w:lvlText w:val=""/>
      <w:lvlJc w:val="left"/>
    </w:lvl>
  </w:abstractNum>
  <w:abstractNum w:abstractNumId="2" w15:restartNumberingAfterBreak="0">
    <w:nsid w:val="FFFFFF7E"/>
    <w:multiLevelType w:val="hybridMultilevel"/>
    <w:tmpl w:val="17E2918E"/>
    <w:lvl w:ilvl="0" w:tplc="D0723CC8">
      <w:start w:val="1"/>
      <w:numFmt w:val="decimal"/>
      <w:pStyle w:val="ListNumber3"/>
      <w:lvlText w:val="%1."/>
      <w:lvlJc w:val="left"/>
      <w:pPr>
        <w:tabs>
          <w:tab w:val="num" w:pos="926"/>
        </w:tabs>
        <w:ind w:left="926" w:hanging="360"/>
      </w:pPr>
    </w:lvl>
    <w:lvl w:ilvl="1" w:tplc="5992BFA0">
      <w:numFmt w:val="decimal"/>
      <w:lvlText w:val=""/>
      <w:lvlJc w:val="left"/>
    </w:lvl>
    <w:lvl w:ilvl="2" w:tplc="DA9E63D0">
      <w:numFmt w:val="decimal"/>
      <w:lvlText w:val=""/>
      <w:lvlJc w:val="left"/>
    </w:lvl>
    <w:lvl w:ilvl="3" w:tplc="BEC2D02C">
      <w:numFmt w:val="decimal"/>
      <w:lvlText w:val=""/>
      <w:lvlJc w:val="left"/>
    </w:lvl>
    <w:lvl w:ilvl="4" w:tplc="DBF296A6">
      <w:numFmt w:val="decimal"/>
      <w:lvlText w:val=""/>
      <w:lvlJc w:val="left"/>
    </w:lvl>
    <w:lvl w:ilvl="5" w:tplc="C5AAB8A0">
      <w:numFmt w:val="decimal"/>
      <w:lvlText w:val=""/>
      <w:lvlJc w:val="left"/>
    </w:lvl>
    <w:lvl w:ilvl="6" w:tplc="56567B98">
      <w:numFmt w:val="decimal"/>
      <w:lvlText w:val=""/>
      <w:lvlJc w:val="left"/>
    </w:lvl>
    <w:lvl w:ilvl="7" w:tplc="D6389F8E">
      <w:numFmt w:val="decimal"/>
      <w:lvlText w:val=""/>
      <w:lvlJc w:val="left"/>
    </w:lvl>
    <w:lvl w:ilvl="8" w:tplc="B3C666DA">
      <w:numFmt w:val="decimal"/>
      <w:lvlText w:val=""/>
      <w:lvlJc w:val="left"/>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multilevel"/>
    <w:tmpl w:val="90208B5E"/>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CC242A42"/>
    <w:lvl w:ilvl="0">
      <w:start w:val="1"/>
      <w:numFmt w:val="bullet"/>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992489BC"/>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E4B47836"/>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multilevel"/>
    <w:tmpl w:val="C3A653E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93E72"/>
    <w:multiLevelType w:val="hybridMultilevel"/>
    <w:tmpl w:val="968C0D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029DB"/>
    <w:multiLevelType w:val="hybridMultilevel"/>
    <w:tmpl w:val="E812C0F0"/>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12"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CE295D"/>
    <w:multiLevelType w:val="hybridMultilevel"/>
    <w:tmpl w:val="045C9124"/>
    <w:lvl w:ilvl="0" w:tplc="145098B6">
      <w:start w:val="1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A242923"/>
    <w:multiLevelType w:val="multilevel"/>
    <w:tmpl w:val="D752E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444B02"/>
    <w:multiLevelType w:val="hybridMultilevel"/>
    <w:tmpl w:val="FFFFFFFF"/>
    <w:lvl w:ilvl="0" w:tplc="94E8FCC0">
      <w:start w:val="1"/>
      <w:numFmt w:val="bullet"/>
      <w:lvlText w:val=""/>
      <w:lvlJc w:val="left"/>
      <w:pPr>
        <w:ind w:left="720" w:hanging="360"/>
      </w:pPr>
      <w:rPr>
        <w:rFonts w:ascii="Symbol" w:hAnsi="Symbol" w:hint="default"/>
      </w:rPr>
    </w:lvl>
    <w:lvl w:ilvl="1" w:tplc="F6AA9DA6">
      <w:start w:val="1"/>
      <w:numFmt w:val="bullet"/>
      <w:lvlText w:val="o"/>
      <w:lvlJc w:val="left"/>
      <w:pPr>
        <w:ind w:left="1440" w:hanging="360"/>
      </w:pPr>
      <w:rPr>
        <w:rFonts w:ascii="Courier New" w:hAnsi="Courier New" w:hint="default"/>
      </w:rPr>
    </w:lvl>
    <w:lvl w:ilvl="2" w:tplc="87CE8542">
      <w:start w:val="1"/>
      <w:numFmt w:val="bullet"/>
      <w:lvlText w:val=""/>
      <w:lvlJc w:val="left"/>
      <w:pPr>
        <w:ind w:left="2160" w:hanging="360"/>
      </w:pPr>
      <w:rPr>
        <w:rFonts w:ascii="Wingdings" w:hAnsi="Wingdings" w:hint="default"/>
      </w:rPr>
    </w:lvl>
    <w:lvl w:ilvl="3" w:tplc="D3445782">
      <w:start w:val="1"/>
      <w:numFmt w:val="bullet"/>
      <w:lvlText w:val=""/>
      <w:lvlJc w:val="left"/>
      <w:pPr>
        <w:ind w:left="2880" w:hanging="360"/>
      </w:pPr>
      <w:rPr>
        <w:rFonts w:ascii="Symbol" w:hAnsi="Symbol" w:hint="default"/>
      </w:rPr>
    </w:lvl>
    <w:lvl w:ilvl="4" w:tplc="B2749A82">
      <w:start w:val="1"/>
      <w:numFmt w:val="bullet"/>
      <w:lvlText w:val="o"/>
      <w:lvlJc w:val="left"/>
      <w:pPr>
        <w:ind w:left="3600" w:hanging="360"/>
      </w:pPr>
      <w:rPr>
        <w:rFonts w:ascii="Courier New" w:hAnsi="Courier New" w:hint="default"/>
      </w:rPr>
    </w:lvl>
    <w:lvl w:ilvl="5" w:tplc="0FFEDF98">
      <w:start w:val="1"/>
      <w:numFmt w:val="bullet"/>
      <w:lvlText w:val=""/>
      <w:lvlJc w:val="left"/>
      <w:pPr>
        <w:ind w:left="4320" w:hanging="360"/>
      </w:pPr>
      <w:rPr>
        <w:rFonts w:ascii="Wingdings" w:hAnsi="Wingdings" w:hint="default"/>
      </w:rPr>
    </w:lvl>
    <w:lvl w:ilvl="6" w:tplc="7DB02CF4">
      <w:start w:val="1"/>
      <w:numFmt w:val="bullet"/>
      <w:lvlText w:val=""/>
      <w:lvlJc w:val="left"/>
      <w:pPr>
        <w:ind w:left="5040" w:hanging="360"/>
      </w:pPr>
      <w:rPr>
        <w:rFonts w:ascii="Symbol" w:hAnsi="Symbol" w:hint="default"/>
      </w:rPr>
    </w:lvl>
    <w:lvl w:ilvl="7" w:tplc="1206B228">
      <w:start w:val="1"/>
      <w:numFmt w:val="bullet"/>
      <w:lvlText w:val="o"/>
      <w:lvlJc w:val="left"/>
      <w:pPr>
        <w:ind w:left="5760" w:hanging="360"/>
      </w:pPr>
      <w:rPr>
        <w:rFonts w:ascii="Courier New" w:hAnsi="Courier New" w:hint="default"/>
      </w:rPr>
    </w:lvl>
    <w:lvl w:ilvl="8" w:tplc="57167492">
      <w:start w:val="1"/>
      <w:numFmt w:val="bullet"/>
      <w:lvlText w:val=""/>
      <w:lvlJc w:val="left"/>
      <w:pPr>
        <w:ind w:left="6480" w:hanging="360"/>
      </w:pPr>
      <w:rPr>
        <w:rFonts w:ascii="Wingdings" w:hAnsi="Wingdings" w:hint="default"/>
      </w:rPr>
    </w:lvl>
  </w:abstractNum>
  <w:abstractNum w:abstractNumId="17" w15:restartNumberingAfterBreak="0">
    <w:nsid w:val="43E72683"/>
    <w:multiLevelType w:val="hybridMultilevel"/>
    <w:tmpl w:val="30127892"/>
    <w:lvl w:ilvl="0" w:tplc="E558ED6A">
      <w:start w:val="1"/>
      <w:numFmt w:val="bullet"/>
      <w:lvlText w:val="•"/>
      <w:lvlJc w:val="left"/>
      <w:pPr>
        <w:tabs>
          <w:tab w:val="num" w:pos="720"/>
        </w:tabs>
        <w:ind w:left="720" w:hanging="360"/>
      </w:pPr>
      <w:rPr>
        <w:rFonts w:ascii="Arial" w:hAnsi="Arial" w:hint="default"/>
      </w:rPr>
    </w:lvl>
    <w:lvl w:ilvl="1" w:tplc="B52ABB78" w:tentative="1">
      <w:start w:val="1"/>
      <w:numFmt w:val="bullet"/>
      <w:lvlText w:val="•"/>
      <w:lvlJc w:val="left"/>
      <w:pPr>
        <w:tabs>
          <w:tab w:val="num" w:pos="1440"/>
        </w:tabs>
        <w:ind w:left="1440" w:hanging="360"/>
      </w:pPr>
      <w:rPr>
        <w:rFonts w:ascii="Arial" w:hAnsi="Arial" w:hint="default"/>
      </w:rPr>
    </w:lvl>
    <w:lvl w:ilvl="2" w:tplc="8888445E" w:tentative="1">
      <w:start w:val="1"/>
      <w:numFmt w:val="bullet"/>
      <w:lvlText w:val="•"/>
      <w:lvlJc w:val="left"/>
      <w:pPr>
        <w:tabs>
          <w:tab w:val="num" w:pos="2160"/>
        </w:tabs>
        <w:ind w:left="2160" w:hanging="360"/>
      </w:pPr>
      <w:rPr>
        <w:rFonts w:ascii="Arial" w:hAnsi="Arial" w:hint="default"/>
      </w:rPr>
    </w:lvl>
    <w:lvl w:ilvl="3" w:tplc="2576843A" w:tentative="1">
      <w:start w:val="1"/>
      <w:numFmt w:val="bullet"/>
      <w:lvlText w:val="•"/>
      <w:lvlJc w:val="left"/>
      <w:pPr>
        <w:tabs>
          <w:tab w:val="num" w:pos="2880"/>
        </w:tabs>
        <w:ind w:left="2880" w:hanging="360"/>
      </w:pPr>
      <w:rPr>
        <w:rFonts w:ascii="Arial" w:hAnsi="Arial" w:hint="default"/>
      </w:rPr>
    </w:lvl>
    <w:lvl w:ilvl="4" w:tplc="2A4E5F3E" w:tentative="1">
      <w:start w:val="1"/>
      <w:numFmt w:val="bullet"/>
      <w:lvlText w:val="•"/>
      <w:lvlJc w:val="left"/>
      <w:pPr>
        <w:tabs>
          <w:tab w:val="num" w:pos="3600"/>
        </w:tabs>
        <w:ind w:left="3600" w:hanging="360"/>
      </w:pPr>
      <w:rPr>
        <w:rFonts w:ascii="Arial" w:hAnsi="Arial" w:hint="default"/>
      </w:rPr>
    </w:lvl>
    <w:lvl w:ilvl="5" w:tplc="488C7BE2" w:tentative="1">
      <w:start w:val="1"/>
      <w:numFmt w:val="bullet"/>
      <w:lvlText w:val="•"/>
      <w:lvlJc w:val="left"/>
      <w:pPr>
        <w:tabs>
          <w:tab w:val="num" w:pos="4320"/>
        </w:tabs>
        <w:ind w:left="4320" w:hanging="360"/>
      </w:pPr>
      <w:rPr>
        <w:rFonts w:ascii="Arial" w:hAnsi="Arial" w:hint="default"/>
      </w:rPr>
    </w:lvl>
    <w:lvl w:ilvl="6" w:tplc="0DBC53F2" w:tentative="1">
      <w:start w:val="1"/>
      <w:numFmt w:val="bullet"/>
      <w:lvlText w:val="•"/>
      <w:lvlJc w:val="left"/>
      <w:pPr>
        <w:tabs>
          <w:tab w:val="num" w:pos="5040"/>
        </w:tabs>
        <w:ind w:left="5040" w:hanging="360"/>
      </w:pPr>
      <w:rPr>
        <w:rFonts w:ascii="Arial" w:hAnsi="Arial" w:hint="default"/>
      </w:rPr>
    </w:lvl>
    <w:lvl w:ilvl="7" w:tplc="EB768B9E" w:tentative="1">
      <w:start w:val="1"/>
      <w:numFmt w:val="bullet"/>
      <w:lvlText w:val="•"/>
      <w:lvlJc w:val="left"/>
      <w:pPr>
        <w:tabs>
          <w:tab w:val="num" w:pos="5760"/>
        </w:tabs>
        <w:ind w:left="5760" w:hanging="360"/>
      </w:pPr>
      <w:rPr>
        <w:rFonts w:ascii="Arial" w:hAnsi="Arial" w:hint="default"/>
      </w:rPr>
    </w:lvl>
    <w:lvl w:ilvl="8" w:tplc="CB56570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3F542E8"/>
    <w:multiLevelType w:val="hybridMultilevel"/>
    <w:tmpl w:val="8AD0B962"/>
    <w:lvl w:ilvl="0" w:tplc="99362B76">
      <w:start w:val="1"/>
      <w:numFmt w:val="bullet"/>
      <w:pStyle w:val="Bullet1"/>
      <w:lvlText w:val=""/>
      <w:lvlJc w:val="left"/>
      <w:pPr>
        <w:ind w:left="720" w:hanging="360"/>
      </w:pPr>
      <w:rPr>
        <w:rFonts w:ascii="Symbol" w:hAnsi="Symbol" w:hint="default"/>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642531"/>
    <w:multiLevelType w:val="hybridMultilevel"/>
    <w:tmpl w:val="29143024"/>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1"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2" w15:restartNumberingAfterBreak="0">
    <w:nsid w:val="5292798C"/>
    <w:multiLevelType w:val="hybridMultilevel"/>
    <w:tmpl w:val="79DEA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4" w15:restartNumberingAfterBreak="0">
    <w:nsid w:val="639E6D05"/>
    <w:multiLevelType w:val="hybridMultilevel"/>
    <w:tmpl w:val="64908578"/>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B5492F"/>
    <w:multiLevelType w:val="hybridMultilevel"/>
    <w:tmpl w:val="3A4A7F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7" w15:restartNumberingAfterBreak="0">
    <w:nsid w:val="7B472774"/>
    <w:multiLevelType w:val="hybridMultilevel"/>
    <w:tmpl w:val="97F06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F76201C"/>
    <w:multiLevelType w:val="hybridMultilevel"/>
    <w:tmpl w:val="1E54F8FE"/>
    <w:lvl w:ilvl="0" w:tplc="C66CD07C">
      <w:start w:val="1"/>
      <w:numFmt w:val="bullet"/>
      <w:lvlText w:val=""/>
      <w:lvlJc w:val="left"/>
      <w:pPr>
        <w:ind w:left="720" w:hanging="360"/>
      </w:pPr>
      <w:rPr>
        <w:rFonts w:ascii="Symbol" w:hAnsi="Symbol" w:hint="default"/>
      </w:rPr>
    </w:lvl>
    <w:lvl w:ilvl="1" w:tplc="BA7003E2">
      <w:start w:val="1"/>
      <w:numFmt w:val="bullet"/>
      <w:lvlText w:val="o"/>
      <w:lvlJc w:val="left"/>
      <w:pPr>
        <w:ind w:left="1440" w:hanging="360"/>
      </w:pPr>
      <w:rPr>
        <w:rFonts w:ascii="Courier New" w:hAnsi="Courier New" w:hint="default"/>
      </w:rPr>
    </w:lvl>
    <w:lvl w:ilvl="2" w:tplc="4C7CB3F2">
      <w:start w:val="1"/>
      <w:numFmt w:val="bullet"/>
      <w:lvlText w:val=""/>
      <w:lvlJc w:val="left"/>
      <w:pPr>
        <w:ind w:left="2160" w:hanging="360"/>
      </w:pPr>
      <w:rPr>
        <w:rFonts w:ascii="Wingdings" w:hAnsi="Wingdings" w:hint="default"/>
      </w:rPr>
    </w:lvl>
    <w:lvl w:ilvl="3" w:tplc="E274105C">
      <w:start w:val="1"/>
      <w:numFmt w:val="bullet"/>
      <w:lvlText w:val=""/>
      <w:lvlJc w:val="left"/>
      <w:pPr>
        <w:ind w:left="2880" w:hanging="360"/>
      </w:pPr>
      <w:rPr>
        <w:rFonts w:ascii="Symbol" w:hAnsi="Symbol" w:hint="default"/>
      </w:rPr>
    </w:lvl>
    <w:lvl w:ilvl="4" w:tplc="ECD404E0">
      <w:start w:val="1"/>
      <w:numFmt w:val="bullet"/>
      <w:lvlText w:val="o"/>
      <w:lvlJc w:val="left"/>
      <w:pPr>
        <w:ind w:left="3600" w:hanging="360"/>
      </w:pPr>
      <w:rPr>
        <w:rFonts w:ascii="Courier New" w:hAnsi="Courier New" w:hint="default"/>
      </w:rPr>
    </w:lvl>
    <w:lvl w:ilvl="5" w:tplc="6DBC5D52">
      <w:start w:val="1"/>
      <w:numFmt w:val="bullet"/>
      <w:lvlText w:val=""/>
      <w:lvlJc w:val="left"/>
      <w:pPr>
        <w:ind w:left="4320" w:hanging="360"/>
      </w:pPr>
      <w:rPr>
        <w:rFonts w:ascii="Wingdings" w:hAnsi="Wingdings" w:hint="default"/>
      </w:rPr>
    </w:lvl>
    <w:lvl w:ilvl="6" w:tplc="758C0DDA">
      <w:start w:val="1"/>
      <w:numFmt w:val="bullet"/>
      <w:lvlText w:val=""/>
      <w:lvlJc w:val="left"/>
      <w:pPr>
        <w:ind w:left="5040" w:hanging="360"/>
      </w:pPr>
      <w:rPr>
        <w:rFonts w:ascii="Symbol" w:hAnsi="Symbol" w:hint="default"/>
      </w:rPr>
    </w:lvl>
    <w:lvl w:ilvl="7" w:tplc="CABC2D36">
      <w:start w:val="1"/>
      <w:numFmt w:val="bullet"/>
      <w:lvlText w:val="o"/>
      <w:lvlJc w:val="left"/>
      <w:pPr>
        <w:ind w:left="5760" w:hanging="360"/>
      </w:pPr>
      <w:rPr>
        <w:rFonts w:ascii="Courier New" w:hAnsi="Courier New" w:hint="default"/>
      </w:rPr>
    </w:lvl>
    <w:lvl w:ilvl="8" w:tplc="DD1C0C44">
      <w:start w:val="1"/>
      <w:numFmt w:val="bullet"/>
      <w:lvlText w:val=""/>
      <w:lvlJc w:val="left"/>
      <w:pPr>
        <w:ind w:left="6480" w:hanging="360"/>
      </w:pPr>
      <w:rPr>
        <w:rFonts w:ascii="Wingdings" w:hAnsi="Wingdings" w:hint="default"/>
      </w:rPr>
    </w:lvl>
  </w:abstractNum>
  <w:num w:numId="1" w16cid:durableId="1994602370">
    <w:abstractNumId w:val="28"/>
  </w:num>
  <w:num w:numId="2" w16cid:durableId="1140196726">
    <w:abstractNumId w:val="19"/>
  </w:num>
  <w:num w:numId="3" w16cid:durableId="822353593">
    <w:abstractNumId w:val="9"/>
  </w:num>
  <w:num w:numId="4" w16cid:durableId="520584076">
    <w:abstractNumId w:val="12"/>
  </w:num>
  <w:num w:numId="5" w16cid:durableId="2135365833">
    <w:abstractNumId w:val="7"/>
  </w:num>
  <w:num w:numId="6" w16cid:durableId="1576814054">
    <w:abstractNumId w:val="23"/>
  </w:num>
  <w:num w:numId="7" w16cid:durableId="1722829693">
    <w:abstractNumId w:val="6"/>
  </w:num>
  <w:num w:numId="8" w16cid:durableId="480081476">
    <w:abstractNumId w:val="23"/>
  </w:num>
  <w:num w:numId="9" w16cid:durableId="1699164508">
    <w:abstractNumId w:val="5"/>
  </w:num>
  <w:num w:numId="10" w16cid:durableId="1336759256">
    <w:abstractNumId w:val="4"/>
  </w:num>
  <w:num w:numId="11" w16cid:durableId="1555044982">
    <w:abstractNumId w:val="4"/>
  </w:num>
  <w:num w:numId="12" w16cid:durableId="258102137">
    <w:abstractNumId w:val="8"/>
  </w:num>
  <w:num w:numId="13" w16cid:durableId="1123040596">
    <w:abstractNumId w:val="8"/>
  </w:num>
  <w:num w:numId="14" w16cid:durableId="325591201">
    <w:abstractNumId w:val="3"/>
  </w:num>
  <w:num w:numId="15" w16cid:durableId="1016467721">
    <w:abstractNumId w:val="3"/>
  </w:num>
  <w:num w:numId="16" w16cid:durableId="400568475">
    <w:abstractNumId w:val="2"/>
  </w:num>
  <w:num w:numId="17" w16cid:durableId="1732146526">
    <w:abstractNumId w:val="2"/>
  </w:num>
  <w:num w:numId="18" w16cid:durableId="1013999510">
    <w:abstractNumId w:val="1"/>
  </w:num>
  <w:num w:numId="19" w16cid:durableId="1586763027">
    <w:abstractNumId w:val="1"/>
  </w:num>
  <w:num w:numId="20" w16cid:durableId="1457791110">
    <w:abstractNumId w:val="0"/>
  </w:num>
  <w:num w:numId="21" w16cid:durableId="190654448">
    <w:abstractNumId w:val="0"/>
  </w:num>
  <w:num w:numId="22" w16cid:durableId="448670820">
    <w:abstractNumId w:val="21"/>
  </w:num>
  <w:num w:numId="23" w16cid:durableId="371998315">
    <w:abstractNumId w:val="21"/>
  </w:num>
  <w:num w:numId="24" w16cid:durableId="1131747948">
    <w:abstractNumId w:val="13"/>
  </w:num>
  <w:num w:numId="25" w16cid:durableId="322588212">
    <w:abstractNumId w:val="26"/>
  </w:num>
  <w:num w:numId="26" w16cid:durableId="1639460156">
    <w:abstractNumId w:val="18"/>
  </w:num>
  <w:num w:numId="27" w16cid:durableId="1747265541">
    <w:abstractNumId w:val="22"/>
  </w:num>
  <w:num w:numId="28" w16cid:durableId="1519194673">
    <w:abstractNumId w:val="27"/>
  </w:num>
  <w:num w:numId="29" w16cid:durableId="2087847077">
    <w:abstractNumId w:val="20"/>
  </w:num>
  <w:num w:numId="30" w16cid:durableId="268854895">
    <w:abstractNumId w:val="11"/>
  </w:num>
  <w:num w:numId="31" w16cid:durableId="1601331456">
    <w:abstractNumId w:val="16"/>
  </w:num>
  <w:num w:numId="32" w16cid:durableId="260376063">
    <w:abstractNumId w:val="25"/>
  </w:num>
  <w:num w:numId="33" w16cid:durableId="1916619877">
    <w:abstractNumId w:val="14"/>
  </w:num>
  <w:num w:numId="34" w16cid:durableId="1158302233">
    <w:abstractNumId w:val="17"/>
  </w:num>
  <w:num w:numId="35" w16cid:durableId="1197347633">
    <w:abstractNumId w:val="24"/>
  </w:num>
  <w:num w:numId="36" w16cid:durableId="1027369366">
    <w:abstractNumId w:val="15"/>
  </w:num>
  <w:num w:numId="37" w16cid:durableId="14389844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MTcztTQ2MjAwNzNQ0lEKTi0uzszPAykwrQUA5eiycSwAAAA="/>
  </w:docVars>
  <w:rsids>
    <w:rsidRoot w:val="004175B7"/>
    <w:rsid w:val="0000020D"/>
    <w:rsid w:val="00000BAF"/>
    <w:rsid w:val="000011C6"/>
    <w:rsid w:val="00001AA9"/>
    <w:rsid w:val="000023C4"/>
    <w:rsid w:val="000027B7"/>
    <w:rsid w:val="00002950"/>
    <w:rsid w:val="000036A6"/>
    <w:rsid w:val="0000378A"/>
    <w:rsid w:val="000038D1"/>
    <w:rsid w:val="0000441F"/>
    <w:rsid w:val="000044DC"/>
    <w:rsid w:val="00004CE9"/>
    <w:rsid w:val="00004D17"/>
    <w:rsid w:val="00004F3D"/>
    <w:rsid w:val="000055D7"/>
    <w:rsid w:val="00005AE6"/>
    <w:rsid w:val="00005D79"/>
    <w:rsid w:val="00006274"/>
    <w:rsid w:val="000063FE"/>
    <w:rsid w:val="00006CCF"/>
    <w:rsid w:val="00006EAD"/>
    <w:rsid w:val="00007FD6"/>
    <w:rsid w:val="00010B52"/>
    <w:rsid w:val="00010B80"/>
    <w:rsid w:val="00012FC1"/>
    <w:rsid w:val="000138CA"/>
    <w:rsid w:val="000141D8"/>
    <w:rsid w:val="000161A6"/>
    <w:rsid w:val="00016454"/>
    <w:rsid w:val="000170AE"/>
    <w:rsid w:val="0001721A"/>
    <w:rsid w:val="00017518"/>
    <w:rsid w:val="000175F6"/>
    <w:rsid w:val="00017EC1"/>
    <w:rsid w:val="00020766"/>
    <w:rsid w:val="00020994"/>
    <w:rsid w:val="00020C6D"/>
    <w:rsid w:val="00020D22"/>
    <w:rsid w:val="00021293"/>
    <w:rsid w:val="00021580"/>
    <w:rsid w:val="00021B72"/>
    <w:rsid w:val="00021B97"/>
    <w:rsid w:val="00022542"/>
    <w:rsid w:val="0002304F"/>
    <w:rsid w:val="000230A2"/>
    <w:rsid w:val="00023379"/>
    <w:rsid w:val="000236FD"/>
    <w:rsid w:val="00023F89"/>
    <w:rsid w:val="000242B6"/>
    <w:rsid w:val="00024FD4"/>
    <w:rsid w:val="00025EB0"/>
    <w:rsid w:val="000262DD"/>
    <w:rsid w:val="00026D4A"/>
    <w:rsid w:val="0002736E"/>
    <w:rsid w:val="00027BEB"/>
    <w:rsid w:val="00031F8B"/>
    <w:rsid w:val="00033AE9"/>
    <w:rsid w:val="00033B72"/>
    <w:rsid w:val="00034264"/>
    <w:rsid w:val="0003486A"/>
    <w:rsid w:val="00036024"/>
    <w:rsid w:val="000401FE"/>
    <w:rsid w:val="000410CD"/>
    <w:rsid w:val="00043D3D"/>
    <w:rsid w:val="00045921"/>
    <w:rsid w:val="00045B31"/>
    <w:rsid w:val="00045D7C"/>
    <w:rsid w:val="00045DA3"/>
    <w:rsid w:val="0004612D"/>
    <w:rsid w:val="000464B3"/>
    <w:rsid w:val="00046677"/>
    <w:rsid w:val="000474AE"/>
    <w:rsid w:val="0005014C"/>
    <w:rsid w:val="00050188"/>
    <w:rsid w:val="00050C7A"/>
    <w:rsid w:val="0005119B"/>
    <w:rsid w:val="00051A01"/>
    <w:rsid w:val="00051DEF"/>
    <w:rsid w:val="00053293"/>
    <w:rsid w:val="00053FE2"/>
    <w:rsid w:val="00054928"/>
    <w:rsid w:val="00055CFB"/>
    <w:rsid w:val="00055DBF"/>
    <w:rsid w:val="0005677C"/>
    <w:rsid w:val="00056A93"/>
    <w:rsid w:val="00056E86"/>
    <w:rsid w:val="00057F46"/>
    <w:rsid w:val="0006012E"/>
    <w:rsid w:val="000604A2"/>
    <w:rsid w:val="000605FF"/>
    <w:rsid w:val="00060C67"/>
    <w:rsid w:val="00062825"/>
    <w:rsid w:val="000631DD"/>
    <w:rsid w:val="00063341"/>
    <w:rsid w:val="00063941"/>
    <w:rsid w:val="00063EF9"/>
    <w:rsid w:val="00064104"/>
    <w:rsid w:val="00064C49"/>
    <w:rsid w:val="00065A6F"/>
    <w:rsid w:val="000660BF"/>
    <w:rsid w:val="00066F07"/>
    <w:rsid w:val="000672A7"/>
    <w:rsid w:val="000679DF"/>
    <w:rsid w:val="00067EE4"/>
    <w:rsid w:val="00070A47"/>
    <w:rsid w:val="00070CAD"/>
    <w:rsid w:val="00072094"/>
    <w:rsid w:val="000726E5"/>
    <w:rsid w:val="000731E7"/>
    <w:rsid w:val="00073503"/>
    <w:rsid w:val="000763E8"/>
    <w:rsid w:val="000776A9"/>
    <w:rsid w:val="00081319"/>
    <w:rsid w:val="000819A5"/>
    <w:rsid w:val="0008244C"/>
    <w:rsid w:val="00082BB4"/>
    <w:rsid w:val="00082E40"/>
    <w:rsid w:val="00083758"/>
    <w:rsid w:val="00084405"/>
    <w:rsid w:val="000845CE"/>
    <w:rsid w:val="0008503F"/>
    <w:rsid w:val="00086744"/>
    <w:rsid w:val="00087B2F"/>
    <w:rsid w:val="00087C09"/>
    <w:rsid w:val="0009039D"/>
    <w:rsid w:val="00093A74"/>
    <w:rsid w:val="000949C0"/>
    <w:rsid w:val="0009511F"/>
    <w:rsid w:val="00096559"/>
    <w:rsid w:val="00096D8A"/>
    <w:rsid w:val="0009711B"/>
    <w:rsid w:val="000A020B"/>
    <w:rsid w:val="000A0339"/>
    <w:rsid w:val="000A0349"/>
    <w:rsid w:val="000A0A68"/>
    <w:rsid w:val="000A18FB"/>
    <w:rsid w:val="000A1E6F"/>
    <w:rsid w:val="000A2081"/>
    <w:rsid w:val="000A20E1"/>
    <w:rsid w:val="000A25B1"/>
    <w:rsid w:val="000A28EE"/>
    <w:rsid w:val="000A2FBE"/>
    <w:rsid w:val="000A31A6"/>
    <w:rsid w:val="000A3C2D"/>
    <w:rsid w:val="000A3DA5"/>
    <w:rsid w:val="000A40CF"/>
    <w:rsid w:val="000A41F2"/>
    <w:rsid w:val="000A4EA9"/>
    <w:rsid w:val="000A5781"/>
    <w:rsid w:val="000A5DB4"/>
    <w:rsid w:val="000A6578"/>
    <w:rsid w:val="000A68E1"/>
    <w:rsid w:val="000A6EDC"/>
    <w:rsid w:val="000A7CC8"/>
    <w:rsid w:val="000A7E07"/>
    <w:rsid w:val="000B0034"/>
    <w:rsid w:val="000B00CD"/>
    <w:rsid w:val="000B0D11"/>
    <w:rsid w:val="000B13C0"/>
    <w:rsid w:val="000B1465"/>
    <w:rsid w:val="000B185D"/>
    <w:rsid w:val="000B1E78"/>
    <w:rsid w:val="000B20DD"/>
    <w:rsid w:val="000B241B"/>
    <w:rsid w:val="000B2F09"/>
    <w:rsid w:val="000B2F2F"/>
    <w:rsid w:val="000B330D"/>
    <w:rsid w:val="000B40B2"/>
    <w:rsid w:val="000B40B7"/>
    <w:rsid w:val="000B4B6A"/>
    <w:rsid w:val="000B58DD"/>
    <w:rsid w:val="000B59BC"/>
    <w:rsid w:val="000B6313"/>
    <w:rsid w:val="000B6A75"/>
    <w:rsid w:val="000B7768"/>
    <w:rsid w:val="000C08C0"/>
    <w:rsid w:val="000C14B8"/>
    <w:rsid w:val="000C19D5"/>
    <w:rsid w:val="000C2C51"/>
    <w:rsid w:val="000C59E6"/>
    <w:rsid w:val="000C5E2B"/>
    <w:rsid w:val="000C5EFC"/>
    <w:rsid w:val="000C6B7B"/>
    <w:rsid w:val="000C7FB4"/>
    <w:rsid w:val="000D1243"/>
    <w:rsid w:val="000D32DA"/>
    <w:rsid w:val="000D469D"/>
    <w:rsid w:val="000D5AF1"/>
    <w:rsid w:val="000D5FAB"/>
    <w:rsid w:val="000D6156"/>
    <w:rsid w:val="000D61AB"/>
    <w:rsid w:val="000D64E6"/>
    <w:rsid w:val="000D7215"/>
    <w:rsid w:val="000D73DB"/>
    <w:rsid w:val="000E0168"/>
    <w:rsid w:val="000E065B"/>
    <w:rsid w:val="000E0BAB"/>
    <w:rsid w:val="000E0EF9"/>
    <w:rsid w:val="000E11BA"/>
    <w:rsid w:val="000E169E"/>
    <w:rsid w:val="000E2347"/>
    <w:rsid w:val="000E3D37"/>
    <w:rsid w:val="000E3EAD"/>
    <w:rsid w:val="000E4249"/>
    <w:rsid w:val="000E5111"/>
    <w:rsid w:val="000E5121"/>
    <w:rsid w:val="000E53DC"/>
    <w:rsid w:val="000E57E5"/>
    <w:rsid w:val="000E6B10"/>
    <w:rsid w:val="000E76E4"/>
    <w:rsid w:val="000E7883"/>
    <w:rsid w:val="000E79DC"/>
    <w:rsid w:val="000E7F25"/>
    <w:rsid w:val="000E7FCE"/>
    <w:rsid w:val="000F0145"/>
    <w:rsid w:val="000F07A7"/>
    <w:rsid w:val="000F122E"/>
    <w:rsid w:val="000F1368"/>
    <w:rsid w:val="000F2125"/>
    <w:rsid w:val="000F2939"/>
    <w:rsid w:val="000F3295"/>
    <w:rsid w:val="000F45D3"/>
    <w:rsid w:val="000F4900"/>
    <w:rsid w:val="000F4A75"/>
    <w:rsid w:val="000F595D"/>
    <w:rsid w:val="000F6131"/>
    <w:rsid w:val="000F6E2D"/>
    <w:rsid w:val="000F7653"/>
    <w:rsid w:val="000F7B6D"/>
    <w:rsid w:val="000F7D49"/>
    <w:rsid w:val="000F7F7C"/>
    <w:rsid w:val="00100875"/>
    <w:rsid w:val="00100BB7"/>
    <w:rsid w:val="0010110A"/>
    <w:rsid w:val="00101249"/>
    <w:rsid w:val="00102036"/>
    <w:rsid w:val="001023C8"/>
    <w:rsid w:val="00104376"/>
    <w:rsid w:val="0010438C"/>
    <w:rsid w:val="00104E14"/>
    <w:rsid w:val="00105ECF"/>
    <w:rsid w:val="0010672F"/>
    <w:rsid w:val="001072B0"/>
    <w:rsid w:val="00107759"/>
    <w:rsid w:val="00110B12"/>
    <w:rsid w:val="00111862"/>
    <w:rsid w:val="00111980"/>
    <w:rsid w:val="00112C54"/>
    <w:rsid w:val="00112CA5"/>
    <w:rsid w:val="00113124"/>
    <w:rsid w:val="001139B0"/>
    <w:rsid w:val="001153BD"/>
    <w:rsid w:val="0011562F"/>
    <w:rsid w:val="001161AF"/>
    <w:rsid w:val="001167C3"/>
    <w:rsid w:val="00116DD2"/>
    <w:rsid w:val="001177BE"/>
    <w:rsid w:val="001202C1"/>
    <w:rsid w:val="0012036F"/>
    <w:rsid w:val="00120A89"/>
    <w:rsid w:val="00120D4C"/>
    <w:rsid w:val="00121A7B"/>
    <w:rsid w:val="0012210A"/>
    <w:rsid w:val="0012305E"/>
    <w:rsid w:val="00123404"/>
    <w:rsid w:val="00123514"/>
    <w:rsid w:val="00125593"/>
    <w:rsid w:val="00126421"/>
    <w:rsid w:val="00126A75"/>
    <w:rsid w:val="00130C44"/>
    <w:rsid w:val="001326CD"/>
    <w:rsid w:val="001326E0"/>
    <w:rsid w:val="00134311"/>
    <w:rsid w:val="00134FFB"/>
    <w:rsid w:val="00135929"/>
    <w:rsid w:val="00135A8A"/>
    <w:rsid w:val="00135AFA"/>
    <w:rsid w:val="001366D4"/>
    <w:rsid w:val="00136B3F"/>
    <w:rsid w:val="00137F32"/>
    <w:rsid w:val="00140CB0"/>
    <w:rsid w:val="00142198"/>
    <w:rsid w:val="001423CC"/>
    <w:rsid w:val="001428BB"/>
    <w:rsid w:val="00143387"/>
    <w:rsid w:val="0014474C"/>
    <w:rsid w:val="00144D90"/>
    <w:rsid w:val="001450F0"/>
    <w:rsid w:val="001465E4"/>
    <w:rsid w:val="00146657"/>
    <w:rsid w:val="00147E4F"/>
    <w:rsid w:val="001503EA"/>
    <w:rsid w:val="00151489"/>
    <w:rsid w:val="0015159B"/>
    <w:rsid w:val="0015174B"/>
    <w:rsid w:val="0015181C"/>
    <w:rsid w:val="00151834"/>
    <w:rsid w:val="0015223B"/>
    <w:rsid w:val="001523CE"/>
    <w:rsid w:val="00153522"/>
    <w:rsid w:val="00153FA7"/>
    <w:rsid w:val="0015466E"/>
    <w:rsid w:val="00154C5A"/>
    <w:rsid w:val="001550FF"/>
    <w:rsid w:val="00155264"/>
    <w:rsid w:val="00155591"/>
    <w:rsid w:val="00155A08"/>
    <w:rsid w:val="00156745"/>
    <w:rsid w:val="00156B3E"/>
    <w:rsid w:val="001575EE"/>
    <w:rsid w:val="00157C3D"/>
    <w:rsid w:val="0016044B"/>
    <w:rsid w:val="0016078D"/>
    <w:rsid w:val="001616E6"/>
    <w:rsid w:val="00161A71"/>
    <w:rsid w:val="00162471"/>
    <w:rsid w:val="001624FD"/>
    <w:rsid w:val="00163488"/>
    <w:rsid w:val="001634DE"/>
    <w:rsid w:val="00163592"/>
    <w:rsid w:val="00163C00"/>
    <w:rsid w:val="00164AD9"/>
    <w:rsid w:val="001658A2"/>
    <w:rsid w:val="00166EBD"/>
    <w:rsid w:val="00166FF4"/>
    <w:rsid w:val="00167103"/>
    <w:rsid w:val="001677FB"/>
    <w:rsid w:val="001700CB"/>
    <w:rsid w:val="001704A6"/>
    <w:rsid w:val="00171921"/>
    <w:rsid w:val="00171F24"/>
    <w:rsid w:val="001728AA"/>
    <w:rsid w:val="00172A38"/>
    <w:rsid w:val="001733A3"/>
    <w:rsid w:val="00173B2F"/>
    <w:rsid w:val="001741E5"/>
    <w:rsid w:val="0017466B"/>
    <w:rsid w:val="00174E39"/>
    <w:rsid w:val="00175277"/>
    <w:rsid w:val="00176182"/>
    <w:rsid w:val="00176B8B"/>
    <w:rsid w:val="001770F6"/>
    <w:rsid w:val="00177331"/>
    <w:rsid w:val="00177528"/>
    <w:rsid w:val="00177673"/>
    <w:rsid w:val="00177814"/>
    <w:rsid w:val="0017798A"/>
    <w:rsid w:val="00177CA1"/>
    <w:rsid w:val="00180675"/>
    <w:rsid w:val="00181099"/>
    <w:rsid w:val="0018149D"/>
    <w:rsid w:val="001815CF"/>
    <w:rsid w:val="00182EF2"/>
    <w:rsid w:val="00183C63"/>
    <w:rsid w:val="00184398"/>
    <w:rsid w:val="00184938"/>
    <w:rsid w:val="001853C1"/>
    <w:rsid w:val="00185425"/>
    <w:rsid w:val="00190038"/>
    <w:rsid w:val="00190673"/>
    <w:rsid w:val="00190A92"/>
    <w:rsid w:val="00191722"/>
    <w:rsid w:val="00192820"/>
    <w:rsid w:val="00192C46"/>
    <w:rsid w:val="00192F61"/>
    <w:rsid w:val="00195BEA"/>
    <w:rsid w:val="00196F8E"/>
    <w:rsid w:val="001A0D32"/>
    <w:rsid w:val="001A1DBD"/>
    <w:rsid w:val="001A27AB"/>
    <w:rsid w:val="001A42A9"/>
    <w:rsid w:val="001A626B"/>
    <w:rsid w:val="001A7527"/>
    <w:rsid w:val="001A76F6"/>
    <w:rsid w:val="001B0812"/>
    <w:rsid w:val="001B0F4B"/>
    <w:rsid w:val="001B1B4D"/>
    <w:rsid w:val="001B1CE3"/>
    <w:rsid w:val="001B2039"/>
    <w:rsid w:val="001B2B1F"/>
    <w:rsid w:val="001B3FB6"/>
    <w:rsid w:val="001B4CEA"/>
    <w:rsid w:val="001B4CED"/>
    <w:rsid w:val="001B6034"/>
    <w:rsid w:val="001B71AC"/>
    <w:rsid w:val="001B724E"/>
    <w:rsid w:val="001B7F0E"/>
    <w:rsid w:val="001C13AF"/>
    <w:rsid w:val="001C1875"/>
    <w:rsid w:val="001C238C"/>
    <w:rsid w:val="001C26CE"/>
    <w:rsid w:val="001C28ED"/>
    <w:rsid w:val="001C37F7"/>
    <w:rsid w:val="001C3838"/>
    <w:rsid w:val="001C4735"/>
    <w:rsid w:val="001C4ECB"/>
    <w:rsid w:val="001C5A34"/>
    <w:rsid w:val="001C5FB8"/>
    <w:rsid w:val="001C6F1A"/>
    <w:rsid w:val="001C7169"/>
    <w:rsid w:val="001C78D4"/>
    <w:rsid w:val="001C7CB5"/>
    <w:rsid w:val="001D00CF"/>
    <w:rsid w:val="001D05AA"/>
    <w:rsid w:val="001D0FA7"/>
    <w:rsid w:val="001D18F4"/>
    <w:rsid w:val="001D1BDD"/>
    <w:rsid w:val="001D255D"/>
    <w:rsid w:val="001D277E"/>
    <w:rsid w:val="001D42FF"/>
    <w:rsid w:val="001D4FDD"/>
    <w:rsid w:val="001D6BD7"/>
    <w:rsid w:val="001D6FA4"/>
    <w:rsid w:val="001D7959"/>
    <w:rsid w:val="001D79EF"/>
    <w:rsid w:val="001E0197"/>
    <w:rsid w:val="001E1907"/>
    <w:rsid w:val="001E1C65"/>
    <w:rsid w:val="001E1EB8"/>
    <w:rsid w:val="001E2009"/>
    <w:rsid w:val="001E36DF"/>
    <w:rsid w:val="001E3A98"/>
    <w:rsid w:val="001E4157"/>
    <w:rsid w:val="001E5773"/>
    <w:rsid w:val="001E5AF9"/>
    <w:rsid w:val="001E5EEA"/>
    <w:rsid w:val="001E6F29"/>
    <w:rsid w:val="001E705F"/>
    <w:rsid w:val="001E7312"/>
    <w:rsid w:val="001E7B75"/>
    <w:rsid w:val="001F0CF5"/>
    <w:rsid w:val="001F1CD9"/>
    <w:rsid w:val="001F1D54"/>
    <w:rsid w:val="001F2008"/>
    <w:rsid w:val="001F2625"/>
    <w:rsid w:val="001F2EFD"/>
    <w:rsid w:val="001F3018"/>
    <w:rsid w:val="001F30AB"/>
    <w:rsid w:val="001F3E36"/>
    <w:rsid w:val="001F44EE"/>
    <w:rsid w:val="001F5011"/>
    <w:rsid w:val="001F5598"/>
    <w:rsid w:val="001F575A"/>
    <w:rsid w:val="001F73CF"/>
    <w:rsid w:val="001F73D2"/>
    <w:rsid w:val="002002A6"/>
    <w:rsid w:val="00200366"/>
    <w:rsid w:val="00200CDD"/>
    <w:rsid w:val="00200FEB"/>
    <w:rsid w:val="002024CA"/>
    <w:rsid w:val="0020340C"/>
    <w:rsid w:val="002044B7"/>
    <w:rsid w:val="00204ABA"/>
    <w:rsid w:val="00204CCE"/>
    <w:rsid w:val="00205062"/>
    <w:rsid w:val="002050D9"/>
    <w:rsid w:val="00205D8F"/>
    <w:rsid w:val="00206DFC"/>
    <w:rsid w:val="00207A64"/>
    <w:rsid w:val="00207C62"/>
    <w:rsid w:val="002101E6"/>
    <w:rsid w:val="0021040F"/>
    <w:rsid w:val="00210EC2"/>
    <w:rsid w:val="00210F02"/>
    <w:rsid w:val="00212C25"/>
    <w:rsid w:val="00213A3C"/>
    <w:rsid w:val="002141AC"/>
    <w:rsid w:val="002143D0"/>
    <w:rsid w:val="002143DC"/>
    <w:rsid w:val="00214B93"/>
    <w:rsid w:val="00214DAC"/>
    <w:rsid w:val="00214F4D"/>
    <w:rsid w:val="00215D0D"/>
    <w:rsid w:val="002161DE"/>
    <w:rsid w:val="00217775"/>
    <w:rsid w:val="0022016A"/>
    <w:rsid w:val="00220889"/>
    <w:rsid w:val="002208BE"/>
    <w:rsid w:val="002213F1"/>
    <w:rsid w:val="0022248F"/>
    <w:rsid w:val="00224C80"/>
    <w:rsid w:val="0022503C"/>
    <w:rsid w:val="00225146"/>
    <w:rsid w:val="002253CE"/>
    <w:rsid w:val="00225EEA"/>
    <w:rsid w:val="002303B4"/>
    <w:rsid w:val="002310BB"/>
    <w:rsid w:val="00231769"/>
    <w:rsid w:val="00231AA1"/>
    <w:rsid w:val="002322BE"/>
    <w:rsid w:val="00232748"/>
    <w:rsid w:val="00232963"/>
    <w:rsid w:val="00233C99"/>
    <w:rsid w:val="00235197"/>
    <w:rsid w:val="002351A0"/>
    <w:rsid w:val="00235822"/>
    <w:rsid w:val="0023599B"/>
    <w:rsid w:val="002362DC"/>
    <w:rsid w:val="00236475"/>
    <w:rsid w:val="002372AE"/>
    <w:rsid w:val="00237B26"/>
    <w:rsid w:val="0024063C"/>
    <w:rsid w:val="00240CB6"/>
    <w:rsid w:val="00241319"/>
    <w:rsid w:val="0024137A"/>
    <w:rsid w:val="00242819"/>
    <w:rsid w:val="002434EF"/>
    <w:rsid w:val="002439F5"/>
    <w:rsid w:val="00244E32"/>
    <w:rsid w:val="00245207"/>
    <w:rsid w:val="00245A16"/>
    <w:rsid w:val="00246649"/>
    <w:rsid w:val="002469D2"/>
    <w:rsid w:val="00246DAF"/>
    <w:rsid w:val="002513FF"/>
    <w:rsid w:val="00251FD0"/>
    <w:rsid w:val="002538F1"/>
    <w:rsid w:val="00253DED"/>
    <w:rsid w:val="00255BCF"/>
    <w:rsid w:val="00256348"/>
    <w:rsid w:val="00256CAC"/>
    <w:rsid w:val="002571EE"/>
    <w:rsid w:val="00257720"/>
    <w:rsid w:val="00257CAE"/>
    <w:rsid w:val="00260EDC"/>
    <w:rsid w:val="002611E0"/>
    <w:rsid w:val="0026169E"/>
    <w:rsid w:val="00261836"/>
    <w:rsid w:val="002619E1"/>
    <w:rsid w:val="00263AC9"/>
    <w:rsid w:val="00263D90"/>
    <w:rsid w:val="00264FA5"/>
    <w:rsid w:val="002653A5"/>
    <w:rsid w:val="002655CD"/>
    <w:rsid w:val="002707F6"/>
    <w:rsid w:val="0027091D"/>
    <w:rsid w:val="00273DD0"/>
    <w:rsid w:val="0027473D"/>
    <w:rsid w:val="00276463"/>
    <w:rsid w:val="0027648C"/>
    <w:rsid w:val="002800C6"/>
    <w:rsid w:val="002816FA"/>
    <w:rsid w:val="00281C41"/>
    <w:rsid w:val="00281FEE"/>
    <w:rsid w:val="00283164"/>
    <w:rsid w:val="00283968"/>
    <w:rsid w:val="0028479C"/>
    <w:rsid w:val="002848A7"/>
    <w:rsid w:val="00284A9A"/>
    <w:rsid w:val="00284C2E"/>
    <w:rsid w:val="00287178"/>
    <w:rsid w:val="00287D90"/>
    <w:rsid w:val="00291025"/>
    <w:rsid w:val="002911D0"/>
    <w:rsid w:val="002915FB"/>
    <w:rsid w:val="00291777"/>
    <w:rsid w:val="00291CDA"/>
    <w:rsid w:val="00293955"/>
    <w:rsid w:val="00293F63"/>
    <w:rsid w:val="00294D79"/>
    <w:rsid w:val="00296D28"/>
    <w:rsid w:val="002A1610"/>
    <w:rsid w:val="002A16FC"/>
    <w:rsid w:val="002A1CD5"/>
    <w:rsid w:val="002A350A"/>
    <w:rsid w:val="002A3DB8"/>
    <w:rsid w:val="002A4595"/>
    <w:rsid w:val="002A4D73"/>
    <w:rsid w:val="002A5A39"/>
    <w:rsid w:val="002A604A"/>
    <w:rsid w:val="002A713F"/>
    <w:rsid w:val="002A7FC0"/>
    <w:rsid w:val="002B01F7"/>
    <w:rsid w:val="002B0A65"/>
    <w:rsid w:val="002B0B94"/>
    <w:rsid w:val="002B0DCB"/>
    <w:rsid w:val="002B1A23"/>
    <w:rsid w:val="002B30FB"/>
    <w:rsid w:val="002B359D"/>
    <w:rsid w:val="002B3E79"/>
    <w:rsid w:val="002B4BB2"/>
    <w:rsid w:val="002B4CD2"/>
    <w:rsid w:val="002B4DE8"/>
    <w:rsid w:val="002B575F"/>
    <w:rsid w:val="002B5877"/>
    <w:rsid w:val="002B59B3"/>
    <w:rsid w:val="002B59EC"/>
    <w:rsid w:val="002B5EE3"/>
    <w:rsid w:val="002B63DF"/>
    <w:rsid w:val="002B6FD2"/>
    <w:rsid w:val="002B7915"/>
    <w:rsid w:val="002B7D3F"/>
    <w:rsid w:val="002C0C17"/>
    <w:rsid w:val="002C1325"/>
    <w:rsid w:val="002C1C38"/>
    <w:rsid w:val="002C2AF5"/>
    <w:rsid w:val="002C3253"/>
    <w:rsid w:val="002C32DE"/>
    <w:rsid w:val="002C3387"/>
    <w:rsid w:val="002C3623"/>
    <w:rsid w:val="002C3749"/>
    <w:rsid w:val="002C398F"/>
    <w:rsid w:val="002C3EA5"/>
    <w:rsid w:val="002C3F7D"/>
    <w:rsid w:val="002C4C15"/>
    <w:rsid w:val="002C4EF6"/>
    <w:rsid w:val="002C53EA"/>
    <w:rsid w:val="002C5A71"/>
    <w:rsid w:val="002C60D8"/>
    <w:rsid w:val="002C78BC"/>
    <w:rsid w:val="002C79AA"/>
    <w:rsid w:val="002C7FCF"/>
    <w:rsid w:val="002D0223"/>
    <w:rsid w:val="002D0C27"/>
    <w:rsid w:val="002D1206"/>
    <w:rsid w:val="002D1419"/>
    <w:rsid w:val="002D1528"/>
    <w:rsid w:val="002D18E2"/>
    <w:rsid w:val="002D1A7F"/>
    <w:rsid w:val="002D2718"/>
    <w:rsid w:val="002D29D0"/>
    <w:rsid w:val="002D32FD"/>
    <w:rsid w:val="002D3848"/>
    <w:rsid w:val="002D38EA"/>
    <w:rsid w:val="002D5177"/>
    <w:rsid w:val="002D5D03"/>
    <w:rsid w:val="002D6184"/>
    <w:rsid w:val="002D7D1A"/>
    <w:rsid w:val="002E042D"/>
    <w:rsid w:val="002E1DE8"/>
    <w:rsid w:val="002E2F1D"/>
    <w:rsid w:val="002E3ECB"/>
    <w:rsid w:val="002E47E3"/>
    <w:rsid w:val="002E54E1"/>
    <w:rsid w:val="002E65E7"/>
    <w:rsid w:val="002E6C79"/>
    <w:rsid w:val="002E73F7"/>
    <w:rsid w:val="002E796F"/>
    <w:rsid w:val="002F09CB"/>
    <w:rsid w:val="002F0E9A"/>
    <w:rsid w:val="002F1296"/>
    <w:rsid w:val="002F1BF5"/>
    <w:rsid w:val="002F2D0D"/>
    <w:rsid w:val="002F2EE9"/>
    <w:rsid w:val="002F45F0"/>
    <w:rsid w:val="002F5880"/>
    <w:rsid w:val="002F59BB"/>
    <w:rsid w:val="002F6F44"/>
    <w:rsid w:val="002F7E98"/>
    <w:rsid w:val="00300639"/>
    <w:rsid w:val="0030160F"/>
    <w:rsid w:val="0030167A"/>
    <w:rsid w:val="003020FD"/>
    <w:rsid w:val="00304024"/>
    <w:rsid w:val="0030444E"/>
    <w:rsid w:val="00304CAC"/>
    <w:rsid w:val="00305573"/>
    <w:rsid w:val="00305DA2"/>
    <w:rsid w:val="003076A1"/>
    <w:rsid w:val="00310C74"/>
    <w:rsid w:val="0031354D"/>
    <w:rsid w:val="0031392C"/>
    <w:rsid w:val="00313DD1"/>
    <w:rsid w:val="0031443C"/>
    <w:rsid w:val="0031469B"/>
    <w:rsid w:val="00314842"/>
    <w:rsid w:val="0031670E"/>
    <w:rsid w:val="00316826"/>
    <w:rsid w:val="00316A23"/>
    <w:rsid w:val="00316C23"/>
    <w:rsid w:val="00316E6C"/>
    <w:rsid w:val="00317085"/>
    <w:rsid w:val="003172A2"/>
    <w:rsid w:val="003179F5"/>
    <w:rsid w:val="0032193B"/>
    <w:rsid w:val="00321A8E"/>
    <w:rsid w:val="00321E12"/>
    <w:rsid w:val="00322555"/>
    <w:rsid w:val="00322A9C"/>
    <w:rsid w:val="00323AF3"/>
    <w:rsid w:val="0032480C"/>
    <w:rsid w:val="00324C66"/>
    <w:rsid w:val="00324F76"/>
    <w:rsid w:val="00325290"/>
    <w:rsid w:val="003252CE"/>
    <w:rsid w:val="00326DF4"/>
    <w:rsid w:val="00327F07"/>
    <w:rsid w:val="0032A553"/>
    <w:rsid w:val="00330C70"/>
    <w:rsid w:val="00332C80"/>
    <w:rsid w:val="00333320"/>
    <w:rsid w:val="00333EE0"/>
    <w:rsid w:val="00334883"/>
    <w:rsid w:val="0033490E"/>
    <w:rsid w:val="00334E27"/>
    <w:rsid w:val="0033630B"/>
    <w:rsid w:val="00336372"/>
    <w:rsid w:val="0034037D"/>
    <w:rsid w:val="0034059D"/>
    <w:rsid w:val="00341964"/>
    <w:rsid w:val="00341D74"/>
    <w:rsid w:val="00342B2F"/>
    <w:rsid w:val="0034336E"/>
    <w:rsid w:val="00343B76"/>
    <w:rsid w:val="003440DD"/>
    <w:rsid w:val="00345885"/>
    <w:rsid w:val="003459DF"/>
    <w:rsid w:val="0034666E"/>
    <w:rsid w:val="00346C2A"/>
    <w:rsid w:val="0034706B"/>
    <w:rsid w:val="003471EF"/>
    <w:rsid w:val="0034726A"/>
    <w:rsid w:val="0034756C"/>
    <w:rsid w:val="00347A34"/>
    <w:rsid w:val="00347C6E"/>
    <w:rsid w:val="003501C7"/>
    <w:rsid w:val="003509A2"/>
    <w:rsid w:val="00350B37"/>
    <w:rsid w:val="00351328"/>
    <w:rsid w:val="0035357E"/>
    <w:rsid w:val="00353F15"/>
    <w:rsid w:val="003551D9"/>
    <w:rsid w:val="00355319"/>
    <w:rsid w:val="00355D8F"/>
    <w:rsid w:val="00355F8B"/>
    <w:rsid w:val="00356572"/>
    <w:rsid w:val="00356953"/>
    <w:rsid w:val="00357A25"/>
    <w:rsid w:val="00357B66"/>
    <w:rsid w:val="00360731"/>
    <w:rsid w:val="00360981"/>
    <w:rsid w:val="00360C3E"/>
    <w:rsid w:val="0036105F"/>
    <w:rsid w:val="0036202F"/>
    <w:rsid w:val="003621CB"/>
    <w:rsid w:val="00363062"/>
    <w:rsid w:val="00364F03"/>
    <w:rsid w:val="003655A7"/>
    <w:rsid w:val="003657F9"/>
    <w:rsid w:val="00365808"/>
    <w:rsid w:val="0036609D"/>
    <w:rsid w:val="003664EB"/>
    <w:rsid w:val="00367893"/>
    <w:rsid w:val="00367925"/>
    <w:rsid w:val="00367C30"/>
    <w:rsid w:val="0037087D"/>
    <w:rsid w:val="00370B7D"/>
    <w:rsid w:val="00370E8E"/>
    <w:rsid w:val="00371C8A"/>
    <w:rsid w:val="0037231C"/>
    <w:rsid w:val="00373791"/>
    <w:rsid w:val="00374835"/>
    <w:rsid w:val="003763A6"/>
    <w:rsid w:val="00376E6F"/>
    <w:rsid w:val="003770D2"/>
    <w:rsid w:val="00381308"/>
    <w:rsid w:val="003832CB"/>
    <w:rsid w:val="00383A07"/>
    <w:rsid w:val="00384EB7"/>
    <w:rsid w:val="00385D2C"/>
    <w:rsid w:val="00386FAD"/>
    <w:rsid w:val="00391D6C"/>
    <w:rsid w:val="0039260E"/>
    <w:rsid w:val="0039298E"/>
    <w:rsid w:val="00392A89"/>
    <w:rsid w:val="00393CD9"/>
    <w:rsid w:val="00394A75"/>
    <w:rsid w:val="00394BFD"/>
    <w:rsid w:val="0039559F"/>
    <w:rsid w:val="00395989"/>
    <w:rsid w:val="00396011"/>
    <w:rsid w:val="00396280"/>
    <w:rsid w:val="003966B2"/>
    <w:rsid w:val="00396DB5"/>
    <w:rsid w:val="003A003E"/>
    <w:rsid w:val="003A0263"/>
    <w:rsid w:val="003A05AC"/>
    <w:rsid w:val="003A1249"/>
    <w:rsid w:val="003A1661"/>
    <w:rsid w:val="003A19FB"/>
    <w:rsid w:val="003A2641"/>
    <w:rsid w:val="003A3203"/>
    <w:rsid w:val="003A4647"/>
    <w:rsid w:val="003A4813"/>
    <w:rsid w:val="003A4859"/>
    <w:rsid w:val="003A5C29"/>
    <w:rsid w:val="003A660A"/>
    <w:rsid w:val="003A6F17"/>
    <w:rsid w:val="003B03ED"/>
    <w:rsid w:val="003B0615"/>
    <w:rsid w:val="003B0DC7"/>
    <w:rsid w:val="003B22F5"/>
    <w:rsid w:val="003B33FB"/>
    <w:rsid w:val="003B344F"/>
    <w:rsid w:val="003B3CAE"/>
    <w:rsid w:val="003B3F49"/>
    <w:rsid w:val="003B400F"/>
    <w:rsid w:val="003B41D1"/>
    <w:rsid w:val="003B530D"/>
    <w:rsid w:val="003B60D1"/>
    <w:rsid w:val="003B659A"/>
    <w:rsid w:val="003B6889"/>
    <w:rsid w:val="003B7E9B"/>
    <w:rsid w:val="003C10AA"/>
    <w:rsid w:val="003C1576"/>
    <w:rsid w:val="003C1811"/>
    <w:rsid w:val="003C1C21"/>
    <w:rsid w:val="003C1E85"/>
    <w:rsid w:val="003C201C"/>
    <w:rsid w:val="003C2CE0"/>
    <w:rsid w:val="003C3207"/>
    <w:rsid w:val="003C3902"/>
    <w:rsid w:val="003C394B"/>
    <w:rsid w:val="003C3B66"/>
    <w:rsid w:val="003C54CE"/>
    <w:rsid w:val="003C648A"/>
    <w:rsid w:val="003C6C2E"/>
    <w:rsid w:val="003D0530"/>
    <w:rsid w:val="003D1743"/>
    <w:rsid w:val="003D34AA"/>
    <w:rsid w:val="003D3F45"/>
    <w:rsid w:val="003D5CB8"/>
    <w:rsid w:val="003D6401"/>
    <w:rsid w:val="003D73C1"/>
    <w:rsid w:val="003D7B4F"/>
    <w:rsid w:val="003E0108"/>
    <w:rsid w:val="003E03D5"/>
    <w:rsid w:val="003E05D6"/>
    <w:rsid w:val="003E0D64"/>
    <w:rsid w:val="003E1AF0"/>
    <w:rsid w:val="003E2154"/>
    <w:rsid w:val="003E2BBD"/>
    <w:rsid w:val="003E39CD"/>
    <w:rsid w:val="003E4004"/>
    <w:rsid w:val="003E4AB2"/>
    <w:rsid w:val="003E51EA"/>
    <w:rsid w:val="003E51F8"/>
    <w:rsid w:val="003E520F"/>
    <w:rsid w:val="003E5897"/>
    <w:rsid w:val="003E60B6"/>
    <w:rsid w:val="003E6754"/>
    <w:rsid w:val="003E6C61"/>
    <w:rsid w:val="003E70AF"/>
    <w:rsid w:val="003E78AC"/>
    <w:rsid w:val="003F0760"/>
    <w:rsid w:val="003F084E"/>
    <w:rsid w:val="003F1000"/>
    <w:rsid w:val="003F19DE"/>
    <w:rsid w:val="003F231E"/>
    <w:rsid w:val="003F240A"/>
    <w:rsid w:val="003F26A1"/>
    <w:rsid w:val="003F37EE"/>
    <w:rsid w:val="003F3A33"/>
    <w:rsid w:val="003F47FD"/>
    <w:rsid w:val="003F4B0E"/>
    <w:rsid w:val="003F5C19"/>
    <w:rsid w:val="003FDE0D"/>
    <w:rsid w:val="00400678"/>
    <w:rsid w:val="0040240D"/>
    <w:rsid w:val="00402C43"/>
    <w:rsid w:val="00403947"/>
    <w:rsid w:val="00407166"/>
    <w:rsid w:val="00407F25"/>
    <w:rsid w:val="00411D22"/>
    <w:rsid w:val="0041254B"/>
    <w:rsid w:val="004128B2"/>
    <w:rsid w:val="00412A99"/>
    <w:rsid w:val="00412C70"/>
    <w:rsid w:val="00412D5C"/>
    <w:rsid w:val="0041403A"/>
    <w:rsid w:val="004147CD"/>
    <w:rsid w:val="00414B89"/>
    <w:rsid w:val="00416290"/>
    <w:rsid w:val="00416C00"/>
    <w:rsid w:val="00416C26"/>
    <w:rsid w:val="004175B7"/>
    <w:rsid w:val="00421702"/>
    <w:rsid w:val="00421AF8"/>
    <w:rsid w:val="00421C83"/>
    <w:rsid w:val="00423762"/>
    <w:rsid w:val="00424204"/>
    <w:rsid w:val="004257D8"/>
    <w:rsid w:val="0042666D"/>
    <w:rsid w:val="00426741"/>
    <w:rsid w:val="00427A48"/>
    <w:rsid w:val="00430270"/>
    <w:rsid w:val="00431923"/>
    <w:rsid w:val="00432BE9"/>
    <w:rsid w:val="00432FFE"/>
    <w:rsid w:val="00433315"/>
    <w:rsid w:val="0043371B"/>
    <w:rsid w:val="004337A3"/>
    <w:rsid w:val="00434142"/>
    <w:rsid w:val="004356AE"/>
    <w:rsid w:val="0043635B"/>
    <w:rsid w:val="00436C5F"/>
    <w:rsid w:val="00437071"/>
    <w:rsid w:val="00440A28"/>
    <w:rsid w:val="00440B64"/>
    <w:rsid w:val="00442C02"/>
    <w:rsid w:val="0044384B"/>
    <w:rsid w:val="0044409A"/>
    <w:rsid w:val="004449B7"/>
    <w:rsid w:val="00444D35"/>
    <w:rsid w:val="0044616F"/>
    <w:rsid w:val="00446445"/>
    <w:rsid w:val="0044644A"/>
    <w:rsid w:val="0044726F"/>
    <w:rsid w:val="00450761"/>
    <w:rsid w:val="00450A59"/>
    <w:rsid w:val="00450B0F"/>
    <w:rsid w:val="00452060"/>
    <w:rsid w:val="004523C7"/>
    <w:rsid w:val="0045298D"/>
    <w:rsid w:val="00454D77"/>
    <w:rsid w:val="00455CAF"/>
    <w:rsid w:val="00455E0A"/>
    <w:rsid w:val="00456C63"/>
    <w:rsid w:val="00457523"/>
    <w:rsid w:val="00457AA5"/>
    <w:rsid w:val="00457D3D"/>
    <w:rsid w:val="004611BD"/>
    <w:rsid w:val="00461300"/>
    <w:rsid w:val="00461367"/>
    <w:rsid w:val="00461773"/>
    <w:rsid w:val="004626F6"/>
    <w:rsid w:val="00463A3D"/>
    <w:rsid w:val="00463DB0"/>
    <w:rsid w:val="00465660"/>
    <w:rsid w:val="00465CAA"/>
    <w:rsid w:val="00466119"/>
    <w:rsid w:val="00466393"/>
    <w:rsid w:val="00466AEE"/>
    <w:rsid w:val="004671A3"/>
    <w:rsid w:val="004702A6"/>
    <w:rsid w:val="0047057B"/>
    <w:rsid w:val="00471EB1"/>
    <w:rsid w:val="00472066"/>
    <w:rsid w:val="00472193"/>
    <w:rsid w:val="0047277D"/>
    <w:rsid w:val="0047374C"/>
    <w:rsid w:val="00473D9F"/>
    <w:rsid w:val="00473E11"/>
    <w:rsid w:val="00473F45"/>
    <w:rsid w:val="00473F97"/>
    <w:rsid w:val="00475247"/>
    <w:rsid w:val="004754DB"/>
    <w:rsid w:val="00476BCB"/>
    <w:rsid w:val="00477198"/>
    <w:rsid w:val="00477A8B"/>
    <w:rsid w:val="0048057D"/>
    <w:rsid w:val="00481056"/>
    <w:rsid w:val="00481F03"/>
    <w:rsid w:val="00481FC3"/>
    <w:rsid w:val="00481FF2"/>
    <w:rsid w:val="0048219A"/>
    <w:rsid w:val="0048272A"/>
    <w:rsid w:val="00482964"/>
    <w:rsid w:val="00482AAC"/>
    <w:rsid w:val="00483783"/>
    <w:rsid w:val="004850D3"/>
    <w:rsid w:val="00485D05"/>
    <w:rsid w:val="0048605D"/>
    <w:rsid w:val="00486435"/>
    <w:rsid w:val="00486866"/>
    <w:rsid w:val="004869F8"/>
    <w:rsid w:val="0048741E"/>
    <w:rsid w:val="004877EB"/>
    <w:rsid w:val="00487C30"/>
    <w:rsid w:val="00487EBA"/>
    <w:rsid w:val="004902A7"/>
    <w:rsid w:val="0049062A"/>
    <w:rsid w:val="00490B94"/>
    <w:rsid w:val="00490D52"/>
    <w:rsid w:val="00490DE6"/>
    <w:rsid w:val="00491598"/>
    <w:rsid w:val="00491E56"/>
    <w:rsid w:val="00491E6D"/>
    <w:rsid w:val="004935BA"/>
    <w:rsid w:val="00493909"/>
    <w:rsid w:val="00494610"/>
    <w:rsid w:val="00494884"/>
    <w:rsid w:val="00494F4D"/>
    <w:rsid w:val="004950EE"/>
    <w:rsid w:val="00495517"/>
    <w:rsid w:val="00495A11"/>
    <w:rsid w:val="0049672D"/>
    <w:rsid w:val="00497571"/>
    <w:rsid w:val="004977CA"/>
    <w:rsid w:val="00497BEA"/>
    <w:rsid w:val="00497FF5"/>
    <w:rsid w:val="004A004C"/>
    <w:rsid w:val="004A04EB"/>
    <w:rsid w:val="004A0815"/>
    <w:rsid w:val="004A1593"/>
    <w:rsid w:val="004A1F4D"/>
    <w:rsid w:val="004A2273"/>
    <w:rsid w:val="004A239D"/>
    <w:rsid w:val="004A285A"/>
    <w:rsid w:val="004A3A88"/>
    <w:rsid w:val="004A49BE"/>
    <w:rsid w:val="004A5DEF"/>
    <w:rsid w:val="004A7464"/>
    <w:rsid w:val="004A797A"/>
    <w:rsid w:val="004A7A57"/>
    <w:rsid w:val="004B0854"/>
    <w:rsid w:val="004B0D92"/>
    <w:rsid w:val="004B0F3E"/>
    <w:rsid w:val="004B0FA9"/>
    <w:rsid w:val="004B1346"/>
    <w:rsid w:val="004B1FDA"/>
    <w:rsid w:val="004B210F"/>
    <w:rsid w:val="004B28F5"/>
    <w:rsid w:val="004B3329"/>
    <w:rsid w:val="004B427E"/>
    <w:rsid w:val="004B4628"/>
    <w:rsid w:val="004B4A1D"/>
    <w:rsid w:val="004B4C38"/>
    <w:rsid w:val="004B5E81"/>
    <w:rsid w:val="004B5FFD"/>
    <w:rsid w:val="004B6243"/>
    <w:rsid w:val="004B673C"/>
    <w:rsid w:val="004C0DBD"/>
    <w:rsid w:val="004C0DF6"/>
    <w:rsid w:val="004C1114"/>
    <w:rsid w:val="004C2F49"/>
    <w:rsid w:val="004C4EE8"/>
    <w:rsid w:val="004C5114"/>
    <w:rsid w:val="004C6480"/>
    <w:rsid w:val="004C7225"/>
    <w:rsid w:val="004C7C08"/>
    <w:rsid w:val="004C7EB5"/>
    <w:rsid w:val="004D0E80"/>
    <w:rsid w:val="004D0EAC"/>
    <w:rsid w:val="004D3373"/>
    <w:rsid w:val="004D4BCF"/>
    <w:rsid w:val="004D5CFF"/>
    <w:rsid w:val="004D78C4"/>
    <w:rsid w:val="004D79BC"/>
    <w:rsid w:val="004D7BE2"/>
    <w:rsid w:val="004E0089"/>
    <w:rsid w:val="004E01A9"/>
    <w:rsid w:val="004E01FF"/>
    <w:rsid w:val="004E0666"/>
    <w:rsid w:val="004E0B8F"/>
    <w:rsid w:val="004E0CCB"/>
    <w:rsid w:val="004E0FE5"/>
    <w:rsid w:val="004E1300"/>
    <w:rsid w:val="004E183C"/>
    <w:rsid w:val="004E2AE3"/>
    <w:rsid w:val="004E2CB8"/>
    <w:rsid w:val="004E2D0A"/>
    <w:rsid w:val="004E2FFB"/>
    <w:rsid w:val="004E3157"/>
    <w:rsid w:val="004E3234"/>
    <w:rsid w:val="004E35F9"/>
    <w:rsid w:val="004E385D"/>
    <w:rsid w:val="004E485E"/>
    <w:rsid w:val="004E4DA9"/>
    <w:rsid w:val="004E4DF2"/>
    <w:rsid w:val="004E501F"/>
    <w:rsid w:val="004E6449"/>
    <w:rsid w:val="004E6C01"/>
    <w:rsid w:val="004E6FC9"/>
    <w:rsid w:val="004E779F"/>
    <w:rsid w:val="004F16F6"/>
    <w:rsid w:val="004F1802"/>
    <w:rsid w:val="004F1D9E"/>
    <w:rsid w:val="004F2C60"/>
    <w:rsid w:val="004F2DE2"/>
    <w:rsid w:val="004F390A"/>
    <w:rsid w:val="004F5C8B"/>
    <w:rsid w:val="004F62C5"/>
    <w:rsid w:val="004F7DE5"/>
    <w:rsid w:val="005007BD"/>
    <w:rsid w:val="005007C0"/>
    <w:rsid w:val="00503320"/>
    <w:rsid w:val="00503494"/>
    <w:rsid w:val="00504480"/>
    <w:rsid w:val="005049E4"/>
    <w:rsid w:val="00504E1C"/>
    <w:rsid w:val="00506EC4"/>
    <w:rsid w:val="0051138B"/>
    <w:rsid w:val="00511963"/>
    <w:rsid w:val="00511D69"/>
    <w:rsid w:val="00512743"/>
    <w:rsid w:val="005128D9"/>
    <w:rsid w:val="005144B2"/>
    <w:rsid w:val="005147F9"/>
    <w:rsid w:val="005153FB"/>
    <w:rsid w:val="00515D96"/>
    <w:rsid w:val="00517B84"/>
    <w:rsid w:val="00517FB4"/>
    <w:rsid w:val="005205C9"/>
    <w:rsid w:val="00521C01"/>
    <w:rsid w:val="00522105"/>
    <w:rsid w:val="00522BF9"/>
    <w:rsid w:val="0052319F"/>
    <w:rsid w:val="005235EA"/>
    <w:rsid w:val="00523B7C"/>
    <w:rsid w:val="005247C8"/>
    <w:rsid w:val="00524A43"/>
    <w:rsid w:val="00525332"/>
    <w:rsid w:val="0052581E"/>
    <w:rsid w:val="00525FFB"/>
    <w:rsid w:val="00526A3B"/>
    <w:rsid w:val="0052719A"/>
    <w:rsid w:val="00527221"/>
    <w:rsid w:val="005276A4"/>
    <w:rsid w:val="00527918"/>
    <w:rsid w:val="00530665"/>
    <w:rsid w:val="00531966"/>
    <w:rsid w:val="00535524"/>
    <w:rsid w:val="00536214"/>
    <w:rsid w:val="00540862"/>
    <w:rsid w:val="00542AD7"/>
    <w:rsid w:val="00542C0A"/>
    <w:rsid w:val="00543732"/>
    <w:rsid w:val="00543746"/>
    <w:rsid w:val="005447F0"/>
    <w:rsid w:val="00544E69"/>
    <w:rsid w:val="005456AD"/>
    <w:rsid w:val="00547006"/>
    <w:rsid w:val="0054726E"/>
    <w:rsid w:val="00547822"/>
    <w:rsid w:val="00547AE4"/>
    <w:rsid w:val="00547AF0"/>
    <w:rsid w:val="00547F69"/>
    <w:rsid w:val="00551836"/>
    <w:rsid w:val="0055229D"/>
    <w:rsid w:val="005525D2"/>
    <w:rsid w:val="00552749"/>
    <w:rsid w:val="00552BF4"/>
    <w:rsid w:val="00552D48"/>
    <w:rsid w:val="00553070"/>
    <w:rsid w:val="005541E1"/>
    <w:rsid w:val="00555BCB"/>
    <w:rsid w:val="005565D8"/>
    <w:rsid w:val="00557D40"/>
    <w:rsid w:val="005613DD"/>
    <w:rsid w:val="00562019"/>
    <w:rsid w:val="00562207"/>
    <w:rsid w:val="005622C8"/>
    <w:rsid w:val="00563426"/>
    <w:rsid w:val="00563590"/>
    <w:rsid w:val="0056475D"/>
    <w:rsid w:val="00564B37"/>
    <w:rsid w:val="00565159"/>
    <w:rsid w:val="00565B7E"/>
    <w:rsid w:val="00565D82"/>
    <w:rsid w:val="00566CF6"/>
    <w:rsid w:val="00566E73"/>
    <w:rsid w:val="00567210"/>
    <w:rsid w:val="00570B70"/>
    <w:rsid w:val="005724B5"/>
    <w:rsid w:val="00572622"/>
    <w:rsid w:val="005730C6"/>
    <w:rsid w:val="00573F4A"/>
    <w:rsid w:val="005740EB"/>
    <w:rsid w:val="005743D9"/>
    <w:rsid w:val="00574958"/>
    <w:rsid w:val="00576246"/>
    <w:rsid w:val="00576772"/>
    <w:rsid w:val="00576A5C"/>
    <w:rsid w:val="00576B7D"/>
    <w:rsid w:val="00577361"/>
    <w:rsid w:val="00577A4A"/>
    <w:rsid w:val="00580223"/>
    <w:rsid w:val="0058112E"/>
    <w:rsid w:val="0058146A"/>
    <w:rsid w:val="00583556"/>
    <w:rsid w:val="00583EB7"/>
    <w:rsid w:val="005849FE"/>
    <w:rsid w:val="00586B13"/>
    <w:rsid w:val="00587177"/>
    <w:rsid w:val="005878A7"/>
    <w:rsid w:val="0059052A"/>
    <w:rsid w:val="0059100F"/>
    <w:rsid w:val="005917B2"/>
    <w:rsid w:val="00591ECC"/>
    <w:rsid w:val="00591FCA"/>
    <w:rsid w:val="00592B1E"/>
    <w:rsid w:val="005931AB"/>
    <w:rsid w:val="005934D9"/>
    <w:rsid w:val="00593C88"/>
    <w:rsid w:val="005944AA"/>
    <w:rsid w:val="0059464F"/>
    <w:rsid w:val="00594C7B"/>
    <w:rsid w:val="00595F36"/>
    <w:rsid w:val="00596166"/>
    <w:rsid w:val="005961A3"/>
    <w:rsid w:val="00596BD2"/>
    <w:rsid w:val="00596D01"/>
    <w:rsid w:val="00596D26"/>
    <w:rsid w:val="00597218"/>
    <w:rsid w:val="00597600"/>
    <w:rsid w:val="005A016D"/>
    <w:rsid w:val="005A2DDE"/>
    <w:rsid w:val="005A32F9"/>
    <w:rsid w:val="005A3E94"/>
    <w:rsid w:val="005A52E8"/>
    <w:rsid w:val="005A5774"/>
    <w:rsid w:val="005A5E23"/>
    <w:rsid w:val="005A6A8C"/>
    <w:rsid w:val="005A703E"/>
    <w:rsid w:val="005A7FE6"/>
    <w:rsid w:val="005B0981"/>
    <w:rsid w:val="005B09FF"/>
    <w:rsid w:val="005B0CF5"/>
    <w:rsid w:val="005B42C8"/>
    <w:rsid w:val="005B44C6"/>
    <w:rsid w:val="005B468A"/>
    <w:rsid w:val="005B47A0"/>
    <w:rsid w:val="005B50D9"/>
    <w:rsid w:val="005B5406"/>
    <w:rsid w:val="005B5568"/>
    <w:rsid w:val="005B5EE7"/>
    <w:rsid w:val="005B6218"/>
    <w:rsid w:val="005B6FBA"/>
    <w:rsid w:val="005C1248"/>
    <w:rsid w:val="005C143C"/>
    <w:rsid w:val="005C164A"/>
    <w:rsid w:val="005C56DF"/>
    <w:rsid w:val="005C5AFF"/>
    <w:rsid w:val="005C6119"/>
    <w:rsid w:val="005C6E39"/>
    <w:rsid w:val="005C73C2"/>
    <w:rsid w:val="005C7CDD"/>
    <w:rsid w:val="005D0231"/>
    <w:rsid w:val="005D029F"/>
    <w:rsid w:val="005D0381"/>
    <w:rsid w:val="005D0F34"/>
    <w:rsid w:val="005D1DB3"/>
    <w:rsid w:val="005D2336"/>
    <w:rsid w:val="005D2691"/>
    <w:rsid w:val="005D287F"/>
    <w:rsid w:val="005D2BA2"/>
    <w:rsid w:val="005D2CB0"/>
    <w:rsid w:val="005D32ED"/>
    <w:rsid w:val="005D3563"/>
    <w:rsid w:val="005D3B29"/>
    <w:rsid w:val="005D41CB"/>
    <w:rsid w:val="005D4922"/>
    <w:rsid w:val="005D4A48"/>
    <w:rsid w:val="005D61CE"/>
    <w:rsid w:val="005D6436"/>
    <w:rsid w:val="005D66F7"/>
    <w:rsid w:val="005D7755"/>
    <w:rsid w:val="005E050F"/>
    <w:rsid w:val="005E0A41"/>
    <w:rsid w:val="005E0E4E"/>
    <w:rsid w:val="005E0EBE"/>
    <w:rsid w:val="005E179E"/>
    <w:rsid w:val="005E1C59"/>
    <w:rsid w:val="005E2471"/>
    <w:rsid w:val="005E2574"/>
    <w:rsid w:val="005E39DB"/>
    <w:rsid w:val="005E3A00"/>
    <w:rsid w:val="005E3A11"/>
    <w:rsid w:val="005E41D9"/>
    <w:rsid w:val="005E4AD1"/>
    <w:rsid w:val="005E4FB9"/>
    <w:rsid w:val="005E566B"/>
    <w:rsid w:val="005E6284"/>
    <w:rsid w:val="005E7EC0"/>
    <w:rsid w:val="005F0386"/>
    <w:rsid w:val="005F0D02"/>
    <w:rsid w:val="005F2806"/>
    <w:rsid w:val="005F2DDF"/>
    <w:rsid w:val="005F338B"/>
    <w:rsid w:val="005F358E"/>
    <w:rsid w:val="005F3B1B"/>
    <w:rsid w:val="005F46D2"/>
    <w:rsid w:val="005F51A0"/>
    <w:rsid w:val="005F7DB1"/>
    <w:rsid w:val="0060149C"/>
    <w:rsid w:val="006015EE"/>
    <w:rsid w:val="006021F7"/>
    <w:rsid w:val="0060234B"/>
    <w:rsid w:val="0060283D"/>
    <w:rsid w:val="00602F3C"/>
    <w:rsid w:val="00603B58"/>
    <w:rsid w:val="00604EC1"/>
    <w:rsid w:val="00606C71"/>
    <w:rsid w:val="006078E4"/>
    <w:rsid w:val="006109C4"/>
    <w:rsid w:val="00610D53"/>
    <w:rsid w:val="0061237D"/>
    <w:rsid w:val="00612CE2"/>
    <w:rsid w:val="0061304E"/>
    <w:rsid w:val="00613D6F"/>
    <w:rsid w:val="006157E5"/>
    <w:rsid w:val="00615B52"/>
    <w:rsid w:val="00616D94"/>
    <w:rsid w:val="00617E57"/>
    <w:rsid w:val="006204A6"/>
    <w:rsid w:val="00621608"/>
    <w:rsid w:val="006222D2"/>
    <w:rsid w:val="00622A45"/>
    <w:rsid w:val="006236C8"/>
    <w:rsid w:val="00623761"/>
    <w:rsid w:val="00623B4A"/>
    <w:rsid w:val="00624561"/>
    <w:rsid w:val="006253E9"/>
    <w:rsid w:val="006256DD"/>
    <w:rsid w:val="0062615F"/>
    <w:rsid w:val="006261B1"/>
    <w:rsid w:val="006265F6"/>
    <w:rsid w:val="00627BED"/>
    <w:rsid w:val="006306CB"/>
    <w:rsid w:val="00631042"/>
    <w:rsid w:val="00631612"/>
    <w:rsid w:val="00632817"/>
    <w:rsid w:val="00632EA2"/>
    <w:rsid w:val="00632FD2"/>
    <w:rsid w:val="0063300D"/>
    <w:rsid w:val="0063305C"/>
    <w:rsid w:val="006338B1"/>
    <w:rsid w:val="00633D45"/>
    <w:rsid w:val="00634821"/>
    <w:rsid w:val="00636C14"/>
    <w:rsid w:val="00636F1C"/>
    <w:rsid w:val="0063789E"/>
    <w:rsid w:val="006404C6"/>
    <w:rsid w:val="00640D5F"/>
    <w:rsid w:val="00642961"/>
    <w:rsid w:val="006433B5"/>
    <w:rsid w:val="006446E8"/>
    <w:rsid w:val="00644D5F"/>
    <w:rsid w:val="0064690D"/>
    <w:rsid w:val="00646AF4"/>
    <w:rsid w:val="0064714F"/>
    <w:rsid w:val="006472AA"/>
    <w:rsid w:val="00647304"/>
    <w:rsid w:val="006477FC"/>
    <w:rsid w:val="00647BAB"/>
    <w:rsid w:val="0065156D"/>
    <w:rsid w:val="006516A2"/>
    <w:rsid w:val="00651960"/>
    <w:rsid w:val="006532B7"/>
    <w:rsid w:val="00654575"/>
    <w:rsid w:val="00654809"/>
    <w:rsid w:val="00654EC2"/>
    <w:rsid w:val="00656A30"/>
    <w:rsid w:val="00657170"/>
    <w:rsid w:val="00657456"/>
    <w:rsid w:val="00657758"/>
    <w:rsid w:val="006577FC"/>
    <w:rsid w:val="00660A67"/>
    <w:rsid w:val="00660F3E"/>
    <w:rsid w:val="00660FE5"/>
    <w:rsid w:val="0066204C"/>
    <w:rsid w:val="006638E2"/>
    <w:rsid w:val="006645A9"/>
    <w:rsid w:val="006646EA"/>
    <w:rsid w:val="00665B3A"/>
    <w:rsid w:val="00665C78"/>
    <w:rsid w:val="006663E8"/>
    <w:rsid w:val="00666887"/>
    <w:rsid w:val="00667719"/>
    <w:rsid w:val="006678EA"/>
    <w:rsid w:val="00667A62"/>
    <w:rsid w:val="00667CB6"/>
    <w:rsid w:val="00667FB6"/>
    <w:rsid w:val="00667FDF"/>
    <w:rsid w:val="006702EF"/>
    <w:rsid w:val="006707DA"/>
    <w:rsid w:val="00670DB9"/>
    <w:rsid w:val="00671C57"/>
    <w:rsid w:val="006720A3"/>
    <w:rsid w:val="006723F7"/>
    <w:rsid w:val="00673163"/>
    <w:rsid w:val="006737BD"/>
    <w:rsid w:val="00673FB0"/>
    <w:rsid w:val="00674B61"/>
    <w:rsid w:val="00674E2D"/>
    <w:rsid w:val="006767FC"/>
    <w:rsid w:val="00676B67"/>
    <w:rsid w:val="00676C1C"/>
    <w:rsid w:val="00680053"/>
    <w:rsid w:val="00680423"/>
    <w:rsid w:val="006830ED"/>
    <w:rsid w:val="00683403"/>
    <w:rsid w:val="00683E9E"/>
    <w:rsid w:val="006852D7"/>
    <w:rsid w:val="0068543C"/>
    <w:rsid w:val="00685F12"/>
    <w:rsid w:val="00686B6C"/>
    <w:rsid w:val="00687195"/>
    <w:rsid w:val="00687B48"/>
    <w:rsid w:val="00690CBC"/>
    <w:rsid w:val="00690DEC"/>
    <w:rsid w:val="006915AB"/>
    <w:rsid w:val="00693917"/>
    <w:rsid w:val="00694844"/>
    <w:rsid w:val="00694EDB"/>
    <w:rsid w:val="006957F3"/>
    <w:rsid w:val="00695B03"/>
    <w:rsid w:val="0069674E"/>
    <w:rsid w:val="00696BAB"/>
    <w:rsid w:val="00696CE1"/>
    <w:rsid w:val="006A0CFF"/>
    <w:rsid w:val="006A1076"/>
    <w:rsid w:val="006A1103"/>
    <w:rsid w:val="006A18ED"/>
    <w:rsid w:val="006A1EEE"/>
    <w:rsid w:val="006A2050"/>
    <w:rsid w:val="006A3080"/>
    <w:rsid w:val="006A39F8"/>
    <w:rsid w:val="006A4CEA"/>
    <w:rsid w:val="006A5279"/>
    <w:rsid w:val="006A6490"/>
    <w:rsid w:val="006A6F87"/>
    <w:rsid w:val="006A701D"/>
    <w:rsid w:val="006A7F43"/>
    <w:rsid w:val="006B0101"/>
    <w:rsid w:val="006B1DFD"/>
    <w:rsid w:val="006B287D"/>
    <w:rsid w:val="006B29F7"/>
    <w:rsid w:val="006B3816"/>
    <w:rsid w:val="006B39DF"/>
    <w:rsid w:val="006B4565"/>
    <w:rsid w:val="006B488D"/>
    <w:rsid w:val="006B6185"/>
    <w:rsid w:val="006B69F9"/>
    <w:rsid w:val="006B778E"/>
    <w:rsid w:val="006B7B40"/>
    <w:rsid w:val="006C01BA"/>
    <w:rsid w:val="006C09E2"/>
    <w:rsid w:val="006C0C5D"/>
    <w:rsid w:val="006C14A7"/>
    <w:rsid w:val="006C1C29"/>
    <w:rsid w:val="006C2B3D"/>
    <w:rsid w:val="006C2FA1"/>
    <w:rsid w:val="006C497C"/>
    <w:rsid w:val="006C515A"/>
    <w:rsid w:val="006C566E"/>
    <w:rsid w:val="006C5A95"/>
    <w:rsid w:val="006C62AF"/>
    <w:rsid w:val="006C63C0"/>
    <w:rsid w:val="006C66A0"/>
    <w:rsid w:val="006C6A0C"/>
    <w:rsid w:val="006C6BA5"/>
    <w:rsid w:val="006D1B06"/>
    <w:rsid w:val="006D217B"/>
    <w:rsid w:val="006D2FD5"/>
    <w:rsid w:val="006D3BE8"/>
    <w:rsid w:val="006D4FB4"/>
    <w:rsid w:val="006D50A3"/>
    <w:rsid w:val="006D532B"/>
    <w:rsid w:val="006D54ED"/>
    <w:rsid w:val="006D5E15"/>
    <w:rsid w:val="006D5F6F"/>
    <w:rsid w:val="006D6321"/>
    <w:rsid w:val="006D6468"/>
    <w:rsid w:val="006D690A"/>
    <w:rsid w:val="006D6ABA"/>
    <w:rsid w:val="006D72FA"/>
    <w:rsid w:val="006E0913"/>
    <w:rsid w:val="006E0929"/>
    <w:rsid w:val="006E0BFF"/>
    <w:rsid w:val="006E182A"/>
    <w:rsid w:val="006E2A5E"/>
    <w:rsid w:val="006E4A60"/>
    <w:rsid w:val="006E5416"/>
    <w:rsid w:val="006E6392"/>
    <w:rsid w:val="006E64D0"/>
    <w:rsid w:val="006E6AF9"/>
    <w:rsid w:val="006E7589"/>
    <w:rsid w:val="006E77F8"/>
    <w:rsid w:val="006E7D0A"/>
    <w:rsid w:val="006F084B"/>
    <w:rsid w:val="006F099B"/>
    <w:rsid w:val="006F13AE"/>
    <w:rsid w:val="006F13D1"/>
    <w:rsid w:val="006F2909"/>
    <w:rsid w:val="006F3368"/>
    <w:rsid w:val="006F387F"/>
    <w:rsid w:val="006F490B"/>
    <w:rsid w:val="006F5102"/>
    <w:rsid w:val="006F5159"/>
    <w:rsid w:val="006F52AF"/>
    <w:rsid w:val="006F63E1"/>
    <w:rsid w:val="006F7785"/>
    <w:rsid w:val="0070035E"/>
    <w:rsid w:val="00700ABD"/>
    <w:rsid w:val="00700B51"/>
    <w:rsid w:val="007013A5"/>
    <w:rsid w:val="00702A3E"/>
    <w:rsid w:val="00702FBA"/>
    <w:rsid w:val="007041AD"/>
    <w:rsid w:val="00704249"/>
    <w:rsid w:val="00704FA2"/>
    <w:rsid w:val="00705E62"/>
    <w:rsid w:val="00706075"/>
    <w:rsid w:val="0070660C"/>
    <w:rsid w:val="00707468"/>
    <w:rsid w:val="007077B9"/>
    <w:rsid w:val="0071075A"/>
    <w:rsid w:val="0071090E"/>
    <w:rsid w:val="00710C6F"/>
    <w:rsid w:val="00711094"/>
    <w:rsid w:val="00711925"/>
    <w:rsid w:val="007125C9"/>
    <w:rsid w:val="0071269C"/>
    <w:rsid w:val="00712C8A"/>
    <w:rsid w:val="00712F1E"/>
    <w:rsid w:val="0071445C"/>
    <w:rsid w:val="00714A9C"/>
    <w:rsid w:val="00715C9D"/>
    <w:rsid w:val="00715CA4"/>
    <w:rsid w:val="00716AE1"/>
    <w:rsid w:val="007171D9"/>
    <w:rsid w:val="00717213"/>
    <w:rsid w:val="00717A11"/>
    <w:rsid w:val="0072074F"/>
    <w:rsid w:val="00721864"/>
    <w:rsid w:val="00721936"/>
    <w:rsid w:val="0072230A"/>
    <w:rsid w:val="00722469"/>
    <w:rsid w:val="00723283"/>
    <w:rsid w:val="007237D6"/>
    <w:rsid w:val="00723C8D"/>
    <w:rsid w:val="007266ED"/>
    <w:rsid w:val="00726B97"/>
    <w:rsid w:val="007308F0"/>
    <w:rsid w:val="007314AC"/>
    <w:rsid w:val="00731CF8"/>
    <w:rsid w:val="007323B4"/>
    <w:rsid w:val="00732589"/>
    <w:rsid w:val="00732DC3"/>
    <w:rsid w:val="007334BA"/>
    <w:rsid w:val="007334BB"/>
    <w:rsid w:val="00734F35"/>
    <w:rsid w:val="00735080"/>
    <w:rsid w:val="00735246"/>
    <w:rsid w:val="007362F5"/>
    <w:rsid w:val="00741167"/>
    <w:rsid w:val="00741D1B"/>
    <w:rsid w:val="00741F7C"/>
    <w:rsid w:val="00741FE3"/>
    <w:rsid w:val="007424A3"/>
    <w:rsid w:val="00744144"/>
    <w:rsid w:val="0074418E"/>
    <w:rsid w:val="00744F6D"/>
    <w:rsid w:val="00745EA3"/>
    <w:rsid w:val="007460C1"/>
    <w:rsid w:val="00746AFE"/>
    <w:rsid w:val="00747477"/>
    <w:rsid w:val="00747E52"/>
    <w:rsid w:val="007505DC"/>
    <w:rsid w:val="00750D8C"/>
    <w:rsid w:val="00751307"/>
    <w:rsid w:val="00751B97"/>
    <w:rsid w:val="0075283E"/>
    <w:rsid w:val="00753878"/>
    <w:rsid w:val="00753D5C"/>
    <w:rsid w:val="007540AF"/>
    <w:rsid w:val="00754AE7"/>
    <w:rsid w:val="00755C4F"/>
    <w:rsid w:val="00756101"/>
    <w:rsid w:val="00757654"/>
    <w:rsid w:val="00757B9F"/>
    <w:rsid w:val="00757F74"/>
    <w:rsid w:val="00760423"/>
    <w:rsid w:val="00762544"/>
    <w:rsid w:val="007626A0"/>
    <w:rsid w:val="00763D1D"/>
    <w:rsid w:val="007645ED"/>
    <w:rsid w:val="007646C5"/>
    <w:rsid w:val="00764C66"/>
    <w:rsid w:val="00764F86"/>
    <w:rsid w:val="007664CD"/>
    <w:rsid w:val="0076709F"/>
    <w:rsid w:val="00767A97"/>
    <w:rsid w:val="00767F53"/>
    <w:rsid w:val="0077023F"/>
    <w:rsid w:val="00770ECE"/>
    <w:rsid w:val="007729F9"/>
    <w:rsid w:val="00773FDE"/>
    <w:rsid w:val="00774A51"/>
    <w:rsid w:val="0077521E"/>
    <w:rsid w:val="00775380"/>
    <w:rsid w:val="00775FCB"/>
    <w:rsid w:val="007764EB"/>
    <w:rsid w:val="00776D2E"/>
    <w:rsid w:val="00777089"/>
    <w:rsid w:val="007772AD"/>
    <w:rsid w:val="007772B5"/>
    <w:rsid w:val="00777934"/>
    <w:rsid w:val="00780683"/>
    <w:rsid w:val="0078080F"/>
    <w:rsid w:val="007808FE"/>
    <w:rsid w:val="00780E57"/>
    <w:rsid w:val="00781C94"/>
    <w:rsid w:val="00783C07"/>
    <w:rsid w:val="00784D9D"/>
    <w:rsid w:val="00785644"/>
    <w:rsid w:val="007858BF"/>
    <w:rsid w:val="00786310"/>
    <w:rsid w:val="007878A5"/>
    <w:rsid w:val="00790F68"/>
    <w:rsid w:val="00791D14"/>
    <w:rsid w:val="0079266F"/>
    <w:rsid w:val="00792729"/>
    <w:rsid w:val="00793377"/>
    <w:rsid w:val="00793CFB"/>
    <w:rsid w:val="007942DC"/>
    <w:rsid w:val="007947B3"/>
    <w:rsid w:val="00795F13"/>
    <w:rsid w:val="0079615B"/>
    <w:rsid w:val="00796786"/>
    <w:rsid w:val="00796829"/>
    <w:rsid w:val="007977A3"/>
    <w:rsid w:val="00797BE3"/>
    <w:rsid w:val="007A0473"/>
    <w:rsid w:val="007A1268"/>
    <w:rsid w:val="007A14A0"/>
    <w:rsid w:val="007A26A9"/>
    <w:rsid w:val="007A3036"/>
    <w:rsid w:val="007A3071"/>
    <w:rsid w:val="007A35DB"/>
    <w:rsid w:val="007A3F28"/>
    <w:rsid w:val="007A5DD8"/>
    <w:rsid w:val="007A647E"/>
    <w:rsid w:val="007A6893"/>
    <w:rsid w:val="007A68DF"/>
    <w:rsid w:val="007A700E"/>
    <w:rsid w:val="007A74B0"/>
    <w:rsid w:val="007A7607"/>
    <w:rsid w:val="007A7C7F"/>
    <w:rsid w:val="007B00E5"/>
    <w:rsid w:val="007B0C16"/>
    <w:rsid w:val="007B1F86"/>
    <w:rsid w:val="007B212C"/>
    <w:rsid w:val="007B2429"/>
    <w:rsid w:val="007B2A35"/>
    <w:rsid w:val="007B2D88"/>
    <w:rsid w:val="007B52E6"/>
    <w:rsid w:val="007B58EB"/>
    <w:rsid w:val="007B5D72"/>
    <w:rsid w:val="007B6802"/>
    <w:rsid w:val="007B7571"/>
    <w:rsid w:val="007B75EB"/>
    <w:rsid w:val="007C072A"/>
    <w:rsid w:val="007C1487"/>
    <w:rsid w:val="007C15E1"/>
    <w:rsid w:val="007C1BE2"/>
    <w:rsid w:val="007C34BB"/>
    <w:rsid w:val="007C3B60"/>
    <w:rsid w:val="007C459B"/>
    <w:rsid w:val="007C4EDD"/>
    <w:rsid w:val="007C4F2E"/>
    <w:rsid w:val="007C6423"/>
    <w:rsid w:val="007C67D7"/>
    <w:rsid w:val="007C7237"/>
    <w:rsid w:val="007C7601"/>
    <w:rsid w:val="007D08F4"/>
    <w:rsid w:val="007D113A"/>
    <w:rsid w:val="007D15CC"/>
    <w:rsid w:val="007D25AC"/>
    <w:rsid w:val="007D2723"/>
    <w:rsid w:val="007D4A53"/>
    <w:rsid w:val="007D5151"/>
    <w:rsid w:val="007D54C8"/>
    <w:rsid w:val="007D5815"/>
    <w:rsid w:val="007D5A52"/>
    <w:rsid w:val="007D5E8B"/>
    <w:rsid w:val="007D654C"/>
    <w:rsid w:val="007D6975"/>
    <w:rsid w:val="007D69C0"/>
    <w:rsid w:val="007D72ED"/>
    <w:rsid w:val="007D7494"/>
    <w:rsid w:val="007D7D76"/>
    <w:rsid w:val="007E0093"/>
    <w:rsid w:val="007E010B"/>
    <w:rsid w:val="007E1213"/>
    <w:rsid w:val="007E19FF"/>
    <w:rsid w:val="007E1A90"/>
    <w:rsid w:val="007E2520"/>
    <w:rsid w:val="007E2D4F"/>
    <w:rsid w:val="007E3698"/>
    <w:rsid w:val="007E4486"/>
    <w:rsid w:val="007E454A"/>
    <w:rsid w:val="007E5505"/>
    <w:rsid w:val="007E5DB7"/>
    <w:rsid w:val="007E5E2A"/>
    <w:rsid w:val="007E6139"/>
    <w:rsid w:val="007E64A3"/>
    <w:rsid w:val="007E6815"/>
    <w:rsid w:val="007E6CD5"/>
    <w:rsid w:val="007E7526"/>
    <w:rsid w:val="007E7F8C"/>
    <w:rsid w:val="007F045E"/>
    <w:rsid w:val="007F12B8"/>
    <w:rsid w:val="007F2259"/>
    <w:rsid w:val="007F2529"/>
    <w:rsid w:val="007F2808"/>
    <w:rsid w:val="007F2B63"/>
    <w:rsid w:val="007F2BE9"/>
    <w:rsid w:val="007F3064"/>
    <w:rsid w:val="007F33FD"/>
    <w:rsid w:val="007F3FBD"/>
    <w:rsid w:val="007F5EA2"/>
    <w:rsid w:val="007F609B"/>
    <w:rsid w:val="007F72B8"/>
    <w:rsid w:val="007F7E77"/>
    <w:rsid w:val="0080020D"/>
    <w:rsid w:val="00800885"/>
    <w:rsid w:val="008009CE"/>
    <w:rsid w:val="00800CAE"/>
    <w:rsid w:val="00801396"/>
    <w:rsid w:val="008013DD"/>
    <w:rsid w:val="00802262"/>
    <w:rsid w:val="008027F6"/>
    <w:rsid w:val="0080319C"/>
    <w:rsid w:val="0080435C"/>
    <w:rsid w:val="00804E26"/>
    <w:rsid w:val="00806A68"/>
    <w:rsid w:val="0080753F"/>
    <w:rsid w:val="00810938"/>
    <w:rsid w:val="008116E9"/>
    <w:rsid w:val="00811E6F"/>
    <w:rsid w:val="00811F36"/>
    <w:rsid w:val="0081263D"/>
    <w:rsid w:val="0081451B"/>
    <w:rsid w:val="00815F0C"/>
    <w:rsid w:val="008179E8"/>
    <w:rsid w:val="0082079D"/>
    <w:rsid w:val="008209E9"/>
    <w:rsid w:val="0082142A"/>
    <w:rsid w:val="00821FD5"/>
    <w:rsid w:val="00822806"/>
    <w:rsid w:val="00822B40"/>
    <w:rsid w:val="0082311A"/>
    <w:rsid w:val="0082325D"/>
    <w:rsid w:val="00823E30"/>
    <w:rsid w:val="0082604E"/>
    <w:rsid w:val="00827674"/>
    <w:rsid w:val="008276FE"/>
    <w:rsid w:val="00827E5E"/>
    <w:rsid w:val="00830051"/>
    <w:rsid w:val="008302C5"/>
    <w:rsid w:val="0083082A"/>
    <w:rsid w:val="00830C7B"/>
    <w:rsid w:val="00830E43"/>
    <w:rsid w:val="00831165"/>
    <w:rsid w:val="008325D0"/>
    <w:rsid w:val="008325D8"/>
    <w:rsid w:val="00833FFB"/>
    <w:rsid w:val="0083442E"/>
    <w:rsid w:val="008346F4"/>
    <w:rsid w:val="00834B59"/>
    <w:rsid w:val="00836163"/>
    <w:rsid w:val="00836906"/>
    <w:rsid w:val="00836CC5"/>
    <w:rsid w:val="008400B5"/>
    <w:rsid w:val="0084154F"/>
    <w:rsid w:val="00842138"/>
    <w:rsid w:val="00842198"/>
    <w:rsid w:val="00842639"/>
    <w:rsid w:val="00842682"/>
    <w:rsid w:val="00843EF7"/>
    <w:rsid w:val="008448F7"/>
    <w:rsid w:val="00844B56"/>
    <w:rsid w:val="00844BD8"/>
    <w:rsid w:val="00844D97"/>
    <w:rsid w:val="00845793"/>
    <w:rsid w:val="008463CC"/>
    <w:rsid w:val="0084671A"/>
    <w:rsid w:val="0084696D"/>
    <w:rsid w:val="00846D8F"/>
    <w:rsid w:val="00846F80"/>
    <w:rsid w:val="00847563"/>
    <w:rsid w:val="008502C8"/>
    <w:rsid w:val="00850911"/>
    <w:rsid w:val="00851227"/>
    <w:rsid w:val="00852B14"/>
    <w:rsid w:val="00852F8D"/>
    <w:rsid w:val="008540B8"/>
    <w:rsid w:val="0085420E"/>
    <w:rsid w:val="00854CB2"/>
    <w:rsid w:val="00855771"/>
    <w:rsid w:val="00855E03"/>
    <w:rsid w:val="008570B8"/>
    <w:rsid w:val="0085729D"/>
    <w:rsid w:val="008572B2"/>
    <w:rsid w:val="00857534"/>
    <w:rsid w:val="0085783B"/>
    <w:rsid w:val="00860738"/>
    <w:rsid w:val="00860B69"/>
    <w:rsid w:val="00861191"/>
    <w:rsid w:val="00861729"/>
    <w:rsid w:val="00861BA5"/>
    <w:rsid w:val="00862576"/>
    <w:rsid w:val="00863C18"/>
    <w:rsid w:val="00863E11"/>
    <w:rsid w:val="00864FE8"/>
    <w:rsid w:val="00866F14"/>
    <w:rsid w:val="00867566"/>
    <w:rsid w:val="00867C1D"/>
    <w:rsid w:val="00867E6A"/>
    <w:rsid w:val="00871954"/>
    <w:rsid w:val="00871D98"/>
    <w:rsid w:val="0087240D"/>
    <w:rsid w:val="008737D6"/>
    <w:rsid w:val="00873A29"/>
    <w:rsid w:val="00873F74"/>
    <w:rsid w:val="00873F84"/>
    <w:rsid w:val="00873FF7"/>
    <w:rsid w:val="0087445C"/>
    <w:rsid w:val="0087507C"/>
    <w:rsid w:val="00876B5E"/>
    <w:rsid w:val="00876C1A"/>
    <w:rsid w:val="00877B6A"/>
    <w:rsid w:val="008805FE"/>
    <w:rsid w:val="0088074A"/>
    <w:rsid w:val="00880C8B"/>
    <w:rsid w:val="00880D4D"/>
    <w:rsid w:val="0088116C"/>
    <w:rsid w:val="00881695"/>
    <w:rsid w:val="00882115"/>
    <w:rsid w:val="00882C68"/>
    <w:rsid w:val="00883444"/>
    <w:rsid w:val="0088348B"/>
    <w:rsid w:val="00883643"/>
    <w:rsid w:val="00883FB1"/>
    <w:rsid w:val="008845E2"/>
    <w:rsid w:val="008912B8"/>
    <w:rsid w:val="008913D1"/>
    <w:rsid w:val="0089161C"/>
    <w:rsid w:val="00891904"/>
    <w:rsid w:val="00892206"/>
    <w:rsid w:val="0089376B"/>
    <w:rsid w:val="008944C3"/>
    <w:rsid w:val="008954AA"/>
    <w:rsid w:val="008954F3"/>
    <w:rsid w:val="00895D08"/>
    <w:rsid w:val="00895E8F"/>
    <w:rsid w:val="00895FE8"/>
    <w:rsid w:val="00896412"/>
    <w:rsid w:val="0089674D"/>
    <w:rsid w:val="00896DCF"/>
    <w:rsid w:val="00897A78"/>
    <w:rsid w:val="00897E62"/>
    <w:rsid w:val="008A0387"/>
    <w:rsid w:val="008A0838"/>
    <w:rsid w:val="008A109B"/>
    <w:rsid w:val="008A1A12"/>
    <w:rsid w:val="008A1D09"/>
    <w:rsid w:val="008A2EA3"/>
    <w:rsid w:val="008A2EC1"/>
    <w:rsid w:val="008A473F"/>
    <w:rsid w:val="008A4872"/>
    <w:rsid w:val="008A4958"/>
    <w:rsid w:val="008A4971"/>
    <w:rsid w:val="008A6156"/>
    <w:rsid w:val="008A659E"/>
    <w:rsid w:val="008A761C"/>
    <w:rsid w:val="008A7803"/>
    <w:rsid w:val="008A7CD8"/>
    <w:rsid w:val="008B112B"/>
    <w:rsid w:val="008B41A3"/>
    <w:rsid w:val="008B4D21"/>
    <w:rsid w:val="008B51FC"/>
    <w:rsid w:val="008B5F84"/>
    <w:rsid w:val="008B68D9"/>
    <w:rsid w:val="008C00E5"/>
    <w:rsid w:val="008C0DFB"/>
    <w:rsid w:val="008C13C0"/>
    <w:rsid w:val="008C18D2"/>
    <w:rsid w:val="008C26E1"/>
    <w:rsid w:val="008C2E45"/>
    <w:rsid w:val="008C2F98"/>
    <w:rsid w:val="008C3AB0"/>
    <w:rsid w:val="008C3CBC"/>
    <w:rsid w:val="008C3CDC"/>
    <w:rsid w:val="008C3F0F"/>
    <w:rsid w:val="008C4051"/>
    <w:rsid w:val="008C5CA3"/>
    <w:rsid w:val="008C644E"/>
    <w:rsid w:val="008C6582"/>
    <w:rsid w:val="008C715D"/>
    <w:rsid w:val="008D119B"/>
    <w:rsid w:val="008D1DC7"/>
    <w:rsid w:val="008D225E"/>
    <w:rsid w:val="008D2FEB"/>
    <w:rsid w:val="008D3BDC"/>
    <w:rsid w:val="008D47F1"/>
    <w:rsid w:val="008D48ED"/>
    <w:rsid w:val="008D4BA9"/>
    <w:rsid w:val="008D4D28"/>
    <w:rsid w:val="008D658E"/>
    <w:rsid w:val="008D6822"/>
    <w:rsid w:val="008D7135"/>
    <w:rsid w:val="008E005A"/>
    <w:rsid w:val="008E145A"/>
    <w:rsid w:val="008E20CB"/>
    <w:rsid w:val="008E4A41"/>
    <w:rsid w:val="008E5945"/>
    <w:rsid w:val="008E59C3"/>
    <w:rsid w:val="008E6FDB"/>
    <w:rsid w:val="008E713C"/>
    <w:rsid w:val="008E7E1E"/>
    <w:rsid w:val="008F01B4"/>
    <w:rsid w:val="008F02EB"/>
    <w:rsid w:val="008F1298"/>
    <w:rsid w:val="008F1B38"/>
    <w:rsid w:val="008F2E0B"/>
    <w:rsid w:val="008F36EC"/>
    <w:rsid w:val="008F38EA"/>
    <w:rsid w:val="008F3942"/>
    <w:rsid w:val="008F3ABE"/>
    <w:rsid w:val="008F3CA9"/>
    <w:rsid w:val="008F432F"/>
    <w:rsid w:val="008F5CD1"/>
    <w:rsid w:val="008F68A4"/>
    <w:rsid w:val="008F6A87"/>
    <w:rsid w:val="009006C1"/>
    <w:rsid w:val="00901299"/>
    <w:rsid w:val="00901C25"/>
    <w:rsid w:val="009036FA"/>
    <w:rsid w:val="00903721"/>
    <w:rsid w:val="0090385B"/>
    <w:rsid w:val="00904079"/>
    <w:rsid w:val="0090425B"/>
    <w:rsid w:val="00904855"/>
    <w:rsid w:val="0090542B"/>
    <w:rsid w:val="009060B5"/>
    <w:rsid w:val="00906B50"/>
    <w:rsid w:val="00906C12"/>
    <w:rsid w:val="00906FB2"/>
    <w:rsid w:val="00910740"/>
    <w:rsid w:val="00910BBB"/>
    <w:rsid w:val="0091106D"/>
    <w:rsid w:val="009116DC"/>
    <w:rsid w:val="00911A74"/>
    <w:rsid w:val="00912CC0"/>
    <w:rsid w:val="00912F06"/>
    <w:rsid w:val="00914063"/>
    <w:rsid w:val="0091426E"/>
    <w:rsid w:val="00914F38"/>
    <w:rsid w:val="00914FA6"/>
    <w:rsid w:val="00916F98"/>
    <w:rsid w:val="00920FB5"/>
    <w:rsid w:val="009226ED"/>
    <w:rsid w:val="00923C2C"/>
    <w:rsid w:val="00923CA6"/>
    <w:rsid w:val="00923DED"/>
    <w:rsid w:val="009243EA"/>
    <w:rsid w:val="00924636"/>
    <w:rsid w:val="00925006"/>
    <w:rsid w:val="00927B8C"/>
    <w:rsid w:val="0093011B"/>
    <w:rsid w:val="0093062D"/>
    <w:rsid w:val="00930942"/>
    <w:rsid w:val="00931257"/>
    <w:rsid w:val="009314C8"/>
    <w:rsid w:val="00931712"/>
    <w:rsid w:val="00932047"/>
    <w:rsid w:val="00932391"/>
    <w:rsid w:val="00932422"/>
    <w:rsid w:val="0093276F"/>
    <w:rsid w:val="00933B6E"/>
    <w:rsid w:val="009340FD"/>
    <w:rsid w:val="009347FC"/>
    <w:rsid w:val="00936A17"/>
    <w:rsid w:val="00936B63"/>
    <w:rsid w:val="00936C2A"/>
    <w:rsid w:val="00936D89"/>
    <w:rsid w:val="00937566"/>
    <w:rsid w:val="00937739"/>
    <w:rsid w:val="00937899"/>
    <w:rsid w:val="009402D9"/>
    <w:rsid w:val="0094105F"/>
    <w:rsid w:val="00941F8D"/>
    <w:rsid w:val="0094208C"/>
    <w:rsid w:val="00944961"/>
    <w:rsid w:val="00945A77"/>
    <w:rsid w:val="00945E28"/>
    <w:rsid w:val="00946F17"/>
    <w:rsid w:val="00947AD9"/>
    <w:rsid w:val="00950B63"/>
    <w:rsid w:val="00950DBF"/>
    <w:rsid w:val="00952407"/>
    <w:rsid w:val="00952591"/>
    <w:rsid w:val="0095286B"/>
    <w:rsid w:val="00955321"/>
    <w:rsid w:val="0095574A"/>
    <w:rsid w:val="00956145"/>
    <w:rsid w:val="00956FC1"/>
    <w:rsid w:val="00957739"/>
    <w:rsid w:val="0096035A"/>
    <w:rsid w:val="00961B68"/>
    <w:rsid w:val="00961F70"/>
    <w:rsid w:val="0096228B"/>
    <w:rsid w:val="0096249C"/>
    <w:rsid w:val="00962CBC"/>
    <w:rsid w:val="009644D2"/>
    <w:rsid w:val="00964BC6"/>
    <w:rsid w:val="00965C14"/>
    <w:rsid w:val="00966A7C"/>
    <w:rsid w:val="00966A85"/>
    <w:rsid w:val="00966C76"/>
    <w:rsid w:val="0096755F"/>
    <w:rsid w:val="0096773F"/>
    <w:rsid w:val="0096789B"/>
    <w:rsid w:val="00967EF9"/>
    <w:rsid w:val="0097086B"/>
    <w:rsid w:val="0097154A"/>
    <w:rsid w:val="009721CD"/>
    <w:rsid w:val="00972E3F"/>
    <w:rsid w:val="0097416B"/>
    <w:rsid w:val="00974742"/>
    <w:rsid w:val="009749F0"/>
    <w:rsid w:val="009751E8"/>
    <w:rsid w:val="00975F90"/>
    <w:rsid w:val="00977534"/>
    <w:rsid w:val="00977647"/>
    <w:rsid w:val="00977ED9"/>
    <w:rsid w:val="0098002D"/>
    <w:rsid w:val="00982542"/>
    <w:rsid w:val="0098484F"/>
    <w:rsid w:val="00985285"/>
    <w:rsid w:val="00985345"/>
    <w:rsid w:val="009854E2"/>
    <w:rsid w:val="0098552A"/>
    <w:rsid w:val="00985F76"/>
    <w:rsid w:val="00986F10"/>
    <w:rsid w:val="0098790E"/>
    <w:rsid w:val="00987F20"/>
    <w:rsid w:val="00990086"/>
    <w:rsid w:val="00990177"/>
    <w:rsid w:val="00990F07"/>
    <w:rsid w:val="00991FC7"/>
    <w:rsid w:val="00992140"/>
    <w:rsid w:val="0099400E"/>
    <w:rsid w:val="00994500"/>
    <w:rsid w:val="009959A8"/>
    <w:rsid w:val="00995B61"/>
    <w:rsid w:val="00996AC5"/>
    <w:rsid w:val="009A0608"/>
    <w:rsid w:val="009A2380"/>
    <w:rsid w:val="009A31BE"/>
    <w:rsid w:val="009A413A"/>
    <w:rsid w:val="009A57B7"/>
    <w:rsid w:val="009A5AFD"/>
    <w:rsid w:val="009A5E76"/>
    <w:rsid w:val="009A6FC5"/>
    <w:rsid w:val="009A75B7"/>
    <w:rsid w:val="009A7877"/>
    <w:rsid w:val="009A7DB6"/>
    <w:rsid w:val="009B03DC"/>
    <w:rsid w:val="009B121F"/>
    <w:rsid w:val="009B1280"/>
    <w:rsid w:val="009B15A1"/>
    <w:rsid w:val="009B163A"/>
    <w:rsid w:val="009B171E"/>
    <w:rsid w:val="009B1AA5"/>
    <w:rsid w:val="009B2CE3"/>
    <w:rsid w:val="009B353A"/>
    <w:rsid w:val="009B35DA"/>
    <w:rsid w:val="009B4769"/>
    <w:rsid w:val="009B4DA4"/>
    <w:rsid w:val="009B51B2"/>
    <w:rsid w:val="009B570A"/>
    <w:rsid w:val="009B5B5C"/>
    <w:rsid w:val="009B6176"/>
    <w:rsid w:val="009B6C04"/>
    <w:rsid w:val="009B6CEA"/>
    <w:rsid w:val="009B70BB"/>
    <w:rsid w:val="009B769A"/>
    <w:rsid w:val="009C0072"/>
    <w:rsid w:val="009C2FF1"/>
    <w:rsid w:val="009C37A3"/>
    <w:rsid w:val="009C3C2B"/>
    <w:rsid w:val="009C49F3"/>
    <w:rsid w:val="009C4B38"/>
    <w:rsid w:val="009C52A3"/>
    <w:rsid w:val="009C5843"/>
    <w:rsid w:val="009C61A2"/>
    <w:rsid w:val="009C695D"/>
    <w:rsid w:val="009C6C77"/>
    <w:rsid w:val="009C70F9"/>
    <w:rsid w:val="009C76D7"/>
    <w:rsid w:val="009D1CF7"/>
    <w:rsid w:val="009D1DE6"/>
    <w:rsid w:val="009D2ED7"/>
    <w:rsid w:val="009D3041"/>
    <w:rsid w:val="009D3C85"/>
    <w:rsid w:val="009D412E"/>
    <w:rsid w:val="009D557F"/>
    <w:rsid w:val="009D5662"/>
    <w:rsid w:val="009D5D17"/>
    <w:rsid w:val="009D66BD"/>
    <w:rsid w:val="009D6AEB"/>
    <w:rsid w:val="009D6B4F"/>
    <w:rsid w:val="009D6F02"/>
    <w:rsid w:val="009E00AD"/>
    <w:rsid w:val="009E0D7C"/>
    <w:rsid w:val="009E1143"/>
    <w:rsid w:val="009E157B"/>
    <w:rsid w:val="009E15B3"/>
    <w:rsid w:val="009E2509"/>
    <w:rsid w:val="009E361D"/>
    <w:rsid w:val="009E363F"/>
    <w:rsid w:val="009E3A4C"/>
    <w:rsid w:val="009E41B3"/>
    <w:rsid w:val="009E4666"/>
    <w:rsid w:val="009E5B50"/>
    <w:rsid w:val="009E5C83"/>
    <w:rsid w:val="009E65CF"/>
    <w:rsid w:val="009E6E3F"/>
    <w:rsid w:val="009E743F"/>
    <w:rsid w:val="009E7A0C"/>
    <w:rsid w:val="009F0163"/>
    <w:rsid w:val="009F1357"/>
    <w:rsid w:val="009F236F"/>
    <w:rsid w:val="009F2B3E"/>
    <w:rsid w:val="009F2B5D"/>
    <w:rsid w:val="009F3CE0"/>
    <w:rsid w:val="009F3EBE"/>
    <w:rsid w:val="009F4267"/>
    <w:rsid w:val="009F4A2E"/>
    <w:rsid w:val="009F4CBB"/>
    <w:rsid w:val="009F4EA3"/>
    <w:rsid w:val="009F5D11"/>
    <w:rsid w:val="009F71E7"/>
    <w:rsid w:val="00A00587"/>
    <w:rsid w:val="00A0163B"/>
    <w:rsid w:val="00A0182C"/>
    <w:rsid w:val="00A0186B"/>
    <w:rsid w:val="00A01918"/>
    <w:rsid w:val="00A05A1A"/>
    <w:rsid w:val="00A05C65"/>
    <w:rsid w:val="00A06AC2"/>
    <w:rsid w:val="00A070B4"/>
    <w:rsid w:val="00A072EB"/>
    <w:rsid w:val="00A07D04"/>
    <w:rsid w:val="00A10087"/>
    <w:rsid w:val="00A105DF"/>
    <w:rsid w:val="00A10F62"/>
    <w:rsid w:val="00A11066"/>
    <w:rsid w:val="00A11218"/>
    <w:rsid w:val="00A12091"/>
    <w:rsid w:val="00A1247C"/>
    <w:rsid w:val="00A12AA4"/>
    <w:rsid w:val="00A12F3B"/>
    <w:rsid w:val="00A12F56"/>
    <w:rsid w:val="00A133B7"/>
    <w:rsid w:val="00A14C88"/>
    <w:rsid w:val="00A14F75"/>
    <w:rsid w:val="00A15165"/>
    <w:rsid w:val="00A167DB"/>
    <w:rsid w:val="00A17560"/>
    <w:rsid w:val="00A17CBF"/>
    <w:rsid w:val="00A2243E"/>
    <w:rsid w:val="00A22671"/>
    <w:rsid w:val="00A2370C"/>
    <w:rsid w:val="00A2406E"/>
    <w:rsid w:val="00A25AC5"/>
    <w:rsid w:val="00A26782"/>
    <w:rsid w:val="00A26CE0"/>
    <w:rsid w:val="00A274F0"/>
    <w:rsid w:val="00A27A6A"/>
    <w:rsid w:val="00A30622"/>
    <w:rsid w:val="00A31C97"/>
    <w:rsid w:val="00A31E1A"/>
    <w:rsid w:val="00A32050"/>
    <w:rsid w:val="00A3290E"/>
    <w:rsid w:val="00A32BF5"/>
    <w:rsid w:val="00A32C13"/>
    <w:rsid w:val="00A34293"/>
    <w:rsid w:val="00A353A4"/>
    <w:rsid w:val="00A356A8"/>
    <w:rsid w:val="00A35B76"/>
    <w:rsid w:val="00A361F6"/>
    <w:rsid w:val="00A36678"/>
    <w:rsid w:val="00A36737"/>
    <w:rsid w:val="00A3679E"/>
    <w:rsid w:val="00A371B0"/>
    <w:rsid w:val="00A37240"/>
    <w:rsid w:val="00A378C2"/>
    <w:rsid w:val="00A37B91"/>
    <w:rsid w:val="00A4033C"/>
    <w:rsid w:val="00A41A71"/>
    <w:rsid w:val="00A4220B"/>
    <w:rsid w:val="00A450DC"/>
    <w:rsid w:val="00A45423"/>
    <w:rsid w:val="00A45518"/>
    <w:rsid w:val="00A46EAF"/>
    <w:rsid w:val="00A50FD6"/>
    <w:rsid w:val="00A50FEF"/>
    <w:rsid w:val="00A51593"/>
    <w:rsid w:val="00A51B94"/>
    <w:rsid w:val="00A53A76"/>
    <w:rsid w:val="00A53CD9"/>
    <w:rsid w:val="00A53D87"/>
    <w:rsid w:val="00A54D8F"/>
    <w:rsid w:val="00A553D4"/>
    <w:rsid w:val="00A55A26"/>
    <w:rsid w:val="00A55BFB"/>
    <w:rsid w:val="00A55DDC"/>
    <w:rsid w:val="00A5602B"/>
    <w:rsid w:val="00A563AD"/>
    <w:rsid w:val="00A567C6"/>
    <w:rsid w:val="00A57F78"/>
    <w:rsid w:val="00A611A0"/>
    <w:rsid w:val="00A611ED"/>
    <w:rsid w:val="00A6131C"/>
    <w:rsid w:val="00A61AC1"/>
    <w:rsid w:val="00A625D7"/>
    <w:rsid w:val="00A62D07"/>
    <w:rsid w:val="00A637E4"/>
    <w:rsid w:val="00A6458C"/>
    <w:rsid w:val="00A64FA4"/>
    <w:rsid w:val="00A650BE"/>
    <w:rsid w:val="00A65922"/>
    <w:rsid w:val="00A66D14"/>
    <w:rsid w:val="00A67666"/>
    <w:rsid w:val="00A67CB1"/>
    <w:rsid w:val="00A70C9F"/>
    <w:rsid w:val="00A7122A"/>
    <w:rsid w:val="00A71DE7"/>
    <w:rsid w:val="00A7312D"/>
    <w:rsid w:val="00A735B0"/>
    <w:rsid w:val="00A74543"/>
    <w:rsid w:val="00A74E1F"/>
    <w:rsid w:val="00A75AE2"/>
    <w:rsid w:val="00A75D82"/>
    <w:rsid w:val="00A779B5"/>
    <w:rsid w:val="00A803C7"/>
    <w:rsid w:val="00A82677"/>
    <w:rsid w:val="00A82EE1"/>
    <w:rsid w:val="00A83045"/>
    <w:rsid w:val="00A83942"/>
    <w:rsid w:val="00A83C9A"/>
    <w:rsid w:val="00A83D84"/>
    <w:rsid w:val="00A85D11"/>
    <w:rsid w:val="00A86293"/>
    <w:rsid w:val="00A863C0"/>
    <w:rsid w:val="00A866A3"/>
    <w:rsid w:val="00A8778D"/>
    <w:rsid w:val="00A90B53"/>
    <w:rsid w:val="00A91A6E"/>
    <w:rsid w:val="00A92AB2"/>
    <w:rsid w:val="00A9308D"/>
    <w:rsid w:val="00A93727"/>
    <w:rsid w:val="00A937FA"/>
    <w:rsid w:val="00A9428A"/>
    <w:rsid w:val="00A95890"/>
    <w:rsid w:val="00A96A3B"/>
    <w:rsid w:val="00A96EA4"/>
    <w:rsid w:val="00AA0021"/>
    <w:rsid w:val="00AA1387"/>
    <w:rsid w:val="00AA1F64"/>
    <w:rsid w:val="00AA2562"/>
    <w:rsid w:val="00AA2B4A"/>
    <w:rsid w:val="00AA3C8D"/>
    <w:rsid w:val="00AA3D04"/>
    <w:rsid w:val="00AA4B3D"/>
    <w:rsid w:val="00AA539A"/>
    <w:rsid w:val="00AA6039"/>
    <w:rsid w:val="00AA675E"/>
    <w:rsid w:val="00AA6BC2"/>
    <w:rsid w:val="00AA70C4"/>
    <w:rsid w:val="00AB0613"/>
    <w:rsid w:val="00AB08BE"/>
    <w:rsid w:val="00AB1951"/>
    <w:rsid w:val="00AB2B4E"/>
    <w:rsid w:val="00AB2F0C"/>
    <w:rsid w:val="00AB3956"/>
    <w:rsid w:val="00AB3CB4"/>
    <w:rsid w:val="00AB3CC4"/>
    <w:rsid w:val="00AB3E64"/>
    <w:rsid w:val="00AB4000"/>
    <w:rsid w:val="00AB4652"/>
    <w:rsid w:val="00AB591B"/>
    <w:rsid w:val="00AB643C"/>
    <w:rsid w:val="00AB6617"/>
    <w:rsid w:val="00AB6681"/>
    <w:rsid w:val="00AB67BE"/>
    <w:rsid w:val="00AB6B24"/>
    <w:rsid w:val="00AB7203"/>
    <w:rsid w:val="00AB7C4E"/>
    <w:rsid w:val="00AC015B"/>
    <w:rsid w:val="00AC0711"/>
    <w:rsid w:val="00AC0AD6"/>
    <w:rsid w:val="00AC1F41"/>
    <w:rsid w:val="00AC2C2D"/>
    <w:rsid w:val="00AC3769"/>
    <w:rsid w:val="00AC4057"/>
    <w:rsid w:val="00AC4948"/>
    <w:rsid w:val="00AC509F"/>
    <w:rsid w:val="00AC5807"/>
    <w:rsid w:val="00AC5CCF"/>
    <w:rsid w:val="00AC6E86"/>
    <w:rsid w:val="00AD0AEC"/>
    <w:rsid w:val="00AD193D"/>
    <w:rsid w:val="00AD1CAC"/>
    <w:rsid w:val="00AD1E53"/>
    <w:rsid w:val="00AD21C8"/>
    <w:rsid w:val="00AD35EF"/>
    <w:rsid w:val="00AD4491"/>
    <w:rsid w:val="00AD5D30"/>
    <w:rsid w:val="00AD5DFC"/>
    <w:rsid w:val="00AD6AC3"/>
    <w:rsid w:val="00AD6DFC"/>
    <w:rsid w:val="00AD703A"/>
    <w:rsid w:val="00AE0DBE"/>
    <w:rsid w:val="00AE10D6"/>
    <w:rsid w:val="00AE308C"/>
    <w:rsid w:val="00AE3495"/>
    <w:rsid w:val="00AE34DE"/>
    <w:rsid w:val="00AE353B"/>
    <w:rsid w:val="00AE3592"/>
    <w:rsid w:val="00AE38CF"/>
    <w:rsid w:val="00AE5B76"/>
    <w:rsid w:val="00AE67E5"/>
    <w:rsid w:val="00AE6900"/>
    <w:rsid w:val="00AE6A80"/>
    <w:rsid w:val="00AF04DB"/>
    <w:rsid w:val="00AF0F2B"/>
    <w:rsid w:val="00AF254C"/>
    <w:rsid w:val="00AF27BA"/>
    <w:rsid w:val="00AF32C1"/>
    <w:rsid w:val="00AF3B4D"/>
    <w:rsid w:val="00AF4537"/>
    <w:rsid w:val="00AF4DFA"/>
    <w:rsid w:val="00AF51C1"/>
    <w:rsid w:val="00AF5478"/>
    <w:rsid w:val="00AF67CA"/>
    <w:rsid w:val="00AF6F99"/>
    <w:rsid w:val="00AF76C7"/>
    <w:rsid w:val="00AF7DFE"/>
    <w:rsid w:val="00B002F2"/>
    <w:rsid w:val="00B00C0E"/>
    <w:rsid w:val="00B02491"/>
    <w:rsid w:val="00B029FD"/>
    <w:rsid w:val="00B03011"/>
    <w:rsid w:val="00B03470"/>
    <w:rsid w:val="00B05C66"/>
    <w:rsid w:val="00B06F73"/>
    <w:rsid w:val="00B07065"/>
    <w:rsid w:val="00B07551"/>
    <w:rsid w:val="00B0762F"/>
    <w:rsid w:val="00B0787B"/>
    <w:rsid w:val="00B0791A"/>
    <w:rsid w:val="00B109CE"/>
    <w:rsid w:val="00B10C94"/>
    <w:rsid w:val="00B11DE4"/>
    <w:rsid w:val="00B122BF"/>
    <w:rsid w:val="00B12840"/>
    <w:rsid w:val="00B13EF6"/>
    <w:rsid w:val="00B1443B"/>
    <w:rsid w:val="00B157A2"/>
    <w:rsid w:val="00B15BE5"/>
    <w:rsid w:val="00B16A95"/>
    <w:rsid w:val="00B16C95"/>
    <w:rsid w:val="00B20012"/>
    <w:rsid w:val="00B20CBC"/>
    <w:rsid w:val="00B21B07"/>
    <w:rsid w:val="00B22399"/>
    <w:rsid w:val="00B228CD"/>
    <w:rsid w:val="00B2379E"/>
    <w:rsid w:val="00B24351"/>
    <w:rsid w:val="00B24460"/>
    <w:rsid w:val="00B24C51"/>
    <w:rsid w:val="00B25075"/>
    <w:rsid w:val="00B250C4"/>
    <w:rsid w:val="00B25312"/>
    <w:rsid w:val="00B25E37"/>
    <w:rsid w:val="00B25F62"/>
    <w:rsid w:val="00B26633"/>
    <w:rsid w:val="00B269C3"/>
    <w:rsid w:val="00B31486"/>
    <w:rsid w:val="00B31D4F"/>
    <w:rsid w:val="00B32722"/>
    <w:rsid w:val="00B32E4B"/>
    <w:rsid w:val="00B350CD"/>
    <w:rsid w:val="00B355E6"/>
    <w:rsid w:val="00B364AF"/>
    <w:rsid w:val="00B36CF8"/>
    <w:rsid w:val="00B37242"/>
    <w:rsid w:val="00B378B6"/>
    <w:rsid w:val="00B415C3"/>
    <w:rsid w:val="00B4180C"/>
    <w:rsid w:val="00B41B73"/>
    <w:rsid w:val="00B42095"/>
    <w:rsid w:val="00B42776"/>
    <w:rsid w:val="00B42B9B"/>
    <w:rsid w:val="00B42FDE"/>
    <w:rsid w:val="00B43115"/>
    <w:rsid w:val="00B43ADD"/>
    <w:rsid w:val="00B4449E"/>
    <w:rsid w:val="00B457A7"/>
    <w:rsid w:val="00B46100"/>
    <w:rsid w:val="00B50E50"/>
    <w:rsid w:val="00B51B98"/>
    <w:rsid w:val="00B52496"/>
    <w:rsid w:val="00B527E8"/>
    <w:rsid w:val="00B52DA5"/>
    <w:rsid w:val="00B52F7D"/>
    <w:rsid w:val="00B53606"/>
    <w:rsid w:val="00B53761"/>
    <w:rsid w:val="00B545E9"/>
    <w:rsid w:val="00B55008"/>
    <w:rsid w:val="00B5543D"/>
    <w:rsid w:val="00B55BEB"/>
    <w:rsid w:val="00B5603F"/>
    <w:rsid w:val="00B567FC"/>
    <w:rsid w:val="00B60BD8"/>
    <w:rsid w:val="00B61DBA"/>
    <w:rsid w:val="00B626F3"/>
    <w:rsid w:val="00B62835"/>
    <w:rsid w:val="00B6283F"/>
    <w:rsid w:val="00B6290D"/>
    <w:rsid w:val="00B62DF0"/>
    <w:rsid w:val="00B63711"/>
    <w:rsid w:val="00B63DC0"/>
    <w:rsid w:val="00B64B54"/>
    <w:rsid w:val="00B65B03"/>
    <w:rsid w:val="00B66335"/>
    <w:rsid w:val="00B66871"/>
    <w:rsid w:val="00B67115"/>
    <w:rsid w:val="00B70898"/>
    <w:rsid w:val="00B70E08"/>
    <w:rsid w:val="00B714C4"/>
    <w:rsid w:val="00B719E4"/>
    <w:rsid w:val="00B71C35"/>
    <w:rsid w:val="00B72129"/>
    <w:rsid w:val="00B735D5"/>
    <w:rsid w:val="00B73E6B"/>
    <w:rsid w:val="00B749ED"/>
    <w:rsid w:val="00B74DAC"/>
    <w:rsid w:val="00B7629C"/>
    <w:rsid w:val="00B7710A"/>
    <w:rsid w:val="00B77129"/>
    <w:rsid w:val="00B77476"/>
    <w:rsid w:val="00B8034A"/>
    <w:rsid w:val="00B8080C"/>
    <w:rsid w:val="00B81A18"/>
    <w:rsid w:val="00B81DE1"/>
    <w:rsid w:val="00B82BBC"/>
    <w:rsid w:val="00B82BDE"/>
    <w:rsid w:val="00B833E3"/>
    <w:rsid w:val="00B83649"/>
    <w:rsid w:val="00B83A54"/>
    <w:rsid w:val="00B83C97"/>
    <w:rsid w:val="00B83CE2"/>
    <w:rsid w:val="00B83E61"/>
    <w:rsid w:val="00B83E78"/>
    <w:rsid w:val="00B84476"/>
    <w:rsid w:val="00B853BF"/>
    <w:rsid w:val="00B85767"/>
    <w:rsid w:val="00B85892"/>
    <w:rsid w:val="00B85C26"/>
    <w:rsid w:val="00B868C7"/>
    <w:rsid w:val="00B87D8D"/>
    <w:rsid w:val="00B91D15"/>
    <w:rsid w:val="00B9205C"/>
    <w:rsid w:val="00B925F5"/>
    <w:rsid w:val="00B92BF0"/>
    <w:rsid w:val="00B93396"/>
    <w:rsid w:val="00B937A3"/>
    <w:rsid w:val="00B940BA"/>
    <w:rsid w:val="00B94BB9"/>
    <w:rsid w:val="00B95454"/>
    <w:rsid w:val="00B955F4"/>
    <w:rsid w:val="00B955FF"/>
    <w:rsid w:val="00B957C1"/>
    <w:rsid w:val="00B95B00"/>
    <w:rsid w:val="00B9606E"/>
    <w:rsid w:val="00BA04E2"/>
    <w:rsid w:val="00BA08AA"/>
    <w:rsid w:val="00BA112E"/>
    <w:rsid w:val="00BA165E"/>
    <w:rsid w:val="00BA1E4C"/>
    <w:rsid w:val="00BA2214"/>
    <w:rsid w:val="00BA315E"/>
    <w:rsid w:val="00BA3808"/>
    <w:rsid w:val="00BA474C"/>
    <w:rsid w:val="00BA52B6"/>
    <w:rsid w:val="00BA58EF"/>
    <w:rsid w:val="00BA61DD"/>
    <w:rsid w:val="00BA64EF"/>
    <w:rsid w:val="00BA73F2"/>
    <w:rsid w:val="00BA75B6"/>
    <w:rsid w:val="00BB0DFC"/>
    <w:rsid w:val="00BB122C"/>
    <w:rsid w:val="00BB27A1"/>
    <w:rsid w:val="00BB38D3"/>
    <w:rsid w:val="00BB4666"/>
    <w:rsid w:val="00BB48A7"/>
    <w:rsid w:val="00BB52B2"/>
    <w:rsid w:val="00BB53D1"/>
    <w:rsid w:val="00BB5A52"/>
    <w:rsid w:val="00BB6333"/>
    <w:rsid w:val="00BB6462"/>
    <w:rsid w:val="00BB6512"/>
    <w:rsid w:val="00BB6A74"/>
    <w:rsid w:val="00BB6D9B"/>
    <w:rsid w:val="00BC0216"/>
    <w:rsid w:val="00BC10E5"/>
    <w:rsid w:val="00BC14A2"/>
    <w:rsid w:val="00BC1939"/>
    <w:rsid w:val="00BC23E2"/>
    <w:rsid w:val="00BC2D1B"/>
    <w:rsid w:val="00BC3A2F"/>
    <w:rsid w:val="00BC4DE4"/>
    <w:rsid w:val="00BC5346"/>
    <w:rsid w:val="00BC5578"/>
    <w:rsid w:val="00BC55A8"/>
    <w:rsid w:val="00BC593D"/>
    <w:rsid w:val="00BC6D1A"/>
    <w:rsid w:val="00BC7280"/>
    <w:rsid w:val="00BD0566"/>
    <w:rsid w:val="00BD11FA"/>
    <w:rsid w:val="00BD2D84"/>
    <w:rsid w:val="00BD3E37"/>
    <w:rsid w:val="00BD400C"/>
    <w:rsid w:val="00BD529B"/>
    <w:rsid w:val="00BD5A3C"/>
    <w:rsid w:val="00BD6245"/>
    <w:rsid w:val="00BD72C0"/>
    <w:rsid w:val="00BE091B"/>
    <w:rsid w:val="00BE0E64"/>
    <w:rsid w:val="00BE18AB"/>
    <w:rsid w:val="00BE1D02"/>
    <w:rsid w:val="00BE258D"/>
    <w:rsid w:val="00BE327E"/>
    <w:rsid w:val="00BE335C"/>
    <w:rsid w:val="00BE390D"/>
    <w:rsid w:val="00BE3D0F"/>
    <w:rsid w:val="00BE52BA"/>
    <w:rsid w:val="00BE73E3"/>
    <w:rsid w:val="00BE7B36"/>
    <w:rsid w:val="00BF1E92"/>
    <w:rsid w:val="00BF35E0"/>
    <w:rsid w:val="00BF37B8"/>
    <w:rsid w:val="00BF4FC3"/>
    <w:rsid w:val="00BF5FF0"/>
    <w:rsid w:val="00BF6285"/>
    <w:rsid w:val="00BF6B21"/>
    <w:rsid w:val="00BF7CF4"/>
    <w:rsid w:val="00C008BB"/>
    <w:rsid w:val="00C00904"/>
    <w:rsid w:val="00C015FC"/>
    <w:rsid w:val="00C023D0"/>
    <w:rsid w:val="00C024F0"/>
    <w:rsid w:val="00C02BDE"/>
    <w:rsid w:val="00C02D5B"/>
    <w:rsid w:val="00C033AD"/>
    <w:rsid w:val="00C03C96"/>
    <w:rsid w:val="00C040D2"/>
    <w:rsid w:val="00C05B13"/>
    <w:rsid w:val="00C05B62"/>
    <w:rsid w:val="00C05FA4"/>
    <w:rsid w:val="00C07407"/>
    <w:rsid w:val="00C07973"/>
    <w:rsid w:val="00C11059"/>
    <w:rsid w:val="00C1308D"/>
    <w:rsid w:val="00C134E6"/>
    <w:rsid w:val="00C1360B"/>
    <w:rsid w:val="00C145C0"/>
    <w:rsid w:val="00C14E34"/>
    <w:rsid w:val="00C1550B"/>
    <w:rsid w:val="00C15842"/>
    <w:rsid w:val="00C15C07"/>
    <w:rsid w:val="00C162FA"/>
    <w:rsid w:val="00C1715C"/>
    <w:rsid w:val="00C1763E"/>
    <w:rsid w:val="00C20093"/>
    <w:rsid w:val="00C205FE"/>
    <w:rsid w:val="00C20DD4"/>
    <w:rsid w:val="00C21640"/>
    <w:rsid w:val="00C21CBE"/>
    <w:rsid w:val="00C22D6B"/>
    <w:rsid w:val="00C2432A"/>
    <w:rsid w:val="00C24343"/>
    <w:rsid w:val="00C259AC"/>
    <w:rsid w:val="00C25E75"/>
    <w:rsid w:val="00C27358"/>
    <w:rsid w:val="00C2782A"/>
    <w:rsid w:val="00C30D4A"/>
    <w:rsid w:val="00C33118"/>
    <w:rsid w:val="00C33317"/>
    <w:rsid w:val="00C3346C"/>
    <w:rsid w:val="00C3436B"/>
    <w:rsid w:val="00C37268"/>
    <w:rsid w:val="00C378D0"/>
    <w:rsid w:val="00C405B5"/>
    <w:rsid w:val="00C40FBA"/>
    <w:rsid w:val="00C4132A"/>
    <w:rsid w:val="00C438BA"/>
    <w:rsid w:val="00C43924"/>
    <w:rsid w:val="00C43C3C"/>
    <w:rsid w:val="00C43F0C"/>
    <w:rsid w:val="00C4488F"/>
    <w:rsid w:val="00C44CDB"/>
    <w:rsid w:val="00C45858"/>
    <w:rsid w:val="00C47DFD"/>
    <w:rsid w:val="00C50344"/>
    <w:rsid w:val="00C50D42"/>
    <w:rsid w:val="00C514C3"/>
    <w:rsid w:val="00C51F2B"/>
    <w:rsid w:val="00C52050"/>
    <w:rsid w:val="00C524C1"/>
    <w:rsid w:val="00C5333D"/>
    <w:rsid w:val="00C5402C"/>
    <w:rsid w:val="00C55665"/>
    <w:rsid w:val="00C55CA2"/>
    <w:rsid w:val="00C55E43"/>
    <w:rsid w:val="00C565F4"/>
    <w:rsid w:val="00C56A2B"/>
    <w:rsid w:val="00C56A87"/>
    <w:rsid w:val="00C57788"/>
    <w:rsid w:val="00C57B42"/>
    <w:rsid w:val="00C60C95"/>
    <w:rsid w:val="00C61003"/>
    <w:rsid w:val="00C6136D"/>
    <w:rsid w:val="00C61552"/>
    <w:rsid w:val="00C621F3"/>
    <w:rsid w:val="00C629BC"/>
    <w:rsid w:val="00C629D4"/>
    <w:rsid w:val="00C629E0"/>
    <w:rsid w:val="00C62C70"/>
    <w:rsid w:val="00C6315A"/>
    <w:rsid w:val="00C631A6"/>
    <w:rsid w:val="00C63747"/>
    <w:rsid w:val="00C661E4"/>
    <w:rsid w:val="00C70C84"/>
    <w:rsid w:val="00C711DA"/>
    <w:rsid w:val="00C711F2"/>
    <w:rsid w:val="00C72857"/>
    <w:rsid w:val="00C72EAE"/>
    <w:rsid w:val="00C734CA"/>
    <w:rsid w:val="00C74F13"/>
    <w:rsid w:val="00C760FA"/>
    <w:rsid w:val="00C76D87"/>
    <w:rsid w:val="00C80531"/>
    <w:rsid w:val="00C80B2E"/>
    <w:rsid w:val="00C80E0F"/>
    <w:rsid w:val="00C81BAD"/>
    <w:rsid w:val="00C83ED9"/>
    <w:rsid w:val="00C848B7"/>
    <w:rsid w:val="00C87043"/>
    <w:rsid w:val="00C871A4"/>
    <w:rsid w:val="00C8737B"/>
    <w:rsid w:val="00C90767"/>
    <w:rsid w:val="00C90AC8"/>
    <w:rsid w:val="00C911C2"/>
    <w:rsid w:val="00C91612"/>
    <w:rsid w:val="00C91695"/>
    <w:rsid w:val="00C91CD1"/>
    <w:rsid w:val="00C9269B"/>
    <w:rsid w:val="00C92FB0"/>
    <w:rsid w:val="00C9390D"/>
    <w:rsid w:val="00C94A44"/>
    <w:rsid w:val="00C9670D"/>
    <w:rsid w:val="00C96764"/>
    <w:rsid w:val="00C9782F"/>
    <w:rsid w:val="00C97F8C"/>
    <w:rsid w:val="00CA0E0C"/>
    <w:rsid w:val="00CA1291"/>
    <w:rsid w:val="00CA1D1A"/>
    <w:rsid w:val="00CA2B34"/>
    <w:rsid w:val="00CA3874"/>
    <w:rsid w:val="00CA405F"/>
    <w:rsid w:val="00CA4717"/>
    <w:rsid w:val="00CA47A1"/>
    <w:rsid w:val="00CA517F"/>
    <w:rsid w:val="00CA54A5"/>
    <w:rsid w:val="00CA644B"/>
    <w:rsid w:val="00CA71CC"/>
    <w:rsid w:val="00CB2A50"/>
    <w:rsid w:val="00CB389C"/>
    <w:rsid w:val="00CB46D3"/>
    <w:rsid w:val="00CB6A08"/>
    <w:rsid w:val="00CB6FC5"/>
    <w:rsid w:val="00CB75C3"/>
    <w:rsid w:val="00CC015D"/>
    <w:rsid w:val="00CC0B65"/>
    <w:rsid w:val="00CC1A69"/>
    <w:rsid w:val="00CC2136"/>
    <w:rsid w:val="00CC2D7E"/>
    <w:rsid w:val="00CC366D"/>
    <w:rsid w:val="00CC4582"/>
    <w:rsid w:val="00CC4CA2"/>
    <w:rsid w:val="00CC521C"/>
    <w:rsid w:val="00CC529D"/>
    <w:rsid w:val="00CC5BCD"/>
    <w:rsid w:val="00CC6303"/>
    <w:rsid w:val="00CC64CB"/>
    <w:rsid w:val="00CC65B3"/>
    <w:rsid w:val="00CC7E7B"/>
    <w:rsid w:val="00CD00FD"/>
    <w:rsid w:val="00CD1669"/>
    <w:rsid w:val="00CD2635"/>
    <w:rsid w:val="00CD49F5"/>
    <w:rsid w:val="00CD572D"/>
    <w:rsid w:val="00CD5C6D"/>
    <w:rsid w:val="00CD6DAA"/>
    <w:rsid w:val="00CD75DA"/>
    <w:rsid w:val="00CD7F9B"/>
    <w:rsid w:val="00CE0B67"/>
    <w:rsid w:val="00CE11BF"/>
    <w:rsid w:val="00CE314D"/>
    <w:rsid w:val="00CE31F4"/>
    <w:rsid w:val="00CE3392"/>
    <w:rsid w:val="00CE4085"/>
    <w:rsid w:val="00CE51F6"/>
    <w:rsid w:val="00CE6738"/>
    <w:rsid w:val="00CF0E63"/>
    <w:rsid w:val="00CF1FE4"/>
    <w:rsid w:val="00CF2368"/>
    <w:rsid w:val="00CF29BE"/>
    <w:rsid w:val="00CF3026"/>
    <w:rsid w:val="00CF41CB"/>
    <w:rsid w:val="00CF53EB"/>
    <w:rsid w:val="00CF68CF"/>
    <w:rsid w:val="00CF727F"/>
    <w:rsid w:val="00CF786D"/>
    <w:rsid w:val="00CF7AB9"/>
    <w:rsid w:val="00D010E1"/>
    <w:rsid w:val="00D01E72"/>
    <w:rsid w:val="00D02AF2"/>
    <w:rsid w:val="00D03070"/>
    <w:rsid w:val="00D034BA"/>
    <w:rsid w:val="00D037E7"/>
    <w:rsid w:val="00D03BCB"/>
    <w:rsid w:val="00D03DFA"/>
    <w:rsid w:val="00D05185"/>
    <w:rsid w:val="00D0584F"/>
    <w:rsid w:val="00D05FE6"/>
    <w:rsid w:val="00D062F0"/>
    <w:rsid w:val="00D06345"/>
    <w:rsid w:val="00D06F60"/>
    <w:rsid w:val="00D070E6"/>
    <w:rsid w:val="00D11366"/>
    <w:rsid w:val="00D11D22"/>
    <w:rsid w:val="00D11E86"/>
    <w:rsid w:val="00D1209D"/>
    <w:rsid w:val="00D12472"/>
    <w:rsid w:val="00D12AC8"/>
    <w:rsid w:val="00D12FF0"/>
    <w:rsid w:val="00D13592"/>
    <w:rsid w:val="00D13A90"/>
    <w:rsid w:val="00D14550"/>
    <w:rsid w:val="00D1472D"/>
    <w:rsid w:val="00D14A33"/>
    <w:rsid w:val="00D14BC0"/>
    <w:rsid w:val="00D14CF7"/>
    <w:rsid w:val="00D15BB5"/>
    <w:rsid w:val="00D162CB"/>
    <w:rsid w:val="00D203BB"/>
    <w:rsid w:val="00D21C96"/>
    <w:rsid w:val="00D22C1A"/>
    <w:rsid w:val="00D2316B"/>
    <w:rsid w:val="00D25F7D"/>
    <w:rsid w:val="00D26023"/>
    <w:rsid w:val="00D26364"/>
    <w:rsid w:val="00D26743"/>
    <w:rsid w:val="00D26759"/>
    <w:rsid w:val="00D2775C"/>
    <w:rsid w:val="00D27969"/>
    <w:rsid w:val="00D27DFD"/>
    <w:rsid w:val="00D3030D"/>
    <w:rsid w:val="00D30E79"/>
    <w:rsid w:val="00D30EA7"/>
    <w:rsid w:val="00D32CEA"/>
    <w:rsid w:val="00D33333"/>
    <w:rsid w:val="00D33B73"/>
    <w:rsid w:val="00D33BB2"/>
    <w:rsid w:val="00D33CA2"/>
    <w:rsid w:val="00D340F1"/>
    <w:rsid w:val="00D3462F"/>
    <w:rsid w:val="00D346AC"/>
    <w:rsid w:val="00D37F7B"/>
    <w:rsid w:val="00D40B30"/>
    <w:rsid w:val="00D41298"/>
    <w:rsid w:val="00D414EB"/>
    <w:rsid w:val="00D43192"/>
    <w:rsid w:val="00D446A9"/>
    <w:rsid w:val="00D447C4"/>
    <w:rsid w:val="00D44A70"/>
    <w:rsid w:val="00D473DF"/>
    <w:rsid w:val="00D47560"/>
    <w:rsid w:val="00D51194"/>
    <w:rsid w:val="00D51F47"/>
    <w:rsid w:val="00D52563"/>
    <w:rsid w:val="00D528BA"/>
    <w:rsid w:val="00D53016"/>
    <w:rsid w:val="00D5307C"/>
    <w:rsid w:val="00D53451"/>
    <w:rsid w:val="00D53753"/>
    <w:rsid w:val="00D5488A"/>
    <w:rsid w:val="00D552A5"/>
    <w:rsid w:val="00D55531"/>
    <w:rsid w:val="00D56EB5"/>
    <w:rsid w:val="00D578C1"/>
    <w:rsid w:val="00D57D56"/>
    <w:rsid w:val="00D60A4B"/>
    <w:rsid w:val="00D60D33"/>
    <w:rsid w:val="00D60E48"/>
    <w:rsid w:val="00D618E3"/>
    <w:rsid w:val="00D62585"/>
    <w:rsid w:val="00D62934"/>
    <w:rsid w:val="00D641CE"/>
    <w:rsid w:val="00D64BA2"/>
    <w:rsid w:val="00D657BC"/>
    <w:rsid w:val="00D66354"/>
    <w:rsid w:val="00D6641F"/>
    <w:rsid w:val="00D66AE3"/>
    <w:rsid w:val="00D66C7B"/>
    <w:rsid w:val="00D700D9"/>
    <w:rsid w:val="00D70B4E"/>
    <w:rsid w:val="00D717F9"/>
    <w:rsid w:val="00D72404"/>
    <w:rsid w:val="00D7399D"/>
    <w:rsid w:val="00D7492E"/>
    <w:rsid w:val="00D749AE"/>
    <w:rsid w:val="00D75C94"/>
    <w:rsid w:val="00D77CCB"/>
    <w:rsid w:val="00D80175"/>
    <w:rsid w:val="00D808AE"/>
    <w:rsid w:val="00D80A3B"/>
    <w:rsid w:val="00D80F18"/>
    <w:rsid w:val="00D81348"/>
    <w:rsid w:val="00D81478"/>
    <w:rsid w:val="00D814B4"/>
    <w:rsid w:val="00D82ACF"/>
    <w:rsid w:val="00D831D0"/>
    <w:rsid w:val="00D83854"/>
    <w:rsid w:val="00D83D47"/>
    <w:rsid w:val="00D84E2B"/>
    <w:rsid w:val="00D85523"/>
    <w:rsid w:val="00D85AF6"/>
    <w:rsid w:val="00D86194"/>
    <w:rsid w:val="00D86F8A"/>
    <w:rsid w:val="00D87CD5"/>
    <w:rsid w:val="00D87F87"/>
    <w:rsid w:val="00D91004"/>
    <w:rsid w:val="00D9209F"/>
    <w:rsid w:val="00D930FE"/>
    <w:rsid w:val="00D95A98"/>
    <w:rsid w:val="00D95AFC"/>
    <w:rsid w:val="00D96436"/>
    <w:rsid w:val="00D96A4A"/>
    <w:rsid w:val="00D974A2"/>
    <w:rsid w:val="00D977B6"/>
    <w:rsid w:val="00DA040A"/>
    <w:rsid w:val="00DA070B"/>
    <w:rsid w:val="00DA1802"/>
    <w:rsid w:val="00DA1A57"/>
    <w:rsid w:val="00DA1ABA"/>
    <w:rsid w:val="00DA1B6B"/>
    <w:rsid w:val="00DA2859"/>
    <w:rsid w:val="00DA287B"/>
    <w:rsid w:val="00DA28B1"/>
    <w:rsid w:val="00DA326B"/>
    <w:rsid w:val="00DA36CA"/>
    <w:rsid w:val="00DA3B5C"/>
    <w:rsid w:val="00DA56EC"/>
    <w:rsid w:val="00DA5A4C"/>
    <w:rsid w:val="00DA5C7F"/>
    <w:rsid w:val="00DA60BE"/>
    <w:rsid w:val="00DA6F48"/>
    <w:rsid w:val="00DA6FCA"/>
    <w:rsid w:val="00DA74F0"/>
    <w:rsid w:val="00DB07D1"/>
    <w:rsid w:val="00DB0EB5"/>
    <w:rsid w:val="00DB176F"/>
    <w:rsid w:val="00DB1852"/>
    <w:rsid w:val="00DB1A42"/>
    <w:rsid w:val="00DB1E19"/>
    <w:rsid w:val="00DB2ED0"/>
    <w:rsid w:val="00DB36A3"/>
    <w:rsid w:val="00DB431B"/>
    <w:rsid w:val="00DB4A7B"/>
    <w:rsid w:val="00DB4CF9"/>
    <w:rsid w:val="00DB71B8"/>
    <w:rsid w:val="00DB7ADC"/>
    <w:rsid w:val="00DB7F0E"/>
    <w:rsid w:val="00DC078C"/>
    <w:rsid w:val="00DC0E4E"/>
    <w:rsid w:val="00DC2143"/>
    <w:rsid w:val="00DC3741"/>
    <w:rsid w:val="00DC4815"/>
    <w:rsid w:val="00DC4B6D"/>
    <w:rsid w:val="00DC5F2E"/>
    <w:rsid w:val="00DC6C12"/>
    <w:rsid w:val="00DD1159"/>
    <w:rsid w:val="00DD3B75"/>
    <w:rsid w:val="00DD401E"/>
    <w:rsid w:val="00DD530C"/>
    <w:rsid w:val="00DD5383"/>
    <w:rsid w:val="00DD5490"/>
    <w:rsid w:val="00DD649C"/>
    <w:rsid w:val="00DD6647"/>
    <w:rsid w:val="00DD684C"/>
    <w:rsid w:val="00DD6A5A"/>
    <w:rsid w:val="00DD6F97"/>
    <w:rsid w:val="00DD7876"/>
    <w:rsid w:val="00DE0029"/>
    <w:rsid w:val="00DE081A"/>
    <w:rsid w:val="00DE0E90"/>
    <w:rsid w:val="00DE1393"/>
    <w:rsid w:val="00DE27FE"/>
    <w:rsid w:val="00DE33CB"/>
    <w:rsid w:val="00DE33E5"/>
    <w:rsid w:val="00DE36E1"/>
    <w:rsid w:val="00DE3F34"/>
    <w:rsid w:val="00DE4222"/>
    <w:rsid w:val="00DE4EC7"/>
    <w:rsid w:val="00DE60B1"/>
    <w:rsid w:val="00DE6C81"/>
    <w:rsid w:val="00DE6D45"/>
    <w:rsid w:val="00DF014E"/>
    <w:rsid w:val="00DF1616"/>
    <w:rsid w:val="00DF270A"/>
    <w:rsid w:val="00DF2EE1"/>
    <w:rsid w:val="00DF3326"/>
    <w:rsid w:val="00DF440C"/>
    <w:rsid w:val="00DF5642"/>
    <w:rsid w:val="00DF696B"/>
    <w:rsid w:val="00E0026D"/>
    <w:rsid w:val="00E0076C"/>
    <w:rsid w:val="00E02774"/>
    <w:rsid w:val="00E0282A"/>
    <w:rsid w:val="00E02A0B"/>
    <w:rsid w:val="00E03B4C"/>
    <w:rsid w:val="00E04D79"/>
    <w:rsid w:val="00E0586A"/>
    <w:rsid w:val="00E05C4F"/>
    <w:rsid w:val="00E07878"/>
    <w:rsid w:val="00E10C25"/>
    <w:rsid w:val="00E119B0"/>
    <w:rsid w:val="00E120A4"/>
    <w:rsid w:val="00E12364"/>
    <w:rsid w:val="00E124B5"/>
    <w:rsid w:val="00E12526"/>
    <w:rsid w:val="00E13118"/>
    <w:rsid w:val="00E13239"/>
    <w:rsid w:val="00E140D0"/>
    <w:rsid w:val="00E144FD"/>
    <w:rsid w:val="00E14AB9"/>
    <w:rsid w:val="00E15071"/>
    <w:rsid w:val="00E156D0"/>
    <w:rsid w:val="00E157DC"/>
    <w:rsid w:val="00E15921"/>
    <w:rsid w:val="00E15E80"/>
    <w:rsid w:val="00E160AA"/>
    <w:rsid w:val="00E16912"/>
    <w:rsid w:val="00E16E44"/>
    <w:rsid w:val="00E16FCC"/>
    <w:rsid w:val="00E20459"/>
    <w:rsid w:val="00E20B2A"/>
    <w:rsid w:val="00E21429"/>
    <w:rsid w:val="00E21A57"/>
    <w:rsid w:val="00E21BCB"/>
    <w:rsid w:val="00E23AB5"/>
    <w:rsid w:val="00E27365"/>
    <w:rsid w:val="00E306D7"/>
    <w:rsid w:val="00E30EE1"/>
    <w:rsid w:val="00E31297"/>
    <w:rsid w:val="00E313BD"/>
    <w:rsid w:val="00E32228"/>
    <w:rsid w:val="00E323EA"/>
    <w:rsid w:val="00E33AD6"/>
    <w:rsid w:val="00E355F3"/>
    <w:rsid w:val="00E35784"/>
    <w:rsid w:val="00E362E8"/>
    <w:rsid w:val="00E36427"/>
    <w:rsid w:val="00E3660D"/>
    <w:rsid w:val="00E409A9"/>
    <w:rsid w:val="00E417A1"/>
    <w:rsid w:val="00E4212F"/>
    <w:rsid w:val="00E4220A"/>
    <w:rsid w:val="00E429ED"/>
    <w:rsid w:val="00E43BC8"/>
    <w:rsid w:val="00E43EE2"/>
    <w:rsid w:val="00E43F1C"/>
    <w:rsid w:val="00E4569F"/>
    <w:rsid w:val="00E4627E"/>
    <w:rsid w:val="00E462CA"/>
    <w:rsid w:val="00E46959"/>
    <w:rsid w:val="00E469FC"/>
    <w:rsid w:val="00E46AF5"/>
    <w:rsid w:val="00E471CB"/>
    <w:rsid w:val="00E47ED5"/>
    <w:rsid w:val="00E503CE"/>
    <w:rsid w:val="00E5040E"/>
    <w:rsid w:val="00E50B26"/>
    <w:rsid w:val="00E50B4D"/>
    <w:rsid w:val="00E50F69"/>
    <w:rsid w:val="00E510C7"/>
    <w:rsid w:val="00E5157C"/>
    <w:rsid w:val="00E516CA"/>
    <w:rsid w:val="00E52072"/>
    <w:rsid w:val="00E521F4"/>
    <w:rsid w:val="00E52DFE"/>
    <w:rsid w:val="00E53B5C"/>
    <w:rsid w:val="00E54A93"/>
    <w:rsid w:val="00E5615B"/>
    <w:rsid w:val="00E564C4"/>
    <w:rsid w:val="00E56B4C"/>
    <w:rsid w:val="00E56E62"/>
    <w:rsid w:val="00E5707B"/>
    <w:rsid w:val="00E57631"/>
    <w:rsid w:val="00E6127D"/>
    <w:rsid w:val="00E61394"/>
    <w:rsid w:val="00E61767"/>
    <w:rsid w:val="00E61E86"/>
    <w:rsid w:val="00E63153"/>
    <w:rsid w:val="00E644EE"/>
    <w:rsid w:val="00E64F55"/>
    <w:rsid w:val="00E65170"/>
    <w:rsid w:val="00E6547D"/>
    <w:rsid w:val="00E65CD2"/>
    <w:rsid w:val="00E662C1"/>
    <w:rsid w:val="00E67C9D"/>
    <w:rsid w:val="00E67F29"/>
    <w:rsid w:val="00E702B7"/>
    <w:rsid w:val="00E70562"/>
    <w:rsid w:val="00E70EBA"/>
    <w:rsid w:val="00E7109D"/>
    <w:rsid w:val="00E72D93"/>
    <w:rsid w:val="00E7326F"/>
    <w:rsid w:val="00E735B1"/>
    <w:rsid w:val="00E73605"/>
    <w:rsid w:val="00E73A6C"/>
    <w:rsid w:val="00E7488F"/>
    <w:rsid w:val="00E76B1F"/>
    <w:rsid w:val="00E77B65"/>
    <w:rsid w:val="00E802CF"/>
    <w:rsid w:val="00E80FE7"/>
    <w:rsid w:val="00E81B1A"/>
    <w:rsid w:val="00E81D03"/>
    <w:rsid w:val="00E8243A"/>
    <w:rsid w:val="00E82779"/>
    <w:rsid w:val="00E82C7F"/>
    <w:rsid w:val="00E834A8"/>
    <w:rsid w:val="00E83BAC"/>
    <w:rsid w:val="00E83E9F"/>
    <w:rsid w:val="00E84672"/>
    <w:rsid w:val="00E84C5B"/>
    <w:rsid w:val="00E85609"/>
    <w:rsid w:val="00E85699"/>
    <w:rsid w:val="00E858E9"/>
    <w:rsid w:val="00E862D9"/>
    <w:rsid w:val="00E866A7"/>
    <w:rsid w:val="00E86749"/>
    <w:rsid w:val="00E87B9D"/>
    <w:rsid w:val="00E90607"/>
    <w:rsid w:val="00E90ACC"/>
    <w:rsid w:val="00E90C29"/>
    <w:rsid w:val="00E90D94"/>
    <w:rsid w:val="00E91653"/>
    <w:rsid w:val="00E91F9C"/>
    <w:rsid w:val="00E91FF5"/>
    <w:rsid w:val="00E9233F"/>
    <w:rsid w:val="00E93281"/>
    <w:rsid w:val="00E93B69"/>
    <w:rsid w:val="00E93F90"/>
    <w:rsid w:val="00E947F3"/>
    <w:rsid w:val="00E964BC"/>
    <w:rsid w:val="00E966C7"/>
    <w:rsid w:val="00E968A0"/>
    <w:rsid w:val="00E973BE"/>
    <w:rsid w:val="00E97CD9"/>
    <w:rsid w:val="00EA09AB"/>
    <w:rsid w:val="00EA0C91"/>
    <w:rsid w:val="00EA14EC"/>
    <w:rsid w:val="00EA1B69"/>
    <w:rsid w:val="00EA2341"/>
    <w:rsid w:val="00EA246D"/>
    <w:rsid w:val="00EA25B8"/>
    <w:rsid w:val="00EA2EF9"/>
    <w:rsid w:val="00EA48A2"/>
    <w:rsid w:val="00EB01EE"/>
    <w:rsid w:val="00EB021B"/>
    <w:rsid w:val="00EB02F2"/>
    <w:rsid w:val="00EB0701"/>
    <w:rsid w:val="00EB1186"/>
    <w:rsid w:val="00EB1B22"/>
    <w:rsid w:val="00EB254E"/>
    <w:rsid w:val="00EB25E6"/>
    <w:rsid w:val="00EB2B17"/>
    <w:rsid w:val="00EB2FFB"/>
    <w:rsid w:val="00EB3FF5"/>
    <w:rsid w:val="00EB6022"/>
    <w:rsid w:val="00EB6186"/>
    <w:rsid w:val="00EB7DB1"/>
    <w:rsid w:val="00EC03D8"/>
    <w:rsid w:val="00EC0A60"/>
    <w:rsid w:val="00EC0C13"/>
    <w:rsid w:val="00EC0C6C"/>
    <w:rsid w:val="00EC13C7"/>
    <w:rsid w:val="00EC27F0"/>
    <w:rsid w:val="00EC2CDB"/>
    <w:rsid w:val="00EC3027"/>
    <w:rsid w:val="00EC3516"/>
    <w:rsid w:val="00EC3983"/>
    <w:rsid w:val="00EC4B7C"/>
    <w:rsid w:val="00EC4D49"/>
    <w:rsid w:val="00EC5140"/>
    <w:rsid w:val="00EC57A4"/>
    <w:rsid w:val="00EC5A6A"/>
    <w:rsid w:val="00ED00A9"/>
    <w:rsid w:val="00ED1376"/>
    <w:rsid w:val="00ED159E"/>
    <w:rsid w:val="00ED26EB"/>
    <w:rsid w:val="00ED361B"/>
    <w:rsid w:val="00ED3BF7"/>
    <w:rsid w:val="00ED429C"/>
    <w:rsid w:val="00ED48DB"/>
    <w:rsid w:val="00ED537D"/>
    <w:rsid w:val="00ED63D2"/>
    <w:rsid w:val="00ED6732"/>
    <w:rsid w:val="00ED7060"/>
    <w:rsid w:val="00ED72B2"/>
    <w:rsid w:val="00ED72CF"/>
    <w:rsid w:val="00ED72DA"/>
    <w:rsid w:val="00ED7CF0"/>
    <w:rsid w:val="00EE11AE"/>
    <w:rsid w:val="00EE16B6"/>
    <w:rsid w:val="00EE1C5B"/>
    <w:rsid w:val="00EE24BC"/>
    <w:rsid w:val="00EE26F5"/>
    <w:rsid w:val="00EE2EFB"/>
    <w:rsid w:val="00EE372C"/>
    <w:rsid w:val="00EE37A5"/>
    <w:rsid w:val="00EE3A68"/>
    <w:rsid w:val="00EE3C60"/>
    <w:rsid w:val="00EE4612"/>
    <w:rsid w:val="00EE46FB"/>
    <w:rsid w:val="00EE4F5F"/>
    <w:rsid w:val="00EE5663"/>
    <w:rsid w:val="00EE6C98"/>
    <w:rsid w:val="00EF1771"/>
    <w:rsid w:val="00EF2C6C"/>
    <w:rsid w:val="00EF31C8"/>
    <w:rsid w:val="00EF392B"/>
    <w:rsid w:val="00EF3996"/>
    <w:rsid w:val="00EF5022"/>
    <w:rsid w:val="00EF5A0F"/>
    <w:rsid w:val="00EF5BA0"/>
    <w:rsid w:val="00F006CC"/>
    <w:rsid w:val="00F0085E"/>
    <w:rsid w:val="00F0088D"/>
    <w:rsid w:val="00F00A82"/>
    <w:rsid w:val="00F016D8"/>
    <w:rsid w:val="00F01DEC"/>
    <w:rsid w:val="00F01EA4"/>
    <w:rsid w:val="00F02419"/>
    <w:rsid w:val="00F02640"/>
    <w:rsid w:val="00F031B7"/>
    <w:rsid w:val="00F032C7"/>
    <w:rsid w:val="00F034F7"/>
    <w:rsid w:val="00F04B7D"/>
    <w:rsid w:val="00F05314"/>
    <w:rsid w:val="00F05406"/>
    <w:rsid w:val="00F06D05"/>
    <w:rsid w:val="00F07025"/>
    <w:rsid w:val="00F0704F"/>
    <w:rsid w:val="00F0744F"/>
    <w:rsid w:val="00F10A0C"/>
    <w:rsid w:val="00F123D5"/>
    <w:rsid w:val="00F1311C"/>
    <w:rsid w:val="00F13503"/>
    <w:rsid w:val="00F14045"/>
    <w:rsid w:val="00F146F5"/>
    <w:rsid w:val="00F14B0B"/>
    <w:rsid w:val="00F154D1"/>
    <w:rsid w:val="00F16C94"/>
    <w:rsid w:val="00F20626"/>
    <w:rsid w:val="00F20DAD"/>
    <w:rsid w:val="00F211AA"/>
    <w:rsid w:val="00F218E0"/>
    <w:rsid w:val="00F224DB"/>
    <w:rsid w:val="00F22604"/>
    <w:rsid w:val="00F22992"/>
    <w:rsid w:val="00F22D86"/>
    <w:rsid w:val="00F23550"/>
    <w:rsid w:val="00F240A5"/>
    <w:rsid w:val="00F25442"/>
    <w:rsid w:val="00F25838"/>
    <w:rsid w:val="00F25992"/>
    <w:rsid w:val="00F259A7"/>
    <w:rsid w:val="00F3076A"/>
    <w:rsid w:val="00F309FB"/>
    <w:rsid w:val="00F317C4"/>
    <w:rsid w:val="00F3213F"/>
    <w:rsid w:val="00F3234B"/>
    <w:rsid w:val="00F33B80"/>
    <w:rsid w:val="00F341BC"/>
    <w:rsid w:val="00F36F66"/>
    <w:rsid w:val="00F371F6"/>
    <w:rsid w:val="00F37560"/>
    <w:rsid w:val="00F37C55"/>
    <w:rsid w:val="00F4000A"/>
    <w:rsid w:val="00F41EEE"/>
    <w:rsid w:val="00F420D1"/>
    <w:rsid w:val="00F423AD"/>
    <w:rsid w:val="00F4275E"/>
    <w:rsid w:val="00F44345"/>
    <w:rsid w:val="00F444AD"/>
    <w:rsid w:val="00F44595"/>
    <w:rsid w:val="00F44FDC"/>
    <w:rsid w:val="00F45721"/>
    <w:rsid w:val="00F45D73"/>
    <w:rsid w:val="00F45EEA"/>
    <w:rsid w:val="00F461C7"/>
    <w:rsid w:val="00F46461"/>
    <w:rsid w:val="00F46C3D"/>
    <w:rsid w:val="00F47E0D"/>
    <w:rsid w:val="00F50429"/>
    <w:rsid w:val="00F51931"/>
    <w:rsid w:val="00F51E1B"/>
    <w:rsid w:val="00F525DE"/>
    <w:rsid w:val="00F52F92"/>
    <w:rsid w:val="00F53104"/>
    <w:rsid w:val="00F53266"/>
    <w:rsid w:val="00F543E2"/>
    <w:rsid w:val="00F54D02"/>
    <w:rsid w:val="00F54F6B"/>
    <w:rsid w:val="00F55567"/>
    <w:rsid w:val="00F570FC"/>
    <w:rsid w:val="00F57121"/>
    <w:rsid w:val="00F57126"/>
    <w:rsid w:val="00F573FB"/>
    <w:rsid w:val="00F611DA"/>
    <w:rsid w:val="00F616EB"/>
    <w:rsid w:val="00F61938"/>
    <w:rsid w:val="00F62A38"/>
    <w:rsid w:val="00F64251"/>
    <w:rsid w:val="00F6490A"/>
    <w:rsid w:val="00F64BE5"/>
    <w:rsid w:val="00F64D60"/>
    <w:rsid w:val="00F6557B"/>
    <w:rsid w:val="00F658F9"/>
    <w:rsid w:val="00F65EE6"/>
    <w:rsid w:val="00F6600F"/>
    <w:rsid w:val="00F6648B"/>
    <w:rsid w:val="00F66861"/>
    <w:rsid w:val="00F66BAE"/>
    <w:rsid w:val="00F66C77"/>
    <w:rsid w:val="00F67534"/>
    <w:rsid w:val="00F67B9D"/>
    <w:rsid w:val="00F70D16"/>
    <w:rsid w:val="00F713D0"/>
    <w:rsid w:val="00F719F3"/>
    <w:rsid w:val="00F71FF1"/>
    <w:rsid w:val="00F725DE"/>
    <w:rsid w:val="00F72CE1"/>
    <w:rsid w:val="00F73409"/>
    <w:rsid w:val="00F74D7B"/>
    <w:rsid w:val="00F75474"/>
    <w:rsid w:val="00F7571E"/>
    <w:rsid w:val="00F76183"/>
    <w:rsid w:val="00F7696B"/>
    <w:rsid w:val="00F77366"/>
    <w:rsid w:val="00F77566"/>
    <w:rsid w:val="00F77EF8"/>
    <w:rsid w:val="00F802FD"/>
    <w:rsid w:val="00F80794"/>
    <w:rsid w:val="00F80805"/>
    <w:rsid w:val="00F811F6"/>
    <w:rsid w:val="00F813FD"/>
    <w:rsid w:val="00F81DE7"/>
    <w:rsid w:val="00F81E3F"/>
    <w:rsid w:val="00F82246"/>
    <w:rsid w:val="00F8258B"/>
    <w:rsid w:val="00F834EF"/>
    <w:rsid w:val="00F846D2"/>
    <w:rsid w:val="00F85383"/>
    <w:rsid w:val="00F85389"/>
    <w:rsid w:val="00F856DD"/>
    <w:rsid w:val="00F85BFF"/>
    <w:rsid w:val="00F85FFA"/>
    <w:rsid w:val="00F86937"/>
    <w:rsid w:val="00F869DC"/>
    <w:rsid w:val="00F871B3"/>
    <w:rsid w:val="00F873B4"/>
    <w:rsid w:val="00F8751F"/>
    <w:rsid w:val="00F87FD7"/>
    <w:rsid w:val="00F90054"/>
    <w:rsid w:val="00F91078"/>
    <w:rsid w:val="00F914E0"/>
    <w:rsid w:val="00F9156F"/>
    <w:rsid w:val="00F917C1"/>
    <w:rsid w:val="00F91B56"/>
    <w:rsid w:val="00F9272E"/>
    <w:rsid w:val="00F92770"/>
    <w:rsid w:val="00F92BD6"/>
    <w:rsid w:val="00F92DC1"/>
    <w:rsid w:val="00F9301D"/>
    <w:rsid w:val="00F938A7"/>
    <w:rsid w:val="00F93F81"/>
    <w:rsid w:val="00F9421B"/>
    <w:rsid w:val="00F946A9"/>
    <w:rsid w:val="00F9485B"/>
    <w:rsid w:val="00F948A6"/>
    <w:rsid w:val="00F95192"/>
    <w:rsid w:val="00F959FA"/>
    <w:rsid w:val="00F961F0"/>
    <w:rsid w:val="00F963CD"/>
    <w:rsid w:val="00F96970"/>
    <w:rsid w:val="00F97511"/>
    <w:rsid w:val="00FA09CC"/>
    <w:rsid w:val="00FA0EED"/>
    <w:rsid w:val="00FA1822"/>
    <w:rsid w:val="00FA2F86"/>
    <w:rsid w:val="00FA369E"/>
    <w:rsid w:val="00FA542D"/>
    <w:rsid w:val="00FA5ED3"/>
    <w:rsid w:val="00FA5EEB"/>
    <w:rsid w:val="00FA6205"/>
    <w:rsid w:val="00FA65F0"/>
    <w:rsid w:val="00FB04E0"/>
    <w:rsid w:val="00FB0BD6"/>
    <w:rsid w:val="00FB1723"/>
    <w:rsid w:val="00FB23BC"/>
    <w:rsid w:val="00FB434E"/>
    <w:rsid w:val="00FB4D8D"/>
    <w:rsid w:val="00FB525F"/>
    <w:rsid w:val="00FB5C82"/>
    <w:rsid w:val="00FB5F2F"/>
    <w:rsid w:val="00FB6622"/>
    <w:rsid w:val="00FB67AE"/>
    <w:rsid w:val="00FB6BBC"/>
    <w:rsid w:val="00FB6F06"/>
    <w:rsid w:val="00FB7484"/>
    <w:rsid w:val="00FB75AC"/>
    <w:rsid w:val="00FC1ABE"/>
    <w:rsid w:val="00FC2DBF"/>
    <w:rsid w:val="00FC3F3F"/>
    <w:rsid w:val="00FC40F1"/>
    <w:rsid w:val="00FC4806"/>
    <w:rsid w:val="00FC4862"/>
    <w:rsid w:val="00FC4968"/>
    <w:rsid w:val="00FC6649"/>
    <w:rsid w:val="00FC6C2C"/>
    <w:rsid w:val="00FD0126"/>
    <w:rsid w:val="00FD06A4"/>
    <w:rsid w:val="00FD06EC"/>
    <w:rsid w:val="00FD1119"/>
    <w:rsid w:val="00FD11A5"/>
    <w:rsid w:val="00FD12B3"/>
    <w:rsid w:val="00FD133D"/>
    <w:rsid w:val="00FD1AD1"/>
    <w:rsid w:val="00FD2A4F"/>
    <w:rsid w:val="00FD2F48"/>
    <w:rsid w:val="00FD35AA"/>
    <w:rsid w:val="00FD3AB2"/>
    <w:rsid w:val="00FD4589"/>
    <w:rsid w:val="00FD4653"/>
    <w:rsid w:val="00FD46D6"/>
    <w:rsid w:val="00FD6A5A"/>
    <w:rsid w:val="00FD7AA5"/>
    <w:rsid w:val="00FD7CFB"/>
    <w:rsid w:val="00FD7F9A"/>
    <w:rsid w:val="00FD7FFE"/>
    <w:rsid w:val="00FE18B7"/>
    <w:rsid w:val="00FE1974"/>
    <w:rsid w:val="00FE29E2"/>
    <w:rsid w:val="00FE36F8"/>
    <w:rsid w:val="00FE431A"/>
    <w:rsid w:val="00FE4526"/>
    <w:rsid w:val="00FE5147"/>
    <w:rsid w:val="00FE659F"/>
    <w:rsid w:val="00FE6D72"/>
    <w:rsid w:val="00FE7035"/>
    <w:rsid w:val="00FE70F9"/>
    <w:rsid w:val="00FF4127"/>
    <w:rsid w:val="00FF422B"/>
    <w:rsid w:val="00FF4DA5"/>
    <w:rsid w:val="00FF5320"/>
    <w:rsid w:val="00FF56B4"/>
    <w:rsid w:val="00FF5E54"/>
    <w:rsid w:val="00FF60EC"/>
    <w:rsid w:val="01063575"/>
    <w:rsid w:val="01087A2D"/>
    <w:rsid w:val="012F162B"/>
    <w:rsid w:val="01344310"/>
    <w:rsid w:val="0150476F"/>
    <w:rsid w:val="0179A29F"/>
    <w:rsid w:val="018B9220"/>
    <w:rsid w:val="0194DF1D"/>
    <w:rsid w:val="01B4C40B"/>
    <w:rsid w:val="01E9DDF1"/>
    <w:rsid w:val="0256E06F"/>
    <w:rsid w:val="025C4C4B"/>
    <w:rsid w:val="027670D1"/>
    <w:rsid w:val="03021B42"/>
    <w:rsid w:val="0336BB1D"/>
    <w:rsid w:val="03481FBD"/>
    <w:rsid w:val="03EA3103"/>
    <w:rsid w:val="03EF2E9C"/>
    <w:rsid w:val="04369C37"/>
    <w:rsid w:val="043B2F16"/>
    <w:rsid w:val="043D8B23"/>
    <w:rsid w:val="04704748"/>
    <w:rsid w:val="04744FC1"/>
    <w:rsid w:val="049B697B"/>
    <w:rsid w:val="04A76728"/>
    <w:rsid w:val="04BAA921"/>
    <w:rsid w:val="05070E35"/>
    <w:rsid w:val="0534A627"/>
    <w:rsid w:val="053D855E"/>
    <w:rsid w:val="05498F5F"/>
    <w:rsid w:val="06185CCF"/>
    <w:rsid w:val="06219647"/>
    <w:rsid w:val="062C9259"/>
    <w:rsid w:val="06332ECE"/>
    <w:rsid w:val="0643B6E5"/>
    <w:rsid w:val="0682079D"/>
    <w:rsid w:val="06D52CA7"/>
    <w:rsid w:val="072FFC8C"/>
    <w:rsid w:val="073AD01C"/>
    <w:rsid w:val="07472118"/>
    <w:rsid w:val="078B334C"/>
    <w:rsid w:val="07A1F0FD"/>
    <w:rsid w:val="07AB9958"/>
    <w:rsid w:val="07D2D759"/>
    <w:rsid w:val="07D9F3DC"/>
    <w:rsid w:val="07DFB964"/>
    <w:rsid w:val="07F0BC6E"/>
    <w:rsid w:val="08050EEF"/>
    <w:rsid w:val="08090FAE"/>
    <w:rsid w:val="083366BF"/>
    <w:rsid w:val="087A3C0A"/>
    <w:rsid w:val="08829CA4"/>
    <w:rsid w:val="0890BBC2"/>
    <w:rsid w:val="08C2E595"/>
    <w:rsid w:val="08F23EAA"/>
    <w:rsid w:val="08FA0D5A"/>
    <w:rsid w:val="0909D370"/>
    <w:rsid w:val="09471E32"/>
    <w:rsid w:val="09739A67"/>
    <w:rsid w:val="099D4A26"/>
    <w:rsid w:val="09B0B1EE"/>
    <w:rsid w:val="09C26A0E"/>
    <w:rsid w:val="09C27316"/>
    <w:rsid w:val="09CB52FB"/>
    <w:rsid w:val="09CF3FD9"/>
    <w:rsid w:val="0A2BA226"/>
    <w:rsid w:val="0A2EA914"/>
    <w:rsid w:val="0A93A510"/>
    <w:rsid w:val="0AC6697B"/>
    <w:rsid w:val="0B54E9EA"/>
    <w:rsid w:val="0B9BFFBD"/>
    <w:rsid w:val="0BF8ABF1"/>
    <w:rsid w:val="0C28E34D"/>
    <w:rsid w:val="0CBB8579"/>
    <w:rsid w:val="0CC2A0E9"/>
    <w:rsid w:val="0D15A6FA"/>
    <w:rsid w:val="0D8EFF58"/>
    <w:rsid w:val="0D9E337C"/>
    <w:rsid w:val="0DD5BCAF"/>
    <w:rsid w:val="0E3FA96B"/>
    <w:rsid w:val="0E4E3152"/>
    <w:rsid w:val="0E614809"/>
    <w:rsid w:val="0EC9BF96"/>
    <w:rsid w:val="0EF9D3EC"/>
    <w:rsid w:val="0F610426"/>
    <w:rsid w:val="0F64678E"/>
    <w:rsid w:val="0F652C30"/>
    <w:rsid w:val="0F6BB646"/>
    <w:rsid w:val="0FBD010A"/>
    <w:rsid w:val="0FDC9115"/>
    <w:rsid w:val="10061977"/>
    <w:rsid w:val="1099FCA7"/>
    <w:rsid w:val="10F4CC8C"/>
    <w:rsid w:val="110449ED"/>
    <w:rsid w:val="112486BA"/>
    <w:rsid w:val="112F908E"/>
    <w:rsid w:val="113614E7"/>
    <w:rsid w:val="11E31AD4"/>
    <w:rsid w:val="11F54A52"/>
    <w:rsid w:val="12804C83"/>
    <w:rsid w:val="1291CBDD"/>
    <w:rsid w:val="12D310AC"/>
    <w:rsid w:val="12F8545B"/>
    <w:rsid w:val="130AC8D4"/>
    <w:rsid w:val="131CF05B"/>
    <w:rsid w:val="1364F78C"/>
    <w:rsid w:val="137D7083"/>
    <w:rsid w:val="13977659"/>
    <w:rsid w:val="13EFFFA4"/>
    <w:rsid w:val="13F00A5B"/>
    <w:rsid w:val="13FC5829"/>
    <w:rsid w:val="14092696"/>
    <w:rsid w:val="1414C464"/>
    <w:rsid w:val="1439B604"/>
    <w:rsid w:val="14466FFB"/>
    <w:rsid w:val="144BEE9F"/>
    <w:rsid w:val="147854A9"/>
    <w:rsid w:val="147A580A"/>
    <w:rsid w:val="14BBE067"/>
    <w:rsid w:val="14CC34AB"/>
    <w:rsid w:val="1511A99C"/>
    <w:rsid w:val="151443DE"/>
    <w:rsid w:val="152C9CCD"/>
    <w:rsid w:val="1531D389"/>
    <w:rsid w:val="15469508"/>
    <w:rsid w:val="1557A2FA"/>
    <w:rsid w:val="157BBEDC"/>
    <w:rsid w:val="158A5AE7"/>
    <w:rsid w:val="15A33C25"/>
    <w:rsid w:val="15BE460C"/>
    <w:rsid w:val="15E7BF2D"/>
    <w:rsid w:val="16522B8D"/>
    <w:rsid w:val="166639FB"/>
    <w:rsid w:val="168C6D2F"/>
    <w:rsid w:val="16A89947"/>
    <w:rsid w:val="16C15054"/>
    <w:rsid w:val="16D7BEDF"/>
    <w:rsid w:val="16F28A62"/>
    <w:rsid w:val="17039E65"/>
    <w:rsid w:val="170F971F"/>
    <w:rsid w:val="1720120A"/>
    <w:rsid w:val="1750A695"/>
    <w:rsid w:val="176545C3"/>
    <w:rsid w:val="179F6CB1"/>
    <w:rsid w:val="17B02ED0"/>
    <w:rsid w:val="17E88B84"/>
    <w:rsid w:val="18130152"/>
    <w:rsid w:val="181F2593"/>
    <w:rsid w:val="1864FAF2"/>
    <w:rsid w:val="186AFA3D"/>
    <w:rsid w:val="1875F093"/>
    <w:rsid w:val="18C4068B"/>
    <w:rsid w:val="18E96E03"/>
    <w:rsid w:val="18F9DB4B"/>
    <w:rsid w:val="195B6274"/>
    <w:rsid w:val="19684DDE"/>
    <w:rsid w:val="199871A3"/>
    <w:rsid w:val="19B7D4D4"/>
    <w:rsid w:val="19DAFECD"/>
    <w:rsid w:val="19E55052"/>
    <w:rsid w:val="1A273076"/>
    <w:rsid w:val="1A2B7C67"/>
    <w:rsid w:val="1A31CF25"/>
    <w:rsid w:val="1A590AEB"/>
    <w:rsid w:val="1A94BE66"/>
    <w:rsid w:val="1A9DFBB3"/>
    <w:rsid w:val="1AB15E45"/>
    <w:rsid w:val="1AB628F7"/>
    <w:rsid w:val="1B0A6A39"/>
    <w:rsid w:val="1B143381"/>
    <w:rsid w:val="1B4B124E"/>
    <w:rsid w:val="1B77C2D0"/>
    <w:rsid w:val="1B96896F"/>
    <w:rsid w:val="1BA4D981"/>
    <w:rsid w:val="1BC4F34A"/>
    <w:rsid w:val="1BEE8105"/>
    <w:rsid w:val="1C5C39B2"/>
    <w:rsid w:val="1C7929D1"/>
    <w:rsid w:val="1C8EF74A"/>
    <w:rsid w:val="1CB24DF2"/>
    <w:rsid w:val="1CC999BA"/>
    <w:rsid w:val="1CD504FC"/>
    <w:rsid w:val="1CF41711"/>
    <w:rsid w:val="1D116AA6"/>
    <w:rsid w:val="1D335FDC"/>
    <w:rsid w:val="1D41D9D2"/>
    <w:rsid w:val="1D797D1C"/>
    <w:rsid w:val="1DEC7ADA"/>
    <w:rsid w:val="1DEE311B"/>
    <w:rsid w:val="1E29F501"/>
    <w:rsid w:val="1E4E1E53"/>
    <w:rsid w:val="1E5582BD"/>
    <w:rsid w:val="1EB8BF44"/>
    <w:rsid w:val="1EB8C175"/>
    <w:rsid w:val="1EBCAAAD"/>
    <w:rsid w:val="1EC64C79"/>
    <w:rsid w:val="1F06D6E0"/>
    <w:rsid w:val="1F3FDB9F"/>
    <w:rsid w:val="1F5E112B"/>
    <w:rsid w:val="1F8585CB"/>
    <w:rsid w:val="1F8B7DEF"/>
    <w:rsid w:val="2049C0F2"/>
    <w:rsid w:val="205D3B38"/>
    <w:rsid w:val="206859B6"/>
    <w:rsid w:val="20B61AE5"/>
    <w:rsid w:val="20D4671F"/>
    <w:rsid w:val="2103A345"/>
    <w:rsid w:val="2104143B"/>
    <w:rsid w:val="216E5AC5"/>
    <w:rsid w:val="218FD1CC"/>
    <w:rsid w:val="21C1BD07"/>
    <w:rsid w:val="21CD52BB"/>
    <w:rsid w:val="21EF4C6D"/>
    <w:rsid w:val="22105083"/>
    <w:rsid w:val="22168275"/>
    <w:rsid w:val="2234C1AE"/>
    <w:rsid w:val="2261BF30"/>
    <w:rsid w:val="22A1F119"/>
    <w:rsid w:val="234C2B2B"/>
    <w:rsid w:val="235C49A1"/>
    <w:rsid w:val="236C9673"/>
    <w:rsid w:val="237EFFBA"/>
    <w:rsid w:val="23B68713"/>
    <w:rsid w:val="2415DD3F"/>
    <w:rsid w:val="2432CCAE"/>
    <w:rsid w:val="244EDBAA"/>
    <w:rsid w:val="2480464C"/>
    <w:rsid w:val="248814E7"/>
    <w:rsid w:val="24E87FAF"/>
    <w:rsid w:val="252300F4"/>
    <w:rsid w:val="2556E82F"/>
    <w:rsid w:val="255C3081"/>
    <w:rsid w:val="2577963E"/>
    <w:rsid w:val="257D7E61"/>
    <w:rsid w:val="25B14D1C"/>
    <w:rsid w:val="25BF1B06"/>
    <w:rsid w:val="25CCBA6E"/>
    <w:rsid w:val="25FEC758"/>
    <w:rsid w:val="263AE241"/>
    <w:rsid w:val="263E0D75"/>
    <w:rsid w:val="265EBBFA"/>
    <w:rsid w:val="268CD47D"/>
    <w:rsid w:val="2699594C"/>
    <w:rsid w:val="26A31412"/>
    <w:rsid w:val="26A3E900"/>
    <w:rsid w:val="26BBA98C"/>
    <w:rsid w:val="26FDAE94"/>
    <w:rsid w:val="270E2E09"/>
    <w:rsid w:val="272CB3C1"/>
    <w:rsid w:val="27DC8E35"/>
    <w:rsid w:val="280B9D04"/>
    <w:rsid w:val="2816F173"/>
    <w:rsid w:val="283A06DF"/>
    <w:rsid w:val="2874D237"/>
    <w:rsid w:val="288F1017"/>
    <w:rsid w:val="28923643"/>
    <w:rsid w:val="28F0BF6E"/>
    <w:rsid w:val="2900C54A"/>
    <w:rsid w:val="290BB3A9"/>
    <w:rsid w:val="2918FBF0"/>
    <w:rsid w:val="2970265A"/>
    <w:rsid w:val="29B1683E"/>
    <w:rsid w:val="2A33B6AC"/>
    <w:rsid w:val="2A496DB7"/>
    <w:rsid w:val="2A590BAC"/>
    <w:rsid w:val="2A821293"/>
    <w:rsid w:val="2AE139BB"/>
    <w:rsid w:val="2AECE575"/>
    <w:rsid w:val="2B2324FD"/>
    <w:rsid w:val="2B27938B"/>
    <w:rsid w:val="2B2AFCC8"/>
    <w:rsid w:val="2B3C4141"/>
    <w:rsid w:val="2B6E26F7"/>
    <w:rsid w:val="2B7BCEDD"/>
    <w:rsid w:val="2B857CC6"/>
    <w:rsid w:val="2BBE64E8"/>
    <w:rsid w:val="2C148960"/>
    <w:rsid w:val="2C1E20A8"/>
    <w:rsid w:val="2C287950"/>
    <w:rsid w:val="2C2F836D"/>
    <w:rsid w:val="2C392703"/>
    <w:rsid w:val="2C5BE977"/>
    <w:rsid w:val="2CC0874A"/>
    <w:rsid w:val="2CFB12ED"/>
    <w:rsid w:val="2D5323EC"/>
    <w:rsid w:val="2D56BFE9"/>
    <w:rsid w:val="2DA03AD0"/>
    <w:rsid w:val="2DAFE0C7"/>
    <w:rsid w:val="2DCC46B9"/>
    <w:rsid w:val="2DE3E233"/>
    <w:rsid w:val="2DEA7E8E"/>
    <w:rsid w:val="2DF7BDAF"/>
    <w:rsid w:val="2E39433E"/>
    <w:rsid w:val="2E567FE2"/>
    <w:rsid w:val="2EE3FA80"/>
    <w:rsid w:val="2F145E6E"/>
    <w:rsid w:val="2F40F683"/>
    <w:rsid w:val="2F551A61"/>
    <w:rsid w:val="2F56DC4F"/>
    <w:rsid w:val="2F58753B"/>
    <w:rsid w:val="2F65205E"/>
    <w:rsid w:val="2F692FD8"/>
    <w:rsid w:val="2F7AF954"/>
    <w:rsid w:val="2F835EC8"/>
    <w:rsid w:val="2FC4942D"/>
    <w:rsid w:val="2FDC21A0"/>
    <w:rsid w:val="3004E732"/>
    <w:rsid w:val="306D8536"/>
    <w:rsid w:val="30D498E2"/>
    <w:rsid w:val="30E22E7D"/>
    <w:rsid w:val="30F889FD"/>
    <w:rsid w:val="30FB6CAC"/>
    <w:rsid w:val="3152D1BF"/>
    <w:rsid w:val="315E329F"/>
    <w:rsid w:val="3166FDE8"/>
    <w:rsid w:val="3168DB98"/>
    <w:rsid w:val="31713A35"/>
    <w:rsid w:val="317CEA4F"/>
    <w:rsid w:val="318120C4"/>
    <w:rsid w:val="31A04759"/>
    <w:rsid w:val="31A486F4"/>
    <w:rsid w:val="31CEB134"/>
    <w:rsid w:val="31D6FE52"/>
    <w:rsid w:val="31DE99DC"/>
    <w:rsid w:val="31DF96D1"/>
    <w:rsid w:val="31E55379"/>
    <w:rsid w:val="31F254F0"/>
    <w:rsid w:val="322D097C"/>
    <w:rsid w:val="326B51ED"/>
    <w:rsid w:val="327465D3"/>
    <w:rsid w:val="32753B3E"/>
    <w:rsid w:val="327A3798"/>
    <w:rsid w:val="3295E2D0"/>
    <w:rsid w:val="32A0CFF6"/>
    <w:rsid w:val="32F160F0"/>
    <w:rsid w:val="331B0A3D"/>
    <w:rsid w:val="336FD92A"/>
    <w:rsid w:val="33938258"/>
    <w:rsid w:val="339FE1AC"/>
    <w:rsid w:val="33B0B6BD"/>
    <w:rsid w:val="33C3E176"/>
    <w:rsid w:val="33EC12AE"/>
    <w:rsid w:val="340BD25A"/>
    <w:rsid w:val="346D6F8C"/>
    <w:rsid w:val="3498ADF4"/>
    <w:rsid w:val="35153716"/>
    <w:rsid w:val="354FECCC"/>
    <w:rsid w:val="358232A3"/>
    <w:rsid w:val="3594478A"/>
    <w:rsid w:val="35EA136D"/>
    <w:rsid w:val="35F2F67E"/>
    <w:rsid w:val="361DA809"/>
    <w:rsid w:val="362D90F7"/>
    <w:rsid w:val="363204CC"/>
    <w:rsid w:val="3692D43B"/>
    <w:rsid w:val="3710D37D"/>
    <w:rsid w:val="3726B5CD"/>
    <w:rsid w:val="376C6C59"/>
    <w:rsid w:val="3789F92C"/>
    <w:rsid w:val="380562C7"/>
    <w:rsid w:val="38308C13"/>
    <w:rsid w:val="38359477"/>
    <w:rsid w:val="38487D73"/>
    <w:rsid w:val="38719E40"/>
    <w:rsid w:val="38734BE6"/>
    <w:rsid w:val="387DFC27"/>
    <w:rsid w:val="38AEDA36"/>
    <w:rsid w:val="38B7FBED"/>
    <w:rsid w:val="38CDD4E3"/>
    <w:rsid w:val="38E30F60"/>
    <w:rsid w:val="38E863E2"/>
    <w:rsid w:val="39078BD9"/>
    <w:rsid w:val="394971AF"/>
    <w:rsid w:val="398E66C9"/>
    <w:rsid w:val="39A66344"/>
    <w:rsid w:val="39A75426"/>
    <w:rsid w:val="39F41808"/>
    <w:rsid w:val="39FB8250"/>
    <w:rsid w:val="3A5DFF3F"/>
    <w:rsid w:val="3A79FB15"/>
    <w:rsid w:val="3A9F05E2"/>
    <w:rsid w:val="3ABA10CD"/>
    <w:rsid w:val="3AD3A197"/>
    <w:rsid w:val="3B01C6FD"/>
    <w:rsid w:val="3B0A34D6"/>
    <w:rsid w:val="3B1E6D38"/>
    <w:rsid w:val="3B2277E6"/>
    <w:rsid w:val="3B362480"/>
    <w:rsid w:val="3B3854B5"/>
    <w:rsid w:val="3B467907"/>
    <w:rsid w:val="3B479929"/>
    <w:rsid w:val="3B651759"/>
    <w:rsid w:val="3B715CFB"/>
    <w:rsid w:val="3B7796DB"/>
    <w:rsid w:val="3BA2347E"/>
    <w:rsid w:val="3BC8069A"/>
    <w:rsid w:val="3C57A500"/>
    <w:rsid w:val="3CAD6EF9"/>
    <w:rsid w:val="3CD798EB"/>
    <w:rsid w:val="3CDB203E"/>
    <w:rsid w:val="3CED9495"/>
    <w:rsid w:val="3CFEB980"/>
    <w:rsid w:val="3D70BB04"/>
    <w:rsid w:val="3DA007BF"/>
    <w:rsid w:val="3DBE9054"/>
    <w:rsid w:val="3E03E464"/>
    <w:rsid w:val="3E41497A"/>
    <w:rsid w:val="3E4C9FCE"/>
    <w:rsid w:val="3E51B8E5"/>
    <w:rsid w:val="3E874B1C"/>
    <w:rsid w:val="3E878879"/>
    <w:rsid w:val="3E9D2855"/>
    <w:rsid w:val="3EC1ED89"/>
    <w:rsid w:val="3EDE33A7"/>
    <w:rsid w:val="3EE7D729"/>
    <w:rsid w:val="3EE89F76"/>
    <w:rsid w:val="3EFECFF0"/>
    <w:rsid w:val="3F170951"/>
    <w:rsid w:val="3F5C0040"/>
    <w:rsid w:val="3FA7FC9A"/>
    <w:rsid w:val="3FC0AB51"/>
    <w:rsid w:val="3FF922DF"/>
    <w:rsid w:val="4061C06D"/>
    <w:rsid w:val="4067E256"/>
    <w:rsid w:val="40898F7C"/>
    <w:rsid w:val="40A2F509"/>
    <w:rsid w:val="40D6E5C2"/>
    <w:rsid w:val="41154428"/>
    <w:rsid w:val="412665F5"/>
    <w:rsid w:val="41279FD4"/>
    <w:rsid w:val="4157552C"/>
    <w:rsid w:val="4180817A"/>
    <w:rsid w:val="41B5D04E"/>
    <w:rsid w:val="41BE2393"/>
    <w:rsid w:val="420AD77C"/>
    <w:rsid w:val="42B2BDAC"/>
    <w:rsid w:val="42C4E2F0"/>
    <w:rsid w:val="42D79BD2"/>
    <w:rsid w:val="432312F3"/>
    <w:rsid w:val="4353389E"/>
    <w:rsid w:val="437130F0"/>
    <w:rsid w:val="438B0B8D"/>
    <w:rsid w:val="43950764"/>
    <w:rsid w:val="43B09C96"/>
    <w:rsid w:val="43B47571"/>
    <w:rsid w:val="43D12FD3"/>
    <w:rsid w:val="4403A191"/>
    <w:rsid w:val="4418F7F6"/>
    <w:rsid w:val="4424B1F1"/>
    <w:rsid w:val="44267D26"/>
    <w:rsid w:val="442EBE57"/>
    <w:rsid w:val="4455E053"/>
    <w:rsid w:val="44781C8D"/>
    <w:rsid w:val="44E538FD"/>
    <w:rsid w:val="44F07E68"/>
    <w:rsid w:val="44FA42EF"/>
    <w:rsid w:val="45065F5E"/>
    <w:rsid w:val="45837DEB"/>
    <w:rsid w:val="458A94B0"/>
    <w:rsid w:val="459B56EC"/>
    <w:rsid w:val="45BB1B0C"/>
    <w:rsid w:val="45EB031C"/>
    <w:rsid w:val="46304122"/>
    <w:rsid w:val="46439E93"/>
    <w:rsid w:val="4655D07D"/>
    <w:rsid w:val="466C05C6"/>
    <w:rsid w:val="46749DD6"/>
    <w:rsid w:val="4674B32E"/>
    <w:rsid w:val="46962EE2"/>
    <w:rsid w:val="46A49225"/>
    <w:rsid w:val="46D994D5"/>
    <w:rsid w:val="46F42BBD"/>
    <w:rsid w:val="47118AC2"/>
    <w:rsid w:val="472569CF"/>
    <w:rsid w:val="47373C51"/>
    <w:rsid w:val="47565D14"/>
    <w:rsid w:val="4782362F"/>
    <w:rsid w:val="47AA0543"/>
    <w:rsid w:val="47BC6759"/>
    <w:rsid w:val="47D86F1E"/>
    <w:rsid w:val="47DA2AEE"/>
    <w:rsid w:val="47F4859D"/>
    <w:rsid w:val="47F9F6CB"/>
    <w:rsid w:val="483EB5F3"/>
    <w:rsid w:val="486D9A13"/>
    <w:rsid w:val="48B24B71"/>
    <w:rsid w:val="48B54FC8"/>
    <w:rsid w:val="48BBC088"/>
    <w:rsid w:val="48C8E4B4"/>
    <w:rsid w:val="4901C0EA"/>
    <w:rsid w:val="490AA981"/>
    <w:rsid w:val="4952F718"/>
    <w:rsid w:val="495555A6"/>
    <w:rsid w:val="49645835"/>
    <w:rsid w:val="497BCE3F"/>
    <w:rsid w:val="4995611A"/>
    <w:rsid w:val="49A11A36"/>
    <w:rsid w:val="49C86C3B"/>
    <w:rsid w:val="49D754D7"/>
    <w:rsid w:val="49F5D098"/>
    <w:rsid w:val="49F7E010"/>
    <w:rsid w:val="49F9CD3A"/>
    <w:rsid w:val="4A50A07D"/>
    <w:rsid w:val="4A59C3B1"/>
    <w:rsid w:val="4ACC3D49"/>
    <w:rsid w:val="4AD2423C"/>
    <w:rsid w:val="4B314F74"/>
    <w:rsid w:val="4B461659"/>
    <w:rsid w:val="4B5DB30B"/>
    <w:rsid w:val="4B8EE060"/>
    <w:rsid w:val="4B924352"/>
    <w:rsid w:val="4BB47229"/>
    <w:rsid w:val="4BBCC0C8"/>
    <w:rsid w:val="4BCFA77C"/>
    <w:rsid w:val="4BEA1829"/>
    <w:rsid w:val="4C0F8EC6"/>
    <w:rsid w:val="4C441ABA"/>
    <w:rsid w:val="4C64D960"/>
    <w:rsid w:val="4C729A4E"/>
    <w:rsid w:val="4CA81462"/>
    <w:rsid w:val="4CC11D8E"/>
    <w:rsid w:val="4D0930E4"/>
    <w:rsid w:val="4D1BDAAC"/>
    <w:rsid w:val="4D6FF0BC"/>
    <w:rsid w:val="4D71D0D1"/>
    <w:rsid w:val="4D84887A"/>
    <w:rsid w:val="4DD4289A"/>
    <w:rsid w:val="4E48F670"/>
    <w:rsid w:val="4E8C1F86"/>
    <w:rsid w:val="4E8DC3E2"/>
    <w:rsid w:val="4E94EB1A"/>
    <w:rsid w:val="4EAD197B"/>
    <w:rsid w:val="4ECF9CC7"/>
    <w:rsid w:val="4ED792CD"/>
    <w:rsid w:val="4EF17771"/>
    <w:rsid w:val="4F177560"/>
    <w:rsid w:val="4F2FF5F5"/>
    <w:rsid w:val="4F36CF6B"/>
    <w:rsid w:val="4F4EFFD4"/>
    <w:rsid w:val="4F532F99"/>
    <w:rsid w:val="4F59E8EC"/>
    <w:rsid w:val="4F66330C"/>
    <w:rsid w:val="4F7CEB62"/>
    <w:rsid w:val="4F819974"/>
    <w:rsid w:val="4F966AB8"/>
    <w:rsid w:val="4F97CC36"/>
    <w:rsid w:val="4F982688"/>
    <w:rsid w:val="4FADFF7E"/>
    <w:rsid w:val="4FB2E4D5"/>
    <w:rsid w:val="4FC7DC62"/>
    <w:rsid w:val="5024313E"/>
    <w:rsid w:val="503EE4F6"/>
    <w:rsid w:val="50402EB1"/>
    <w:rsid w:val="5050CD9F"/>
    <w:rsid w:val="50C32761"/>
    <w:rsid w:val="50D09DD3"/>
    <w:rsid w:val="50DD5F81"/>
    <w:rsid w:val="50F72EC0"/>
    <w:rsid w:val="50FA6ECA"/>
    <w:rsid w:val="5104089E"/>
    <w:rsid w:val="510DDA2D"/>
    <w:rsid w:val="512C2D0D"/>
    <w:rsid w:val="516C302B"/>
    <w:rsid w:val="5187D662"/>
    <w:rsid w:val="51A37481"/>
    <w:rsid w:val="51B632D5"/>
    <w:rsid w:val="51E18F3E"/>
    <w:rsid w:val="5215C140"/>
    <w:rsid w:val="5231806A"/>
    <w:rsid w:val="52353AC6"/>
    <w:rsid w:val="525D8866"/>
    <w:rsid w:val="5273ABCF"/>
    <w:rsid w:val="52B73665"/>
    <w:rsid w:val="52F8023D"/>
    <w:rsid w:val="530D1348"/>
    <w:rsid w:val="5399E754"/>
    <w:rsid w:val="53CFD82B"/>
    <w:rsid w:val="53D7856A"/>
    <w:rsid w:val="53EB8021"/>
    <w:rsid w:val="542D5A93"/>
    <w:rsid w:val="543AB9DE"/>
    <w:rsid w:val="546271EF"/>
    <w:rsid w:val="5479E8BD"/>
    <w:rsid w:val="549E7CF4"/>
    <w:rsid w:val="54A6E63F"/>
    <w:rsid w:val="54C0BFEA"/>
    <w:rsid w:val="54F25D60"/>
    <w:rsid w:val="55084553"/>
    <w:rsid w:val="550FD613"/>
    <w:rsid w:val="55245693"/>
    <w:rsid w:val="557B94A3"/>
    <w:rsid w:val="55A5464F"/>
    <w:rsid w:val="561AE09A"/>
    <w:rsid w:val="56585D15"/>
    <w:rsid w:val="56622819"/>
    <w:rsid w:val="566697ED"/>
    <w:rsid w:val="5667D21F"/>
    <w:rsid w:val="568C61E1"/>
    <w:rsid w:val="569296E3"/>
    <w:rsid w:val="573485E2"/>
    <w:rsid w:val="573960B7"/>
    <w:rsid w:val="57550329"/>
    <w:rsid w:val="57650901"/>
    <w:rsid w:val="576C6966"/>
    <w:rsid w:val="577F09D6"/>
    <w:rsid w:val="57A551F7"/>
    <w:rsid w:val="57B156AE"/>
    <w:rsid w:val="580CC875"/>
    <w:rsid w:val="58A7E900"/>
    <w:rsid w:val="58AC182B"/>
    <w:rsid w:val="58CD8211"/>
    <w:rsid w:val="58CDA930"/>
    <w:rsid w:val="58D22F23"/>
    <w:rsid w:val="58E159BC"/>
    <w:rsid w:val="58EC3DB7"/>
    <w:rsid w:val="5990C82C"/>
    <w:rsid w:val="59CB8E59"/>
    <w:rsid w:val="59DCE919"/>
    <w:rsid w:val="59EFC636"/>
    <w:rsid w:val="5A01FBC4"/>
    <w:rsid w:val="5A2FFDC0"/>
    <w:rsid w:val="5A303B10"/>
    <w:rsid w:val="5A4B2150"/>
    <w:rsid w:val="5A904C62"/>
    <w:rsid w:val="5A9C9C17"/>
    <w:rsid w:val="5AA39EC1"/>
    <w:rsid w:val="5ABAF880"/>
    <w:rsid w:val="5AD34FBB"/>
    <w:rsid w:val="5B5A0769"/>
    <w:rsid w:val="5BB38C97"/>
    <w:rsid w:val="5C196AE5"/>
    <w:rsid w:val="5C1FEAEA"/>
    <w:rsid w:val="5C61FA22"/>
    <w:rsid w:val="5C6834BE"/>
    <w:rsid w:val="5C6FE508"/>
    <w:rsid w:val="5CD1BF16"/>
    <w:rsid w:val="5CF6579B"/>
    <w:rsid w:val="5D67445A"/>
    <w:rsid w:val="5D6A6C87"/>
    <w:rsid w:val="5DE33F8A"/>
    <w:rsid w:val="5DE3E972"/>
    <w:rsid w:val="5E1F1BD5"/>
    <w:rsid w:val="5E54EE63"/>
    <w:rsid w:val="5E76C978"/>
    <w:rsid w:val="5EB3C6C3"/>
    <w:rsid w:val="5EB72D60"/>
    <w:rsid w:val="5EC3C158"/>
    <w:rsid w:val="5F055704"/>
    <w:rsid w:val="5F32A96B"/>
    <w:rsid w:val="5F572696"/>
    <w:rsid w:val="5F5CE01A"/>
    <w:rsid w:val="5FC7ACB3"/>
    <w:rsid w:val="5FCD17EA"/>
    <w:rsid w:val="5FFF8E82"/>
    <w:rsid w:val="6094B1EB"/>
    <w:rsid w:val="609B1832"/>
    <w:rsid w:val="609F7FD1"/>
    <w:rsid w:val="60AFFF03"/>
    <w:rsid w:val="60DC7E81"/>
    <w:rsid w:val="60E6FBAF"/>
    <w:rsid w:val="617561ED"/>
    <w:rsid w:val="62845D5F"/>
    <w:rsid w:val="628A3B9A"/>
    <w:rsid w:val="63379F7E"/>
    <w:rsid w:val="6383169F"/>
    <w:rsid w:val="63D1349C"/>
    <w:rsid w:val="63D17ABE"/>
    <w:rsid w:val="642990FC"/>
    <w:rsid w:val="646DFA1D"/>
    <w:rsid w:val="64E150B7"/>
    <w:rsid w:val="64EE9F8B"/>
    <w:rsid w:val="64F29C28"/>
    <w:rsid w:val="650F45D0"/>
    <w:rsid w:val="65184A55"/>
    <w:rsid w:val="653E4113"/>
    <w:rsid w:val="65535495"/>
    <w:rsid w:val="657A19E5"/>
    <w:rsid w:val="65953F0E"/>
    <w:rsid w:val="65B7BD68"/>
    <w:rsid w:val="65C2E52E"/>
    <w:rsid w:val="6604D3B3"/>
    <w:rsid w:val="66070A7F"/>
    <w:rsid w:val="6613D8E3"/>
    <w:rsid w:val="66425C61"/>
    <w:rsid w:val="664B370F"/>
    <w:rsid w:val="665458CB"/>
    <w:rsid w:val="66995CF4"/>
    <w:rsid w:val="66F33720"/>
    <w:rsid w:val="67034A15"/>
    <w:rsid w:val="673921BC"/>
    <w:rsid w:val="678034D3"/>
    <w:rsid w:val="6791944C"/>
    <w:rsid w:val="67C35569"/>
    <w:rsid w:val="68093B55"/>
    <w:rsid w:val="681D4DCF"/>
    <w:rsid w:val="68645168"/>
    <w:rsid w:val="688E0B40"/>
    <w:rsid w:val="68959810"/>
    <w:rsid w:val="68DF9697"/>
    <w:rsid w:val="69205CCB"/>
    <w:rsid w:val="6929A108"/>
    <w:rsid w:val="692C18BB"/>
    <w:rsid w:val="6939B83F"/>
    <w:rsid w:val="695AB77F"/>
    <w:rsid w:val="696C1845"/>
    <w:rsid w:val="696E1247"/>
    <w:rsid w:val="697B58F1"/>
    <w:rsid w:val="69987F55"/>
    <w:rsid w:val="69A90056"/>
    <w:rsid w:val="69DA9C1F"/>
    <w:rsid w:val="69EE95C6"/>
    <w:rsid w:val="6A166C7D"/>
    <w:rsid w:val="6A1CE860"/>
    <w:rsid w:val="6A32D12F"/>
    <w:rsid w:val="6A57409D"/>
    <w:rsid w:val="6A860412"/>
    <w:rsid w:val="6A9CC2A5"/>
    <w:rsid w:val="6A9E8F77"/>
    <w:rsid w:val="6AA80AF1"/>
    <w:rsid w:val="6AB0A429"/>
    <w:rsid w:val="6AE6B95B"/>
    <w:rsid w:val="6AEB26CF"/>
    <w:rsid w:val="6AECA9EC"/>
    <w:rsid w:val="6B149CF1"/>
    <w:rsid w:val="6B158881"/>
    <w:rsid w:val="6B1A660D"/>
    <w:rsid w:val="6B2A8525"/>
    <w:rsid w:val="6B2C40F5"/>
    <w:rsid w:val="6B2E336B"/>
    <w:rsid w:val="6B562A68"/>
    <w:rsid w:val="6B8ABD5E"/>
    <w:rsid w:val="6BB7BB53"/>
    <w:rsid w:val="6C675B3A"/>
    <w:rsid w:val="6CBCEC18"/>
    <w:rsid w:val="6CC992EB"/>
    <w:rsid w:val="6CCA7E2B"/>
    <w:rsid w:val="6D00CD4D"/>
    <w:rsid w:val="6D0A4796"/>
    <w:rsid w:val="6D1A8F23"/>
    <w:rsid w:val="6D4800A1"/>
    <w:rsid w:val="6D9E9AA1"/>
    <w:rsid w:val="6DB48648"/>
    <w:rsid w:val="6E1662A8"/>
    <w:rsid w:val="6E2BF25F"/>
    <w:rsid w:val="6E664E8C"/>
    <w:rsid w:val="6E792335"/>
    <w:rsid w:val="6E814291"/>
    <w:rsid w:val="6ED0E7C5"/>
    <w:rsid w:val="6F43B2DA"/>
    <w:rsid w:val="6F803610"/>
    <w:rsid w:val="6F933ED6"/>
    <w:rsid w:val="6FC5E190"/>
    <w:rsid w:val="7002F348"/>
    <w:rsid w:val="70280E54"/>
    <w:rsid w:val="702F0BF4"/>
    <w:rsid w:val="704B322B"/>
    <w:rsid w:val="707DF129"/>
    <w:rsid w:val="70ACC24C"/>
    <w:rsid w:val="70C84CE6"/>
    <w:rsid w:val="7116519F"/>
    <w:rsid w:val="71263EA1"/>
    <w:rsid w:val="716AF493"/>
    <w:rsid w:val="720FAABC"/>
    <w:rsid w:val="721DD8AD"/>
    <w:rsid w:val="7229A8D4"/>
    <w:rsid w:val="722A22DD"/>
    <w:rsid w:val="7231C830"/>
    <w:rsid w:val="72723725"/>
    <w:rsid w:val="72A45446"/>
    <w:rsid w:val="72A545A0"/>
    <w:rsid w:val="72D3AF7B"/>
    <w:rsid w:val="7316D814"/>
    <w:rsid w:val="73196021"/>
    <w:rsid w:val="7347854F"/>
    <w:rsid w:val="73494BFF"/>
    <w:rsid w:val="73563EF8"/>
    <w:rsid w:val="73CC9E15"/>
    <w:rsid w:val="742F7588"/>
    <w:rsid w:val="746EFFBD"/>
    <w:rsid w:val="74BCB0AC"/>
    <w:rsid w:val="74C0EB4A"/>
    <w:rsid w:val="74DC413A"/>
    <w:rsid w:val="74EE7F2F"/>
    <w:rsid w:val="7523DA8B"/>
    <w:rsid w:val="752E6AF1"/>
    <w:rsid w:val="75343CBD"/>
    <w:rsid w:val="7541EDF6"/>
    <w:rsid w:val="754702AE"/>
    <w:rsid w:val="757AB2F3"/>
    <w:rsid w:val="757AD398"/>
    <w:rsid w:val="7585A98F"/>
    <w:rsid w:val="75A77407"/>
    <w:rsid w:val="75DDF443"/>
    <w:rsid w:val="76094C6C"/>
    <w:rsid w:val="762249C5"/>
    <w:rsid w:val="76583814"/>
    <w:rsid w:val="7658A405"/>
    <w:rsid w:val="76AC4D72"/>
    <w:rsid w:val="76B0D29B"/>
    <w:rsid w:val="76B5D40F"/>
    <w:rsid w:val="76BD055B"/>
    <w:rsid w:val="76C16E0A"/>
    <w:rsid w:val="76D00D1E"/>
    <w:rsid w:val="76DFB91D"/>
    <w:rsid w:val="76E0C63B"/>
    <w:rsid w:val="76E3C25C"/>
    <w:rsid w:val="771723A2"/>
    <w:rsid w:val="776BBE1E"/>
    <w:rsid w:val="77D3E841"/>
    <w:rsid w:val="78447367"/>
    <w:rsid w:val="78496ABE"/>
    <w:rsid w:val="786BDD7F"/>
    <w:rsid w:val="787974ED"/>
    <w:rsid w:val="78BBD896"/>
    <w:rsid w:val="78CAAE62"/>
    <w:rsid w:val="79073701"/>
    <w:rsid w:val="793A7F9C"/>
    <w:rsid w:val="793B455B"/>
    <w:rsid w:val="794AFB26"/>
    <w:rsid w:val="7990960D"/>
    <w:rsid w:val="79C6C240"/>
    <w:rsid w:val="79C9147B"/>
    <w:rsid w:val="79D5C5DC"/>
    <w:rsid w:val="79DAA64C"/>
    <w:rsid w:val="79EFC3CA"/>
    <w:rsid w:val="7A112D0B"/>
    <w:rsid w:val="7A2E3046"/>
    <w:rsid w:val="7A43884B"/>
    <w:rsid w:val="7A5A3949"/>
    <w:rsid w:val="7A5E5876"/>
    <w:rsid w:val="7A79CC79"/>
    <w:rsid w:val="7A903EBC"/>
    <w:rsid w:val="7AB14C47"/>
    <w:rsid w:val="7ABAC4B6"/>
    <w:rsid w:val="7AC26C0D"/>
    <w:rsid w:val="7AF0BCA8"/>
    <w:rsid w:val="7AF496DF"/>
    <w:rsid w:val="7B23FB27"/>
    <w:rsid w:val="7B264AA6"/>
    <w:rsid w:val="7B2D5B55"/>
    <w:rsid w:val="7B6F79A2"/>
    <w:rsid w:val="7B885158"/>
    <w:rsid w:val="7B950621"/>
    <w:rsid w:val="7BAD5062"/>
    <w:rsid w:val="7BD89FDE"/>
    <w:rsid w:val="7C2FFCAE"/>
    <w:rsid w:val="7CB983D1"/>
    <w:rsid w:val="7CD425ED"/>
    <w:rsid w:val="7CDA70E9"/>
    <w:rsid w:val="7CEBB621"/>
    <w:rsid w:val="7CFBBDD8"/>
    <w:rsid w:val="7D105CA6"/>
    <w:rsid w:val="7D7A0756"/>
    <w:rsid w:val="7DFE2431"/>
    <w:rsid w:val="7E2E8D92"/>
    <w:rsid w:val="7E58BDC8"/>
    <w:rsid w:val="7E6BD5D9"/>
    <w:rsid w:val="7E728F32"/>
    <w:rsid w:val="7E87CC2A"/>
    <w:rsid w:val="7EA68C60"/>
    <w:rsid w:val="7EB72C85"/>
    <w:rsid w:val="7EBBBB4E"/>
    <w:rsid w:val="7ECA38B9"/>
    <w:rsid w:val="7EE08B2F"/>
    <w:rsid w:val="7EE8C803"/>
    <w:rsid w:val="7F14CCD2"/>
    <w:rsid w:val="7F25821E"/>
    <w:rsid w:val="7FA96EE3"/>
    <w:rsid w:val="7FB59F3F"/>
    <w:rsid w:val="7FBF17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7F906"/>
  <w14:defaultImageDpi w14:val="32767"/>
  <w15:chartTrackingRefBased/>
  <w15:docId w15:val="{778DE8BD-6A69-472E-8F39-56033B19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2"/>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aliases w:val="Footnotes refss,4_G,Footnote number,Stinking Styles,Nota a pie,NO,Style 30,Style 20"/>
    <w:uiPriority w:val="99"/>
    <w:qFormat/>
    <w:rsid w:val="00C8737B"/>
    <w:rPr>
      <w:rFonts w:ascii="Arial" w:hAnsi="Arial"/>
      <w:position w:val="2"/>
      <w:sz w:val="18"/>
      <w:vertAlign w:val="superscript"/>
    </w:rPr>
  </w:style>
  <w:style w:type="paragraph" w:styleId="FootnoteText">
    <w:name w:val="footnote text"/>
    <w:aliases w:val="Footnote text 1 Char Char,Footnote text 1,Footnote Text Char Char,Kneebone1,Footnote,Text Char Char Char,Text Char,Footnote Text Char Char Char Char Char,Text Char Char Char Char,Footnote text 1 Char,5_G,Char,Cha,C,FN,fn,Ca"/>
    <w:basedOn w:val="Normal"/>
    <w:link w:val="FootnoteTextChar"/>
    <w:qFormat/>
    <w:rsid w:val="00C8737B"/>
    <w:pPr>
      <w:ind w:left="284" w:hanging="284"/>
    </w:pPr>
    <w:rPr>
      <w:sz w:val="18"/>
      <w:szCs w:val="20"/>
    </w:rPr>
  </w:style>
  <w:style w:type="character" w:customStyle="1" w:styleId="FootnoteTextChar">
    <w:name w:val="Footnote Text Char"/>
    <w:aliases w:val="Footnote text 1 Char Char Char,Footnote text 1 Char1,Footnote Text Char Char Char,Kneebone1 Char,Footnote Char,Text Char Char Char Char1,Text Char Char,Footnote Text Char Char Char Char Char Char,Text Char Char Char Char Char,5_G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070E6"/>
    <w:pPr>
      <w:numPr>
        <w:numId w:val="4"/>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6"/>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6"/>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uiPriority w:val="1"/>
    <w:qForma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nhideWhenUsed/>
    <w:rsid w:val="004175B7"/>
    <w:rPr>
      <w:sz w:val="16"/>
      <w:szCs w:val="16"/>
    </w:rPr>
  </w:style>
  <w:style w:type="paragraph" w:styleId="CommentText">
    <w:name w:val="annotation text"/>
    <w:basedOn w:val="Normal"/>
    <w:link w:val="CommentTextChar"/>
    <w:unhideWhenUsed/>
    <w:rsid w:val="004175B7"/>
    <w:pPr>
      <w:spacing w:line="240" w:lineRule="auto"/>
    </w:pPr>
    <w:rPr>
      <w:sz w:val="20"/>
      <w:szCs w:val="20"/>
    </w:rPr>
  </w:style>
  <w:style w:type="character" w:customStyle="1" w:styleId="CommentTextChar">
    <w:name w:val="Comment Text Char"/>
    <w:basedOn w:val="DefaultParagraphFont"/>
    <w:link w:val="CommentText"/>
    <w:rsid w:val="004175B7"/>
    <w:rPr>
      <w:rFonts w:ascii="Arial" w:eastAsia="Times New Roman" w:hAnsi="Arial" w:cs="Times New Roman"/>
      <w:sz w:val="20"/>
      <w:szCs w:val="20"/>
      <w:lang w:val="en-AU"/>
    </w:rPr>
  </w:style>
  <w:style w:type="paragraph" w:customStyle="1" w:styleId="Tableheader">
    <w:name w:val="Table header"/>
    <w:basedOn w:val="Heading4"/>
    <w:qFormat/>
    <w:rsid w:val="004175B7"/>
  </w:style>
  <w:style w:type="table" w:styleId="PlainTable2">
    <w:name w:val="Plain Table 2"/>
    <w:basedOn w:val="TableNormal"/>
    <w:uiPriority w:val="42"/>
    <w:rsid w:val="004175B7"/>
    <w:rPr>
      <w:rFonts w:ascii="Times New Roman" w:eastAsia="Times New Roman" w:hAnsi="Times New Roman" w:cs="Times New Roman"/>
      <w:sz w:val="20"/>
      <w:szCs w:val="20"/>
      <w:lang w:val="en-AU" w:eastAsia="en-AU"/>
    </w:rPr>
    <w:tblPr>
      <w:tblStyleRowBandSize w:val="1"/>
      <w:tblStyleColBandSize w:val="1"/>
      <w:tblBorders>
        <w:bottom w:val="single" w:sz="4" w:space="0" w:color="000000" w:themeColor="text1"/>
        <w:insideH w:val="single" w:sz="4" w:space="0" w:color="000000" w:themeColor="text1"/>
      </w:tblBorders>
    </w:tblPr>
    <w:tblStylePr w:type="firstRow">
      <w:rPr>
        <w:b w:val="0"/>
        <w:bCs/>
        <w:color w:val="44546A" w:themeColor="text2"/>
      </w:rPr>
      <w:tblPr/>
      <w:trPr>
        <w:cantSplit/>
        <w:tblHeader/>
      </w:trPr>
      <w:tcPr>
        <w:tcBorders>
          <w:top w:val="single" w:sz="4" w:space="0" w:color="44546A" w:themeColor="text2"/>
          <w:bottom w:val="single" w:sz="4" w:space="0" w:color="44546A" w:themeColor="text2"/>
        </w:tcBorders>
        <w:shd w:val="clear" w:color="auto" w:fill="E7E6E6" w:themeFill="background2"/>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000000" w:themeColor="text1"/>
          <w:insideH w:val="single" w:sz="4" w:space="0" w:color="000000" w:themeColor="text1"/>
        </w:tcBorders>
      </w:tcPr>
    </w:tblStylePr>
    <w:tblStylePr w:type="band2Horz">
      <w:tblPr/>
      <w:tcPr>
        <w:tcBorders>
          <w:bottom w:val="single" w:sz="4" w:space="0" w:color="000000" w:themeColor="text1"/>
          <w:insideH w:val="single" w:sz="4" w:space="0" w:color="000000" w:themeColor="text1"/>
        </w:tcBorders>
      </w:tcPr>
    </w:tblStylePr>
  </w:style>
  <w:style w:type="paragraph" w:styleId="NoSpacing">
    <w:name w:val="No Spacing"/>
    <w:uiPriority w:val="1"/>
    <w:qFormat/>
    <w:rsid w:val="004175B7"/>
    <w:rPr>
      <w:rFonts w:ascii="Arial" w:eastAsia="Times New Roman" w:hAnsi="Arial" w:cs="Times New Roman"/>
      <w:sz w:val="22"/>
      <w:lang w:val="en-AU"/>
    </w:rPr>
  </w:style>
  <w:style w:type="paragraph" w:styleId="CommentSubject">
    <w:name w:val="annotation subject"/>
    <w:basedOn w:val="CommentText"/>
    <w:next w:val="CommentText"/>
    <w:link w:val="CommentSubjectChar"/>
    <w:uiPriority w:val="99"/>
    <w:semiHidden/>
    <w:unhideWhenUsed/>
    <w:rsid w:val="004175B7"/>
    <w:rPr>
      <w:b/>
      <w:bCs/>
    </w:rPr>
  </w:style>
  <w:style w:type="character" w:customStyle="1" w:styleId="CommentSubjectChar">
    <w:name w:val="Comment Subject Char"/>
    <w:basedOn w:val="CommentTextChar"/>
    <w:link w:val="CommentSubject"/>
    <w:uiPriority w:val="99"/>
    <w:semiHidden/>
    <w:rsid w:val="004175B7"/>
    <w:rPr>
      <w:rFonts w:ascii="Arial" w:eastAsia="Times New Roman" w:hAnsi="Arial" w:cs="Times New Roman"/>
      <w:b/>
      <w:bCs/>
      <w:sz w:val="20"/>
      <w:szCs w:val="20"/>
      <w:lang w:val="en-AU"/>
    </w:rPr>
  </w:style>
  <w:style w:type="character" w:styleId="Mention">
    <w:name w:val="Mention"/>
    <w:basedOn w:val="DefaultParagraphFont"/>
    <w:uiPriority w:val="99"/>
    <w:unhideWhenUsed/>
    <w:rsid w:val="00A35B76"/>
    <w:rPr>
      <w:color w:val="2B579A"/>
      <w:shd w:val="clear" w:color="auto" w:fill="E1DFDD"/>
    </w:rPr>
  </w:style>
  <w:style w:type="paragraph" w:customStyle="1" w:styleId="Bullet1">
    <w:name w:val="Bullet 1"/>
    <w:basedOn w:val="Normal"/>
    <w:uiPriority w:val="1"/>
    <w:qFormat/>
    <w:rsid w:val="00AF32C1"/>
    <w:pPr>
      <w:numPr>
        <w:numId w:val="26"/>
      </w:numPr>
    </w:pPr>
  </w:style>
  <w:style w:type="character" w:styleId="FollowedHyperlink">
    <w:name w:val="FollowedHyperlink"/>
    <w:basedOn w:val="DefaultParagraphFont"/>
    <w:uiPriority w:val="99"/>
    <w:semiHidden/>
    <w:unhideWhenUsed/>
    <w:rsid w:val="003E39CD"/>
    <w:rPr>
      <w:color w:val="954F72" w:themeColor="followedHyperlink"/>
      <w:u w:val="single"/>
    </w:rPr>
  </w:style>
  <w:style w:type="paragraph" w:styleId="NormalWeb">
    <w:name w:val="Normal (Web)"/>
    <w:basedOn w:val="Normal"/>
    <w:uiPriority w:val="99"/>
    <w:unhideWhenUsed/>
    <w:rsid w:val="00F22D86"/>
    <w:pPr>
      <w:spacing w:before="100" w:beforeAutospacing="1" w:after="100" w:afterAutospacing="1" w:line="240" w:lineRule="auto"/>
    </w:pPr>
    <w:rPr>
      <w:rFonts w:ascii="Times New Roman" w:hAnsi="Times New Roman"/>
      <w:sz w:val="24"/>
      <w:lang w:eastAsia="en-AU"/>
    </w:rPr>
  </w:style>
  <w:style w:type="paragraph" w:customStyle="1" w:styleId="Default">
    <w:name w:val="Default"/>
    <w:rsid w:val="00770ECE"/>
    <w:pPr>
      <w:autoSpaceDE w:val="0"/>
      <w:autoSpaceDN w:val="0"/>
      <w:adjustRightInd w:val="0"/>
    </w:pPr>
    <w:rPr>
      <w:rFonts w:ascii="Arial" w:hAnsi="Arial" w:cs="Arial"/>
      <w:color w:val="000000"/>
      <w:lang w:val="en-AU"/>
    </w:rPr>
  </w:style>
  <w:style w:type="character" w:styleId="PlaceholderText">
    <w:name w:val="Placeholder Text"/>
    <w:basedOn w:val="DefaultParagraphFont"/>
    <w:uiPriority w:val="99"/>
    <w:semiHidden/>
    <w:rsid w:val="00566CF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0736">
      <w:bodyDiv w:val="1"/>
      <w:marLeft w:val="0"/>
      <w:marRight w:val="0"/>
      <w:marTop w:val="0"/>
      <w:marBottom w:val="0"/>
      <w:divBdr>
        <w:top w:val="none" w:sz="0" w:space="0" w:color="auto"/>
        <w:left w:val="none" w:sz="0" w:space="0" w:color="auto"/>
        <w:bottom w:val="none" w:sz="0" w:space="0" w:color="auto"/>
        <w:right w:val="none" w:sz="0" w:space="0" w:color="auto"/>
      </w:divBdr>
    </w:div>
    <w:div w:id="145559393">
      <w:bodyDiv w:val="1"/>
      <w:marLeft w:val="0"/>
      <w:marRight w:val="0"/>
      <w:marTop w:val="0"/>
      <w:marBottom w:val="0"/>
      <w:divBdr>
        <w:top w:val="none" w:sz="0" w:space="0" w:color="auto"/>
        <w:left w:val="none" w:sz="0" w:space="0" w:color="auto"/>
        <w:bottom w:val="none" w:sz="0" w:space="0" w:color="auto"/>
        <w:right w:val="none" w:sz="0" w:space="0" w:color="auto"/>
      </w:divBdr>
    </w:div>
    <w:div w:id="170995884">
      <w:bodyDiv w:val="1"/>
      <w:marLeft w:val="0"/>
      <w:marRight w:val="0"/>
      <w:marTop w:val="0"/>
      <w:marBottom w:val="0"/>
      <w:divBdr>
        <w:top w:val="none" w:sz="0" w:space="0" w:color="auto"/>
        <w:left w:val="none" w:sz="0" w:space="0" w:color="auto"/>
        <w:bottom w:val="none" w:sz="0" w:space="0" w:color="auto"/>
        <w:right w:val="none" w:sz="0" w:space="0" w:color="auto"/>
      </w:divBdr>
    </w:div>
    <w:div w:id="186142332">
      <w:bodyDiv w:val="1"/>
      <w:marLeft w:val="0"/>
      <w:marRight w:val="0"/>
      <w:marTop w:val="0"/>
      <w:marBottom w:val="0"/>
      <w:divBdr>
        <w:top w:val="none" w:sz="0" w:space="0" w:color="auto"/>
        <w:left w:val="none" w:sz="0" w:space="0" w:color="auto"/>
        <w:bottom w:val="none" w:sz="0" w:space="0" w:color="auto"/>
        <w:right w:val="none" w:sz="0" w:space="0" w:color="auto"/>
      </w:divBdr>
    </w:div>
    <w:div w:id="367068661">
      <w:bodyDiv w:val="1"/>
      <w:marLeft w:val="0"/>
      <w:marRight w:val="0"/>
      <w:marTop w:val="0"/>
      <w:marBottom w:val="0"/>
      <w:divBdr>
        <w:top w:val="none" w:sz="0" w:space="0" w:color="auto"/>
        <w:left w:val="none" w:sz="0" w:space="0" w:color="auto"/>
        <w:bottom w:val="none" w:sz="0" w:space="0" w:color="auto"/>
        <w:right w:val="none" w:sz="0" w:space="0" w:color="auto"/>
      </w:divBdr>
    </w:div>
    <w:div w:id="427847504">
      <w:bodyDiv w:val="1"/>
      <w:marLeft w:val="0"/>
      <w:marRight w:val="0"/>
      <w:marTop w:val="0"/>
      <w:marBottom w:val="0"/>
      <w:divBdr>
        <w:top w:val="none" w:sz="0" w:space="0" w:color="auto"/>
        <w:left w:val="none" w:sz="0" w:space="0" w:color="auto"/>
        <w:bottom w:val="none" w:sz="0" w:space="0" w:color="auto"/>
        <w:right w:val="none" w:sz="0" w:space="0" w:color="auto"/>
      </w:divBdr>
    </w:div>
    <w:div w:id="446968212">
      <w:bodyDiv w:val="1"/>
      <w:marLeft w:val="0"/>
      <w:marRight w:val="0"/>
      <w:marTop w:val="0"/>
      <w:marBottom w:val="0"/>
      <w:divBdr>
        <w:top w:val="none" w:sz="0" w:space="0" w:color="auto"/>
        <w:left w:val="none" w:sz="0" w:space="0" w:color="auto"/>
        <w:bottom w:val="none" w:sz="0" w:space="0" w:color="auto"/>
        <w:right w:val="none" w:sz="0" w:space="0" w:color="auto"/>
      </w:divBdr>
    </w:div>
    <w:div w:id="471293574">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550919559">
      <w:bodyDiv w:val="1"/>
      <w:marLeft w:val="0"/>
      <w:marRight w:val="0"/>
      <w:marTop w:val="0"/>
      <w:marBottom w:val="0"/>
      <w:divBdr>
        <w:top w:val="none" w:sz="0" w:space="0" w:color="auto"/>
        <w:left w:val="none" w:sz="0" w:space="0" w:color="auto"/>
        <w:bottom w:val="none" w:sz="0" w:space="0" w:color="auto"/>
        <w:right w:val="none" w:sz="0" w:space="0" w:color="auto"/>
      </w:divBdr>
    </w:div>
    <w:div w:id="650905954">
      <w:bodyDiv w:val="1"/>
      <w:marLeft w:val="0"/>
      <w:marRight w:val="0"/>
      <w:marTop w:val="0"/>
      <w:marBottom w:val="0"/>
      <w:divBdr>
        <w:top w:val="none" w:sz="0" w:space="0" w:color="auto"/>
        <w:left w:val="none" w:sz="0" w:space="0" w:color="auto"/>
        <w:bottom w:val="none" w:sz="0" w:space="0" w:color="auto"/>
        <w:right w:val="none" w:sz="0" w:space="0" w:color="auto"/>
      </w:divBdr>
    </w:div>
    <w:div w:id="678776745">
      <w:bodyDiv w:val="1"/>
      <w:marLeft w:val="0"/>
      <w:marRight w:val="0"/>
      <w:marTop w:val="0"/>
      <w:marBottom w:val="0"/>
      <w:divBdr>
        <w:top w:val="none" w:sz="0" w:space="0" w:color="auto"/>
        <w:left w:val="none" w:sz="0" w:space="0" w:color="auto"/>
        <w:bottom w:val="none" w:sz="0" w:space="0" w:color="auto"/>
        <w:right w:val="none" w:sz="0" w:space="0" w:color="auto"/>
      </w:divBdr>
    </w:div>
    <w:div w:id="736978153">
      <w:bodyDiv w:val="1"/>
      <w:marLeft w:val="0"/>
      <w:marRight w:val="0"/>
      <w:marTop w:val="0"/>
      <w:marBottom w:val="0"/>
      <w:divBdr>
        <w:top w:val="none" w:sz="0" w:space="0" w:color="auto"/>
        <w:left w:val="none" w:sz="0" w:space="0" w:color="auto"/>
        <w:bottom w:val="none" w:sz="0" w:space="0" w:color="auto"/>
        <w:right w:val="none" w:sz="0" w:space="0" w:color="auto"/>
      </w:divBdr>
    </w:div>
    <w:div w:id="823158798">
      <w:bodyDiv w:val="1"/>
      <w:marLeft w:val="0"/>
      <w:marRight w:val="0"/>
      <w:marTop w:val="0"/>
      <w:marBottom w:val="0"/>
      <w:divBdr>
        <w:top w:val="none" w:sz="0" w:space="0" w:color="auto"/>
        <w:left w:val="none" w:sz="0" w:space="0" w:color="auto"/>
        <w:bottom w:val="none" w:sz="0" w:space="0" w:color="auto"/>
        <w:right w:val="none" w:sz="0" w:space="0" w:color="auto"/>
      </w:divBdr>
      <w:divsChild>
        <w:div w:id="1537278697">
          <w:marLeft w:val="547"/>
          <w:marRight w:val="0"/>
          <w:marTop w:val="0"/>
          <w:marBottom w:val="0"/>
          <w:divBdr>
            <w:top w:val="none" w:sz="0" w:space="0" w:color="auto"/>
            <w:left w:val="none" w:sz="0" w:space="0" w:color="auto"/>
            <w:bottom w:val="none" w:sz="0" w:space="0" w:color="auto"/>
            <w:right w:val="none" w:sz="0" w:space="0" w:color="auto"/>
          </w:divBdr>
        </w:div>
      </w:divsChild>
    </w:div>
    <w:div w:id="834303676">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506894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57106971">
      <w:bodyDiv w:val="1"/>
      <w:marLeft w:val="0"/>
      <w:marRight w:val="0"/>
      <w:marTop w:val="0"/>
      <w:marBottom w:val="0"/>
      <w:divBdr>
        <w:top w:val="none" w:sz="0" w:space="0" w:color="auto"/>
        <w:left w:val="none" w:sz="0" w:space="0" w:color="auto"/>
        <w:bottom w:val="none" w:sz="0" w:space="0" w:color="auto"/>
        <w:right w:val="none" w:sz="0" w:space="0" w:color="auto"/>
      </w:divBdr>
    </w:div>
    <w:div w:id="963390924">
      <w:bodyDiv w:val="1"/>
      <w:marLeft w:val="0"/>
      <w:marRight w:val="0"/>
      <w:marTop w:val="0"/>
      <w:marBottom w:val="0"/>
      <w:divBdr>
        <w:top w:val="none" w:sz="0" w:space="0" w:color="auto"/>
        <w:left w:val="none" w:sz="0" w:space="0" w:color="auto"/>
        <w:bottom w:val="none" w:sz="0" w:space="0" w:color="auto"/>
        <w:right w:val="none" w:sz="0" w:space="0" w:color="auto"/>
      </w:divBdr>
    </w:div>
    <w:div w:id="987899567">
      <w:bodyDiv w:val="1"/>
      <w:marLeft w:val="0"/>
      <w:marRight w:val="0"/>
      <w:marTop w:val="0"/>
      <w:marBottom w:val="0"/>
      <w:divBdr>
        <w:top w:val="none" w:sz="0" w:space="0" w:color="auto"/>
        <w:left w:val="none" w:sz="0" w:space="0" w:color="auto"/>
        <w:bottom w:val="none" w:sz="0" w:space="0" w:color="auto"/>
        <w:right w:val="none" w:sz="0" w:space="0" w:color="auto"/>
      </w:divBdr>
    </w:div>
    <w:div w:id="1016419973">
      <w:bodyDiv w:val="1"/>
      <w:marLeft w:val="0"/>
      <w:marRight w:val="0"/>
      <w:marTop w:val="0"/>
      <w:marBottom w:val="0"/>
      <w:divBdr>
        <w:top w:val="none" w:sz="0" w:space="0" w:color="auto"/>
        <w:left w:val="none" w:sz="0" w:space="0" w:color="auto"/>
        <w:bottom w:val="none" w:sz="0" w:space="0" w:color="auto"/>
        <w:right w:val="none" w:sz="0" w:space="0" w:color="auto"/>
      </w:divBdr>
    </w:div>
    <w:div w:id="1113401951">
      <w:bodyDiv w:val="1"/>
      <w:marLeft w:val="0"/>
      <w:marRight w:val="0"/>
      <w:marTop w:val="0"/>
      <w:marBottom w:val="0"/>
      <w:divBdr>
        <w:top w:val="none" w:sz="0" w:space="0" w:color="auto"/>
        <w:left w:val="none" w:sz="0" w:space="0" w:color="auto"/>
        <w:bottom w:val="none" w:sz="0" w:space="0" w:color="auto"/>
        <w:right w:val="none" w:sz="0" w:space="0" w:color="auto"/>
      </w:divBdr>
    </w:div>
    <w:div w:id="1184438681">
      <w:bodyDiv w:val="1"/>
      <w:marLeft w:val="0"/>
      <w:marRight w:val="0"/>
      <w:marTop w:val="0"/>
      <w:marBottom w:val="0"/>
      <w:divBdr>
        <w:top w:val="none" w:sz="0" w:space="0" w:color="auto"/>
        <w:left w:val="none" w:sz="0" w:space="0" w:color="auto"/>
        <w:bottom w:val="none" w:sz="0" w:space="0" w:color="auto"/>
        <w:right w:val="none" w:sz="0" w:space="0" w:color="auto"/>
      </w:divBdr>
    </w:div>
    <w:div w:id="1206017748">
      <w:bodyDiv w:val="1"/>
      <w:marLeft w:val="0"/>
      <w:marRight w:val="0"/>
      <w:marTop w:val="0"/>
      <w:marBottom w:val="0"/>
      <w:divBdr>
        <w:top w:val="none" w:sz="0" w:space="0" w:color="auto"/>
        <w:left w:val="none" w:sz="0" w:space="0" w:color="auto"/>
        <w:bottom w:val="none" w:sz="0" w:space="0" w:color="auto"/>
        <w:right w:val="none" w:sz="0" w:space="0" w:color="auto"/>
      </w:divBdr>
    </w:div>
    <w:div w:id="1291471866">
      <w:bodyDiv w:val="1"/>
      <w:marLeft w:val="0"/>
      <w:marRight w:val="0"/>
      <w:marTop w:val="0"/>
      <w:marBottom w:val="0"/>
      <w:divBdr>
        <w:top w:val="none" w:sz="0" w:space="0" w:color="auto"/>
        <w:left w:val="none" w:sz="0" w:space="0" w:color="auto"/>
        <w:bottom w:val="none" w:sz="0" w:space="0" w:color="auto"/>
        <w:right w:val="none" w:sz="0" w:space="0" w:color="auto"/>
      </w:divBdr>
    </w:div>
    <w:div w:id="1340892527">
      <w:bodyDiv w:val="1"/>
      <w:marLeft w:val="0"/>
      <w:marRight w:val="0"/>
      <w:marTop w:val="0"/>
      <w:marBottom w:val="0"/>
      <w:divBdr>
        <w:top w:val="none" w:sz="0" w:space="0" w:color="auto"/>
        <w:left w:val="none" w:sz="0" w:space="0" w:color="auto"/>
        <w:bottom w:val="none" w:sz="0" w:space="0" w:color="auto"/>
        <w:right w:val="none" w:sz="0" w:space="0" w:color="auto"/>
      </w:divBdr>
    </w:div>
    <w:div w:id="1359700280">
      <w:bodyDiv w:val="1"/>
      <w:marLeft w:val="0"/>
      <w:marRight w:val="0"/>
      <w:marTop w:val="0"/>
      <w:marBottom w:val="0"/>
      <w:divBdr>
        <w:top w:val="none" w:sz="0" w:space="0" w:color="auto"/>
        <w:left w:val="none" w:sz="0" w:space="0" w:color="auto"/>
        <w:bottom w:val="none" w:sz="0" w:space="0" w:color="auto"/>
        <w:right w:val="none" w:sz="0" w:space="0" w:color="auto"/>
      </w:divBdr>
    </w:div>
    <w:div w:id="1518933424">
      <w:bodyDiv w:val="1"/>
      <w:marLeft w:val="0"/>
      <w:marRight w:val="0"/>
      <w:marTop w:val="0"/>
      <w:marBottom w:val="0"/>
      <w:divBdr>
        <w:top w:val="none" w:sz="0" w:space="0" w:color="auto"/>
        <w:left w:val="none" w:sz="0" w:space="0" w:color="auto"/>
        <w:bottom w:val="none" w:sz="0" w:space="0" w:color="auto"/>
        <w:right w:val="none" w:sz="0" w:space="0" w:color="auto"/>
      </w:divBdr>
    </w:div>
    <w:div w:id="1541091940">
      <w:bodyDiv w:val="1"/>
      <w:marLeft w:val="0"/>
      <w:marRight w:val="0"/>
      <w:marTop w:val="0"/>
      <w:marBottom w:val="0"/>
      <w:divBdr>
        <w:top w:val="none" w:sz="0" w:space="0" w:color="auto"/>
        <w:left w:val="none" w:sz="0" w:space="0" w:color="auto"/>
        <w:bottom w:val="none" w:sz="0" w:space="0" w:color="auto"/>
        <w:right w:val="none" w:sz="0" w:space="0" w:color="auto"/>
      </w:divBdr>
    </w:div>
    <w:div w:id="1574586477">
      <w:bodyDiv w:val="1"/>
      <w:marLeft w:val="0"/>
      <w:marRight w:val="0"/>
      <w:marTop w:val="0"/>
      <w:marBottom w:val="0"/>
      <w:divBdr>
        <w:top w:val="none" w:sz="0" w:space="0" w:color="auto"/>
        <w:left w:val="none" w:sz="0" w:space="0" w:color="auto"/>
        <w:bottom w:val="none" w:sz="0" w:space="0" w:color="auto"/>
        <w:right w:val="none" w:sz="0" w:space="0" w:color="auto"/>
      </w:divBdr>
    </w:div>
    <w:div w:id="1610969286">
      <w:bodyDiv w:val="1"/>
      <w:marLeft w:val="0"/>
      <w:marRight w:val="0"/>
      <w:marTop w:val="0"/>
      <w:marBottom w:val="0"/>
      <w:divBdr>
        <w:top w:val="none" w:sz="0" w:space="0" w:color="auto"/>
        <w:left w:val="none" w:sz="0" w:space="0" w:color="auto"/>
        <w:bottom w:val="none" w:sz="0" w:space="0" w:color="auto"/>
        <w:right w:val="none" w:sz="0" w:space="0" w:color="auto"/>
      </w:divBdr>
    </w:div>
    <w:div w:id="1731147264">
      <w:bodyDiv w:val="1"/>
      <w:marLeft w:val="0"/>
      <w:marRight w:val="0"/>
      <w:marTop w:val="0"/>
      <w:marBottom w:val="0"/>
      <w:divBdr>
        <w:top w:val="none" w:sz="0" w:space="0" w:color="auto"/>
        <w:left w:val="none" w:sz="0" w:space="0" w:color="auto"/>
        <w:bottom w:val="none" w:sz="0" w:space="0" w:color="auto"/>
        <w:right w:val="none" w:sz="0" w:space="0" w:color="auto"/>
      </w:divBdr>
    </w:div>
    <w:div w:id="182697186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alaid.vic.gov.au/about-us/our-organisation/how-we-are-improving-our-services/equitable-briefing-strategy"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legalaid.vic.gov.au/about-us/news/taking-outcomes-approach" TargetMode="External"/><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www.vic.gov.au/anti-racism-taskforc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about-us/news/towards-fairer-and-more-effective-criminal-justice-syste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humanrights.gov.au/our-work/race-discrimination/projects/national-anti-racism-framewor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alaid.vic.gov.au/about-us/our-organisation/cultural-diversity-and-inclusion-strategy"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VLACustomisations\Templates\Fact%20Sheets\VLA%20Generic%20(Fac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BC6DB36EDF94C89C7B7A43F71F587" ma:contentTypeVersion="13" ma:contentTypeDescription="Create a new document." ma:contentTypeScope="" ma:versionID="b1cc73ae770e14e4c490b80346595ce4">
  <xsd:schema xmlns:xsd="http://www.w3.org/2001/XMLSchema" xmlns:xs="http://www.w3.org/2001/XMLSchema" xmlns:p="http://schemas.microsoft.com/office/2006/metadata/properties" xmlns:ns2="68c7d542-4e7f-4a13-a678-0dc97ca94df5" xmlns:ns3="e90065c7-7f7f-4df0-a469-5749d80eada3" targetNamespace="http://schemas.microsoft.com/office/2006/metadata/properties" ma:root="true" ma:fieldsID="6a7052673e6805d1e7fc7b5d7610acf0" ns2:_="" ns3:_="">
    <xsd:import namespace="68c7d542-4e7f-4a13-a678-0dc97ca94df5"/>
    <xsd:import namespace="e90065c7-7f7f-4df0-a469-5749d80ead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c7d542-4e7f-4a13-a678-0dc97ca94d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0065c7-7f7f-4df0-a469-5749d80ead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e90065c7-7f7f-4df0-a469-5749d80eada3">
      <UserInfo>
        <DisplayName>Chris Sheard</DisplayName>
        <AccountId>7</AccountId>
        <AccountType/>
      </UserInfo>
      <UserInfo>
        <DisplayName>Cameron Hume</DisplayName>
        <AccountId>21</AccountId>
        <AccountType/>
      </UserInfo>
      <UserInfo>
        <DisplayName>Jeremy Huntley</DisplayName>
        <AccountId>17</AccountId>
        <AccountType/>
      </UserInfo>
      <UserInfo>
        <DisplayName>Simon Ho</DisplayName>
        <AccountId>117</AccountId>
        <AccountType/>
      </UserInfo>
      <UserInfo>
        <DisplayName>Sean Kierce</DisplayName>
        <AccountId>25</AccountId>
        <AccountType/>
      </UserInfo>
      <UserInfo>
        <DisplayName>Matthew Dale</DisplayName>
        <AccountId>16</AccountId>
        <AccountType/>
      </UserInfo>
      <UserInfo>
        <DisplayName>Alice Cashen</DisplayName>
        <AccountId>51</AccountId>
        <AccountType/>
      </UserInfo>
      <UserInfo>
        <DisplayName>Dio Cipriano</DisplayName>
        <AccountId>315</AccountId>
        <AccountType/>
      </UserInfo>
      <UserInfo>
        <DisplayName>Jon Cina</DisplayName>
        <AccountId>32</AccountId>
        <AccountType/>
      </UserInfo>
      <UserInfo>
        <DisplayName>Daisy Smith</DisplayName>
        <AccountId>377</AccountId>
        <AccountType/>
      </UserInfo>
      <UserInfo>
        <DisplayName>Martha Arkalis</DisplayName>
        <AccountId>157</AccountId>
        <AccountType/>
      </UserInfo>
      <UserInfo>
        <DisplayName>Shannon Clifford</DisplayName>
        <AccountId>340</AccountId>
        <AccountType/>
      </UserInfo>
    </SharedWithUsers>
  </documentManagement>
</p:properties>
</file>

<file path=customXml/itemProps1.xml><?xml version="1.0" encoding="utf-8"?>
<ds:datastoreItem xmlns:ds="http://schemas.openxmlformats.org/officeDocument/2006/customXml" ds:itemID="{1155BD34-4C78-4625-B136-09FD1AD3B37F}">
  <ds:schemaRefs>
    <ds:schemaRef ds:uri="http://schemas.microsoft.com/sharepoint/v3/contenttype/forms"/>
  </ds:schemaRefs>
</ds:datastoreItem>
</file>

<file path=customXml/itemProps2.xml><?xml version="1.0" encoding="utf-8"?>
<ds:datastoreItem xmlns:ds="http://schemas.openxmlformats.org/officeDocument/2006/customXml" ds:itemID="{86A4F7EB-FFA1-4450-86C5-B5670CF18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c7d542-4e7f-4a13-a678-0dc97ca94df5"/>
    <ds:schemaRef ds:uri="e90065c7-7f7f-4df0-a469-5749d80ead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2917E8-0BD7-45B1-987B-6179B3619891}">
  <ds:schemaRefs>
    <ds:schemaRef ds:uri="http://schemas.openxmlformats.org/officeDocument/2006/bibliography"/>
  </ds:schemaRefs>
</ds:datastoreItem>
</file>

<file path=customXml/itemProps4.xml><?xml version="1.0" encoding="utf-8"?>
<ds:datastoreItem xmlns:ds="http://schemas.openxmlformats.org/officeDocument/2006/customXml" ds:itemID="{CA1A29B2-146B-4362-9462-0EA11FBBE540}">
  <ds:schemaRef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terms/"/>
    <ds:schemaRef ds:uri="68c7d542-4e7f-4a13-a678-0dc97ca94df5"/>
    <ds:schemaRef ds:uri="http://purl.org/dc/elements/1.1/"/>
    <ds:schemaRef ds:uri="http://schemas.openxmlformats.org/package/2006/metadata/core-properties"/>
    <ds:schemaRef ds:uri="e90065c7-7f7f-4df0-a469-5749d80eada3"/>
  </ds:schemaRefs>
</ds:datastoreItem>
</file>

<file path=docProps/app.xml><?xml version="1.0" encoding="utf-8"?>
<Properties xmlns="http://schemas.openxmlformats.org/officeDocument/2006/extended-properties" xmlns:vt="http://schemas.openxmlformats.org/officeDocument/2006/docPropsVTypes">
  <Template>VLA Generic (Fact Sheet)</Template>
  <TotalTime>2580</TotalTime>
  <Pages>5</Pages>
  <Words>1733</Words>
  <Characters>9879</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Victoria Legal Aid</Company>
  <LinksUpToDate>false</LinksUpToDate>
  <CharactersWithSpaces>11589</CharactersWithSpaces>
  <SharedDoc>false</SharedDoc>
  <HLinks>
    <vt:vector size="36" baseType="variant">
      <vt:variant>
        <vt:i4>1048644</vt:i4>
      </vt:variant>
      <vt:variant>
        <vt:i4>15</vt:i4>
      </vt:variant>
      <vt:variant>
        <vt:i4>0</vt:i4>
      </vt:variant>
      <vt:variant>
        <vt:i4>5</vt:i4>
      </vt:variant>
      <vt:variant>
        <vt:lpwstr>https://www.vic.gov.au/anti-racism-taskforce</vt:lpwstr>
      </vt:variant>
      <vt:variant>
        <vt:lpwstr/>
      </vt:variant>
      <vt:variant>
        <vt:i4>8126577</vt:i4>
      </vt:variant>
      <vt:variant>
        <vt:i4>12</vt:i4>
      </vt:variant>
      <vt:variant>
        <vt:i4>0</vt:i4>
      </vt:variant>
      <vt:variant>
        <vt:i4>5</vt:i4>
      </vt:variant>
      <vt:variant>
        <vt:lpwstr>https://humanrights.gov.au/our-work/race-discrimination/projects/national-anti-racism-framework</vt:lpwstr>
      </vt:variant>
      <vt:variant>
        <vt:lpwstr/>
      </vt:variant>
      <vt:variant>
        <vt:i4>7733351</vt:i4>
      </vt:variant>
      <vt:variant>
        <vt:i4>9</vt:i4>
      </vt:variant>
      <vt:variant>
        <vt:i4>0</vt:i4>
      </vt:variant>
      <vt:variant>
        <vt:i4>5</vt:i4>
      </vt:variant>
      <vt:variant>
        <vt:lpwstr>https://www.legalaid.vic.gov.au/about-us/our-organisation/cultural-diversity-and-inclusion-strategy</vt:lpwstr>
      </vt:variant>
      <vt:variant>
        <vt:lpwstr/>
      </vt:variant>
      <vt:variant>
        <vt:i4>2162721</vt:i4>
      </vt:variant>
      <vt:variant>
        <vt:i4>6</vt:i4>
      </vt:variant>
      <vt:variant>
        <vt:i4>0</vt:i4>
      </vt:variant>
      <vt:variant>
        <vt:i4>5</vt:i4>
      </vt:variant>
      <vt:variant>
        <vt:lpwstr>https://www.legalaid.vic.gov.au/about-us/our-organisation/how-we-are-improving-our-services/equitable-briefing-strategy</vt:lpwstr>
      </vt:variant>
      <vt:variant>
        <vt:lpwstr/>
      </vt:variant>
      <vt:variant>
        <vt:i4>2359404</vt:i4>
      </vt:variant>
      <vt:variant>
        <vt:i4>3</vt:i4>
      </vt:variant>
      <vt:variant>
        <vt:i4>0</vt:i4>
      </vt:variant>
      <vt:variant>
        <vt:i4>5</vt:i4>
      </vt:variant>
      <vt:variant>
        <vt:lpwstr>https://www.legalaid.vic.gov.au/about-us/news/taking-outcomes-approach</vt:lpwstr>
      </vt:variant>
      <vt:variant>
        <vt:lpwstr/>
      </vt:variant>
      <vt:variant>
        <vt:i4>2883624</vt:i4>
      </vt:variant>
      <vt:variant>
        <vt:i4>0</vt:i4>
      </vt:variant>
      <vt:variant>
        <vt:i4>0</vt:i4>
      </vt:variant>
      <vt:variant>
        <vt:i4>5</vt:i4>
      </vt:variant>
      <vt:variant>
        <vt:lpwstr>https://www.legalaid.vic.gov.au/about-us/news/towards-fairer-and-more-effective-criminal-justice-system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VLA Quarter Three 2021-22 Report</dc:title>
  <dc:subject/>
  <dc:creator>Victoria Legal Aid</dc:creator>
  <cp:keywords/>
  <dc:description/>
  <cp:lastPrinted>2020-02-06T08:56:00Z</cp:lastPrinted>
  <dcterms:created xsi:type="dcterms:W3CDTF">2022-03-17T17:22:00Z</dcterms:created>
  <dcterms:modified xsi:type="dcterms:W3CDTF">2022-06-08T21:55:00Z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0x01010034BBC6DB36EDF94C89C7B7A43F71F587</vt:lpwstr>
  </property>
</Properties>
</file>