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6D03" w14:textId="77777777" w:rsidR="00DA5C1E" w:rsidRDefault="00B10BD2" w:rsidP="00E50B26">
      <w:pPr>
        <w:pStyle w:val="Heading1"/>
      </w:pPr>
      <w:r>
        <w:t>Strategy 26</w:t>
      </w:r>
      <w:r w:rsidR="00DA5C1E">
        <w:t xml:space="preserve"> – strategy on a page </w:t>
      </w:r>
      <w:r w:rsidR="00627BED">
        <w:t xml:space="preserve"> </w:t>
      </w:r>
    </w:p>
    <w:p w14:paraId="430AD375" w14:textId="15974DD0" w:rsidR="00AA3C8D" w:rsidRDefault="00FE5238" w:rsidP="00AA3C8D">
      <w:pPr>
        <w:pStyle w:val="Heading2"/>
      </w:pPr>
      <w:r>
        <w:t xml:space="preserve">Our values </w:t>
      </w:r>
    </w:p>
    <w:p w14:paraId="7A54A9A7" w14:textId="77777777" w:rsidR="001F3074" w:rsidRDefault="00001310" w:rsidP="001F3074">
      <w:pPr>
        <w:pStyle w:val="Heading3"/>
      </w:pPr>
      <w:r w:rsidRPr="5FCC12EA">
        <w:t>Fairness</w:t>
      </w:r>
    </w:p>
    <w:p w14:paraId="78D7B447" w14:textId="1CFD72FE" w:rsidR="00001310" w:rsidRPr="00A73500" w:rsidRDefault="00001310" w:rsidP="00001310">
      <w:r w:rsidRPr="5FCC12EA">
        <w:t xml:space="preserve">We are committed to fairness in society and to facilitating fair and equitable access to legal support. </w:t>
      </w:r>
    </w:p>
    <w:p w14:paraId="2E6A171E" w14:textId="77777777" w:rsidR="001F3074" w:rsidRDefault="00001310" w:rsidP="001F3074">
      <w:pPr>
        <w:pStyle w:val="Heading3"/>
      </w:pPr>
      <w:r w:rsidRPr="68F26B28">
        <w:t>Care</w:t>
      </w:r>
    </w:p>
    <w:p w14:paraId="062BED66" w14:textId="3705B23D" w:rsidR="00001310" w:rsidRPr="00A73500" w:rsidRDefault="00001310" w:rsidP="00001310">
      <w:r>
        <w:t xml:space="preserve">We care about our clients and the community and we approach our work with an awareness of the effects that trauma and discrimination can have. We treat each other with kindness and respect. </w:t>
      </w:r>
    </w:p>
    <w:p w14:paraId="4CD1F997" w14:textId="77777777" w:rsidR="001F3074" w:rsidRDefault="00001310" w:rsidP="001F3074">
      <w:pPr>
        <w:pStyle w:val="Heading3"/>
      </w:pPr>
      <w:r w:rsidRPr="46EC0FFB">
        <w:t>Courage</w:t>
      </w:r>
    </w:p>
    <w:p w14:paraId="5E3F2138" w14:textId="6D3C71BC" w:rsidR="00001310" w:rsidRPr="00A73500" w:rsidRDefault="00001310" w:rsidP="00001310">
      <w:r w:rsidRPr="46EC0FFB">
        <w:t>We approach</w:t>
      </w:r>
      <w:r>
        <w:t xml:space="preserve"> our work</w:t>
      </w:r>
      <w:r w:rsidRPr="46EC0FFB">
        <w:t xml:space="preserve"> </w:t>
      </w:r>
      <w:r>
        <w:t>with strength and confidence. We are guided by our</w:t>
      </w:r>
      <w:r w:rsidRPr="46EC0FFB">
        <w:t xml:space="preserve"> values and what matters </w:t>
      </w:r>
      <w:r>
        <w:t>most to our clients and society</w:t>
      </w:r>
      <w:r w:rsidRPr="46EC0FFB">
        <w:t xml:space="preserve">. </w:t>
      </w:r>
    </w:p>
    <w:p w14:paraId="7974A447" w14:textId="77777777" w:rsidR="001F3074" w:rsidRDefault="00001310" w:rsidP="001F3074">
      <w:pPr>
        <w:pStyle w:val="Heading3"/>
      </w:pPr>
      <w:r w:rsidRPr="46EC0FFB">
        <w:t>Inclusion</w:t>
      </w:r>
    </w:p>
    <w:p w14:paraId="36EA3FE7" w14:textId="428167B7" w:rsidR="00001310" w:rsidRDefault="00001310" w:rsidP="00001310">
      <w:r w:rsidRPr="46EC0FFB">
        <w:t>We provide an inclusive environment for clients, staff, and referral partners.</w:t>
      </w:r>
    </w:p>
    <w:p w14:paraId="25CF6BF8" w14:textId="77777777" w:rsidR="00D267BB" w:rsidRPr="00026691" w:rsidRDefault="00D267BB" w:rsidP="00D267BB">
      <w:pPr>
        <w:pStyle w:val="Heading2"/>
      </w:pPr>
      <w:bookmarkStart w:id="0" w:name="_Toc104370772"/>
      <w:r w:rsidRPr="00026691">
        <w:t>Strategic direction 1 – Clients</w:t>
      </w:r>
      <w:bookmarkEnd w:id="0"/>
      <w:r w:rsidRPr="00026691">
        <w:t xml:space="preserve"> </w:t>
      </w:r>
    </w:p>
    <w:p w14:paraId="216DDCDE" w14:textId="77777777" w:rsidR="00D267BB" w:rsidRDefault="00D267BB" w:rsidP="00D267BB">
      <w:pPr>
        <w:pStyle w:val="Heading3"/>
      </w:pPr>
      <w:bookmarkStart w:id="1" w:name="_Toc104370773"/>
      <w:r>
        <w:t>Outcome</w:t>
      </w:r>
      <w:bookmarkEnd w:id="1"/>
      <w:r>
        <w:t xml:space="preserve"> </w:t>
      </w:r>
    </w:p>
    <w:p w14:paraId="0EBEE6FA" w14:textId="77777777" w:rsidR="00D267BB" w:rsidRPr="008237B4" w:rsidRDefault="00D267BB" w:rsidP="00D267BB">
      <w:r>
        <w:t>Clients have increased access to justice</w:t>
      </w:r>
    </w:p>
    <w:p w14:paraId="4CAFAC62" w14:textId="77777777" w:rsidR="00D267BB" w:rsidRPr="008237B4" w:rsidRDefault="00D267BB" w:rsidP="00D267BB">
      <w:pPr>
        <w:pStyle w:val="Heading3"/>
      </w:pPr>
      <w:bookmarkStart w:id="2" w:name="_Toc104370774"/>
      <w:r>
        <w:t>Priorities</w:t>
      </w:r>
      <w:bookmarkEnd w:id="2"/>
    </w:p>
    <w:p w14:paraId="38F35C11" w14:textId="77777777" w:rsidR="00393E19" w:rsidRPr="001F13F8" w:rsidRDefault="00393E19" w:rsidP="00393E19">
      <w:pPr>
        <w:pStyle w:val="ListParagraph"/>
        <w:numPr>
          <w:ilvl w:val="0"/>
          <w:numId w:val="25"/>
        </w:numPr>
        <w:spacing w:after="0"/>
        <w:rPr>
          <w:rFonts w:eastAsia="Arial" w:cs="Arial"/>
          <w:color w:val="000000" w:themeColor="text1"/>
        </w:rPr>
      </w:pPr>
      <w:r w:rsidRPr="001F13F8">
        <w:rPr>
          <w:rFonts w:eastAsia="Arial" w:cs="Arial"/>
          <w:color w:val="000000" w:themeColor="text1"/>
        </w:rPr>
        <w:t xml:space="preserve">Strengthen early intervention </w:t>
      </w:r>
      <w:r>
        <w:rPr>
          <w:rFonts w:eastAsia="Arial" w:cs="Arial"/>
          <w:color w:val="000000" w:themeColor="text1"/>
        </w:rPr>
        <w:t xml:space="preserve">services </w:t>
      </w:r>
      <w:r w:rsidRPr="001F13F8">
        <w:rPr>
          <w:rFonts w:eastAsia="Arial" w:cs="Arial"/>
          <w:color w:val="000000" w:themeColor="text1"/>
        </w:rPr>
        <w:t xml:space="preserve">and early </w:t>
      </w:r>
      <w:r>
        <w:rPr>
          <w:rFonts w:eastAsia="Arial" w:cs="Arial"/>
          <w:color w:val="000000" w:themeColor="text1"/>
        </w:rPr>
        <w:t xml:space="preserve">engagement and </w:t>
      </w:r>
      <w:r w:rsidRPr="001F13F8">
        <w:rPr>
          <w:rFonts w:eastAsia="Arial" w:cs="Arial"/>
          <w:color w:val="000000" w:themeColor="text1"/>
        </w:rPr>
        <w:t>resolution services</w:t>
      </w:r>
      <w:r w:rsidRPr="65F6FE26">
        <w:rPr>
          <w:rStyle w:val="FootnoteReference"/>
          <w:rFonts w:eastAsia="Arial" w:cs="Arial"/>
          <w:color w:val="000000" w:themeColor="text1"/>
          <w:szCs w:val="22"/>
        </w:rPr>
        <w:footnoteReference w:id="1"/>
      </w:r>
      <w:r w:rsidRPr="001F13F8">
        <w:rPr>
          <w:rFonts w:eastAsia="Arial" w:cs="Arial"/>
          <w:color w:val="000000" w:themeColor="text1"/>
        </w:rPr>
        <w:t xml:space="preserve"> to prevent the escalation of legal problems and better connect with allied services. </w:t>
      </w:r>
    </w:p>
    <w:p w14:paraId="45D497EE" w14:textId="77777777" w:rsidR="00D267BB" w:rsidRPr="001F13F8" w:rsidRDefault="00D267BB" w:rsidP="00D267BB">
      <w:pPr>
        <w:pStyle w:val="ListParagraph"/>
        <w:numPr>
          <w:ilvl w:val="0"/>
          <w:numId w:val="25"/>
        </w:numPr>
        <w:spacing w:after="0"/>
        <w:rPr>
          <w:rFonts w:eastAsia="Arial" w:cs="Arial"/>
        </w:rPr>
      </w:pPr>
      <w:r>
        <w:t xml:space="preserve">Strengthen our regional service delivery and </w:t>
      </w:r>
      <w:r w:rsidRPr="001F13F8">
        <w:rPr>
          <w:i/>
          <w:iCs/>
        </w:rPr>
        <w:t>non-legal</w:t>
      </w:r>
      <w:r>
        <w:t xml:space="preserve"> advocacy services.</w:t>
      </w:r>
    </w:p>
    <w:p w14:paraId="07D564D9" w14:textId="77777777" w:rsidR="00D267BB" w:rsidRPr="000912BF" w:rsidRDefault="00D267BB" w:rsidP="00D267BB">
      <w:pPr>
        <w:pStyle w:val="ListParagraph"/>
        <w:numPr>
          <w:ilvl w:val="0"/>
          <w:numId w:val="25"/>
        </w:numPr>
        <w:spacing w:after="0"/>
      </w:pPr>
      <w:r>
        <w:t>Develop</w:t>
      </w:r>
      <w:r w:rsidRPr="008237B4">
        <w:t xml:space="preserve"> culturally safe services for First Nations clients while supporting the principle of self-determination and the important role of Aboriginal community-controlled legal </w:t>
      </w:r>
      <w:r w:rsidRPr="000912BF">
        <w:t xml:space="preserve">services. </w:t>
      </w:r>
    </w:p>
    <w:p w14:paraId="208A9514" w14:textId="77777777" w:rsidR="00D267BB" w:rsidRPr="000912BF" w:rsidRDefault="00D267BB" w:rsidP="00D267BB">
      <w:pPr>
        <w:pStyle w:val="ListParagraph"/>
        <w:numPr>
          <w:ilvl w:val="0"/>
          <w:numId w:val="25"/>
        </w:numPr>
        <w:spacing w:after="0"/>
      </w:pPr>
      <w:r w:rsidRPr="000912BF">
        <w:t>Work to ensure our services are culturally safe, accessible, inclusive, and equitable.</w:t>
      </w:r>
    </w:p>
    <w:p w14:paraId="7F85D53D" w14:textId="77777777" w:rsidR="00D267BB" w:rsidRPr="008237B4" w:rsidRDefault="00D267BB" w:rsidP="00D267BB">
      <w:pPr>
        <w:pStyle w:val="ListParagraph"/>
        <w:numPr>
          <w:ilvl w:val="0"/>
          <w:numId w:val="25"/>
        </w:numPr>
        <w:spacing w:after="0"/>
      </w:pPr>
      <w:r w:rsidRPr="000912BF">
        <w:t>Embed client-first approaches by involving clients and consumers in designing, delivering and reviewing our services.</w:t>
      </w:r>
      <w:r w:rsidRPr="008237B4">
        <w:t xml:space="preserve"> </w:t>
      </w:r>
    </w:p>
    <w:p w14:paraId="3110DE42" w14:textId="77777777" w:rsidR="001F3074" w:rsidRPr="00026691" w:rsidRDefault="001F3074" w:rsidP="001F3074">
      <w:pPr>
        <w:pStyle w:val="Heading2"/>
      </w:pPr>
      <w:bookmarkStart w:id="3" w:name="_Toc104370776"/>
      <w:r w:rsidRPr="00026691">
        <w:t>Strategic direction 2 – Community</w:t>
      </w:r>
      <w:bookmarkEnd w:id="3"/>
    </w:p>
    <w:p w14:paraId="6F2B54AD" w14:textId="77777777" w:rsidR="001F3074" w:rsidRDefault="001F3074" w:rsidP="001F3074">
      <w:pPr>
        <w:pStyle w:val="Heading3"/>
      </w:pPr>
      <w:bookmarkStart w:id="4" w:name="_Toc104370777"/>
      <w:r>
        <w:t>Outcome</w:t>
      </w:r>
      <w:bookmarkEnd w:id="4"/>
      <w:r>
        <w:t xml:space="preserve"> </w:t>
      </w:r>
    </w:p>
    <w:p w14:paraId="6C5C74B8" w14:textId="77777777" w:rsidR="001F3074" w:rsidRDefault="001F3074" w:rsidP="001F3074">
      <w:pPr>
        <w:spacing w:after="240"/>
      </w:pPr>
      <w:r>
        <w:t>Improved legal understanding in the community</w:t>
      </w:r>
    </w:p>
    <w:p w14:paraId="31F6AB0F" w14:textId="77777777" w:rsidR="001F3074" w:rsidRPr="008237B4" w:rsidRDefault="001F3074" w:rsidP="001F3074">
      <w:pPr>
        <w:pStyle w:val="Heading3"/>
      </w:pPr>
      <w:bookmarkStart w:id="5" w:name="_Toc104370778"/>
      <w:r>
        <w:lastRenderedPageBreak/>
        <w:t>Priorities</w:t>
      </w:r>
      <w:bookmarkEnd w:id="5"/>
    </w:p>
    <w:p w14:paraId="5F0D2DCC" w14:textId="77777777" w:rsidR="001F3074" w:rsidRPr="008237B4" w:rsidRDefault="001F3074" w:rsidP="001F3074">
      <w:pPr>
        <w:pStyle w:val="ListParagraph"/>
        <w:numPr>
          <w:ilvl w:val="0"/>
          <w:numId w:val="26"/>
        </w:numPr>
        <w:spacing w:after="0" w:line="276" w:lineRule="auto"/>
      </w:pPr>
      <w:r>
        <w:t>Expand</w:t>
      </w:r>
      <w:r w:rsidRPr="5AB2A1BD">
        <w:t xml:space="preserve"> and improve access to online, phone and face</w:t>
      </w:r>
      <w:r>
        <w:t>-</w:t>
      </w:r>
      <w:r w:rsidRPr="5AB2A1BD">
        <w:t>to</w:t>
      </w:r>
      <w:r>
        <w:t>-</w:t>
      </w:r>
      <w:r w:rsidRPr="5AB2A1BD">
        <w:t>face legal information that addresses peoples’ diverse needs and capabilities.</w:t>
      </w:r>
    </w:p>
    <w:p w14:paraId="0A1E966A" w14:textId="77777777" w:rsidR="0066541F" w:rsidRPr="00026691" w:rsidRDefault="0066541F" w:rsidP="0066541F">
      <w:pPr>
        <w:pStyle w:val="Heading2"/>
      </w:pPr>
      <w:bookmarkStart w:id="6" w:name="_Toc104370780"/>
      <w:r w:rsidRPr="00026691">
        <w:t>Strategic direction 3 – Legal assistance sector</w:t>
      </w:r>
      <w:bookmarkEnd w:id="6"/>
      <w:r w:rsidRPr="00026691">
        <w:t xml:space="preserve"> </w:t>
      </w:r>
    </w:p>
    <w:p w14:paraId="527D23DE" w14:textId="77777777" w:rsidR="0066541F" w:rsidRPr="00EE50AA" w:rsidRDefault="0066541F" w:rsidP="0066541F">
      <w:pPr>
        <w:pStyle w:val="Heading3"/>
      </w:pPr>
      <w:bookmarkStart w:id="7" w:name="_Toc104370781"/>
      <w:r w:rsidRPr="00EE50AA">
        <w:t>Outcome</w:t>
      </w:r>
      <w:bookmarkEnd w:id="7"/>
    </w:p>
    <w:p w14:paraId="25D5E0CE" w14:textId="77777777" w:rsidR="0066541F" w:rsidRPr="00EE50AA" w:rsidRDefault="0066541F" w:rsidP="0066541F">
      <w:pPr>
        <w:spacing w:after="240"/>
      </w:pPr>
      <w:r>
        <w:t>Collaborative legal assistance sector</w:t>
      </w:r>
    </w:p>
    <w:p w14:paraId="191DFA8E" w14:textId="77777777" w:rsidR="0066541F" w:rsidRPr="00EE50AA" w:rsidRDefault="0066541F" w:rsidP="0066541F">
      <w:pPr>
        <w:pStyle w:val="Heading3"/>
      </w:pPr>
      <w:bookmarkStart w:id="8" w:name="_Toc104370782"/>
      <w:r>
        <w:t>Priorities</w:t>
      </w:r>
      <w:bookmarkEnd w:id="8"/>
    </w:p>
    <w:p w14:paraId="2E21EA83" w14:textId="77777777" w:rsidR="0066541F" w:rsidRPr="00EE50AA" w:rsidRDefault="0066541F" w:rsidP="0066541F">
      <w:pPr>
        <w:pStyle w:val="ListParagraph"/>
        <w:numPr>
          <w:ilvl w:val="0"/>
          <w:numId w:val="27"/>
        </w:numPr>
        <w:spacing w:after="240"/>
      </w:pPr>
      <w:r>
        <w:t xml:space="preserve">Create opportunities and support improved service coordination, collaboration, and transparency across the legal assistance sector. </w:t>
      </w:r>
    </w:p>
    <w:p w14:paraId="662E5DA8" w14:textId="77777777" w:rsidR="0066541F" w:rsidRPr="00366F5F" w:rsidRDefault="0066541F" w:rsidP="0066541F">
      <w:pPr>
        <w:pStyle w:val="ListParagraph"/>
        <w:numPr>
          <w:ilvl w:val="0"/>
          <w:numId w:val="27"/>
        </w:numPr>
        <w:spacing w:after="240"/>
        <w:rPr>
          <w:rFonts w:eastAsia="Arial" w:cs="Arial"/>
        </w:rPr>
      </w:pPr>
      <w:r w:rsidRPr="00366F5F">
        <w:rPr>
          <w:rFonts w:eastAsia="Arial" w:cs="Arial"/>
        </w:rPr>
        <w:t>Improve our engagement with and make it easier for private practitioners and community legal centres to work with VLA.</w:t>
      </w:r>
    </w:p>
    <w:p w14:paraId="1BCBED78" w14:textId="77777777" w:rsidR="0066541F" w:rsidRPr="00EE50AA" w:rsidRDefault="0066541F" w:rsidP="0066541F">
      <w:pPr>
        <w:pStyle w:val="ListParagraph"/>
        <w:numPr>
          <w:ilvl w:val="0"/>
          <w:numId w:val="27"/>
        </w:numPr>
        <w:spacing w:after="240"/>
      </w:pPr>
      <w:r>
        <w:t>Collaborate with legal aid providers in other states and territories on service provision and systems reform.</w:t>
      </w:r>
    </w:p>
    <w:p w14:paraId="7961DC99" w14:textId="77777777" w:rsidR="0066541F" w:rsidRPr="00EE50AA" w:rsidRDefault="0066541F" w:rsidP="0066541F">
      <w:pPr>
        <w:pStyle w:val="ListParagraph"/>
        <w:numPr>
          <w:ilvl w:val="0"/>
          <w:numId w:val="27"/>
        </w:numPr>
        <w:spacing w:after="240"/>
      </w:pPr>
      <w:r>
        <w:t>Improve</w:t>
      </w:r>
      <w:r w:rsidRPr="00EE50AA">
        <w:t xml:space="preserve"> the way we collect, use, and share data across the legal assistance sector to strengthen </w:t>
      </w:r>
      <w:r>
        <w:t xml:space="preserve">client </w:t>
      </w:r>
      <w:r w:rsidRPr="00EE50AA">
        <w:t>planning</w:t>
      </w:r>
      <w:r>
        <w:t>,</w:t>
      </w:r>
      <w:r w:rsidRPr="00EE50AA">
        <w:t xml:space="preserve"> service development</w:t>
      </w:r>
      <w:r>
        <w:t xml:space="preserve"> and connected services.</w:t>
      </w:r>
    </w:p>
    <w:p w14:paraId="50639507" w14:textId="77777777" w:rsidR="00CC49BB" w:rsidRPr="00EE50AA" w:rsidRDefault="00CC49BB" w:rsidP="00CC49BB">
      <w:pPr>
        <w:pStyle w:val="Heading2"/>
      </w:pPr>
      <w:bookmarkStart w:id="9" w:name="_Toc104370784"/>
      <w:r>
        <w:t xml:space="preserve">Strategic direction </w:t>
      </w:r>
      <w:r w:rsidRPr="00EE50AA">
        <w:t>4</w:t>
      </w:r>
      <w:r>
        <w:t xml:space="preserve"> – Laws and systems</w:t>
      </w:r>
      <w:bookmarkEnd w:id="9"/>
      <w:r>
        <w:t xml:space="preserve">  </w:t>
      </w:r>
    </w:p>
    <w:p w14:paraId="17590DD4" w14:textId="77777777" w:rsidR="00CC49BB" w:rsidRPr="00EE50AA" w:rsidRDefault="00CC49BB" w:rsidP="00CC49BB">
      <w:pPr>
        <w:pStyle w:val="Heading3"/>
      </w:pPr>
      <w:bookmarkStart w:id="10" w:name="_Toc104370785"/>
      <w:r>
        <w:t>Outcome</w:t>
      </w:r>
      <w:bookmarkEnd w:id="10"/>
    </w:p>
    <w:p w14:paraId="4E744127" w14:textId="77777777" w:rsidR="00CC49BB" w:rsidRPr="00EE50AA" w:rsidRDefault="00CC49BB" w:rsidP="00CC49BB">
      <w:pPr>
        <w:spacing w:after="240"/>
      </w:pPr>
      <w:r>
        <w:t>Fairer laws and systems</w:t>
      </w:r>
    </w:p>
    <w:p w14:paraId="5CF4456A" w14:textId="77777777" w:rsidR="00CC49BB" w:rsidRPr="00EE50AA" w:rsidRDefault="00CC49BB" w:rsidP="00CC49BB">
      <w:pPr>
        <w:pStyle w:val="Heading3"/>
      </w:pPr>
      <w:bookmarkStart w:id="11" w:name="_Toc104370786"/>
      <w:r w:rsidRPr="00EE50AA">
        <w:t>Priorities</w:t>
      </w:r>
      <w:bookmarkEnd w:id="11"/>
    </w:p>
    <w:p w14:paraId="2217E1F4" w14:textId="77777777" w:rsidR="00CC49BB" w:rsidRPr="00EE50AA" w:rsidRDefault="00CC49BB" w:rsidP="00CC49BB">
      <w:pPr>
        <w:pStyle w:val="ListParagraph"/>
        <w:numPr>
          <w:ilvl w:val="0"/>
          <w:numId w:val="28"/>
        </w:numPr>
        <w:spacing w:after="240"/>
      </w:pPr>
      <w:r>
        <w:t>Work with others across the justice, legal assistance and community sectors to:</w:t>
      </w:r>
    </w:p>
    <w:p w14:paraId="09441D71" w14:textId="77777777" w:rsidR="00CC49BB" w:rsidRPr="00EE50AA" w:rsidRDefault="00CC49BB" w:rsidP="00CC49BB">
      <w:pPr>
        <w:pStyle w:val="ListParagraph"/>
        <w:numPr>
          <w:ilvl w:val="1"/>
          <w:numId w:val="28"/>
        </w:numPr>
        <w:spacing w:after="240"/>
        <w:rPr>
          <w:szCs w:val="22"/>
        </w:rPr>
      </w:pPr>
      <w:r>
        <w:t>create fairer laws and other systems</w:t>
      </w:r>
    </w:p>
    <w:p w14:paraId="152A3CB0" w14:textId="77777777" w:rsidR="00CC49BB" w:rsidRPr="00EE50AA" w:rsidRDefault="00CC49BB" w:rsidP="00CC49BB">
      <w:pPr>
        <w:pStyle w:val="ListParagraph"/>
        <w:numPr>
          <w:ilvl w:val="1"/>
          <w:numId w:val="28"/>
        </w:numPr>
        <w:spacing w:after="240"/>
        <w:rPr>
          <w:szCs w:val="22"/>
        </w:rPr>
      </w:pPr>
      <w:r>
        <w:t xml:space="preserve">prevent the escalation of legal and related issues </w:t>
      </w:r>
    </w:p>
    <w:p w14:paraId="1066EE1A" w14:textId="77777777" w:rsidR="00CC49BB" w:rsidRPr="00EE50AA" w:rsidRDefault="00CC49BB" w:rsidP="00CC49BB">
      <w:pPr>
        <w:pStyle w:val="ListParagraph"/>
        <w:numPr>
          <w:ilvl w:val="1"/>
          <w:numId w:val="28"/>
        </w:numPr>
        <w:spacing w:after="240"/>
        <w:rPr>
          <w:szCs w:val="22"/>
        </w:rPr>
      </w:pPr>
      <w:r>
        <w:t>address the impacts of systemic racism and discrimination</w:t>
      </w:r>
    </w:p>
    <w:p w14:paraId="57C91DD5" w14:textId="77777777" w:rsidR="00CC49BB" w:rsidRPr="00EE50AA" w:rsidRDefault="00CC49BB" w:rsidP="00CC49BB">
      <w:pPr>
        <w:pStyle w:val="ListParagraph"/>
        <w:numPr>
          <w:ilvl w:val="1"/>
          <w:numId w:val="28"/>
        </w:numPr>
        <w:spacing w:after="240"/>
        <w:rPr>
          <w:szCs w:val="22"/>
        </w:rPr>
      </w:pPr>
      <w:r>
        <w:t>promote rights, accountability and client voices.</w:t>
      </w:r>
    </w:p>
    <w:p w14:paraId="63A0255B" w14:textId="77777777" w:rsidR="003B66FE" w:rsidRPr="00E80B7C" w:rsidRDefault="003B66FE" w:rsidP="003B66FE">
      <w:pPr>
        <w:pStyle w:val="Heading2"/>
      </w:pPr>
      <w:bookmarkStart w:id="12" w:name="_Toc104370788"/>
      <w:r>
        <w:t>Strategic direction</w:t>
      </w:r>
      <w:r w:rsidRPr="00E80B7C">
        <w:t xml:space="preserve"> 5</w:t>
      </w:r>
      <w:r>
        <w:t xml:space="preserve"> – </w:t>
      </w:r>
      <w:r w:rsidRPr="00E80B7C">
        <w:t>Victoria Legal Aid</w:t>
      </w:r>
      <w:bookmarkEnd w:id="12"/>
    </w:p>
    <w:p w14:paraId="11C5EECD" w14:textId="77777777" w:rsidR="003B66FE" w:rsidRPr="00E80B7C" w:rsidRDefault="003B66FE" w:rsidP="003B66FE">
      <w:pPr>
        <w:pStyle w:val="Heading3"/>
      </w:pPr>
      <w:bookmarkStart w:id="13" w:name="_Toc104370789"/>
      <w:r>
        <w:t>Outcome</w:t>
      </w:r>
      <w:bookmarkEnd w:id="13"/>
    </w:p>
    <w:p w14:paraId="7166E0AC" w14:textId="77777777" w:rsidR="003B66FE" w:rsidRDefault="003B66FE" w:rsidP="003B66FE">
      <w:pPr>
        <w:spacing w:after="240"/>
      </w:pPr>
      <w:r>
        <w:t>An effective and sustainable Victoria Legal Aid</w:t>
      </w:r>
    </w:p>
    <w:p w14:paraId="12C61B27" w14:textId="77777777" w:rsidR="003B66FE" w:rsidRPr="00E80B7C" w:rsidRDefault="003B66FE" w:rsidP="003B66FE">
      <w:pPr>
        <w:pStyle w:val="Heading3"/>
      </w:pPr>
      <w:bookmarkStart w:id="14" w:name="_Toc104370790"/>
      <w:r>
        <w:t>Priorities</w:t>
      </w:r>
      <w:bookmarkEnd w:id="14"/>
    </w:p>
    <w:p w14:paraId="550C5399" w14:textId="77777777" w:rsidR="003B66FE" w:rsidRPr="00E80B7C" w:rsidRDefault="003B66FE" w:rsidP="003B66FE">
      <w:pPr>
        <w:pStyle w:val="ListParagraph"/>
        <w:numPr>
          <w:ilvl w:val="0"/>
          <w:numId w:val="29"/>
        </w:numPr>
        <w:spacing w:after="240"/>
      </w:pPr>
      <w:r>
        <w:t>Invest</w:t>
      </w:r>
      <w:r w:rsidRPr="5AB2A1BD">
        <w:t xml:space="preserve"> in our people and work in a safe, inclusive, equitable way that involves people with lived experience. </w:t>
      </w:r>
    </w:p>
    <w:p w14:paraId="54F009C5" w14:textId="77777777" w:rsidR="003B66FE" w:rsidRPr="00E80B7C" w:rsidRDefault="003B66FE" w:rsidP="003B66FE">
      <w:pPr>
        <w:pStyle w:val="ListParagraph"/>
        <w:numPr>
          <w:ilvl w:val="0"/>
          <w:numId w:val="29"/>
        </w:numPr>
        <w:spacing w:after="240"/>
      </w:pPr>
      <w:r>
        <w:t>Achieve</w:t>
      </w:r>
      <w:r w:rsidRPr="23BD6076">
        <w:t xml:space="preserve"> financial sustainability</w:t>
      </w:r>
      <w:r>
        <w:t>,</w:t>
      </w:r>
      <w:r w:rsidRPr="23BD6076">
        <w:t xml:space="preserve"> including demand-based funding arrangements so that VLA can continue to support an effective and efficient justice system.</w:t>
      </w:r>
    </w:p>
    <w:p w14:paraId="17B3A7B4" w14:textId="77777777" w:rsidR="003B66FE" w:rsidRPr="00E80B7C" w:rsidRDefault="003B66FE" w:rsidP="003B66FE">
      <w:pPr>
        <w:pStyle w:val="ListParagraph"/>
        <w:numPr>
          <w:ilvl w:val="0"/>
          <w:numId w:val="29"/>
        </w:numPr>
        <w:spacing w:after="240"/>
      </w:pPr>
      <w:r>
        <w:t xml:space="preserve">Develop our </w:t>
      </w:r>
      <w:r w:rsidRPr="5AB2A1BD">
        <w:t>digital</w:t>
      </w:r>
      <w:r>
        <w:t xml:space="preserve"> and</w:t>
      </w:r>
      <w:r w:rsidRPr="5AB2A1BD">
        <w:t xml:space="preserve"> data systems</w:t>
      </w:r>
      <w:r>
        <w:t xml:space="preserve"> to </w:t>
      </w:r>
      <w:r w:rsidRPr="5AB2A1BD">
        <w:t xml:space="preserve">improve access to </w:t>
      </w:r>
      <w:r w:rsidRPr="5AB2A1BD" w:rsidDel="00235188">
        <w:t xml:space="preserve">justice, </w:t>
      </w:r>
      <w:r>
        <w:t xml:space="preserve">provide clients with better quality services and choices appropriate to their capabilities, </w:t>
      </w:r>
      <w:r w:rsidRPr="5AB2A1BD">
        <w:t xml:space="preserve">and create more efficient work practices. </w:t>
      </w:r>
    </w:p>
    <w:p w14:paraId="15350F07" w14:textId="541604A2" w:rsidR="00461300" w:rsidRPr="000A2FBE" w:rsidRDefault="003B66FE" w:rsidP="003B66FE">
      <w:pPr>
        <w:pStyle w:val="ListParagraph"/>
        <w:numPr>
          <w:ilvl w:val="0"/>
          <w:numId w:val="29"/>
        </w:numPr>
        <w:spacing w:after="240"/>
      </w:pPr>
      <w:r>
        <w:t>Enhance</w:t>
      </w:r>
      <w:r w:rsidRPr="00E80B7C">
        <w:t xml:space="preserve"> our commitment to environmental sustainability and carbon</w:t>
      </w:r>
      <w:r>
        <w:t>-</w:t>
      </w:r>
      <w:r w:rsidRPr="00E80B7C">
        <w:t>neutral targets.</w:t>
      </w:r>
    </w:p>
    <w:sectPr w:rsidR="00461300" w:rsidRPr="000A2FB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3621" w14:textId="77777777" w:rsidR="00D521C2" w:rsidRDefault="00D521C2">
      <w:pPr>
        <w:spacing w:after="0" w:line="240" w:lineRule="auto"/>
      </w:pPr>
      <w:r>
        <w:separator/>
      </w:r>
    </w:p>
  </w:endnote>
  <w:endnote w:type="continuationSeparator" w:id="0">
    <w:p w14:paraId="4762648E" w14:textId="77777777" w:rsidR="00D521C2" w:rsidRDefault="00D5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F96"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F2D78C" w14:textId="77777777" w:rsidR="00BB122F" w:rsidRDefault="00F1258B" w:rsidP="008074B3">
    <w:pPr>
      <w:pStyle w:val="Footer"/>
      <w:ind w:right="360" w:firstLine="360"/>
    </w:pPr>
  </w:p>
  <w:p w14:paraId="6C43E402" w14:textId="77777777" w:rsidR="00BB122F" w:rsidRDefault="00F125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60A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92A46D5" wp14:editId="35EC0E81">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8A40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A3C9"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2E47856" wp14:editId="41E96C9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6EBCB6"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3352" w14:textId="77777777" w:rsidR="00D521C2" w:rsidRDefault="00D521C2">
      <w:pPr>
        <w:spacing w:after="0" w:line="240" w:lineRule="auto"/>
      </w:pPr>
      <w:r>
        <w:separator/>
      </w:r>
    </w:p>
  </w:footnote>
  <w:footnote w:type="continuationSeparator" w:id="0">
    <w:p w14:paraId="0AF9F45E" w14:textId="77777777" w:rsidR="00D521C2" w:rsidRDefault="00D521C2">
      <w:pPr>
        <w:spacing w:after="0" w:line="240" w:lineRule="auto"/>
      </w:pPr>
      <w:r>
        <w:continuationSeparator/>
      </w:r>
    </w:p>
  </w:footnote>
  <w:footnote w:id="1">
    <w:p w14:paraId="6B1FC101" w14:textId="5E2B597D" w:rsidR="00393E19" w:rsidRPr="007848EC" w:rsidRDefault="00393E19" w:rsidP="007848EC">
      <w:pPr>
        <w:pStyle w:val="ListParagraph"/>
        <w:widowControl w:val="0"/>
        <w:tabs>
          <w:tab w:val="left" w:pos="1429"/>
        </w:tabs>
        <w:autoSpaceDE w:val="0"/>
        <w:autoSpaceDN w:val="0"/>
        <w:spacing w:before="97" w:after="0" w:line="240" w:lineRule="auto"/>
        <w:ind w:left="0"/>
        <w:contextualSpacing w:val="0"/>
        <w:rPr>
          <w:sz w:val="14"/>
        </w:rPr>
      </w:pPr>
      <w:r w:rsidRPr="007848EC">
        <w:rPr>
          <w:rStyle w:val="FootnoteReference"/>
          <w:rFonts w:cs="Arial"/>
          <w:sz w:val="16"/>
          <w:szCs w:val="16"/>
        </w:rPr>
        <w:footnoteRef/>
      </w:r>
      <w:r w:rsidRPr="007848EC">
        <w:rPr>
          <w:rFonts w:cs="Arial"/>
          <w:sz w:val="16"/>
          <w:szCs w:val="16"/>
        </w:rPr>
        <w:t xml:space="preserve"> </w:t>
      </w:r>
      <w:r w:rsidR="005F7E09" w:rsidRPr="007848EC">
        <w:rPr>
          <w:color w:val="231F20"/>
          <w:sz w:val="14"/>
        </w:rPr>
        <w:t>Early</w:t>
      </w:r>
      <w:r w:rsidR="005F7E09" w:rsidRPr="007848EC">
        <w:rPr>
          <w:color w:val="231F20"/>
          <w:spacing w:val="-2"/>
          <w:sz w:val="14"/>
        </w:rPr>
        <w:t xml:space="preserve"> </w:t>
      </w:r>
      <w:r w:rsidR="005F7E09" w:rsidRPr="007848EC">
        <w:rPr>
          <w:color w:val="231F20"/>
          <w:sz w:val="14"/>
        </w:rPr>
        <w:t>intervention</w:t>
      </w:r>
      <w:r w:rsidR="005F7E09" w:rsidRPr="007848EC">
        <w:rPr>
          <w:color w:val="231F20"/>
          <w:spacing w:val="-2"/>
          <w:sz w:val="14"/>
        </w:rPr>
        <w:t xml:space="preserve"> </w:t>
      </w:r>
      <w:r w:rsidR="005F7E09" w:rsidRPr="007848EC">
        <w:rPr>
          <w:color w:val="231F20"/>
          <w:sz w:val="14"/>
        </w:rPr>
        <w:t>services</w:t>
      </w:r>
      <w:r w:rsidR="005F7E09" w:rsidRPr="007848EC">
        <w:rPr>
          <w:color w:val="231F20"/>
          <w:spacing w:val="-2"/>
          <w:sz w:val="14"/>
        </w:rPr>
        <w:t xml:space="preserve"> </w:t>
      </w:r>
      <w:r w:rsidR="005F7E09" w:rsidRPr="007848EC">
        <w:rPr>
          <w:color w:val="231F20"/>
          <w:sz w:val="14"/>
        </w:rPr>
        <w:t>are</w:t>
      </w:r>
      <w:r w:rsidR="005F7E09" w:rsidRPr="007848EC">
        <w:rPr>
          <w:color w:val="231F20"/>
          <w:spacing w:val="-2"/>
          <w:sz w:val="14"/>
        </w:rPr>
        <w:t xml:space="preserve"> </w:t>
      </w:r>
      <w:r w:rsidR="005F7E09" w:rsidRPr="007848EC">
        <w:rPr>
          <w:color w:val="231F20"/>
          <w:sz w:val="14"/>
        </w:rPr>
        <w:t>services</w:t>
      </w:r>
      <w:r w:rsidR="005F7E09" w:rsidRPr="007848EC">
        <w:rPr>
          <w:color w:val="231F20"/>
          <w:spacing w:val="-2"/>
          <w:sz w:val="14"/>
        </w:rPr>
        <w:t xml:space="preserve"> </w:t>
      </w:r>
      <w:r w:rsidR="005F7E09" w:rsidRPr="007848EC">
        <w:rPr>
          <w:color w:val="231F20"/>
          <w:sz w:val="14"/>
        </w:rPr>
        <w:t>that</w:t>
      </w:r>
      <w:r w:rsidR="005F7E09" w:rsidRPr="007848EC">
        <w:rPr>
          <w:color w:val="231F20"/>
          <w:spacing w:val="-2"/>
          <w:sz w:val="14"/>
        </w:rPr>
        <w:t xml:space="preserve"> </w:t>
      </w:r>
      <w:r w:rsidR="005F7E09" w:rsidRPr="007848EC">
        <w:rPr>
          <w:color w:val="231F20"/>
          <w:sz w:val="14"/>
        </w:rPr>
        <w:t>aim</w:t>
      </w:r>
      <w:r w:rsidR="005F7E09" w:rsidRPr="007848EC">
        <w:rPr>
          <w:color w:val="231F20"/>
          <w:spacing w:val="-2"/>
          <w:sz w:val="14"/>
        </w:rPr>
        <w:t xml:space="preserve"> </w:t>
      </w:r>
      <w:r w:rsidR="005F7E09" w:rsidRPr="007848EC">
        <w:rPr>
          <w:color w:val="231F20"/>
          <w:sz w:val="14"/>
        </w:rPr>
        <w:t>to</w:t>
      </w:r>
      <w:r w:rsidR="005F7E09" w:rsidRPr="007848EC">
        <w:rPr>
          <w:color w:val="231F20"/>
          <w:spacing w:val="-2"/>
          <w:sz w:val="14"/>
        </w:rPr>
        <w:t xml:space="preserve"> </w:t>
      </w:r>
      <w:r w:rsidR="005F7E09" w:rsidRPr="007848EC">
        <w:rPr>
          <w:color w:val="231F20"/>
          <w:sz w:val="14"/>
        </w:rPr>
        <w:t>prevent</w:t>
      </w:r>
      <w:r w:rsidR="005F7E09" w:rsidRPr="007848EC">
        <w:rPr>
          <w:color w:val="231F20"/>
          <w:spacing w:val="-2"/>
          <w:sz w:val="14"/>
        </w:rPr>
        <w:t xml:space="preserve"> </w:t>
      </w:r>
      <w:r w:rsidR="005F7E09" w:rsidRPr="007848EC">
        <w:rPr>
          <w:color w:val="231F20"/>
          <w:sz w:val="14"/>
        </w:rPr>
        <w:t>social</w:t>
      </w:r>
      <w:r w:rsidR="005F7E09" w:rsidRPr="007848EC">
        <w:rPr>
          <w:color w:val="231F20"/>
          <w:spacing w:val="-2"/>
          <w:sz w:val="14"/>
        </w:rPr>
        <w:t xml:space="preserve"> </w:t>
      </w:r>
      <w:r w:rsidR="005F7E09" w:rsidRPr="007848EC">
        <w:rPr>
          <w:color w:val="231F20"/>
          <w:sz w:val="14"/>
        </w:rPr>
        <w:t>issues</w:t>
      </w:r>
      <w:r w:rsidR="005F7E09" w:rsidRPr="007848EC">
        <w:rPr>
          <w:color w:val="231F20"/>
          <w:spacing w:val="-2"/>
          <w:sz w:val="14"/>
        </w:rPr>
        <w:t xml:space="preserve"> </w:t>
      </w:r>
      <w:r w:rsidR="005F7E09" w:rsidRPr="007848EC">
        <w:rPr>
          <w:color w:val="231F20"/>
          <w:sz w:val="14"/>
        </w:rPr>
        <w:t>turning</w:t>
      </w:r>
      <w:r w:rsidR="005F7E09" w:rsidRPr="007848EC">
        <w:rPr>
          <w:color w:val="231F20"/>
          <w:spacing w:val="-2"/>
          <w:sz w:val="14"/>
        </w:rPr>
        <w:t xml:space="preserve"> </w:t>
      </w:r>
      <w:r w:rsidR="005F7E09" w:rsidRPr="007848EC">
        <w:rPr>
          <w:color w:val="231F20"/>
          <w:sz w:val="14"/>
        </w:rPr>
        <w:t>into</w:t>
      </w:r>
      <w:r w:rsidR="005F7E09" w:rsidRPr="007848EC">
        <w:rPr>
          <w:color w:val="231F20"/>
          <w:spacing w:val="-2"/>
          <w:sz w:val="14"/>
        </w:rPr>
        <w:t xml:space="preserve"> </w:t>
      </w:r>
      <w:r w:rsidR="005F7E09" w:rsidRPr="007848EC">
        <w:rPr>
          <w:color w:val="231F20"/>
          <w:sz w:val="14"/>
        </w:rPr>
        <w:t>legal</w:t>
      </w:r>
      <w:r w:rsidR="005F7E09" w:rsidRPr="007848EC">
        <w:rPr>
          <w:color w:val="231F20"/>
          <w:spacing w:val="-2"/>
          <w:sz w:val="14"/>
        </w:rPr>
        <w:t xml:space="preserve"> </w:t>
      </w:r>
      <w:r w:rsidR="005F7E09" w:rsidRPr="007848EC">
        <w:rPr>
          <w:color w:val="231F20"/>
          <w:sz w:val="14"/>
        </w:rPr>
        <w:t>issues,</w:t>
      </w:r>
      <w:r w:rsidR="005F7E09" w:rsidRPr="007848EC">
        <w:rPr>
          <w:color w:val="231F20"/>
          <w:spacing w:val="-2"/>
          <w:sz w:val="14"/>
        </w:rPr>
        <w:t xml:space="preserve"> </w:t>
      </w:r>
      <w:r w:rsidR="005F7E09" w:rsidRPr="007848EC">
        <w:rPr>
          <w:color w:val="231F20"/>
          <w:sz w:val="14"/>
        </w:rPr>
        <w:t>and</w:t>
      </w:r>
      <w:r w:rsidR="005F7E09" w:rsidRPr="007848EC">
        <w:rPr>
          <w:color w:val="231F20"/>
          <w:spacing w:val="-2"/>
          <w:sz w:val="14"/>
        </w:rPr>
        <w:t xml:space="preserve"> </w:t>
      </w:r>
      <w:r w:rsidR="005F7E09" w:rsidRPr="007848EC">
        <w:rPr>
          <w:color w:val="231F20"/>
          <w:sz w:val="14"/>
        </w:rPr>
        <w:t>to</w:t>
      </w:r>
      <w:r w:rsidR="005F7E09" w:rsidRPr="007848EC">
        <w:rPr>
          <w:color w:val="231F20"/>
          <w:spacing w:val="-2"/>
          <w:sz w:val="14"/>
        </w:rPr>
        <w:t xml:space="preserve"> </w:t>
      </w:r>
      <w:r w:rsidR="005F7E09" w:rsidRPr="007848EC">
        <w:rPr>
          <w:color w:val="231F20"/>
          <w:sz w:val="14"/>
        </w:rPr>
        <w:t>prevent</w:t>
      </w:r>
      <w:r w:rsidR="005F7E09" w:rsidRPr="007848EC">
        <w:rPr>
          <w:color w:val="231F20"/>
          <w:spacing w:val="-2"/>
          <w:sz w:val="14"/>
        </w:rPr>
        <w:t xml:space="preserve"> </w:t>
      </w:r>
      <w:r w:rsidR="005F7E09" w:rsidRPr="007848EC">
        <w:rPr>
          <w:color w:val="231F20"/>
          <w:sz w:val="14"/>
        </w:rPr>
        <w:t>legal</w:t>
      </w:r>
      <w:r w:rsidR="005F7E09" w:rsidRPr="007848EC">
        <w:rPr>
          <w:color w:val="231F20"/>
          <w:spacing w:val="-2"/>
          <w:sz w:val="14"/>
        </w:rPr>
        <w:t xml:space="preserve"> </w:t>
      </w:r>
      <w:r w:rsidR="005F7E09" w:rsidRPr="007848EC">
        <w:rPr>
          <w:color w:val="231F20"/>
          <w:sz w:val="14"/>
        </w:rPr>
        <w:t>issues from getting worse. Early engagement and resolution services are services for clients who have proceedings in court. They aim to engage clients earlier, with a view to resolving proceedings, or narrowing issues in dispute and providing more time to prepare for court.</w:t>
      </w:r>
    </w:p>
    <w:p w14:paraId="3C3C327C" w14:textId="77777777" w:rsidR="00393E19" w:rsidRPr="001E612F" w:rsidRDefault="00393E19" w:rsidP="00393E19">
      <w:pPr>
        <w:spacing w:after="0" w:line="240" w:lineRule="atLeast"/>
        <w:rPr>
          <w:rFonts w:eastAsia="Calibri"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CAA"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53282C" w14:textId="77777777" w:rsidR="00BB122F" w:rsidRDefault="00F1258B" w:rsidP="00091AFC">
    <w:pPr>
      <w:pStyle w:val="Header"/>
      <w:ind w:right="360"/>
    </w:pPr>
  </w:p>
  <w:p w14:paraId="1E3907D6" w14:textId="77777777" w:rsidR="00BB122F" w:rsidRDefault="00F125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93D7" w14:textId="1314E20F" w:rsidR="00BB122F" w:rsidRPr="006A6FC6" w:rsidRDefault="00F1258B"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23310B21" wp14:editId="1E4C7C6E">
              <wp:simplePos x="0" y="0"/>
              <wp:positionH relativeFrom="page">
                <wp:posOffset>0</wp:posOffset>
              </wp:positionH>
              <wp:positionV relativeFrom="page">
                <wp:posOffset>190500</wp:posOffset>
              </wp:positionV>
              <wp:extent cx="7556500" cy="273050"/>
              <wp:effectExtent l="0" t="0" r="0" b="12700"/>
              <wp:wrapNone/>
              <wp:docPr id="1" name="MSIPCM00254442b6621b7114e48db7"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9F0655" w14:textId="5EBCD8FD" w:rsidR="00F1258B" w:rsidRPr="00F1258B" w:rsidRDefault="00F1258B" w:rsidP="00F1258B">
                          <w:pPr>
                            <w:spacing w:after="0"/>
                            <w:jc w:val="center"/>
                            <w:rPr>
                              <w:rFonts w:ascii="Calibri" w:hAnsi="Calibri" w:cs="Calibri"/>
                              <w:color w:val="000000"/>
                            </w:rPr>
                          </w:pPr>
                          <w:r w:rsidRPr="00F1258B">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310B21" id="_x0000_t202" coordsize="21600,21600" o:spt="202" path="m,l,21600r21600,l21600,xe">
              <v:stroke joinstyle="miter"/>
              <v:path gradientshapeok="t" o:connecttype="rect"/>
            </v:shapetype>
            <v:shape id="MSIPCM00254442b6621b7114e48db7"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fill o:detectmouseclick="t"/>
              <v:textbox inset=",0,,0">
                <w:txbxContent>
                  <w:p w14:paraId="449F0655" w14:textId="5EBCD8FD" w:rsidR="00F1258B" w:rsidRPr="00F1258B" w:rsidRDefault="00F1258B" w:rsidP="00F1258B">
                    <w:pPr>
                      <w:spacing w:after="0"/>
                      <w:jc w:val="center"/>
                      <w:rPr>
                        <w:rFonts w:ascii="Calibri" w:hAnsi="Calibri" w:cs="Calibri"/>
                        <w:color w:val="000000"/>
                      </w:rPr>
                    </w:pPr>
                    <w:r w:rsidRPr="00F1258B">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2AB5E6D" w14:textId="37D1B11C" w:rsidR="00BB122F" w:rsidRPr="00EF7C5C" w:rsidRDefault="00187D42" w:rsidP="00EF7C5C">
    <w:pPr>
      <w:spacing w:line="240" w:lineRule="auto"/>
      <w:ind w:left="-330"/>
      <w:rPr>
        <w:rFonts w:ascii="Arial Bold" w:hAnsi="Arial Bold" w:cs="Arial"/>
        <w:color w:val="B1005D"/>
      </w:rPr>
    </w:pPr>
    <w:r>
      <w:rPr>
        <w:rFonts w:ascii="Arial Bold" w:hAnsi="Arial Bold" w:cs="Arial"/>
        <w:b/>
        <w:color w:val="B1005D"/>
        <w:sz w:val="18"/>
        <w:szCs w:val="18"/>
      </w:rPr>
      <w:t>S</w:t>
    </w:r>
    <w:r w:rsidR="003B66FE" w:rsidRPr="003B66FE">
      <w:rPr>
        <w:rFonts w:ascii="Arial Bold" w:hAnsi="Arial Bold" w:cs="Arial"/>
        <w:b/>
        <w:color w:val="B1005D"/>
        <w:sz w:val="18"/>
        <w:szCs w:val="18"/>
      </w:rPr>
      <w:t>trategy 26 – strategy on a page</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1E2B159E" wp14:editId="75E9107B">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972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9B0D" w14:textId="1313BDC8" w:rsidR="00BB122F" w:rsidRPr="00833658" w:rsidRDefault="00F1258B"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77644D09" wp14:editId="7AA64AE9">
              <wp:simplePos x="0" y="0"/>
              <wp:positionH relativeFrom="page">
                <wp:posOffset>0</wp:posOffset>
              </wp:positionH>
              <wp:positionV relativeFrom="page">
                <wp:posOffset>190500</wp:posOffset>
              </wp:positionV>
              <wp:extent cx="7556500" cy="273050"/>
              <wp:effectExtent l="0" t="0" r="0" b="12700"/>
              <wp:wrapNone/>
              <wp:docPr id="4" name="MSIPCM20984a17a783f03723811b2e"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F5F1B" w14:textId="61E3B4DC" w:rsidR="00F1258B" w:rsidRPr="00F1258B" w:rsidRDefault="00F1258B" w:rsidP="00F1258B">
                          <w:pPr>
                            <w:spacing w:after="0"/>
                            <w:jc w:val="center"/>
                            <w:rPr>
                              <w:rFonts w:ascii="Calibri" w:hAnsi="Calibri" w:cs="Calibri"/>
                              <w:color w:val="000000"/>
                            </w:rPr>
                          </w:pPr>
                          <w:r w:rsidRPr="00F1258B">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644D09" id="_x0000_t202" coordsize="21600,21600" o:spt="202" path="m,l,21600r21600,l21600,xe">
              <v:stroke joinstyle="miter"/>
              <v:path gradientshapeok="t" o:connecttype="rect"/>
            </v:shapetype>
            <v:shape id="MSIPCM20984a17a783f03723811b2e"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fill o:detectmouseclick="t"/>
              <v:textbox inset=",0,,0">
                <w:txbxContent>
                  <w:p w14:paraId="6C7F5F1B" w14:textId="61E3B4DC" w:rsidR="00F1258B" w:rsidRPr="00F1258B" w:rsidRDefault="00F1258B" w:rsidP="00F1258B">
                    <w:pPr>
                      <w:spacing w:after="0"/>
                      <w:jc w:val="center"/>
                      <w:rPr>
                        <w:rFonts w:ascii="Calibri" w:hAnsi="Calibri" w:cs="Calibri"/>
                        <w:color w:val="000000"/>
                      </w:rPr>
                    </w:pPr>
                    <w:r w:rsidRPr="00F1258B">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3BF53C63" wp14:editId="4A1A6D6B">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3A2CCC" w14:textId="77777777" w:rsidR="00BB122F" w:rsidRPr="00D82005" w:rsidRDefault="00F1258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57710"/>
    <w:multiLevelType w:val="hybridMultilevel"/>
    <w:tmpl w:val="5C963BC4"/>
    <w:lvl w:ilvl="0" w:tplc="96363FC8">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05CF9"/>
    <w:multiLevelType w:val="hybridMultilevel"/>
    <w:tmpl w:val="9418FABC"/>
    <w:lvl w:ilvl="0" w:tplc="93B284E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27648"/>
    <w:multiLevelType w:val="hybridMultilevel"/>
    <w:tmpl w:val="CB982DFC"/>
    <w:lvl w:ilvl="0" w:tplc="8B6C24D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045166"/>
    <w:multiLevelType w:val="multilevel"/>
    <w:tmpl w:val="E8046C0C"/>
    <w:lvl w:ilvl="0">
      <w:start w:val="1"/>
      <w:numFmt w:val="decimal"/>
      <w:lvlText w:val="%1"/>
      <w:lvlJc w:val="left"/>
      <w:pPr>
        <w:ind w:left="1247" w:hanging="154"/>
        <w:jc w:val="left"/>
      </w:pPr>
      <w:rPr>
        <w:rFonts w:ascii="Tahoma" w:eastAsia="Tahoma" w:hAnsi="Tahoma" w:cs="Tahoma" w:hint="default"/>
        <w:b w:val="0"/>
        <w:bCs w:val="0"/>
        <w:i w:val="0"/>
        <w:iCs w:val="0"/>
        <w:color w:val="231F20"/>
        <w:w w:val="57"/>
        <w:sz w:val="14"/>
        <w:szCs w:val="14"/>
        <w:lang w:val="en-US" w:eastAsia="en-US" w:bidi="ar-SA"/>
      </w:rPr>
    </w:lvl>
    <w:lvl w:ilvl="1">
      <w:start w:val="1"/>
      <w:numFmt w:val="decimal"/>
      <w:lvlText w:val="%1.%2"/>
      <w:lvlJc w:val="left"/>
      <w:pPr>
        <w:ind w:left="1547" w:hanging="301"/>
        <w:jc w:val="left"/>
      </w:pPr>
      <w:rPr>
        <w:rFonts w:hint="default"/>
        <w:spacing w:val="-2"/>
        <w:w w:val="57"/>
        <w:lang w:val="en-US" w:eastAsia="en-US" w:bidi="ar-SA"/>
      </w:rPr>
    </w:lvl>
    <w:lvl w:ilvl="2">
      <w:numFmt w:val="bullet"/>
      <w:lvlText w:val="•"/>
      <w:lvlJc w:val="left"/>
      <w:pPr>
        <w:ind w:left="1417" w:hanging="171"/>
      </w:pPr>
      <w:rPr>
        <w:rFonts w:ascii="Tahoma" w:eastAsia="Tahoma" w:hAnsi="Tahoma" w:cs="Tahoma" w:hint="default"/>
        <w:b w:val="0"/>
        <w:bCs w:val="0"/>
        <w:i w:val="0"/>
        <w:iCs w:val="0"/>
        <w:color w:val="231F20"/>
        <w:w w:val="94"/>
        <w:sz w:val="19"/>
        <w:szCs w:val="19"/>
        <w:lang w:val="en-US" w:eastAsia="en-US" w:bidi="ar-SA"/>
      </w:rPr>
    </w:lvl>
    <w:lvl w:ilvl="3">
      <w:numFmt w:val="bullet"/>
      <w:lvlText w:val="•"/>
      <w:lvlJc w:val="left"/>
      <w:pPr>
        <w:ind w:left="2080" w:hanging="171"/>
      </w:pPr>
      <w:rPr>
        <w:rFonts w:hint="default"/>
        <w:lang w:val="en-US" w:eastAsia="en-US" w:bidi="ar-SA"/>
      </w:rPr>
    </w:lvl>
    <w:lvl w:ilvl="4">
      <w:numFmt w:val="bullet"/>
      <w:lvlText w:val="•"/>
      <w:lvlJc w:val="left"/>
      <w:pPr>
        <w:ind w:left="2620" w:hanging="171"/>
      </w:pPr>
      <w:rPr>
        <w:rFonts w:hint="default"/>
        <w:lang w:val="en-US" w:eastAsia="en-US" w:bidi="ar-SA"/>
      </w:rPr>
    </w:lvl>
    <w:lvl w:ilvl="5">
      <w:numFmt w:val="bullet"/>
      <w:lvlText w:val="•"/>
      <w:lvlJc w:val="left"/>
      <w:pPr>
        <w:ind w:left="3160" w:hanging="171"/>
      </w:pPr>
      <w:rPr>
        <w:rFonts w:hint="default"/>
        <w:lang w:val="en-US" w:eastAsia="en-US" w:bidi="ar-SA"/>
      </w:rPr>
    </w:lvl>
    <w:lvl w:ilvl="6">
      <w:numFmt w:val="bullet"/>
      <w:lvlText w:val="•"/>
      <w:lvlJc w:val="left"/>
      <w:pPr>
        <w:ind w:left="3700" w:hanging="171"/>
      </w:pPr>
      <w:rPr>
        <w:rFonts w:hint="default"/>
        <w:lang w:val="en-US" w:eastAsia="en-US" w:bidi="ar-SA"/>
      </w:rPr>
    </w:lvl>
    <w:lvl w:ilvl="7">
      <w:numFmt w:val="bullet"/>
      <w:lvlText w:val="•"/>
      <w:lvlJc w:val="left"/>
      <w:pPr>
        <w:ind w:left="4240" w:hanging="171"/>
      </w:pPr>
      <w:rPr>
        <w:rFonts w:hint="default"/>
        <w:lang w:val="en-US" w:eastAsia="en-US" w:bidi="ar-SA"/>
      </w:rPr>
    </w:lvl>
    <w:lvl w:ilvl="8">
      <w:numFmt w:val="bullet"/>
      <w:lvlText w:val="•"/>
      <w:lvlJc w:val="left"/>
      <w:pPr>
        <w:ind w:left="4780" w:hanging="171"/>
      </w:pPr>
      <w:rPr>
        <w:rFonts w:hint="default"/>
        <w:lang w:val="en-US" w:eastAsia="en-US" w:bidi="ar-SA"/>
      </w:rPr>
    </w:lvl>
  </w:abstractNum>
  <w:abstractNum w:abstractNumId="16" w15:restartNumberingAfterBreak="0">
    <w:nsid w:val="427C4F83"/>
    <w:multiLevelType w:val="hybridMultilevel"/>
    <w:tmpl w:val="6E4AA732"/>
    <w:lvl w:ilvl="0" w:tplc="BDE8F78C">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65A2360C"/>
    <w:multiLevelType w:val="hybridMultilevel"/>
    <w:tmpl w:val="41D874FC"/>
    <w:lvl w:ilvl="0" w:tplc="259C277A">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068772932">
    <w:abstractNumId w:val="17"/>
  </w:num>
  <w:num w:numId="2" w16cid:durableId="348262660">
    <w:abstractNumId w:val="9"/>
  </w:num>
  <w:num w:numId="3" w16cid:durableId="631059249">
    <w:abstractNumId w:val="11"/>
  </w:num>
  <w:num w:numId="4" w16cid:durableId="71856796">
    <w:abstractNumId w:val="7"/>
  </w:num>
  <w:num w:numId="5" w16cid:durableId="1696341289">
    <w:abstractNumId w:val="19"/>
  </w:num>
  <w:num w:numId="6" w16cid:durableId="1785036024">
    <w:abstractNumId w:val="6"/>
  </w:num>
  <w:num w:numId="7" w16cid:durableId="1062951487">
    <w:abstractNumId w:val="19"/>
  </w:num>
  <w:num w:numId="8" w16cid:durableId="344093119">
    <w:abstractNumId w:val="5"/>
  </w:num>
  <w:num w:numId="9" w16cid:durableId="1405488614">
    <w:abstractNumId w:val="4"/>
  </w:num>
  <w:num w:numId="10" w16cid:durableId="311250453">
    <w:abstractNumId w:val="4"/>
  </w:num>
  <w:num w:numId="11" w16cid:durableId="1525054385">
    <w:abstractNumId w:val="8"/>
  </w:num>
  <w:num w:numId="12" w16cid:durableId="110629978">
    <w:abstractNumId w:val="8"/>
  </w:num>
  <w:num w:numId="13" w16cid:durableId="532500507">
    <w:abstractNumId w:val="3"/>
  </w:num>
  <w:num w:numId="14" w16cid:durableId="131751481">
    <w:abstractNumId w:val="3"/>
  </w:num>
  <w:num w:numId="15" w16cid:durableId="206453175">
    <w:abstractNumId w:val="2"/>
  </w:num>
  <w:num w:numId="16" w16cid:durableId="698094107">
    <w:abstractNumId w:val="2"/>
  </w:num>
  <w:num w:numId="17" w16cid:durableId="137963702">
    <w:abstractNumId w:val="1"/>
  </w:num>
  <w:num w:numId="18" w16cid:durableId="1469857565">
    <w:abstractNumId w:val="1"/>
  </w:num>
  <w:num w:numId="19" w16cid:durableId="9836244">
    <w:abstractNumId w:val="0"/>
  </w:num>
  <w:num w:numId="20" w16cid:durableId="387069862">
    <w:abstractNumId w:val="0"/>
  </w:num>
  <w:num w:numId="21" w16cid:durableId="1630083602">
    <w:abstractNumId w:val="18"/>
  </w:num>
  <w:num w:numId="22" w16cid:durableId="1368068511">
    <w:abstractNumId w:val="18"/>
  </w:num>
  <w:num w:numId="23" w16cid:durableId="80564780">
    <w:abstractNumId w:val="12"/>
  </w:num>
  <w:num w:numId="24" w16cid:durableId="443812158">
    <w:abstractNumId w:val="21"/>
  </w:num>
  <w:num w:numId="25" w16cid:durableId="871769798">
    <w:abstractNumId w:val="13"/>
  </w:num>
  <w:num w:numId="26" w16cid:durableId="1314404850">
    <w:abstractNumId w:val="16"/>
  </w:num>
  <w:num w:numId="27" w16cid:durableId="1950776074">
    <w:abstractNumId w:val="14"/>
  </w:num>
  <w:num w:numId="28" w16cid:durableId="341277218">
    <w:abstractNumId w:val="10"/>
  </w:num>
  <w:num w:numId="29" w16cid:durableId="1689912654">
    <w:abstractNumId w:val="20"/>
  </w:num>
  <w:num w:numId="30" w16cid:durableId="1319647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C2"/>
    <w:rsid w:val="00001310"/>
    <w:rsid w:val="000A0349"/>
    <w:rsid w:val="000A2FBE"/>
    <w:rsid w:val="000A3C2D"/>
    <w:rsid w:val="000C14B8"/>
    <w:rsid w:val="000C7FB4"/>
    <w:rsid w:val="00112CA5"/>
    <w:rsid w:val="00125593"/>
    <w:rsid w:val="00187D42"/>
    <w:rsid w:val="00190A92"/>
    <w:rsid w:val="001A27AB"/>
    <w:rsid w:val="001F3074"/>
    <w:rsid w:val="00204ABA"/>
    <w:rsid w:val="00244E32"/>
    <w:rsid w:val="002915FB"/>
    <w:rsid w:val="002A4595"/>
    <w:rsid w:val="002C3253"/>
    <w:rsid w:val="002C4EF6"/>
    <w:rsid w:val="002E65E7"/>
    <w:rsid w:val="002E6C79"/>
    <w:rsid w:val="0031443C"/>
    <w:rsid w:val="00342B2F"/>
    <w:rsid w:val="00393E19"/>
    <w:rsid w:val="003B0DC7"/>
    <w:rsid w:val="003B66FE"/>
    <w:rsid w:val="003F47FD"/>
    <w:rsid w:val="00461300"/>
    <w:rsid w:val="00461773"/>
    <w:rsid w:val="00473E11"/>
    <w:rsid w:val="004935BA"/>
    <w:rsid w:val="004A7464"/>
    <w:rsid w:val="004F62C5"/>
    <w:rsid w:val="005276A4"/>
    <w:rsid w:val="0058112E"/>
    <w:rsid w:val="005F7E09"/>
    <w:rsid w:val="00627BED"/>
    <w:rsid w:val="0066541F"/>
    <w:rsid w:val="00687195"/>
    <w:rsid w:val="00694844"/>
    <w:rsid w:val="006A1EEE"/>
    <w:rsid w:val="00702A3E"/>
    <w:rsid w:val="007848EC"/>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10BD2"/>
    <w:rsid w:val="00B40694"/>
    <w:rsid w:val="00B957C1"/>
    <w:rsid w:val="00BC1939"/>
    <w:rsid w:val="00BE18AB"/>
    <w:rsid w:val="00C61003"/>
    <w:rsid w:val="00C8737B"/>
    <w:rsid w:val="00C96764"/>
    <w:rsid w:val="00CC49BB"/>
    <w:rsid w:val="00D0577E"/>
    <w:rsid w:val="00D070E6"/>
    <w:rsid w:val="00D267BB"/>
    <w:rsid w:val="00D414EB"/>
    <w:rsid w:val="00D521C2"/>
    <w:rsid w:val="00D91004"/>
    <w:rsid w:val="00DA5C1E"/>
    <w:rsid w:val="00DE0029"/>
    <w:rsid w:val="00E50B26"/>
    <w:rsid w:val="00E63153"/>
    <w:rsid w:val="00ED48DB"/>
    <w:rsid w:val="00F1258B"/>
    <w:rsid w:val="00F3213F"/>
    <w:rsid w:val="00F570FC"/>
    <w:rsid w:val="00F57126"/>
    <w:rsid w:val="00F66BAE"/>
    <w:rsid w:val="00F719F3"/>
    <w:rsid w:val="00F961F0"/>
    <w:rsid w:val="00FB23BC"/>
    <w:rsid w:val="00FE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49CE6"/>
  <w14:defaultImageDpi w14:val="32767"/>
  <w15:chartTrackingRefBased/>
  <w15:docId w15:val="{4CCA08FD-4F2C-4843-B327-001C357F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1310"/>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1"/>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6" ma:contentTypeDescription="Create a new document." ma:contentTypeScope="" ma:versionID="a15e879e58733a6efb73a242c527485b">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2648faa5342d3ef93fd95ac12cb34c01"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7969-1fdf-42fa-8cb6-7e5dd7a97482}" ma:internalName="TaxCatchAll" ma:showField="CatchAllData" ma:web="ef775886-7b5c-4383-a016-55f3f90db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775886-7b5c-4383-a016-55f3f90db340" xsi:nil="true"/>
    <lcf76f155ced4ddcb4097134ff3c332f xmlns="d28afa16-d941-4884-a971-dcbf16555f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BBDAF-D468-4988-8A51-FBA672970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76F1E-4BDF-479B-9B1C-3F64E25184CA}">
  <ds:schemaRefs>
    <ds:schemaRef ds:uri="http://schemas.microsoft.com/office/2006/documentManagement/types"/>
    <ds:schemaRef ds:uri="http://purl.org/dc/terms/"/>
    <ds:schemaRef ds:uri="ef775886-7b5c-4383-a016-55f3f90db340"/>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28afa16-d941-4884-a971-dcbf16555f92"/>
    <ds:schemaRef ds:uri="http://www.w3.org/XML/1998/namespace"/>
  </ds:schemaRefs>
</ds:datastoreItem>
</file>

<file path=customXml/itemProps3.xml><?xml version="1.0" encoding="utf-8"?>
<ds:datastoreItem xmlns:ds="http://schemas.openxmlformats.org/officeDocument/2006/customXml" ds:itemID="{C39389C0-98A0-4E7F-852F-1D92FB2CB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 Generic (Fact Sheet).dotm</Template>
  <TotalTime>0</TotalTime>
  <Pages>2</Pages>
  <Words>476</Words>
  <Characters>2726</Characters>
  <Application>Microsoft Office Word</Application>
  <DocSecurity>0</DocSecurity>
  <Lines>136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2022-10-03T04:10:00Z</dcterms:created>
  <dcterms:modified xsi:type="dcterms:W3CDTF">2022-10-03T04:10:00Z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0x010100599D83A6F58F4E49961191C2B1DF48DF</vt:lpwstr>
  </property>
  <property fmtid="{D5CDD505-2E9C-101B-9397-08002B2CF9AE}" pid="3" name="MSIP_Label_9150236c-7dbd-4fa5-957d-8e3e9c46dc34_Enabled">
    <vt:lpwstr>true</vt:lpwstr>
  </property>
  <property fmtid="{D5CDD505-2E9C-101B-9397-08002B2CF9AE}" pid="4" name="MSIP_Label_9150236c-7dbd-4fa5-957d-8e3e9c46dc34_SetDate">
    <vt:lpwstr>2022-10-03T04:10:41Z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320b4125-0037-411a-a1f2-e94ea612445f</vt:lpwstr>
  </property>
  <property fmtid="{D5CDD505-2E9C-101B-9397-08002B2CF9AE}" pid="9" name="MSIP_Label_9150236c-7dbd-4fa5-957d-8e3e9c46dc34_ContentBits">
    <vt:lpwstr>1</vt:lpwstr>
  </property>
</Properties>
</file>