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626" w14:textId="51C72B7F" w:rsidR="00E50B26" w:rsidRDefault="00627BED" w:rsidP="00E50B26">
      <w:pPr>
        <w:pStyle w:val="Heading1"/>
        <w:rPr>
          <w:sz w:val="24"/>
          <w:szCs w:val="24"/>
        </w:rPr>
      </w:pPr>
      <w:r>
        <w:t xml:space="preserve">Victoria Legal Aid </w:t>
      </w:r>
      <w:r w:rsidR="004175B7">
        <w:t>20</w:t>
      </w:r>
      <w:r w:rsidR="00214F4D">
        <w:t>2</w:t>
      </w:r>
      <w:r w:rsidR="00261BEF">
        <w:t>2</w:t>
      </w:r>
      <w:r w:rsidR="004175B7">
        <w:t>–2</w:t>
      </w:r>
      <w:r w:rsidR="00261BEF">
        <w:t>3</w:t>
      </w:r>
      <w:r w:rsidR="004175B7">
        <w:t xml:space="preserve"> </w:t>
      </w:r>
      <w:r w:rsidR="79DAA64C">
        <w:t>Q</w:t>
      </w:r>
      <w:r w:rsidR="004175B7">
        <w:t xml:space="preserve">uarter </w:t>
      </w:r>
      <w:r w:rsidR="00261BEF">
        <w:t>One</w:t>
      </w:r>
      <w:r w:rsidR="00214F4D">
        <w:t xml:space="preserve"> </w:t>
      </w:r>
      <w:r w:rsidR="2FDC21A0">
        <w:t>R</w:t>
      </w:r>
      <w:r w:rsidR="004175B7">
        <w:t>eport</w:t>
      </w:r>
      <w:r w:rsidR="00544E69">
        <w:t xml:space="preserve"> </w:t>
      </w:r>
      <w:r>
        <w:br/>
      </w:r>
      <w:r w:rsidR="00261BEF">
        <w:rPr>
          <w:sz w:val="24"/>
          <w:szCs w:val="24"/>
        </w:rPr>
        <w:t>July</w:t>
      </w:r>
      <w:r w:rsidR="00544E69" w:rsidRPr="6B8ABD5E">
        <w:rPr>
          <w:sz w:val="24"/>
          <w:szCs w:val="24"/>
        </w:rPr>
        <w:t xml:space="preserve"> – </w:t>
      </w:r>
      <w:r w:rsidR="00261BEF">
        <w:rPr>
          <w:sz w:val="24"/>
          <w:szCs w:val="24"/>
        </w:rPr>
        <w:t xml:space="preserve">September </w:t>
      </w:r>
      <w:r w:rsidR="00544E69" w:rsidRPr="6B8ABD5E">
        <w:rPr>
          <w:sz w:val="24"/>
          <w:szCs w:val="24"/>
        </w:rPr>
        <w:t>20</w:t>
      </w:r>
      <w:r w:rsidR="00F03192">
        <w:rPr>
          <w:sz w:val="24"/>
          <w:szCs w:val="24"/>
        </w:rPr>
        <w:t>2</w:t>
      </w:r>
      <w:r w:rsidR="00261BEF">
        <w:rPr>
          <w:sz w:val="24"/>
          <w:szCs w:val="24"/>
        </w:rPr>
        <w:t>2</w:t>
      </w:r>
    </w:p>
    <w:p w14:paraId="25FB6B02" w14:textId="089C953B" w:rsidR="00E84672" w:rsidRDefault="00BF1E92" w:rsidP="00E84672">
      <w:pPr>
        <w:pStyle w:val="Heading2"/>
      </w:pPr>
      <w:r>
        <w:t xml:space="preserve">Message from the </w:t>
      </w:r>
      <w:r w:rsidRPr="001F0CF5">
        <w:t>CEO</w:t>
      </w:r>
    </w:p>
    <w:p w14:paraId="6AAB6D90" w14:textId="77777777" w:rsidR="00EF218F" w:rsidRDefault="00B71BD4" w:rsidP="00EE27CE">
      <w:pPr>
        <w:spacing w:after="0"/>
      </w:pPr>
      <w:r w:rsidRPr="00AC45A5">
        <w:t>As</w:t>
      </w:r>
      <w:r w:rsidR="00E92456">
        <w:t xml:space="preserve"> the </w:t>
      </w:r>
      <w:r w:rsidR="00DB2E8B">
        <w:t>final</w:t>
      </w:r>
      <w:r w:rsidR="0056676B">
        <w:t xml:space="preserve"> </w:t>
      </w:r>
      <w:r w:rsidR="00C7571A">
        <w:t>Covid-19 pandemic restrictions have been lifted over the</w:t>
      </w:r>
      <w:r w:rsidR="00406720">
        <w:t xml:space="preserve"> last few months we have seen the</w:t>
      </w:r>
      <w:r w:rsidRPr="00AC45A5">
        <w:t xml:space="preserve"> courts return to</w:t>
      </w:r>
      <w:r w:rsidR="00F161DC">
        <w:t xml:space="preserve"> pre-pandemic</w:t>
      </w:r>
      <w:r w:rsidRPr="00AC45A5">
        <w:t xml:space="preserve"> </w:t>
      </w:r>
      <w:r>
        <w:t>capacity</w:t>
      </w:r>
      <w:r w:rsidR="00F161DC">
        <w:t xml:space="preserve">. </w:t>
      </w:r>
      <w:r w:rsidR="00E22B30">
        <w:rPr>
          <w:caps/>
        </w:rPr>
        <w:t>A</w:t>
      </w:r>
      <w:r>
        <w:t>s we support both new matters coming to court</w:t>
      </w:r>
      <w:r w:rsidR="008E71FA">
        <w:t>,</w:t>
      </w:r>
      <w:r>
        <w:t xml:space="preserve"> and the backlog of matters adjourned due to the pandemic</w:t>
      </w:r>
      <w:r w:rsidR="008E71FA">
        <w:t>,</w:t>
      </w:r>
      <w:r w:rsidR="0078292B">
        <w:t xml:space="preserve"> we </w:t>
      </w:r>
      <w:r w:rsidR="008C7770">
        <w:t xml:space="preserve">have seen a significant rise in the number of </w:t>
      </w:r>
      <w:r w:rsidR="00BF27C6">
        <w:t>u</w:t>
      </w:r>
      <w:r w:rsidR="008C7770">
        <w:t xml:space="preserve">nique clients </w:t>
      </w:r>
      <w:r w:rsidR="00347381">
        <w:t>in the first quarter</w:t>
      </w:r>
      <w:r>
        <w:t>.</w:t>
      </w:r>
      <w:r w:rsidR="000A3808" w:rsidRPr="000A3808">
        <w:t xml:space="preserve"> </w:t>
      </w:r>
    </w:p>
    <w:p w14:paraId="4E46ACFA" w14:textId="77777777" w:rsidR="00EF218F" w:rsidRDefault="00EF218F" w:rsidP="00EE27CE">
      <w:pPr>
        <w:spacing w:after="0"/>
      </w:pPr>
    </w:p>
    <w:p w14:paraId="0E3F6C3D" w14:textId="533BA3E4" w:rsidR="00B71BD4" w:rsidRDefault="00DE00F8" w:rsidP="00EE27CE">
      <w:pPr>
        <w:spacing w:after="0"/>
      </w:pPr>
      <w:r>
        <w:t xml:space="preserve">We welcomed the opportunity to support </w:t>
      </w:r>
      <w:r w:rsidR="00E67466">
        <w:t xml:space="preserve">our former client, Madeleine Masterton, as a witness </w:t>
      </w:r>
      <w:r w:rsidR="00A76161">
        <w:t xml:space="preserve">and to provide evidence as her </w:t>
      </w:r>
      <w:r w:rsidR="00C46A09">
        <w:t xml:space="preserve">lawyers in the original litigation before the Royal Commission into the </w:t>
      </w:r>
      <w:hyperlink r:id="rId11" w:history="1">
        <w:r w:rsidR="00C46A09" w:rsidRPr="009072F4">
          <w:rPr>
            <w:rStyle w:val="Hyperlink"/>
          </w:rPr>
          <w:t>Robodebt Scheme</w:t>
        </w:r>
      </w:hyperlink>
      <w:r w:rsidR="00C46A09">
        <w:t>.</w:t>
      </w:r>
      <w:r w:rsidR="005E0FFC">
        <w:t xml:space="preserve"> </w:t>
      </w:r>
      <w:r w:rsidR="005E0FFC" w:rsidRPr="00784EEE">
        <w:t>We are pleased the royal commission has focused on hearing firsthand from the people impacted by robodebt</w:t>
      </w:r>
      <w:r w:rsidR="00594EDD">
        <w:t xml:space="preserve"> and</w:t>
      </w:r>
      <w:r w:rsidR="005E0FFC" w:rsidRPr="00784EEE">
        <w:t xml:space="preserve"> look forward </w:t>
      </w:r>
      <w:r w:rsidR="00594EDD">
        <w:t xml:space="preserve">to </w:t>
      </w:r>
      <w:r w:rsidR="005E0FFC" w:rsidRPr="00784EEE">
        <w:t>shar</w:t>
      </w:r>
      <w:r w:rsidR="00594EDD">
        <w:t>ing</w:t>
      </w:r>
      <w:r w:rsidR="005E0FFC" w:rsidRPr="00784EEE">
        <w:t xml:space="preserve"> the experiences of our clients and ideas on how people can be provided effective rights to help build a stronger and fairer social security system.</w:t>
      </w:r>
    </w:p>
    <w:p w14:paraId="72A1295D" w14:textId="77777777" w:rsidR="00DC4755" w:rsidRDefault="00DC4755" w:rsidP="00EE27CE">
      <w:pPr>
        <w:spacing w:after="0"/>
      </w:pPr>
    </w:p>
    <w:p w14:paraId="45E822D2" w14:textId="168E9BEF" w:rsidR="00B163E5" w:rsidRDefault="004F6DDB" w:rsidP="00B163E5">
      <w:pPr>
        <w:spacing w:after="0"/>
      </w:pPr>
      <w:r w:rsidRPr="004F6DDB">
        <w:rPr>
          <w:rFonts w:cs="Arial"/>
          <w:szCs w:val="22"/>
        </w:rPr>
        <w:t xml:space="preserve">Ensuring that our services are culturally safe and accessible remains a focus for VLA. We support the principle of self-determination and are committed to improving outcomes for Aboriginal and Torres Strait Islander peoples within the justice system. We will be developing our third Reconciliation Action Plan in 2022–23 and expanding our Aboriginal Community Engagement (ACE) Officer program. Our ACE officers, currently in Morwell, </w:t>
      </w:r>
      <w:proofErr w:type="gramStart"/>
      <w:r w:rsidRPr="004F6DDB">
        <w:rPr>
          <w:rFonts w:cs="Arial"/>
          <w:szCs w:val="22"/>
        </w:rPr>
        <w:t>Shepparton</w:t>
      </w:r>
      <w:proofErr w:type="gramEnd"/>
      <w:r w:rsidRPr="004F6DDB">
        <w:rPr>
          <w:rFonts w:cs="Arial"/>
          <w:szCs w:val="22"/>
        </w:rPr>
        <w:t xml:space="preserve"> and Mildura, are a vital and effective non-legal support that provides a connection between First Nations </w:t>
      </w:r>
      <w:r w:rsidR="00B163E5">
        <w:t xml:space="preserve">communities and VLA. We will be expanding this program </w:t>
      </w:r>
      <w:r w:rsidR="00B163E5" w:rsidRPr="00EE27CE">
        <w:t xml:space="preserve">to help </w:t>
      </w:r>
      <w:r w:rsidR="00B163E5">
        <w:t>support First Nations clients</w:t>
      </w:r>
      <w:r w:rsidR="00B163E5" w:rsidRPr="00EE27CE">
        <w:t xml:space="preserve"> in </w:t>
      </w:r>
      <w:r w:rsidR="00B163E5">
        <w:t>Bendigo and Melbourne</w:t>
      </w:r>
      <w:r w:rsidR="00B163E5" w:rsidRPr="00EE27CE">
        <w:t>.</w:t>
      </w:r>
    </w:p>
    <w:p w14:paraId="17E5A29A" w14:textId="0432575F" w:rsidR="004F6DDB" w:rsidRPr="00C80A5A" w:rsidRDefault="004F6DDB" w:rsidP="004F6DDB">
      <w:pPr>
        <w:pStyle w:val="NormalWeb"/>
        <w:spacing w:line="300" w:lineRule="atLeast"/>
        <w:rPr>
          <w:rFonts w:ascii="Arial" w:hAnsi="Arial" w:cs="Arial"/>
          <w:color w:val="011A3C"/>
        </w:rPr>
      </w:pPr>
      <w:r w:rsidRPr="00FD0E9E">
        <w:rPr>
          <w:rFonts w:ascii="Arial" w:hAnsi="Arial"/>
          <w:sz w:val="22"/>
          <w:lang w:eastAsia="en-US"/>
        </w:rPr>
        <w:t xml:space="preserve">Our </w:t>
      </w:r>
      <w:hyperlink r:id="rId12" w:history="1">
        <w:r w:rsidRPr="001526C8">
          <w:rPr>
            <w:rStyle w:val="Hyperlink"/>
            <w:sz w:val="22"/>
            <w:lang w:eastAsia="en-US"/>
          </w:rPr>
          <w:t>Family Advocacy and Support Services</w:t>
        </w:r>
      </w:hyperlink>
      <w:r w:rsidRPr="00FD0E9E">
        <w:rPr>
          <w:rFonts w:ascii="Arial" w:hAnsi="Arial"/>
          <w:sz w:val="22"/>
          <w:lang w:eastAsia="en-US"/>
        </w:rPr>
        <w:t xml:space="preserve"> (FASS) w</w:t>
      </w:r>
      <w:r>
        <w:rPr>
          <w:rFonts w:ascii="Arial" w:hAnsi="Arial"/>
          <w:sz w:val="22"/>
          <w:lang w:eastAsia="en-US"/>
        </w:rPr>
        <w:t xml:space="preserve">ere </w:t>
      </w:r>
      <w:r w:rsidRPr="00FD0E9E">
        <w:rPr>
          <w:rFonts w:ascii="Arial" w:hAnsi="Arial"/>
          <w:sz w:val="22"/>
          <w:lang w:eastAsia="en-US"/>
        </w:rPr>
        <w:t xml:space="preserve">expanded in </w:t>
      </w:r>
      <w:r>
        <w:rPr>
          <w:rFonts w:ascii="Arial" w:hAnsi="Arial"/>
          <w:sz w:val="22"/>
          <w:lang w:eastAsia="en-US"/>
        </w:rPr>
        <w:t xml:space="preserve">early </w:t>
      </w:r>
      <w:r w:rsidRPr="00FD0E9E">
        <w:rPr>
          <w:rFonts w:ascii="Arial" w:hAnsi="Arial"/>
          <w:sz w:val="22"/>
          <w:lang w:eastAsia="en-US"/>
        </w:rPr>
        <w:t>October giving more Victorians access to wraparound supports to help them deal with family law issues</w:t>
      </w:r>
      <w:r>
        <w:rPr>
          <w:rFonts w:ascii="Arial" w:hAnsi="Arial"/>
          <w:sz w:val="22"/>
          <w:lang w:eastAsia="en-US"/>
        </w:rPr>
        <w:t xml:space="preserve"> including access to mental health supports</w:t>
      </w:r>
      <w:r w:rsidRPr="00FD0E9E">
        <w:rPr>
          <w:rFonts w:ascii="Arial" w:hAnsi="Arial"/>
          <w:sz w:val="22"/>
          <w:lang w:eastAsia="en-US"/>
        </w:rPr>
        <w:t>.</w:t>
      </w:r>
      <w:r>
        <w:rPr>
          <w:rFonts w:ascii="Arial" w:hAnsi="Arial"/>
          <w:sz w:val="22"/>
          <w:lang w:eastAsia="en-US"/>
        </w:rPr>
        <w:t xml:space="preserve"> FASS services will be available </w:t>
      </w:r>
      <w:r w:rsidRPr="0087052A">
        <w:rPr>
          <w:rFonts w:ascii="Arial" w:hAnsi="Arial"/>
          <w:sz w:val="22"/>
          <w:lang w:eastAsia="en-US"/>
        </w:rPr>
        <w:t>at all seven Federal Circuit and Family Court of Australia locations across regional Victoria.</w:t>
      </w:r>
      <w:r>
        <w:rPr>
          <w:rFonts w:ascii="Arial" w:hAnsi="Arial"/>
          <w:sz w:val="22"/>
          <w:lang w:eastAsia="en-US"/>
        </w:rPr>
        <w:t xml:space="preserve"> </w:t>
      </w:r>
      <w:r w:rsidRPr="00C80A5A">
        <w:rPr>
          <w:rFonts w:ascii="Arial" w:hAnsi="Arial"/>
          <w:sz w:val="22"/>
          <w:lang w:eastAsia="en-US"/>
        </w:rPr>
        <w:t>FASS is designed to increase access to justice and address the often-complex needs of those impacted by family violence in the family law system. The addition of mental health supports recognises that family violence rarely occurs in isolation from other issues, and that dealing with family law proceedings can be an incredibly stressful experience.</w:t>
      </w:r>
    </w:p>
    <w:p w14:paraId="05B9C4B2" w14:textId="3E60B0AE" w:rsidR="00724013" w:rsidRDefault="0043478B" w:rsidP="0043478B">
      <w:pPr>
        <w:pStyle w:val="NormalWeb"/>
        <w:spacing w:line="300" w:lineRule="atLeast"/>
        <w:rPr>
          <w:rFonts w:ascii="Arial" w:hAnsi="Arial"/>
          <w:sz w:val="22"/>
          <w:lang w:eastAsia="en-US"/>
        </w:rPr>
      </w:pPr>
      <w:r w:rsidRPr="00EE27CE">
        <w:rPr>
          <w:rFonts w:ascii="Arial" w:hAnsi="Arial"/>
          <w:sz w:val="22"/>
          <w:lang w:eastAsia="en-US"/>
        </w:rPr>
        <w:t>The Royal Commission into Victoria’s Mental Health System recommended that Government enact a new</w:t>
      </w:r>
      <w:r w:rsidRPr="00322ECB">
        <w:rPr>
          <w:rFonts w:ascii="Arial" w:hAnsi="Arial" w:cs="Arial"/>
          <w:sz w:val="20"/>
          <w:szCs w:val="22"/>
          <w:lang w:eastAsia="en-US"/>
        </w:rPr>
        <w:t xml:space="preserve"> </w:t>
      </w:r>
      <w:hyperlink r:id="rId13" w:history="1">
        <w:r w:rsidRPr="00322ECB">
          <w:rPr>
            <w:rStyle w:val="Hyperlink"/>
            <w:rFonts w:cs="Arial"/>
            <w:i/>
            <w:iCs/>
            <w:sz w:val="22"/>
            <w:szCs w:val="22"/>
            <w:lang w:eastAsia="en-US"/>
          </w:rPr>
          <w:t>Mental Health and Wellbeing Act</w:t>
        </w:r>
      </w:hyperlink>
      <w:r w:rsidRPr="00322ECB">
        <w:rPr>
          <w:rFonts w:ascii="Arial" w:hAnsi="Arial"/>
          <w:i/>
          <w:iCs/>
          <w:sz w:val="22"/>
          <w:lang w:eastAsia="en-US"/>
        </w:rPr>
        <w:t>,</w:t>
      </w:r>
      <w:r w:rsidRPr="00EE27CE">
        <w:rPr>
          <w:rFonts w:ascii="Arial" w:hAnsi="Arial"/>
          <w:sz w:val="22"/>
          <w:lang w:eastAsia="en-US"/>
        </w:rPr>
        <w:t xml:space="preserve"> which was passed by the Victorian parliament in September 2022. As the largest provider of legal and non-legal advocacy services for people with mental health issues in Victoria, we see the new Act as a first step towards a mental health and wellbeing system that is accountable, transparent and supports a consumer-driven approach. Since 2015, our </w:t>
      </w:r>
      <w:hyperlink r:id="rId14" w:history="1">
        <w:r w:rsidRPr="00442A44">
          <w:rPr>
            <w:rStyle w:val="Hyperlink"/>
            <w:rFonts w:cs="Arial"/>
            <w:sz w:val="22"/>
            <w:szCs w:val="22"/>
            <w:lang w:eastAsia="en-US"/>
          </w:rPr>
          <w:t>Independent Mental Health Advocacy </w:t>
        </w:r>
      </w:hyperlink>
      <w:r w:rsidRPr="00442A44">
        <w:rPr>
          <w:rFonts w:ascii="Arial" w:hAnsi="Arial" w:cs="Arial"/>
          <w:sz w:val="22"/>
          <w:lang w:eastAsia="en-US"/>
        </w:rPr>
        <w:t xml:space="preserve">service </w:t>
      </w:r>
      <w:r w:rsidRPr="00EE27CE">
        <w:rPr>
          <w:rFonts w:ascii="Arial" w:hAnsi="Arial"/>
          <w:sz w:val="22"/>
          <w:lang w:eastAsia="en-US"/>
        </w:rPr>
        <w:t xml:space="preserve">has supported Victorians to have </w:t>
      </w:r>
      <w:r w:rsidR="00F43287">
        <w:rPr>
          <w:rFonts w:ascii="Arial" w:hAnsi="Arial"/>
          <w:sz w:val="22"/>
          <w:lang w:eastAsia="en-US"/>
        </w:rPr>
        <w:t>more</w:t>
      </w:r>
      <w:r w:rsidRPr="00EE27CE">
        <w:rPr>
          <w:rFonts w:ascii="Arial" w:hAnsi="Arial"/>
          <w:sz w:val="22"/>
          <w:lang w:eastAsia="en-US"/>
        </w:rPr>
        <w:t xml:space="preserve"> say about their assessment, treatment and recovery options while receiving or being at risk of compulsory mental health treatment. </w:t>
      </w:r>
      <w:r w:rsidR="00724013" w:rsidRPr="00724013">
        <w:rPr>
          <w:rFonts w:ascii="Arial" w:hAnsi="Arial"/>
          <w:sz w:val="22"/>
          <w:lang w:eastAsia="en-US"/>
        </w:rPr>
        <w:t xml:space="preserve">We </w:t>
      </w:r>
      <w:r w:rsidR="008B144C">
        <w:rPr>
          <w:rFonts w:ascii="Arial" w:hAnsi="Arial"/>
          <w:sz w:val="22"/>
          <w:lang w:eastAsia="en-US"/>
        </w:rPr>
        <w:t>are</w:t>
      </w:r>
      <w:r w:rsidR="00724013" w:rsidRPr="00724013">
        <w:rPr>
          <w:rFonts w:ascii="Arial" w:hAnsi="Arial"/>
          <w:sz w:val="22"/>
          <w:lang w:eastAsia="en-US"/>
        </w:rPr>
        <w:t xml:space="preserve"> work</w:t>
      </w:r>
      <w:r w:rsidR="008B144C">
        <w:rPr>
          <w:rFonts w:ascii="Arial" w:hAnsi="Arial"/>
          <w:sz w:val="22"/>
          <w:lang w:eastAsia="en-US"/>
        </w:rPr>
        <w:t>ing closely</w:t>
      </w:r>
      <w:r w:rsidR="00724013" w:rsidRPr="00724013">
        <w:rPr>
          <w:rFonts w:ascii="Arial" w:hAnsi="Arial"/>
          <w:sz w:val="22"/>
          <w:lang w:eastAsia="en-US"/>
        </w:rPr>
        <w:t xml:space="preserve"> with the Department of Health </w:t>
      </w:r>
      <w:r w:rsidR="005B6898">
        <w:rPr>
          <w:rFonts w:ascii="Arial" w:hAnsi="Arial"/>
          <w:sz w:val="22"/>
          <w:lang w:eastAsia="en-US"/>
        </w:rPr>
        <w:t xml:space="preserve">and our partners </w:t>
      </w:r>
      <w:r w:rsidR="00724013" w:rsidRPr="00724013">
        <w:rPr>
          <w:rFonts w:ascii="Arial" w:hAnsi="Arial"/>
          <w:sz w:val="22"/>
          <w:lang w:eastAsia="en-US"/>
        </w:rPr>
        <w:t xml:space="preserve">regarding implementation of recommendation 56 of the final report of the Royal Commission, which recommended an opt-out model of access to non-legal advocacy services for consumers subject to or at risk of compulsory treatment </w:t>
      </w:r>
      <w:r w:rsidR="002E38EA">
        <w:rPr>
          <w:rFonts w:ascii="Arial" w:hAnsi="Arial"/>
          <w:sz w:val="22"/>
          <w:lang w:eastAsia="en-US"/>
        </w:rPr>
        <w:t>(which is provided for in the new</w:t>
      </w:r>
      <w:r w:rsidR="005B6898">
        <w:rPr>
          <w:rFonts w:ascii="Arial" w:hAnsi="Arial"/>
          <w:sz w:val="22"/>
          <w:lang w:eastAsia="en-US"/>
        </w:rPr>
        <w:t xml:space="preserve"> Act) </w:t>
      </w:r>
      <w:r w:rsidR="00724013" w:rsidRPr="00724013">
        <w:rPr>
          <w:rFonts w:ascii="Arial" w:hAnsi="Arial"/>
          <w:sz w:val="22"/>
          <w:lang w:eastAsia="en-US"/>
        </w:rPr>
        <w:t>and increased access to legal assistance for people facing compulsory treatment appearing in the Mental Health Tribunal.</w:t>
      </w:r>
    </w:p>
    <w:p w14:paraId="1C7CBEA9" w14:textId="41589A4A" w:rsidR="00E43EE2" w:rsidRDefault="009E5C83" w:rsidP="00597600">
      <w:pPr>
        <w:pStyle w:val="Heading2"/>
      </w:pPr>
      <w:r>
        <w:lastRenderedPageBreak/>
        <w:t>Client Services</w:t>
      </w:r>
      <w:r w:rsidR="007F609B">
        <w:t xml:space="preserve"> </w:t>
      </w:r>
      <w:r w:rsidR="004175B7" w:rsidRPr="004175B7">
        <w:t xml:space="preserve"> </w:t>
      </w:r>
    </w:p>
    <w:p w14:paraId="0F3F97AB" w14:textId="20058AAF" w:rsidR="006674E2" w:rsidRDefault="3461E9C0" w:rsidP="55245693">
      <w:r>
        <w:t>Unique client numbers are</w:t>
      </w:r>
      <w:r w:rsidR="0F0BDA35">
        <w:t xml:space="preserve"> 32 per cent</w:t>
      </w:r>
      <w:r>
        <w:t xml:space="preserve"> higher in quarter one compared to quarter four 202</w:t>
      </w:r>
      <w:r w:rsidR="2CF82AEB">
        <w:t>1</w:t>
      </w:r>
      <w:r w:rsidRPr="56D0BC22">
        <w:rPr>
          <w:lang w:eastAsia="en-AU"/>
        </w:rPr>
        <w:t>–</w:t>
      </w:r>
      <w:r>
        <w:t>2</w:t>
      </w:r>
      <w:r w:rsidR="2CF82AEB">
        <w:t>2</w:t>
      </w:r>
      <w:r>
        <w:t xml:space="preserve"> (Table 1.1). This </w:t>
      </w:r>
      <w:r w:rsidR="69FAF2D9">
        <w:t xml:space="preserve">large </w:t>
      </w:r>
      <w:r>
        <w:t xml:space="preserve">increase is </w:t>
      </w:r>
      <w:r w:rsidR="69FAF2D9">
        <w:t xml:space="preserve">due </w:t>
      </w:r>
      <w:r>
        <w:t xml:space="preserve">of the beginning of the new financial year </w:t>
      </w:r>
      <w:r w:rsidR="7D42D6A3">
        <w:t>a</w:t>
      </w:r>
      <w:r>
        <w:t xml:space="preserve">s clients are counted the first </w:t>
      </w:r>
      <w:proofErr w:type="gramStart"/>
      <w:r>
        <w:t>time</w:t>
      </w:r>
      <w:proofErr w:type="gramEnd"/>
      <w:r>
        <w:t xml:space="preserve"> we see them in a year</w:t>
      </w:r>
      <w:r w:rsidR="554305EE">
        <w:t>.</w:t>
      </w:r>
      <w:r>
        <w:t xml:space="preserve"> </w:t>
      </w:r>
      <w:r w:rsidR="554305EE">
        <w:t>C</w:t>
      </w:r>
      <w:r>
        <w:t>lient numbers are</w:t>
      </w:r>
      <w:r w:rsidR="035E4E16">
        <w:t xml:space="preserve"> consistently</w:t>
      </w:r>
      <w:r>
        <w:t xml:space="preserve"> higher in the first half of the year</w:t>
      </w:r>
      <w:r w:rsidR="554305EE">
        <w:t>,</w:t>
      </w:r>
      <w:r w:rsidR="0F0BDA35">
        <w:t xml:space="preserve"> </w:t>
      </w:r>
      <w:r w:rsidR="554305EE">
        <w:t>h</w:t>
      </w:r>
      <w:r w:rsidR="0F0BDA35">
        <w:t>owever, the increase in courts capacity has meant that we have seen a 13 per cent increase in</w:t>
      </w:r>
      <w:r w:rsidR="035E4E16">
        <w:t xml:space="preserve"> quarter one 2022</w:t>
      </w:r>
      <w:r w:rsidR="035E4E16" w:rsidRPr="56D0BC22">
        <w:rPr>
          <w:lang w:eastAsia="en-AU"/>
        </w:rPr>
        <w:t>–23</w:t>
      </w:r>
      <w:r w:rsidR="0F0BDA35">
        <w:t xml:space="preserve"> </w:t>
      </w:r>
      <w:r w:rsidR="6E8CA207">
        <w:t>compared to quarter one 2021</w:t>
      </w:r>
      <w:r w:rsidR="6E8CA207" w:rsidRPr="56D0BC22">
        <w:rPr>
          <w:lang w:eastAsia="en-AU"/>
        </w:rPr>
        <w:t>–</w:t>
      </w:r>
      <w:r w:rsidR="6E8CA207">
        <w:t xml:space="preserve">22. </w:t>
      </w:r>
      <w:r w:rsidR="22A2CE71">
        <w:t xml:space="preserve">The Q2 projection </w:t>
      </w:r>
      <w:r w:rsidR="51B7C66F">
        <w:t>is less than the actual Q1 result due to</w:t>
      </w:r>
      <w:r w:rsidR="27ED167A">
        <w:t xml:space="preserve"> services </w:t>
      </w:r>
      <w:r w:rsidR="1451491E">
        <w:t xml:space="preserve">being </w:t>
      </w:r>
      <w:r w:rsidR="27ED167A">
        <w:t>providing to</w:t>
      </w:r>
      <w:r w:rsidR="51B7C66F">
        <w:t xml:space="preserve"> re</w:t>
      </w:r>
      <w:r w:rsidR="734621EB">
        <w:t>turned</w:t>
      </w:r>
      <w:r w:rsidR="51B7C66F">
        <w:t xml:space="preserve"> clients and </w:t>
      </w:r>
      <w:r w:rsidR="12D6AF61">
        <w:t>lower demand expected</w:t>
      </w:r>
      <w:r w:rsidR="40692800">
        <w:t xml:space="preserve"> due to public holidays</w:t>
      </w:r>
      <w:r w:rsidR="12D6AF61">
        <w:t>.</w:t>
      </w:r>
    </w:p>
    <w:p w14:paraId="3C21063F" w14:textId="471F1A45"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07"/>
        <w:gridCol w:w="2001"/>
        <w:gridCol w:w="2285"/>
        <w:gridCol w:w="2283"/>
      </w:tblGrid>
      <w:tr w:rsidR="0096755F" w:rsidRPr="000E7EED" w14:paraId="5105FACB" w14:textId="61515848" w:rsidTr="0096755F">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740" w:type="pct"/>
            <w:shd w:val="clear" w:color="auto" w:fill="C3AFCC"/>
          </w:tcPr>
          <w:p w14:paraId="02AC0E7C" w14:textId="77777777" w:rsidR="0096755F" w:rsidRPr="000E7EED" w:rsidRDefault="0096755F"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993" w:type="pct"/>
            <w:shd w:val="clear" w:color="auto" w:fill="C3AFCC"/>
          </w:tcPr>
          <w:p w14:paraId="1DB462B9" w14:textId="13911546" w:rsidR="0096755F" w:rsidRPr="000E7EED" w:rsidRDefault="0096755F" w:rsidP="55245693">
            <w:pPr>
              <w:jc w:val="center"/>
              <w:rPr>
                <w:b/>
                <w:color w:val="000000" w:themeColor="text1"/>
              </w:rPr>
            </w:pPr>
            <w:r w:rsidRPr="55245693">
              <w:rPr>
                <w:b/>
                <w:color w:val="000000" w:themeColor="text1"/>
              </w:rPr>
              <w:t>Q</w:t>
            </w:r>
            <w:r w:rsidR="00CF5F7E">
              <w:rPr>
                <w:b/>
                <w:color w:val="000000" w:themeColor="text1"/>
              </w:rPr>
              <w:t>4</w:t>
            </w:r>
          </w:p>
          <w:p w14:paraId="2C3C051D" w14:textId="1EC69D35" w:rsidR="0096755F" w:rsidRPr="000E7EED" w:rsidRDefault="0096755F" w:rsidP="0039260E">
            <w:pPr>
              <w:jc w:val="center"/>
              <w:rPr>
                <w:color w:val="000000" w:themeColor="text1"/>
              </w:rPr>
            </w:pPr>
            <w:r w:rsidRPr="000E7EED">
              <w:rPr>
                <w:b/>
                <w:color w:val="000000" w:themeColor="text1"/>
              </w:rPr>
              <w:t>20</w:t>
            </w:r>
            <w:r>
              <w:rPr>
                <w:b/>
                <w:color w:val="000000" w:themeColor="text1"/>
              </w:rPr>
              <w:t>2</w:t>
            </w:r>
            <w:r w:rsidR="00CF5F7E">
              <w:rPr>
                <w:b/>
                <w:color w:val="000000" w:themeColor="text1"/>
              </w:rPr>
              <w:t>1</w:t>
            </w:r>
            <w:r>
              <w:rPr>
                <w:b/>
                <w:color w:val="000000" w:themeColor="text1"/>
              </w:rPr>
              <w:t>-2</w:t>
            </w:r>
            <w:r w:rsidR="00CF5F7E">
              <w:rPr>
                <w:b/>
                <w:color w:val="000000" w:themeColor="text1"/>
              </w:rPr>
              <w:t>2</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C3AFCC"/>
          </w:tcPr>
          <w:p w14:paraId="47FD7D32" w14:textId="738C9190" w:rsidR="0096755F" w:rsidRDefault="0096755F" w:rsidP="55245693">
            <w:pPr>
              <w:jc w:val="center"/>
              <w:rPr>
                <w:b/>
                <w:color w:val="000000" w:themeColor="text1"/>
              </w:rPr>
            </w:pPr>
            <w:r w:rsidRPr="55245693">
              <w:rPr>
                <w:b/>
                <w:color w:val="000000" w:themeColor="text1"/>
              </w:rPr>
              <w:t>Q</w:t>
            </w:r>
            <w:r w:rsidR="00CF5F7E">
              <w:rPr>
                <w:b/>
                <w:color w:val="000000" w:themeColor="text1"/>
              </w:rPr>
              <w:t>1</w:t>
            </w:r>
          </w:p>
          <w:p w14:paraId="62B8B011" w14:textId="1C0EA7B5" w:rsidR="0096755F" w:rsidRPr="00A76427" w:rsidRDefault="0096755F" w:rsidP="0039260E">
            <w:pPr>
              <w:jc w:val="center"/>
              <w:rPr>
                <w:b/>
                <w:color w:val="000000" w:themeColor="text1"/>
              </w:rPr>
            </w:pPr>
            <w:r w:rsidRPr="000E7EED">
              <w:rPr>
                <w:b/>
                <w:color w:val="000000" w:themeColor="text1"/>
              </w:rPr>
              <w:t>20</w:t>
            </w:r>
            <w:r>
              <w:rPr>
                <w:b/>
                <w:color w:val="000000" w:themeColor="text1"/>
              </w:rPr>
              <w:t>2</w:t>
            </w:r>
            <w:r w:rsidR="00261BEF">
              <w:rPr>
                <w:b/>
                <w:color w:val="000000" w:themeColor="text1"/>
              </w:rPr>
              <w:t>2</w:t>
            </w:r>
            <w:r>
              <w:rPr>
                <w:b/>
                <w:color w:val="000000" w:themeColor="text1"/>
              </w:rPr>
              <w:t>-2</w:t>
            </w:r>
            <w:r w:rsidR="00261BEF">
              <w:rPr>
                <w:b/>
                <w:color w:val="000000" w:themeColor="text1"/>
              </w:rPr>
              <w:t>3</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C3AFCC"/>
          </w:tcPr>
          <w:p w14:paraId="6B1834FE" w14:textId="2EF767DD" w:rsidR="0096755F" w:rsidRDefault="0096755F" w:rsidP="55245693">
            <w:pPr>
              <w:jc w:val="center"/>
              <w:rPr>
                <w:b/>
                <w:bCs w:val="0"/>
                <w:color w:val="000000" w:themeColor="text1"/>
              </w:rPr>
            </w:pPr>
            <w:r>
              <w:rPr>
                <w:b/>
                <w:color w:val="000000" w:themeColor="text1"/>
              </w:rPr>
              <w:t>Q</w:t>
            </w:r>
            <w:r w:rsidR="00CF5F7E">
              <w:rPr>
                <w:b/>
                <w:color w:val="000000" w:themeColor="text1"/>
              </w:rPr>
              <w:t>2</w:t>
            </w:r>
            <w:r w:rsidR="00440B64">
              <w:rPr>
                <w:b/>
                <w:color w:val="000000" w:themeColor="text1"/>
              </w:rPr>
              <w:t xml:space="preserve"> 20</w:t>
            </w:r>
            <w:r w:rsidR="009F38F4">
              <w:rPr>
                <w:b/>
                <w:color w:val="000000" w:themeColor="text1"/>
              </w:rPr>
              <w:t>2</w:t>
            </w:r>
            <w:r w:rsidR="00CF5F7E">
              <w:rPr>
                <w:b/>
                <w:color w:val="000000" w:themeColor="text1"/>
              </w:rPr>
              <w:t>2</w:t>
            </w:r>
            <w:r w:rsidR="009F38F4">
              <w:rPr>
                <w:b/>
                <w:color w:val="000000" w:themeColor="text1"/>
              </w:rPr>
              <w:t>-2</w:t>
            </w:r>
            <w:r w:rsidR="00CF5F7E">
              <w:rPr>
                <w:b/>
                <w:color w:val="000000" w:themeColor="text1"/>
              </w:rPr>
              <w:t>3</w:t>
            </w:r>
          </w:p>
          <w:p w14:paraId="08B49C60" w14:textId="4461BA4C" w:rsidR="0096755F" w:rsidRPr="55245693" w:rsidRDefault="0096755F" w:rsidP="55245693">
            <w:pPr>
              <w:jc w:val="center"/>
              <w:rPr>
                <w:b/>
                <w:color w:val="000000" w:themeColor="text1"/>
              </w:rPr>
            </w:pPr>
            <w:r>
              <w:rPr>
                <w:b/>
                <w:color w:val="000000" w:themeColor="text1"/>
              </w:rPr>
              <w:t>projection</w:t>
            </w:r>
          </w:p>
        </w:tc>
      </w:tr>
      <w:tr w:rsidR="0096755F" w:rsidRPr="000E7EED" w14:paraId="712E240F" w14:textId="13DFB6AA" w:rsidTr="007C072A">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1740" w:type="pct"/>
          </w:tcPr>
          <w:p w14:paraId="6D73261E" w14:textId="77777777" w:rsidR="0096755F" w:rsidRPr="000E7EED" w:rsidRDefault="0096755F"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993" w:type="pct"/>
          </w:tcPr>
          <w:p w14:paraId="758A4E12" w14:textId="304FC101" w:rsidR="0096755F" w:rsidRPr="000E7EED" w:rsidRDefault="00170E62" w:rsidP="00D54410">
            <w:pPr>
              <w:jc w:val="center"/>
              <w:rPr>
                <w:color w:val="000000" w:themeColor="text1"/>
              </w:rPr>
            </w:pPr>
            <w:r>
              <w:rPr>
                <w:color w:val="000000" w:themeColor="text1"/>
              </w:rPr>
              <w:t>22,529</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D9D9D9" w:themeFill="background1" w:themeFillShade="D9"/>
          </w:tcPr>
          <w:p w14:paraId="5C50A8F1" w14:textId="6CCA8AC7" w:rsidR="0096755F" w:rsidRPr="0021615C" w:rsidRDefault="00EE427E" w:rsidP="0043466F">
            <w:pPr>
              <w:jc w:val="center"/>
            </w:pPr>
            <w:r>
              <w:t>29</w:t>
            </w:r>
            <w:r w:rsidR="000061B6">
              <w:t>,742</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auto"/>
          </w:tcPr>
          <w:p w14:paraId="086F5C8C" w14:textId="2E7570B2" w:rsidR="0096755F" w:rsidRPr="003A61E0" w:rsidRDefault="000D4258" w:rsidP="000D4258">
            <w:pPr>
              <w:jc w:val="center"/>
            </w:pPr>
            <w:r w:rsidRPr="006C42D5">
              <w:t>2</w:t>
            </w:r>
            <w:r w:rsidR="2413380B" w:rsidRPr="006C42D5">
              <w:t>5</w:t>
            </w:r>
            <w:r w:rsidRPr="006C42D5">
              <w:t>,000</w:t>
            </w:r>
          </w:p>
        </w:tc>
      </w:tr>
    </w:tbl>
    <w:bookmarkEnd w:id="0"/>
    <w:p w14:paraId="51F714C9" w14:textId="77777777" w:rsidR="00984A1C" w:rsidRDefault="00991DF5" w:rsidP="002A7FC0">
      <w:pPr>
        <w:spacing w:before="120"/>
      </w:pPr>
      <w:r>
        <w:t xml:space="preserve">As part of our Digital Legal Aid program, </w:t>
      </w:r>
      <w:r w:rsidR="00776E62">
        <w:t>we have transitioned our Legal Help services onto a new delivery platform, Genesys</w:t>
      </w:r>
      <w:r w:rsidR="003F1A40">
        <w:t xml:space="preserve">, to help deliver </w:t>
      </w:r>
      <w:r w:rsidR="00A853CA">
        <w:t>better quality service</w:t>
      </w:r>
      <w:r w:rsidR="00DD6B2F">
        <w:t xml:space="preserve">s </w:t>
      </w:r>
      <w:r w:rsidR="00A853CA">
        <w:t xml:space="preserve">and </w:t>
      </w:r>
      <w:r w:rsidR="00893518">
        <w:t xml:space="preserve">long-term </w:t>
      </w:r>
      <w:r w:rsidR="003F1A40">
        <w:t>efficiencies</w:t>
      </w:r>
      <w:r w:rsidR="00776E62">
        <w:t>.</w:t>
      </w:r>
      <w:r w:rsidR="00893518">
        <w:t xml:space="preserve"> We anticipated that the transition to a new delivery platform would result in fewer services delivered in quarter one as staff would be unavailable to take as many </w:t>
      </w:r>
      <w:proofErr w:type="gramStart"/>
      <w:r w:rsidR="00893518">
        <w:t>calls</w:t>
      </w:r>
      <w:proofErr w:type="gramEnd"/>
      <w:r w:rsidR="00893518">
        <w:t xml:space="preserve"> or answer web chats. However, t</w:t>
      </w:r>
      <w:r w:rsidR="00D258F5">
        <w:t xml:space="preserve">he transition to </w:t>
      </w:r>
      <w:r w:rsidR="00E05125">
        <w:t>Gene</w:t>
      </w:r>
      <w:r w:rsidR="00D258F5">
        <w:t xml:space="preserve">sys </w:t>
      </w:r>
      <w:r w:rsidR="003F2920">
        <w:t>went</w:t>
      </w:r>
      <w:r w:rsidR="00D258F5">
        <w:t xml:space="preserve"> </w:t>
      </w:r>
      <w:r w:rsidR="003F2920">
        <w:t>smoothly</w:t>
      </w:r>
      <w:r w:rsidR="00D258F5">
        <w:t xml:space="preserve"> and </w:t>
      </w:r>
      <w:r w:rsidR="003F2920">
        <w:t xml:space="preserve">staff were able to </w:t>
      </w:r>
      <w:r w:rsidR="00893518">
        <w:t>del</w:t>
      </w:r>
      <w:r w:rsidR="008F4881">
        <w:t>i</w:t>
      </w:r>
      <w:r w:rsidR="00893518">
        <w:t>ver</w:t>
      </w:r>
      <w:r w:rsidR="003F2920">
        <w:t xml:space="preserve"> </w:t>
      </w:r>
      <w:r w:rsidR="00523313">
        <w:t>1</w:t>
      </w:r>
      <w:r w:rsidR="00672F7E">
        <w:t>2</w:t>
      </w:r>
      <w:r w:rsidR="00523313">
        <w:t xml:space="preserve"> per cent </w:t>
      </w:r>
      <w:r w:rsidR="008F4881">
        <w:t>more phonel</w:t>
      </w:r>
      <w:r w:rsidR="00176E13">
        <w:t>i</w:t>
      </w:r>
      <w:r w:rsidR="008F4881">
        <w:t>ne se</w:t>
      </w:r>
      <w:r w:rsidR="00176E13">
        <w:t>ssions</w:t>
      </w:r>
      <w:r w:rsidR="008F4881">
        <w:t xml:space="preserve"> and</w:t>
      </w:r>
      <w:r w:rsidR="008C45DC">
        <w:t xml:space="preserve"> </w:t>
      </w:r>
      <w:r w:rsidR="00672F7E">
        <w:t>20</w:t>
      </w:r>
      <w:r w:rsidR="008C45DC">
        <w:t xml:space="preserve"> per cent </w:t>
      </w:r>
      <w:r w:rsidR="00176E13">
        <w:t>more</w:t>
      </w:r>
      <w:r w:rsidR="008C45DC">
        <w:t xml:space="preserve"> web chat</w:t>
      </w:r>
      <w:r w:rsidR="00176E13">
        <w:t xml:space="preserve"> sessions</w:t>
      </w:r>
      <w:r w:rsidR="00ED5027">
        <w:t xml:space="preserve"> than the previous quarter</w:t>
      </w:r>
      <w:r w:rsidR="008C45DC">
        <w:t>.</w:t>
      </w:r>
      <w:r w:rsidR="007C376B">
        <w:t xml:space="preserve"> </w:t>
      </w:r>
    </w:p>
    <w:p w14:paraId="24FA4924" w14:textId="77777777" w:rsidR="00881695" w:rsidRPr="003F6AEF" w:rsidRDefault="00E115FD" w:rsidP="00E43EE2">
      <w:pPr>
        <w:pStyle w:val="Tableheader"/>
        <w:rPr>
          <w:rFonts w:cs="Times New Roman"/>
          <w:b w:val="0"/>
          <w:sz w:val="22"/>
          <w:lang w:eastAsia="en-US"/>
        </w:rPr>
      </w:pPr>
      <w:r w:rsidRPr="003F6AEF">
        <w:rPr>
          <w:rFonts w:cs="Times New Roman"/>
          <w:b w:val="0"/>
          <w:bCs w:val="0"/>
          <w:sz w:val="22"/>
          <w:lang w:eastAsia="en-US"/>
        </w:rPr>
        <w:t xml:space="preserve">The average wait time </w:t>
      </w:r>
      <w:r w:rsidR="007A5AEB" w:rsidRPr="003F6AEF">
        <w:rPr>
          <w:rFonts w:cs="Times New Roman"/>
          <w:b w:val="0"/>
          <w:bCs w:val="0"/>
          <w:sz w:val="22"/>
          <w:lang w:eastAsia="en-US"/>
        </w:rPr>
        <w:t>increased by 54 seconds</w:t>
      </w:r>
      <w:r w:rsidR="00BF0369" w:rsidRPr="003F6AEF">
        <w:rPr>
          <w:rFonts w:cs="Times New Roman"/>
          <w:b w:val="0"/>
          <w:bCs w:val="0"/>
          <w:sz w:val="22"/>
          <w:lang w:eastAsia="en-US"/>
        </w:rPr>
        <w:t>, which is an increase of</w:t>
      </w:r>
      <w:r w:rsidR="00984A1C" w:rsidRPr="003F6AEF">
        <w:rPr>
          <w:rFonts w:cs="Times New Roman"/>
          <w:b w:val="0"/>
          <w:bCs w:val="0"/>
          <w:sz w:val="22"/>
          <w:lang w:eastAsia="en-US"/>
        </w:rPr>
        <w:t xml:space="preserve"> eight per cent. However,</w:t>
      </w:r>
      <w:r w:rsidR="007A5AEB" w:rsidRPr="003F6AEF">
        <w:rPr>
          <w:rFonts w:cs="Times New Roman"/>
          <w:b w:val="0"/>
          <w:bCs w:val="0"/>
          <w:sz w:val="22"/>
          <w:lang w:eastAsia="en-US"/>
        </w:rPr>
        <w:t xml:space="preserve"> as more staff were avai</w:t>
      </w:r>
      <w:r w:rsidR="00EB3B76" w:rsidRPr="003F6AEF">
        <w:rPr>
          <w:rFonts w:cs="Times New Roman"/>
          <w:b w:val="0"/>
          <w:bCs w:val="0"/>
          <w:sz w:val="22"/>
          <w:lang w:eastAsia="en-US"/>
        </w:rPr>
        <w:t>la</w:t>
      </w:r>
      <w:r w:rsidR="007A5AEB" w:rsidRPr="003F6AEF">
        <w:rPr>
          <w:rFonts w:cs="Times New Roman"/>
          <w:b w:val="0"/>
          <w:bCs w:val="0"/>
          <w:sz w:val="22"/>
          <w:lang w:eastAsia="en-US"/>
        </w:rPr>
        <w:t>ble to take calls and chats than we anticipated</w:t>
      </w:r>
      <w:r w:rsidR="00984A1C" w:rsidRPr="003F6AEF">
        <w:rPr>
          <w:rFonts w:cs="Times New Roman"/>
          <w:b w:val="0"/>
          <w:bCs w:val="0"/>
          <w:sz w:val="22"/>
          <w:lang w:eastAsia="en-US"/>
        </w:rPr>
        <w:t>, this is a better result than we had previously projected</w:t>
      </w:r>
      <w:r w:rsidR="00EB3B76" w:rsidRPr="003F6AEF">
        <w:rPr>
          <w:rFonts w:cs="Times New Roman"/>
          <w:b w:val="0"/>
          <w:bCs w:val="0"/>
          <w:sz w:val="22"/>
          <w:lang w:eastAsia="en-US"/>
        </w:rPr>
        <w:t>.</w:t>
      </w:r>
      <w:r w:rsidR="0005145E" w:rsidRPr="003F6AEF">
        <w:rPr>
          <w:rFonts w:cs="Times New Roman"/>
          <w:b w:val="0"/>
          <w:bCs w:val="0"/>
          <w:sz w:val="22"/>
          <w:lang w:eastAsia="en-US"/>
        </w:rPr>
        <w:t xml:space="preserve"> </w:t>
      </w:r>
      <w:r w:rsidR="00465CCA" w:rsidRPr="003F6AEF">
        <w:rPr>
          <w:rFonts w:cs="Times New Roman"/>
          <w:b w:val="0"/>
          <w:sz w:val="22"/>
          <w:lang w:eastAsia="en-US"/>
        </w:rPr>
        <w:t>The quarter two projections are based on full-year projections for 2022–23, which accounted for the rollout of Genesys to still be taking place.</w:t>
      </w:r>
      <w:r w:rsidR="0005145E" w:rsidRPr="003F6AEF">
        <w:rPr>
          <w:rFonts w:cs="Times New Roman"/>
          <w:b w:val="0"/>
          <w:bCs w:val="0"/>
          <w:sz w:val="22"/>
          <w:lang w:eastAsia="en-US"/>
        </w:rPr>
        <w:t xml:space="preserve"> </w:t>
      </w:r>
    </w:p>
    <w:p w14:paraId="71C1B22F" w14:textId="2B20D0E2" w:rsidR="00E43EE2" w:rsidRDefault="007C1487" w:rsidP="00E43EE2">
      <w:pPr>
        <w:pStyle w:val="Tableheader"/>
      </w:pPr>
      <w:bookmarkStart w:id="1" w:name="_Hlk52886498"/>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22"/>
        <w:gridCol w:w="1659"/>
        <w:gridCol w:w="1659"/>
        <w:gridCol w:w="1916"/>
        <w:gridCol w:w="1916"/>
      </w:tblGrid>
      <w:tr w:rsidR="00CF5F7E" w:rsidRPr="000E7EED" w14:paraId="610BF466" w14:textId="21499514" w:rsidTr="00FA1822">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922" w:type="dxa"/>
            <w:shd w:val="clear" w:color="auto" w:fill="C4B0CC"/>
          </w:tcPr>
          <w:p w14:paraId="685BCF7D" w14:textId="306AA6B1" w:rsidR="00CF5F7E" w:rsidRPr="000E7EED" w:rsidRDefault="00CF5F7E" w:rsidP="00CF5F7E">
            <w:pPr>
              <w:rPr>
                <w:color w:val="000000" w:themeColor="text1"/>
              </w:rPr>
            </w:pPr>
            <w:bookmarkStart w:id="2"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659" w:type="dxa"/>
            <w:shd w:val="clear" w:color="auto" w:fill="C3AFCC"/>
          </w:tcPr>
          <w:p w14:paraId="7CEF1135" w14:textId="57655427" w:rsidR="00CF5F7E" w:rsidRPr="55245693" w:rsidRDefault="00CF5F7E" w:rsidP="00CF5F7E">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1659" w:type="dxa"/>
            <w:shd w:val="clear" w:color="auto" w:fill="C3AFCC"/>
          </w:tcPr>
          <w:p w14:paraId="0EB41CF9" w14:textId="77777777" w:rsidR="00CF5F7E" w:rsidRPr="000E7EED" w:rsidRDefault="00CF5F7E" w:rsidP="00CF5F7E">
            <w:pPr>
              <w:jc w:val="center"/>
              <w:rPr>
                <w:b/>
                <w:color w:val="000000" w:themeColor="text1"/>
              </w:rPr>
            </w:pPr>
            <w:r w:rsidRPr="55245693">
              <w:rPr>
                <w:b/>
                <w:color w:val="000000" w:themeColor="text1"/>
              </w:rPr>
              <w:t>Q</w:t>
            </w:r>
            <w:r>
              <w:rPr>
                <w:b/>
                <w:color w:val="000000" w:themeColor="text1"/>
              </w:rPr>
              <w:t>4</w:t>
            </w:r>
          </w:p>
          <w:p w14:paraId="537B5889" w14:textId="2EC82DFC" w:rsidR="00CF5F7E" w:rsidRPr="000E7EED" w:rsidRDefault="00CF5F7E" w:rsidP="00CF5F7E">
            <w:pPr>
              <w:jc w:val="center"/>
              <w:rPr>
                <w:color w:val="000000" w:themeColor="text1"/>
              </w:rPr>
            </w:pPr>
            <w:r w:rsidRPr="000E7EED">
              <w:rPr>
                <w:b/>
                <w:color w:val="000000" w:themeColor="text1"/>
              </w:rPr>
              <w:t>20</w:t>
            </w:r>
            <w:r>
              <w:rPr>
                <w:b/>
                <w:color w:val="000000" w:themeColor="text1"/>
              </w:rPr>
              <w:t>21-22</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C3AFCC"/>
          </w:tcPr>
          <w:p w14:paraId="178FE15F" w14:textId="77777777" w:rsidR="00CF5F7E" w:rsidRDefault="00CF5F7E" w:rsidP="00CF5F7E">
            <w:pPr>
              <w:jc w:val="center"/>
              <w:rPr>
                <w:b/>
                <w:color w:val="000000" w:themeColor="text1"/>
              </w:rPr>
            </w:pPr>
            <w:r w:rsidRPr="55245693">
              <w:rPr>
                <w:b/>
                <w:color w:val="000000" w:themeColor="text1"/>
              </w:rPr>
              <w:t>Q</w:t>
            </w:r>
            <w:r>
              <w:rPr>
                <w:b/>
                <w:color w:val="000000" w:themeColor="text1"/>
              </w:rPr>
              <w:t>1</w:t>
            </w:r>
          </w:p>
          <w:p w14:paraId="7F054B76" w14:textId="05C5BE00" w:rsidR="00CF5F7E" w:rsidRPr="00A76427" w:rsidRDefault="00CF5F7E" w:rsidP="00CF5F7E">
            <w:pPr>
              <w:jc w:val="center"/>
              <w:rPr>
                <w:b/>
                <w:color w:val="000000" w:themeColor="text1"/>
              </w:rPr>
            </w:pPr>
            <w:r w:rsidRPr="000E7EED">
              <w:rPr>
                <w:b/>
                <w:color w:val="000000" w:themeColor="text1"/>
              </w:rPr>
              <w:t>20</w:t>
            </w:r>
            <w:r>
              <w:rPr>
                <w:b/>
                <w:color w:val="000000" w:themeColor="text1"/>
              </w:rPr>
              <w:t>22-23</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C3AFCC"/>
          </w:tcPr>
          <w:p w14:paraId="18F30DB4" w14:textId="77777777" w:rsidR="00CF5F7E" w:rsidRDefault="00CF5F7E" w:rsidP="00CF5F7E">
            <w:pPr>
              <w:jc w:val="center"/>
              <w:rPr>
                <w:b/>
                <w:bCs w:val="0"/>
                <w:color w:val="000000" w:themeColor="text1"/>
              </w:rPr>
            </w:pPr>
            <w:r>
              <w:rPr>
                <w:b/>
                <w:color w:val="000000" w:themeColor="text1"/>
              </w:rPr>
              <w:t>Q2 2022-23</w:t>
            </w:r>
          </w:p>
          <w:p w14:paraId="1EE8EA13" w14:textId="3F616292" w:rsidR="00CF5F7E" w:rsidRPr="55245693" w:rsidRDefault="00CF5F7E" w:rsidP="00CF5F7E">
            <w:pPr>
              <w:jc w:val="center"/>
              <w:rPr>
                <w:b/>
                <w:color w:val="000000" w:themeColor="text1"/>
              </w:rPr>
            </w:pPr>
            <w:r>
              <w:rPr>
                <w:b/>
                <w:color w:val="000000" w:themeColor="text1"/>
              </w:rPr>
              <w:t>projection</w:t>
            </w:r>
          </w:p>
        </w:tc>
      </w:tr>
      <w:tr w:rsidR="00E94FBD" w:rsidRPr="000E7EED" w14:paraId="673A80E6" w14:textId="68688B27" w:rsidTr="00E94FBD">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val="restart"/>
          </w:tcPr>
          <w:p w14:paraId="22ABC519" w14:textId="103D0FC9" w:rsidR="00E94FBD" w:rsidRPr="001F0CF5" w:rsidRDefault="00E94FBD" w:rsidP="00E94FBD">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1659" w:type="dxa"/>
          </w:tcPr>
          <w:p w14:paraId="50E1615B" w14:textId="185CA98D" w:rsidR="00E94FBD" w:rsidRPr="000E7EED" w:rsidRDefault="00E94FBD" w:rsidP="00E94FBD">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659" w:type="dxa"/>
            <w:shd w:val="clear" w:color="auto" w:fill="auto"/>
            <w:vAlign w:val="center"/>
          </w:tcPr>
          <w:p w14:paraId="32B513F8" w14:textId="68F3ABCF" w:rsidR="00E94FBD" w:rsidRPr="000E7EED" w:rsidRDefault="00E94FBD" w:rsidP="00E94FBD">
            <w:pPr>
              <w:jc w:val="center"/>
              <w:rPr>
                <w:color w:val="000000" w:themeColor="text1"/>
              </w:rPr>
            </w:pPr>
            <w:r w:rsidRPr="0019660E">
              <w:rPr>
                <w:rStyle w:val="normaltextrun"/>
                <w:rFonts w:cs="Arial"/>
                <w:szCs w:val="22"/>
              </w:rPr>
              <w:t>32</w:t>
            </w:r>
            <w:r>
              <w:rPr>
                <w:rStyle w:val="normaltextrun"/>
                <w:rFonts w:cs="Arial"/>
                <w:szCs w:val="22"/>
              </w:rPr>
              <w:t>,</w:t>
            </w:r>
            <w:r w:rsidRPr="0019660E">
              <w:rPr>
                <w:rStyle w:val="normaltextrun"/>
                <w:rFonts w:cs="Arial"/>
                <w:szCs w:val="22"/>
              </w:rPr>
              <w:t>153</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12828136" w14:textId="44470D1C" w:rsidR="00E94FBD" w:rsidRPr="00E94FBD" w:rsidRDefault="00E94FBD" w:rsidP="00E94FBD">
            <w:pPr>
              <w:jc w:val="center"/>
              <w:rPr>
                <w:rStyle w:val="normaltextrun"/>
                <w:rFonts w:cs="Arial"/>
                <w:szCs w:val="22"/>
              </w:rPr>
            </w:pPr>
            <w:r w:rsidRPr="00E94FBD">
              <w:rPr>
                <w:rStyle w:val="normaltextrun"/>
                <w:rFonts w:cs="Arial"/>
                <w:szCs w:val="22"/>
              </w:rPr>
              <w:t>35</w:t>
            </w:r>
            <w:r>
              <w:rPr>
                <w:rStyle w:val="normaltextrun"/>
                <w:rFonts w:cs="Arial"/>
                <w:szCs w:val="22"/>
              </w:rPr>
              <w:t>,</w:t>
            </w:r>
            <w:r w:rsidRPr="00E94FBD">
              <w:rPr>
                <w:rStyle w:val="normaltextrun"/>
                <w:rFonts w:cs="Arial"/>
                <w:szCs w:val="22"/>
              </w:rPr>
              <w:t>698</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0DAF5679" w14:textId="3476B8A1" w:rsidR="00E94FBD" w:rsidRPr="00E94FBD" w:rsidRDefault="00E94FBD" w:rsidP="00E94FBD">
            <w:pPr>
              <w:jc w:val="center"/>
              <w:rPr>
                <w:rStyle w:val="normaltextrun"/>
                <w:rFonts w:cs="Arial"/>
                <w:szCs w:val="22"/>
              </w:rPr>
            </w:pPr>
            <w:r w:rsidRPr="00E94FBD">
              <w:rPr>
                <w:rStyle w:val="normaltextrun"/>
                <w:rFonts w:cs="Arial"/>
                <w:szCs w:val="22"/>
              </w:rPr>
              <w:t>34</w:t>
            </w:r>
            <w:r>
              <w:rPr>
                <w:rStyle w:val="normaltextrun"/>
                <w:rFonts w:cs="Arial"/>
                <w:szCs w:val="22"/>
              </w:rPr>
              <w:t>,</w:t>
            </w:r>
            <w:r w:rsidR="000D4258">
              <w:rPr>
                <w:rStyle w:val="normaltextrun"/>
                <w:rFonts w:cs="Arial"/>
                <w:szCs w:val="22"/>
              </w:rPr>
              <w:t>000</w:t>
            </w:r>
          </w:p>
        </w:tc>
      </w:tr>
      <w:tr w:rsidR="00E94FBD" w:rsidRPr="000E7EED" w14:paraId="1B8D8858" w14:textId="1A952ABD" w:rsidTr="00E94FBD">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tcPr>
          <w:p w14:paraId="6FE97750" w14:textId="77777777" w:rsidR="00E94FBD" w:rsidRPr="001F0CF5" w:rsidRDefault="00E94FBD" w:rsidP="00E94FBD">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tcBorders>
          </w:tcPr>
          <w:p w14:paraId="6A9325D5" w14:textId="17639081" w:rsidR="00E94FBD" w:rsidRPr="000E7EED" w:rsidRDefault="00E94FBD" w:rsidP="00E94FBD">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659" w:type="dxa"/>
            <w:tcBorders>
              <w:bottom w:val="single" w:sz="4" w:space="0" w:color="7F7F7F" w:themeColor="text1" w:themeTint="80"/>
            </w:tcBorders>
            <w:shd w:val="clear" w:color="auto" w:fill="auto"/>
            <w:vAlign w:val="center"/>
          </w:tcPr>
          <w:p w14:paraId="2A1F3A44" w14:textId="671317BD" w:rsidR="00E94FBD" w:rsidRPr="000E7EED" w:rsidRDefault="00E94FBD" w:rsidP="00E94FBD">
            <w:pPr>
              <w:jc w:val="center"/>
              <w:rPr>
                <w:color w:val="000000" w:themeColor="text1"/>
              </w:rPr>
            </w:pPr>
            <w:r w:rsidRPr="0019660E">
              <w:rPr>
                <w:rStyle w:val="normaltextrun"/>
                <w:rFonts w:cs="Arial"/>
                <w:szCs w:val="22"/>
              </w:rPr>
              <w:t>9</w:t>
            </w:r>
            <w:r>
              <w:rPr>
                <w:rStyle w:val="normaltextrun"/>
                <w:rFonts w:cs="Arial"/>
                <w:szCs w:val="22"/>
              </w:rPr>
              <w:t>,</w:t>
            </w:r>
            <w:r w:rsidRPr="0019660E">
              <w:rPr>
                <w:rStyle w:val="normaltextrun"/>
                <w:rFonts w:cs="Arial"/>
                <w:szCs w:val="22"/>
              </w:rPr>
              <w:t>114</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0B0B0D09" w14:textId="74CEBEB7" w:rsidR="00E94FBD" w:rsidRPr="00E94FBD" w:rsidRDefault="00E94FBD" w:rsidP="00E94FBD">
            <w:pPr>
              <w:jc w:val="center"/>
              <w:rPr>
                <w:rStyle w:val="normaltextrun"/>
                <w:rFonts w:cs="Arial"/>
                <w:szCs w:val="22"/>
              </w:rPr>
            </w:pPr>
            <w:r w:rsidRPr="00E94FBD">
              <w:rPr>
                <w:rStyle w:val="normaltextrun"/>
                <w:rFonts w:cs="Arial"/>
                <w:szCs w:val="22"/>
              </w:rPr>
              <w:t>10</w:t>
            </w:r>
            <w:r>
              <w:rPr>
                <w:rStyle w:val="normaltextrun"/>
                <w:rFonts w:cs="Arial"/>
                <w:szCs w:val="22"/>
              </w:rPr>
              <w:t>,</w:t>
            </w:r>
            <w:r w:rsidRPr="00E94FBD">
              <w:rPr>
                <w:rStyle w:val="normaltextrun"/>
                <w:rFonts w:cs="Arial"/>
                <w:szCs w:val="22"/>
              </w:rPr>
              <w:t>580</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679552C6" w14:textId="480D83EF" w:rsidR="00E94FBD" w:rsidRPr="00E94FBD" w:rsidRDefault="00E94FBD" w:rsidP="00E94FBD">
            <w:pPr>
              <w:jc w:val="center"/>
              <w:rPr>
                <w:rStyle w:val="normaltextrun"/>
                <w:rFonts w:cs="Arial"/>
                <w:szCs w:val="22"/>
              </w:rPr>
            </w:pPr>
            <w:r w:rsidRPr="00E94FBD">
              <w:rPr>
                <w:rStyle w:val="normaltextrun"/>
                <w:rFonts w:cs="Arial"/>
                <w:szCs w:val="22"/>
              </w:rPr>
              <w:t>9</w:t>
            </w:r>
            <w:r>
              <w:rPr>
                <w:rStyle w:val="normaltextrun"/>
                <w:rFonts w:cs="Arial"/>
                <w:szCs w:val="22"/>
              </w:rPr>
              <w:t>,</w:t>
            </w:r>
            <w:r w:rsidRPr="00E94FBD">
              <w:rPr>
                <w:rStyle w:val="normaltextrun"/>
                <w:rFonts w:cs="Arial"/>
                <w:szCs w:val="22"/>
              </w:rPr>
              <w:t>000</w:t>
            </w:r>
          </w:p>
        </w:tc>
      </w:tr>
      <w:tr w:rsidR="00E94FBD" w:rsidRPr="000E7EED" w14:paraId="63EA8C9D" w14:textId="66956605" w:rsidTr="00E94FBD">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val="restart"/>
          </w:tcPr>
          <w:p w14:paraId="343F4B5B" w14:textId="11A27AD7" w:rsidR="00E94FBD" w:rsidRPr="001F0CF5" w:rsidRDefault="00E94FBD" w:rsidP="00E94FBD">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659" w:type="dxa"/>
          </w:tcPr>
          <w:p w14:paraId="2AA551BD" w14:textId="762B83B8" w:rsidR="00E94FBD" w:rsidRPr="000E7EED" w:rsidRDefault="00E94FBD" w:rsidP="00E94FBD">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659" w:type="dxa"/>
            <w:tcBorders>
              <w:top w:val="single" w:sz="4" w:space="0" w:color="auto"/>
            </w:tcBorders>
            <w:shd w:val="clear" w:color="auto" w:fill="auto"/>
            <w:vAlign w:val="center"/>
          </w:tcPr>
          <w:p w14:paraId="7B3AC051" w14:textId="62828AF2" w:rsidR="00E94FBD" w:rsidRPr="000E7EED" w:rsidRDefault="00E94FBD" w:rsidP="00E94FBD">
            <w:pPr>
              <w:jc w:val="center"/>
              <w:rPr>
                <w:color w:val="000000" w:themeColor="text1"/>
              </w:rPr>
            </w:pPr>
            <w:r w:rsidRPr="0019660E">
              <w:rPr>
                <w:rStyle w:val="normaltextrun"/>
                <w:rFonts w:cs="Arial"/>
                <w:szCs w:val="22"/>
              </w:rPr>
              <w:t>19</w:t>
            </w:r>
            <w:r>
              <w:rPr>
                <w:rStyle w:val="normaltextrun"/>
                <w:rFonts w:cs="Arial"/>
                <w:szCs w:val="22"/>
              </w:rPr>
              <w:t>,</w:t>
            </w:r>
            <w:r w:rsidRPr="0019660E">
              <w:rPr>
                <w:rStyle w:val="normaltextrun"/>
                <w:rFonts w:cs="Arial"/>
                <w:szCs w:val="22"/>
              </w:rPr>
              <w:t>681</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0C7F4A16" w14:textId="3A7760A0" w:rsidR="00E94FBD" w:rsidRPr="00E94FBD" w:rsidRDefault="00E94FBD" w:rsidP="00E94FBD">
            <w:pPr>
              <w:jc w:val="center"/>
              <w:rPr>
                <w:rStyle w:val="normaltextrun"/>
                <w:rFonts w:cs="Arial"/>
                <w:szCs w:val="22"/>
              </w:rPr>
            </w:pPr>
            <w:r w:rsidRPr="00E94FBD">
              <w:rPr>
                <w:rStyle w:val="normaltextrun"/>
                <w:rFonts w:cs="Arial"/>
                <w:szCs w:val="22"/>
              </w:rPr>
              <w:t>22</w:t>
            </w:r>
            <w:r>
              <w:rPr>
                <w:rStyle w:val="normaltextrun"/>
                <w:rFonts w:cs="Arial"/>
                <w:szCs w:val="22"/>
              </w:rPr>
              <w:t>,</w:t>
            </w:r>
            <w:r w:rsidRPr="00E94FBD">
              <w:rPr>
                <w:rStyle w:val="normaltextrun"/>
                <w:rFonts w:cs="Arial"/>
                <w:szCs w:val="22"/>
              </w:rPr>
              <w:t>041</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0C77C3D5" w14:textId="6AEED462" w:rsidR="00E94FBD" w:rsidRPr="00E94FBD" w:rsidRDefault="00E94FBD" w:rsidP="00E94FBD">
            <w:pPr>
              <w:jc w:val="center"/>
              <w:rPr>
                <w:rStyle w:val="normaltextrun"/>
                <w:rFonts w:cs="Arial"/>
                <w:szCs w:val="22"/>
              </w:rPr>
            </w:pPr>
            <w:r w:rsidRPr="00E94FBD">
              <w:rPr>
                <w:rStyle w:val="normaltextrun"/>
                <w:rFonts w:cs="Arial"/>
                <w:szCs w:val="22"/>
              </w:rPr>
              <w:t>19</w:t>
            </w:r>
            <w:r>
              <w:rPr>
                <w:rStyle w:val="normaltextrun"/>
                <w:rFonts w:cs="Arial"/>
                <w:szCs w:val="22"/>
              </w:rPr>
              <w:t>,</w:t>
            </w:r>
            <w:r w:rsidR="000D4258">
              <w:rPr>
                <w:rStyle w:val="normaltextrun"/>
                <w:rFonts w:cs="Arial"/>
                <w:szCs w:val="22"/>
              </w:rPr>
              <w:t>500</w:t>
            </w:r>
          </w:p>
        </w:tc>
      </w:tr>
      <w:tr w:rsidR="00E94FBD" w:rsidRPr="000E7EED" w14:paraId="7DCD8807" w14:textId="69A07913" w:rsidTr="00E94FBD">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vMerge/>
          </w:tcPr>
          <w:p w14:paraId="58C5451E" w14:textId="77777777" w:rsidR="00E94FBD" w:rsidRDefault="00E94FBD" w:rsidP="00E94FBD">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bottom w:val="single" w:sz="4" w:space="0" w:color="7F7F7F" w:themeColor="text1" w:themeTint="80"/>
            </w:tcBorders>
          </w:tcPr>
          <w:p w14:paraId="22F965B2" w14:textId="769783D4" w:rsidR="00E94FBD" w:rsidRPr="000E7EED" w:rsidRDefault="00E94FBD" w:rsidP="00E94FBD">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659" w:type="dxa"/>
            <w:tcBorders>
              <w:bottom w:val="none" w:sz="0" w:space="0" w:color="auto"/>
            </w:tcBorders>
            <w:shd w:val="clear" w:color="auto" w:fill="auto"/>
            <w:vAlign w:val="center"/>
          </w:tcPr>
          <w:p w14:paraId="54BF1051" w14:textId="45194539" w:rsidR="00E94FBD" w:rsidRPr="000E7EED" w:rsidRDefault="00E94FBD" w:rsidP="00E94FBD">
            <w:pPr>
              <w:jc w:val="center"/>
              <w:rPr>
                <w:color w:val="000000" w:themeColor="text1"/>
              </w:rPr>
            </w:pPr>
            <w:r w:rsidRPr="0019660E">
              <w:rPr>
                <w:rStyle w:val="normaltextrun"/>
                <w:rFonts w:cs="Arial"/>
                <w:szCs w:val="22"/>
              </w:rPr>
              <w:t>8</w:t>
            </w:r>
            <w:r>
              <w:rPr>
                <w:rStyle w:val="normaltextrun"/>
                <w:rFonts w:cs="Arial"/>
                <w:szCs w:val="22"/>
              </w:rPr>
              <w:t>,</w:t>
            </w:r>
            <w:r w:rsidRPr="0019660E">
              <w:rPr>
                <w:rStyle w:val="normaltextrun"/>
                <w:rFonts w:cs="Arial"/>
                <w:szCs w:val="22"/>
              </w:rPr>
              <w:t>678</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40E1C52C" w14:textId="10C2B491" w:rsidR="00E94FBD" w:rsidRPr="00E94FBD" w:rsidRDefault="00E94FBD" w:rsidP="00E94FBD">
            <w:pPr>
              <w:jc w:val="center"/>
              <w:rPr>
                <w:rStyle w:val="normaltextrun"/>
                <w:rFonts w:cs="Arial"/>
                <w:szCs w:val="22"/>
              </w:rPr>
            </w:pPr>
            <w:r w:rsidRPr="00E94FBD">
              <w:rPr>
                <w:rStyle w:val="normaltextrun"/>
                <w:rFonts w:cs="Arial"/>
                <w:szCs w:val="22"/>
              </w:rPr>
              <w:t>10</w:t>
            </w:r>
            <w:r>
              <w:rPr>
                <w:rStyle w:val="normaltextrun"/>
                <w:rFonts w:cs="Arial"/>
                <w:szCs w:val="22"/>
              </w:rPr>
              <w:t>,</w:t>
            </w:r>
            <w:r w:rsidRPr="00E94FBD">
              <w:rPr>
                <w:rStyle w:val="normaltextrun"/>
                <w:rFonts w:cs="Arial"/>
                <w:szCs w:val="22"/>
              </w:rPr>
              <w:t>359</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4C51BEAB" w14:textId="4B074BA4" w:rsidR="00E94FBD" w:rsidRPr="00E94FBD" w:rsidRDefault="00E94FBD" w:rsidP="00E94FBD">
            <w:pPr>
              <w:jc w:val="center"/>
              <w:rPr>
                <w:rStyle w:val="normaltextrun"/>
                <w:rFonts w:cs="Arial"/>
                <w:szCs w:val="22"/>
              </w:rPr>
            </w:pPr>
            <w:r w:rsidRPr="00E94FBD">
              <w:rPr>
                <w:rStyle w:val="normaltextrun"/>
                <w:rFonts w:cs="Arial"/>
                <w:szCs w:val="22"/>
              </w:rPr>
              <w:t>8</w:t>
            </w:r>
            <w:r>
              <w:rPr>
                <w:rStyle w:val="normaltextrun"/>
                <w:rFonts w:cs="Arial"/>
                <w:szCs w:val="22"/>
              </w:rPr>
              <w:t>,</w:t>
            </w:r>
            <w:r w:rsidR="000D4258">
              <w:rPr>
                <w:rStyle w:val="normaltextrun"/>
                <w:rFonts w:cs="Arial"/>
                <w:szCs w:val="22"/>
              </w:rPr>
              <w:t>00</w:t>
            </w:r>
            <w:r w:rsidR="005F6B32">
              <w:rPr>
                <w:rStyle w:val="normaltextrun"/>
                <w:rFonts w:cs="Arial"/>
                <w:szCs w:val="22"/>
              </w:rPr>
              <w:t>0</w:t>
            </w:r>
          </w:p>
        </w:tc>
      </w:tr>
      <w:tr w:rsidR="00E94FBD" w:rsidRPr="000E7EED" w14:paraId="158AADBC" w14:textId="77777777" w:rsidTr="00E94FBD">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22" w:type="dxa"/>
          </w:tcPr>
          <w:p w14:paraId="4CDC4050" w14:textId="5A0FC0F2" w:rsidR="00E94FBD" w:rsidRDefault="00E94FBD" w:rsidP="00E94FBD">
            <w:pPr>
              <w:rPr>
                <w:color w:val="000000" w:themeColor="text1"/>
              </w:rPr>
            </w:pPr>
            <w:r>
              <w:rPr>
                <w:color w:val="000000" w:themeColor="text1"/>
              </w:rPr>
              <w:t xml:space="preserve">Average </w:t>
            </w:r>
            <w:r w:rsidR="005B5C91">
              <w:rPr>
                <w:color w:val="000000" w:themeColor="text1"/>
              </w:rPr>
              <w:t>wait time</w:t>
            </w:r>
            <w:r>
              <w:rPr>
                <w:color w:val="000000" w:themeColor="text1"/>
              </w:rPr>
              <w:t xml:space="preserve"> (minutes)</w:t>
            </w:r>
          </w:p>
        </w:tc>
        <w:tc>
          <w:tcPr>
            <w:cnfStyle w:val="000001000000" w:firstRow="0" w:lastRow="0" w:firstColumn="0" w:lastColumn="0" w:oddVBand="0" w:evenVBand="1" w:oddHBand="0" w:evenHBand="0" w:firstRowFirstColumn="0" w:firstRowLastColumn="0" w:lastRowFirstColumn="0" w:lastRowLastColumn="0"/>
            <w:tcW w:w="1659" w:type="dxa"/>
          </w:tcPr>
          <w:p w14:paraId="389C20F1" w14:textId="78A28DC7" w:rsidR="00E94FBD" w:rsidRDefault="00E94FBD" w:rsidP="00E94FBD">
            <w:pPr>
              <w:rPr>
                <w:color w:val="000000" w:themeColor="text1"/>
              </w:rPr>
            </w:pPr>
            <w:r>
              <w:rPr>
                <w:color w:val="000000" w:themeColor="text1"/>
              </w:rPr>
              <w:t>Phoneline and web chat (consolidated)</w:t>
            </w:r>
          </w:p>
        </w:tc>
        <w:tc>
          <w:tcPr>
            <w:cnfStyle w:val="000010000000" w:firstRow="0" w:lastRow="0" w:firstColumn="0" w:lastColumn="0" w:oddVBand="1" w:evenVBand="0" w:oddHBand="0" w:evenHBand="0" w:firstRowFirstColumn="0" w:firstRowLastColumn="0" w:lastRowFirstColumn="0" w:lastRowLastColumn="0"/>
            <w:tcW w:w="1659" w:type="dxa"/>
            <w:tcBorders>
              <w:bottom w:val="single" w:sz="4" w:space="0" w:color="7F7F7F" w:themeColor="text1" w:themeTint="80"/>
            </w:tcBorders>
            <w:shd w:val="clear" w:color="auto" w:fill="auto"/>
            <w:vAlign w:val="center"/>
          </w:tcPr>
          <w:p w14:paraId="58A89C42" w14:textId="75817757" w:rsidR="00E94FBD" w:rsidRDefault="00E94FBD" w:rsidP="00E94FBD">
            <w:pPr>
              <w:jc w:val="center"/>
            </w:pPr>
            <w:r w:rsidRPr="0019660E">
              <w:rPr>
                <w:rStyle w:val="normaltextrun"/>
                <w:rFonts w:cs="Arial"/>
                <w:szCs w:val="22"/>
              </w:rPr>
              <w:t>11:01</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vAlign w:val="center"/>
          </w:tcPr>
          <w:p w14:paraId="577F8098" w14:textId="0230EEBB" w:rsidR="00E94FBD" w:rsidRPr="00E94FBD" w:rsidRDefault="23AB582D" w:rsidP="00E94FBD">
            <w:pPr>
              <w:jc w:val="center"/>
              <w:rPr>
                <w:rStyle w:val="normaltextrun"/>
                <w:rFonts w:cs="Arial"/>
              </w:rPr>
            </w:pPr>
            <w:r w:rsidRPr="3563B3DB">
              <w:rPr>
                <w:rStyle w:val="normaltextrun"/>
                <w:rFonts w:cs="Arial"/>
              </w:rPr>
              <w:t>11.55</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vAlign w:val="center"/>
          </w:tcPr>
          <w:p w14:paraId="51752148" w14:textId="489B56E6" w:rsidR="00E94FBD" w:rsidRPr="00E94FBD" w:rsidRDefault="00E94FBD" w:rsidP="00E94FBD">
            <w:pPr>
              <w:jc w:val="center"/>
              <w:rPr>
                <w:rStyle w:val="normaltextrun"/>
                <w:rFonts w:cs="Arial"/>
                <w:szCs w:val="22"/>
              </w:rPr>
            </w:pPr>
            <w:r w:rsidRPr="00E94FBD">
              <w:rPr>
                <w:rStyle w:val="normaltextrun"/>
                <w:rFonts w:cs="Arial"/>
                <w:szCs w:val="22"/>
              </w:rPr>
              <w:t>13:20</w:t>
            </w:r>
          </w:p>
        </w:tc>
      </w:tr>
    </w:tbl>
    <w:bookmarkEnd w:id="1"/>
    <w:bookmarkEnd w:id="2"/>
    <w:p w14:paraId="4CE3D7C7" w14:textId="17A1FFB2" w:rsidR="00FA1822" w:rsidRDefault="00955F25" w:rsidP="00FA1822">
      <w:pPr>
        <w:spacing w:before="120"/>
      </w:pPr>
      <w:r>
        <w:lastRenderedPageBreak/>
        <w:t>In quarter on</w:t>
      </w:r>
      <w:r w:rsidR="00751A43">
        <w:t>e</w:t>
      </w:r>
      <w:r>
        <w:t xml:space="preserve"> 2022</w:t>
      </w:r>
      <w:r>
        <w:rPr>
          <w:lang w:eastAsia="en-AU"/>
        </w:rPr>
        <w:t>–23, we</w:t>
      </w:r>
      <w:r w:rsidR="00751A43">
        <w:t xml:space="preserve"> provided </w:t>
      </w:r>
      <w:r w:rsidR="001C0244">
        <w:t>27 per cent more information sessions tha</w:t>
      </w:r>
      <w:r w:rsidR="00976BE7">
        <w:t>n</w:t>
      </w:r>
      <w:r w:rsidR="001C0244">
        <w:t xml:space="preserve"> quarter four 2021</w:t>
      </w:r>
      <w:r w:rsidR="005B5C91">
        <w:rPr>
          <w:lang w:eastAsia="en-AU"/>
        </w:rPr>
        <w:t>–</w:t>
      </w:r>
      <w:r w:rsidR="001C0244">
        <w:t xml:space="preserve">22. The </w:t>
      </w:r>
      <w:r w:rsidR="00713BC3">
        <w:t xml:space="preserve">previous </w:t>
      </w:r>
      <w:r w:rsidR="001C0244">
        <w:t>quarter four result was unusually low</w:t>
      </w:r>
      <w:r w:rsidR="00465CCA">
        <w:t xml:space="preserve"> as there was lower than usual demand</w:t>
      </w:r>
      <w:r w:rsidR="00676695">
        <w:t xml:space="preserve"> for Legal Help and high levels of unplanned leave during the winter cold and flu season. The q</w:t>
      </w:r>
      <w:r w:rsidR="001C0244">
        <w:t xml:space="preserve">uarter one </w:t>
      </w:r>
      <w:r w:rsidR="005D5156">
        <w:t>2022</w:t>
      </w:r>
      <w:r w:rsidR="005B5C91">
        <w:rPr>
          <w:lang w:eastAsia="en-AU"/>
        </w:rPr>
        <w:t>–</w:t>
      </w:r>
      <w:r w:rsidR="005D5156">
        <w:t xml:space="preserve">23 </w:t>
      </w:r>
      <w:r w:rsidR="005F2361">
        <w:t>result</w:t>
      </w:r>
      <w:r w:rsidR="00F2572D">
        <w:t xml:space="preserve"> is more consistent with the number of information </w:t>
      </w:r>
      <w:r w:rsidR="00676695">
        <w:t xml:space="preserve">and advice </w:t>
      </w:r>
      <w:r w:rsidR="00F2572D">
        <w:t>session</w:t>
      </w:r>
      <w:r w:rsidR="005B5C91">
        <w:t>s</w:t>
      </w:r>
      <w:r w:rsidR="00F2572D">
        <w:t xml:space="preserve"> we provide in a quarter.</w:t>
      </w:r>
      <w:r w:rsidR="00976BE7">
        <w:t xml:space="preserve"> </w:t>
      </w:r>
    </w:p>
    <w:p w14:paraId="1B4180C2" w14:textId="6BE22052" w:rsidR="00940693" w:rsidRDefault="00255E85" w:rsidP="006B62A7">
      <w:r>
        <w:t xml:space="preserve">We delivered 45 community legal education sessions in quarter one, consistent with the </w:t>
      </w:r>
      <w:r w:rsidR="00EF3F81">
        <w:t xml:space="preserve">47 delivered in quarter four. As the final covid related restrictions are </w:t>
      </w:r>
      <w:r w:rsidR="006B62A7">
        <w:t>lifted we anticipate that we w</w:t>
      </w:r>
      <w:r w:rsidR="00B71BD4">
        <w:t>i</w:t>
      </w:r>
      <w:r w:rsidR="006B62A7">
        <w:t>ll del</w:t>
      </w:r>
      <w:r w:rsidR="00B71BD4">
        <w:t>i</w:t>
      </w:r>
      <w:r w:rsidR="006B62A7">
        <w:t>ver more education sessions in the next quarter.</w:t>
      </w:r>
      <w:r>
        <w:t xml:space="preserve"> </w:t>
      </w:r>
      <w:r w:rsidR="00C064D4">
        <w:t xml:space="preserve">There was </w:t>
      </w:r>
      <w:r w:rsidR="0031238A">
        <w:t>also a small decrease in the number of website sessions in quarter one 2022-21 compared to quarter four</w:t>
      </w:r>
      <w:r w:rsidR="00A739A9">
        <w:t>. Th</w:t>
      </w:r>
      <w:r w:rsidR="00AE707A">
        <w:t>is</w:t>
      </w:r>
      <w:r w:rsidR="00A739A9">
        <w:t xml:space="preserve"> three per cent</w:t>
      </w:r>
      <w:r w:rsidR="00234BC1">
        <w:t xml:space="preserve"> drop</w:t>
      </w:r>
      <w:r w:rsidR="00940693">
        <w:t xml:space="preserve"> </w:t>
      </w:r>
      <w:r>
        <w:t>wa</w:t>
      </w:r>
      <w:r w:rsidR="00940693">
        <w:t xml:space="preserve">s </w:t>
      </w:r>
      <w:r w:rsidR="00AE707A">
        <w:t>anticipated</w:t>
      </w:r>
      <w:r w:rsidR="00940693">
        <w:t xml:space="preserve"> due to changes in the new website platform</w:t>
      </w:r>
      <w:r w:rsidR="00AE707A">
        <w:t xml:space="preserve"> resulting in a short-term disruption</w:t>
      </w:r>
      <w:r w:rsidR="00211B0F">
        <w:t xml:space="preserve"> as older content was retired and our new pages </w:t>
      </w:r>
      <w:r w:rsidR="001B79B1">
        <w:t xml:space="preserve">are lower down the results </w:t>
      </w:r>
      <w:r w:rsidR="00D2016C">
        <w:t>from search engines.</w:t>
      </w:r>
      <w:r w:rsidR="00B258C8">
        <w:t xml:space="preserve"> </w:t>
      </w:r>
    </w:p>
    <w:p w14:paraId="548B2E87" w14:textId="27205ACD" w:rsidR="008F1B38" w:rsidRDefault="007C1487" w:rsidP="00E43EE2">
      <w:pPr>
        <w:pStyle w:val="Tableheader"/>
      </w:pPr>
      <w:r>
        <w:t xml:space="preserve">Table 1.3 </w:t>
      </w:r>
      <w:r w:rsidR="00495A11" w:rsidRPr="00495A11">
        <w:t>Early Intervention and Preventative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3"/>
        <w:gridCol w:w="1975"/>
        <w:gridCol w:w="2289"/>
        <w:gridCol w:w="2289"/>
      </w:tblGrid>
      <w:tr w:rsidR="00CF5F7E" w14:paraId="4E36734E" w14:textId="6F69B069" w:rsidTr="097F0F09">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69A5DE08" w14:textId="77777777" w:rsidR="00CF5F7E" w:rsidRPr="00495A11" w:rsidRDefault="00CF5F7E" w:rsidP="00CF5F7E">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6290AFB5" w14:textId="77777777" w:rsidR="00CF5F7E" w:rsidRPr="000E7EED" w:rsidRDefault="00CF5F7E" w:rsidP="00CF5F7E">
            <w:pPr>
              <w:jc w:val="center"/>
              <w:rPr>
                <w:b/>
                <w:color w:val="000000" w:themeColor="text1"/>
              </w:rPr>
            </w:pPr>
            <w:r w:rsidRPr="55245693">
              <w:rPr>
                <w:b/>
                <w:color w:val="000000" w:themeColor="text1"/>
              </w:rPr>
              <w:t>Q</w:t>
            </w:r>
            <w:r>
              <w:rPr>
                <w:b/>
                <w:color w:val="000000" w:themeColor="text1"/>
              </w:rPr>
              <w:t>4</w:t>
            </w:r>
          </w:p>
          <w:p w14:paraId="1B43C195" w14:textId="63B1A59E" w:rsidR="00CF5F7E" w:rsidRPr="00495A11" w:rsidRDefault="00CF5F7E" w:rsidP="00CF5F7E">
            <w:pPr>
              <w:jc w:val="center"/>
              <w:rPr>
                <w:b/>
                <w:color w:val="000000" w:themeColor="text1"/>
              </w:rPr>
            </w:pPr>
            <w:r w:rsidRPr="000E7EED">
              <w:rPr>
                <w:b/>
                <w:color w:val="000000" w:themeColor="text1"/>
              </w:rPr>
              <w:t>20</w:t>
            </w:r>
            <w:r>
              <w:rPr>
                <w:b/>
                <w:color w:val="000000" w:themeColor="text1"/>
              </w:rPr>
              <w:t>21-22</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6E4E4FB2" w14:textId="77777777" w:rsidR="00CF5F7E" w:rsidRDefault="00CF5F7E" w:rsidP="00CF5F7E">
            <w:pPr>
              <w:jc w:val="center"/>
              <w:rPr>
                <w:b/>
                <w:color w:val="000000" w:themeColor="text1"/>
              </w:rPr>
            </w:pPr>
            <w:r w:rsidRPr="55245693">
              <w:rPr>
                <w:b/>
                <w:color w:val="000000" w:themeColor="text1"/>
              </w:rPr>
              <w:t>Q</w:t>
            </w:r>
            <w:r>
              <w:rPr>
                <w:b/>
                <w:color w:val="000000" w:themeColor="text1"/>
              </w:rPr>
              <w:t>1</w:t>
            </w:r>
          </w:p>
          <w:p w14:paraId="1AE9CE31" w14:textId="4D545E4B" w:rsidR="00CF5F7E" w:rsidRPr="00495A11" w:rsidRDefault="00CF5F7E" w:rsidP="00CF5F7E">
            <w:pPr>
              <w:jc w:val="center"/>
              <w:rPr>
                <w:b/>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28BBC838" w14:textId="77777777" w:rsidR="00CF5F7E" w:rsidRDefault="00CF5F7E" w:rsidP="00CF5F7E">
            <w:pPr>
              <w:jc w:val="center"/>
              <w:rPr>
                <w:b/>
                <w:bCs w:val="0"/>
                <w:color w:val="000000" w:themeColor="text1"/>
              </w:rPr>
            </w:pPr>
            <w:r>
              <w:rPr>
                <w:b/>
                <w:color w:val="000000" w:themeColor="text1"/>
              </w:rPr>
              <w:t>Q2 2022-23</w:t>
            </w:r>
          </w:p>
          <w:p w14:paraId="44A1A4EE" w14:textId="46FCCA76" w:rsidR="00CF5F7E" w:rsidRPr="55245693" w:rsidRDefault="00CF5F7E" w:rsidP="00CF5F7E">
            <w:pPr>
              <w:jc w:val="center"/>
              <w:rPr>
                <w:b/>
                <w:color w:val="000000" w:themeColor="text1"/>
              </w:rPr>
            </w:pPr>
            <w:r>
              <w:rPr>
                <w:b/>
                <w:color w:val="000000" w:themeColor="text1"/>
              </w:rPr>
              <w:t>projection</w:t>
            </w:r>
          </w:p>
        </w:tc>
      </w:tr>
      <w:tr w:rsidR="007F2378" w:rsidRPr="0021615C" w14:paraId="17F5CA1B" w14:textId="084127E4" w:rsidTr="097F0F09">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748" w:type="pct"/>
          </w:tcPr>
          <w:p w14:paraId="19F24B7C" w14:textId="49986B26" w:rsidR="007F2378" w:rsidRPr="000E7EED" w:rsidRDefault="007F2378" w:rsidP="007F2378">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auto"/>
            <w:vAlign w:val="center"/>
          </w:tcPr>
          <w:p w14:paraId="7F4686D8" w14:textId="7F5B5384" w:rsidR="007F2378" w:rsidRPr="000E7EED" w:rsidRDefault="007F2378" w:rsidP="007F2378">
            <w:pPr>
              <w:jc w:val="center"/>
              <w:rPr>
                <w:color w:val="000000" w:themeColor="text1"/>
              </w:rPr>
            </w:pPr>
            <w:r>
              <w:rPr>
                <w:szCs w:val="22"/>
              </w:rPr>
              <w:t>20,981</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30C32A25" w14:textId="4FE7EC99" w:rsidR="007F2378" w:rsidRPr="0021615C" w:rsidRDefault="00BB787A" w:rsidP="007F2378">
            <w:pPr>
              <w:jc w:val="center"/>
            </w:pPr>
            <w:r>
              <w:t>26,650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46A3F8BF" w14:textId="3CDAFF78" w:rsidR="007F2378" w:rsidRPr="003A61E0" w:rsidRDefault="008E7E03" w:rsidP="005F6B32">
            <w:pPr>
              <w:jc w:val="center"/>
              <w:rPr>
                <w:highlight w:val="yellow"/>
              </w:rPr>
            </w:pPr>
            <w:r w:rsidRPr="00676695">
              <w:t>2</w:t>
            </w:r>
            <w:r w:rsidR="1A8EA549" w:rsidRPr="00676695">
              <w:t>6</w:t>
            </w:r>
            <w:r w:rsidRPr="00676695">
              <w:t>000</w:t>
            </w:r>
          </w:p>
        </w:tc>
      </w:tr>
      <w:tr w:rsidR="007F2378" w14:paraId="63D578F8" w14:textId="1B8A8397" w:rsidTr="097F0F09">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3941F306" w14:textId="4F191B1A" w:rsidR="007F2378" w:rsidRPr="000E7EED" w:rsidRDefault="007F2378" w:rsidP="007F2378">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vAlign w:val="center"/>
          </w:tcPr>
          <w:p w14:paraId="321509DE" w14:textId="6D9FF380" w:rsidR="007F2378" w:rsidRPr="000E7EED" w:rsidRDefault="007F2378" w:rsidP="007F2378">
            <w:pPr>
              <w:jc w:val="center"/>
              <w:rPr>
                <w:color w:val="000000" w:themeColor="text1"/>
              </w:rPr>
            </w:pPr>
            <w:r>
              <w:rPr>
                <w:color w:val="000000" w:themeColor="text1"/>
              </w:rPr>
              <w:t>7,555</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62B478A5" w14:textId="184EE308" w:rsidR="007F2378" w:rsidRPr="000E7EED" w:rsidRDefault="003B4493" w:rsidP="007F2378">
            <w:pPr>
              <w:jc w:val="center"/>
              <w:rPr>
                <w:color w:val="000000" w:themeColor="text1"/>
              </w:rPr>
            </w:pPr>
            <w:r>
              <w:rPr>
                <w:color w:val="000000" w:themeColor="text1"/>
              </w:rPr>
              <w:t>7,794</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2BE70748" w14:textId="77288E23" w:rsidR="007F2378" w:rsidRPr="003A61E0" w:rsidRDefault="003F1B38" w:rsidP="005F6B32">
            <w:pPr>
              <w:jc w:val="center"/>
              <w:rPr>
                <w:color w:val="000000" w:themeColor="text1"/>
                <w:highlight w:val="yellow"/>
              </w:rPr>
            </w:pPr>
            <w:r w:rsidRPr="00676695">
              <w:rPr>
                <w:color w:val="000000" w:themeColor="text1"/>
              </w:rPr>
              <w:t>8,000</w:t>
            </w:r>
          </w:p>
        </w:tc>
      </w:tr>
      <w:tr w:rsidR="007F2378" w14:paraId="6E8F7A5D" w14:textId="5ACA17E4" w:rsidTr="097F0F09">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522BC66" w14:textId="09E8A605" w:rsidR="007F2378" w:rsidRDefault="007F2378" w:rsidP="007F2378">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980" w:type="pct"/>
            <w:tcBorders>
              <w:top w:val="single" w:sz="4" w:space="0" w:color="auto"/>
            </w:tcBorders>
            <w:shd w:val="clear" w:color="auto" w:fill="auto"/>
            <w:vAlign w:val="center"/>
          </w:tcPr>
          <w:p w14:paraId="00A2751E" w14:textId="2C4D5BC7" w:rsidR="007F2378" w:rsidRDefault="007F2378" w:rsidP="007F2378">
            <w:pPr>
              <w:jc w:val="center"/>
              <w:rPr>
                <w:color w:val="000000" w:themeColor="text1"/>
              </w:rPr>
            </w:pPr>
            <w:r>
              <w:rPr>
                <w:color w:val="000000" w:themeColor="text1"/>
              </w:rPr>
              <w:t>47</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7373AE20" w14:textId="26054F59" w:rsidR="007F2378" w:rsidRDefault="004C1BD6" w:rsidP="005F6B32">
            <w:pPr>
              <w:jc w:val="center"/>
              <w:rPr>
                <w:color w:val="000000" w:themeColor="text1"/>
              </w:rPr>
            </w:pPr>
            <w:r>
              <w:rPr>
                <w:color w:val="000000" w:themeColor="text1"/>
              </w:rPr>
              <w:t>45</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16036EBB" w14:textId="09386E92" w:rsidR="007F2378" w:rsidRDefault="004C1BD6" w:rsidP="005F6B32">
            <w:pPr>
              <w:jc w:val="center"/>
              <w:rPr>
                <w:color w:val="000000" w:themeColor="text1"/>
              </w:rPr>
            </w:pPr>
            <w:r>
              <w:rPr>
                <w:color w:val="000000" w:themeColor="text1"/>
              </w:rPr>
              <w:t>52</w:t>
            </w:r>
          </w:p>
        </w:tc>
      </w:tr>
      <w:tr w:rsidR="007F2378" w14:paraId="517976DD" w14:textId="1CBBBACD" w:rsidTr="097F0F09">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E9B5491" w14:textId="77777777" w:rsidR="007F2378" w:rsidRPr="000E7EED" w:rsidRDefault="007F2378" w:rsidP="007F2378">
            <w:pPr>
              <w:rPr>
                <w:color w:val="000000" w:themeColor="text1"/>
              </w:rPr>
            </w:pPr>
            <w:r>
              <w:rPr>
                <w:color w:val="000000" w:themeColor="text1"/>
              </w:rPr>
              <w:t>W</w:t>
            </w:r>
            <w:r w:rsidRPr="000E7EED">
              <w:rPr>
                <w:color w:val="000000" w:themeColor="text1"/>
              </w:rPr>
              <w:t>ebsite</w:t>
            </w:r>
            <w:r>
              <w:rPr>
                <w:color w:val="000000" w:themeColor="text1"/>
              </w:rPr>
              <w:t xml:space="preserve"> sessions</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vAlign w:val="center"/>
          </w:tcPr>
          <w:p w14:paraId="58083224" w14:textId="2EC6B8E3" w:rsidR="007F2378" w:rsidRPr="000E7EED" w:rsidRDefault="007F2378" w:rsidP="007F2378">
            <w:pPr>
              <w:jc w:val="center"/>
              <w:rPr>
                <w:color w:val="000000" w:themeColor="text1"/>
              </w:rPr>
            </w:pPr>
            <w:r>
              <w:rPr>
                <w:color w:val="000000" w:themeColor="text1"/>
              </w:rPr>
              <w:t>617,113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4D786578" w14:textId="61DF6DF2" w:rsidR="007F2378" w:rsidRPr="000E7EED" w:rsidRDefault="00251D2C" w:rsidP="007F2378">
            <w:pPr>
              <w:jc w:val="center"/>
              <w:rPr>
                <w:color w:val="000000" w:themeColor="text1"/>
              </w:rPr>
            </w:pPr>
            <w:r>
              <w:rPr>
                <w:color w:val="000000" w:themeColor="text1"/>
              </w:rPr>
              <w:t>599,920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68FA0D28" w14:textId="32161DBA" w:rsidR="007F2378" w:rsidRDefault="00940693" w:rsidP="005F6B32">
            <w:pPr>
              <w:jc w:val="center"/>
              <w:rPr>
                <w:color w:val="000000" w:themeColor="text1"/>
              </w:rPr>
            </w:pPr>
            <w:r>
              <w:rPr>
                <w:color w:val="000000" w:themeColor="text1"/>
              </w:rPr>
              <w:t>67</w:t>
            </w:r>
            <w:r w:rsidR="005F6B32">
              <w:rPr>
                <w:color w:val="000000" w:themeColor="text1"/>
              </w:rPr>
              <w:t>0</w:t>
            </w:r>
            <w:r>
              <w:rPr>
                <w:color w:val="000000" w:themeColor="text1"/>
              </w:rPr>
              <w:t>,0</w:t>
            </w:r>
            <w:r w:rsidR="005F6B32">
              <w:rPr>
                <w:color w:val="000000" w:themeColor="text1"/>
              </w:rPr>
              <w:t>00</w:t>
            </w:r>
          </w:p>
        </w:tc>
      </w:tr>
    </w:tbl>
    <w:p w14:paraId="45BDACDF" w14:textId="77777777" w:rsidR="00F423AD" w:rsidRDefault="00F423AD" w:rsidP="00844BD8">
      <w:pPr>
        <w:pStyle w:val="Tableheader"/>
        <w:spacing w:before="0"/>
        <w:rPr>
          <w:b w:val="0"/>
          <w:bCs w:val="0"/>
          <w:sz w:val="22"/>
          <w:szCs w:val="22"/>
        </w:rPr>
      </w:pPr>
    </w:p>
    <w:p w14:paraId="4682C467" w14:textId="060A1F49" w:rsidR="00FA1822" w:rsidRDefault="00DF5E21" w:rsidP="00FA1822">
      <w:pPr>
        <w:spacing w:before="120"/>
      </w:pPr>
      <w:r>
        <w:t xml:space="preserve">We are continuing to see high demand for our Independent Mental Health </w:t>
      </w:r>
      <w:r w:rsidR="00055C16">
        <w:t xml:space="preserve">Advocacy </w:t>
      </w:r>
      <w:r w:rsidR="001A2B95">
        <w:t xml:space="preserve">(IHMA) </w:t>
      </w:r>
      <w:r w:rsidR="00055C16">
        <w:t>service. In quarter one 2022</w:t>
      </w:r>
      <w:r w:rsidR="00CB52E0">
        <w:rPr>
          <w:lang w:eastAsia="en-AU"/>
        </w:rPr>
        <w:t>–</w:t>
      </w:r>
      <w:r w:rsidR="00055C16">
        <w:t xml:space="preserve">23 we provided 6,744 information and referral </w:t>
      </w:r>
      <w:r w:rsidR="00B24C85">
        <w:t>sessions</w:t>
      </w:r>
      <w:r w:rsidR="003C3508">
        <w:t>,</w:t>
      </w:r>
      <w:r w:rsidR="002D4C5B">
        <w:t xml:space="preserve"> an increase of 23 per cent</w:t>
      </w:r>
      <w:r w:rsidR="003C3508">
        <w:t>.</w:t>
      </w:r>
      <w:r w:rsidR="00101A85">
        <w:t xml:space="preserve"> </w:t>
      </w:r>
      <w:r w:rsidR="003C3508">
        <w:t>W</w:t>
      </w:r>
      <w:r w:rsidR="00101A85">
        <w:t>e also saw a</w:t>
      </w:r>
      <w:r w:rsidR="003C3508">
        <w:t xml:space="preserve"> 25 per cent</w:t>
      </w:r>
      <w:r w:rsidR="00101A85">
        <w:t xml:space="preserve"> increase </w:t>
      </w:r>
      <w:r w:rsidR="003C3508">
        <w:t xml:space="preserve">in </w:t>
      </w:r>
      <w:r w:rsidR="001A2B95">
        <w:t>advocacy and self-advocacy services</w:t>
      </w:r>
      <w:r w:rsidR="00B24C85">
        <w:t xml:space="preserve"> </w:t>
      </w:r>
      <w:r w:rsidR="003F42DA">
        <w:t>IHMA services.</w:t>
      </w:r>
      <w:r w:rsidR="00CB03BF">
        <w:t xml:space="preserve"> </w:t>
      </w:r>
      <w:r w:rsidR="00BB1573">
        <w:t xml:space="preserve">In quarter one 2022-23 </w:t>
      </w:r>
      <w:r w:rsidR="00470385">
        <w:t xml:space="preserve">our </w:t>
      </w:r>
      <w:r w:rsidR="00B00D70">
        <w:t>I</w:t>
      </w:r>
      <w:r w:rsidR="00235B1F">
        <w:t xml:space="preserve">ndependent Family </w:t>
      </w:r>
      <w:r w:rsidR="00470385">
        <w:t>Advocacy and Support service</w:t>
      </w:r>
      <w:r w:rsidR="00570315">
        <w:t xml:space="preserve"> (IFAS)</w:t>
      </w:r>
      <w:r w:rsidR="00470385">
        <w:t xml:space="preserve"> </w:t>
      </w:r>
      <w:r w:rsidR="001D747E">
        <w:t xml:space="preserve">was </w:t>
      </w:r>
      <w:r w:rsidR="00421D08">
        <w:t xml:space="preserve">impacted </w:t>
      </w:r>
      <w:r w:rsidR="00B42F25">
        <w:t>by staff vacancies</w:t>
      </w:r>
      <w:r w:rsidR="00430F10">
        <w:t xml:space="preserve"> which resulted in fewer IFAS </w:t>
      </w:r>
      <w:r w:rsidR="00332682">
        <w:t xml:space="preserve">advocacy </w:t>
      </w:r>
      <w:r w:rsidR="00442603">
        <w:t>and self-advocacy services</w:t>
      </w:r>
      <w:r w:rsidR="005B0823">
        <w:t xml:space="preserve"> (</w:t>
      </w:r>
      <w:r w:rsidR="00BB0129">
        <w:t>-28 per cent)</w:t>
      </w:r>
      <w:r w:rsidR="00442603">
        <w:t xml:space="preserve">. </w:t>
      </w:r>
      <w:r w:rsidR="00332682">
        <w:t>C</w:t>
      </w:r>
      <w:r w:rsidR="00442603">
        <w:t>apacity</w:t>
      </w:r>
      <w:r w:rsidR="00332682">
        <w:t xml:space="preserve"> issues</w:t>
      </w:r>
      <w:r w:rsidR="00442603">
        <w:t xml:space="preserve"> in the service </w:t>
      </w:r>
      <w:r w:rsidR="005B0823">
        <w:t>providers</w:t>
      </w:r>
      <w:r w:rsidR="00442603">
        <w:t xml:space="preserve"> who make referrals to us are also suspected to account for the lower information and referral result for this quarter (</w:t>
      </w:r>
      <w:r w:rsidR="005B0823">
        <w:t>-65 per cent)</w:t>
      </w:r>
      <w:r w:rsidR="00BB0129">
        <w:t>.</w:t>
      </w:r>
    </w:p>
    <w:p w14:paraId="4B984B6A" w14:textId="77777777" w:rsidR="00CC05F0" w:rsidRPr="002C53EA" w:rsidRDefault="00CC05F0" w:rsidP="00CC05F0">
      <w:pPr>
        <w:pStyle w:val="Heading3"/>
        <w:rPr>
          <w:rFonts w:cs="Times New Roman"/>
          <w:sz w:val="22"/>
          <w:szCs w:val="24"/>
          <w:lang w:eastAsia="en-US"/>
        </w:rPr>
      </w:pPr>
      <w:r w:rsidRPr="002C53EA">
        <w:rPr>
          <w:rFonts w:cs="Times New Roman"/>
          <w:sz w:val="22"/>
          <w:szCs w:val="24"/>
          <w:lang w:eastAsia="en-US"/>
        </w:rPr>
        <w:t>Table 1.</w:t>
      </w:r>
      <w:r>
        <w:rPr>
          <w:rFonts w:cs="Times New Roman"/>
          <w:sz w:val="22"/>
          <w:szCs w:val="24"/>
          <w:lang w:eastAsia="en-US"/>
        </w:rPr>
        <w:t>4</w:t>
      </w:r>
      <w:r w:rsidRPr="002C53EA">
        <w:rPr>
          <w:rFonts w:cs="Times New Roman"/>
          <w:sz w:val="22"/>
          <w:szCs w:val="24"/>
          <w:lang w:eastAsia="en-US"/>
        </w:rPr>
        <w:t xml:space="preserve"> Specialist resolution and advocacy services</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302"/>
        <w:gridCol w:w="2082"/>
        <w:gridCol w:w="1846"/>
        <w:gridCol w:w="1846"/>
      </w:tblGrid>
      <w:tr w:rsidR="007146D1" w14:paraId="1A4768F2" w14:textId="77777777" w:rsidTr="00925EFB">
        <w:trPr>
          <w:cantSplit/>
          <w:trHeight w:val="361"/>
          <w:tblHeader/>
        </w:trPr>
        <w:tc>
          <w:tcPr>
            <w:tcW w:w="2135" w:type="pct"/>
            <w:shd w:val="clear" w:color="auto" w:fill="C4B0CC"/>
            <w:hideMark/>
          </w:tcPr>
          <w:p w14:paraId="2C91F38F" w14:textId="77777777" w:rsidR="007146D1" w:rsidRDefault="007146D1" w:rsidP="007146D1">
            <w:pPr>
              <w:rPr>
                <w:b/>
                <w:color w:val="000000" w:themeColor="text1"/>
                <w:lang w:eastAsia="en-AU"/>
              </w:rPr>
            </w:pPr>
            <w:bookmarkStart w:id="3" w:name="_Hlk115865842"/>
            <w:r w:rsidRPr="006B69F9">
              <w:rPr>
                <w:b/>
                <w:bCs/>
                <w:color w:val="000000" w:themeColor="text1"/>
                <w:szCs w:val="20"/>
                <w:lang w:eastAsia="en-AU"/>
              </w:rPr>
              <w:t>Specialist resolution and advocacy services</w:t>
            </w:r>
          </w:p>
        </w:tc>
        <w:tc>
          <w:tcPr>
            <w:tcW w:w="1033" w:type="pct"/>
            <w:shd w:val="clear" w:color="auto" w:fill="C4B0CC"/>
          </w:tcPr>
          <w:p w14:paraId="69AED1D7" w14:textId="77777777" w:rsidR="007146D1" w:rsidRPr="000E7EED" w:rsidRDefault="007146D1" w:rsidP="007146D1">
            <w:pPr>
              <w:jc w:val="center"/>
              <w:rPr>
                <w:b/>
                <w:color w:val="000000" w:themeColor="text1"/>
              </w:rPr>
            </w:pPr>
            <w:r w:rsidRPr="55245693">
              <w:rPr>
                <w:b/>
                <w:color w:val="000000" w:themeColor="text1"/>
              </w:rPr>
              <w:t>Q</w:t>
            </w:r>
            <w:r>
              <w:rPr>
                <w:b/>
                <w:color w:val="000000" w:themeColor="text1"/>
              </w:rPr>
              <w:t>4</w:t>
            </w:r>
          </w:p>
          <w:p w14:paraId="14876257" w14:textId="72B52023" w:rsidR="007146D1" w:rsidRDefault="007146D1" w:rsidP="007146D1">
            <w:pPr>
              <w:jc w:val="center"/>
              <w:rPr>
                <w:b/>
                <w:color w:val="000000" w:themeColor="text1"/>
                <w:lang w:eastAsia="en-AU"/>
              </w:rPr>
            </w:pPr>
            <w:r w:rsidRPr="000E7EED">
              <w:rPr>
                <w:b/>
                <w:color w:val="000000" w:themeColor="text1"/>
              </w:rPr>
              <w:t>20</w:t>
            </w:r>
            <w:r>
              <w:rPr>
                <w:b/>
                <w:color w:val="000000" w:themeColor="text1"/>
              </w:rPr>
              <w:t>21-22</w:t>
            </w:r>
          </w:p>
        </w:tc>
        <w:tc>
          <w:tcPr>
            <w:tcW w:w="916" w:type="pct"/>
            <w:shd w:val="clear" w:color="auto" w:fill="C4B0CC"/>
          </w:tcPr>
          <w:p w14:paraId="4A90A085" w14:textId="77777777" w:rsidR="007146D1" w:rsidRDefault="007146D1" w:rsidP="007146D1">
            <w:pPr>
              <w:jc w:val="center"/>
              <w:rPr>
                <w:b/>
                <w:color w:val="000000" w:themeColor="text1"/>
              </w:rPr>
            </w:pPr>
            <w:r w:rsidRPr="55245693">
              <w:rPr>
                <w:b/>
                <w:color w:val="000000" w:themeColor="text1"/>
              </w:rPr>
              <w:t>Q</w:t>
            </w:r>
            <w:r>
              <w:rPr>
                <w:b/>
                <w:color w:val="000000" w:themeColor="text1"/>
              </w:rPr>
              <w:t>1</w:t>
            </w:r>
          </w:p>
          <w:p w14:paraId="768D81BE" w14:textId="296AF006" w:rsidR="007146D1" w:rsidRDefault="007146D1" w:rsidP="007146D1">
            <w:pPr>
              <w:jc w:val="center"/>
              <w:rPr>
                <w:b/>
                <w:color w:val="000000" w:themeColor="text1"/>
                <w:lang w:eastAsia="en-AU"/>
              </w:rPr>
            </w:pPr>
            <w:r w:rsidRPr="000E7EED">
              <w:rPr>
                <w:b/>
                <w:color w:val="000000" w:themeColor="text1"/>
              </w:rPr>
              <w:t>20</w:t>
            </w:r>
            <w:r>
              <w:rPr>
                <w:b/>
                <w:color w:val="000000" w:themeColor="text1"/>
              </w:rPr>
              <w:t>22-23</w:t>
            </w:r>
          </w:p>
        </w:tc>
        <w:tc>
          <w:tcPr>
            <w:tcW w:w="916" w:type="pct"/>
            <w:shd w:val="clear" w:color="auto" w:fill="C4B0CC"/>
          </w:tcPr>
          <w:p w14:paraId="00E3CACE" w14:textId="77777777" w:rsidR="007146D1" w:rsidRDefault="007146D1" w:rsidP="007146D1">
            <w:pPr>
              <w:jc w:val="center"/>
              <w:rPr>
                <w:b/>
                <w:bCs/>
                <w:color w:val="000000" w:themeColor="text1"/>
              </w:rPr>
            </w:pPr>
            <w:r>
              <w:rPr>
                <w:b/>
                <w:color w:val="000000" w:themeColor="text1"/>
              </w:rPr>
              <w:t>Q2 2022-23</w:t>
            </w:r>
          </w:p>
          <w:p w14:paraId="6ED27109" w14:textId="3DE7E9AC" w:rsidR="007146D1" w:rsidRDefault="007146D1" w:rsidP="007146D1">
            <w:pPr>
              <w:jc w:val="center"/>
              <w:rPr>
                <w:b/>
                <w:color w:val="000000" w:themeColor="text1"/>
                <w:lang w:eastAsia="en-AU"/>
              </w:rPr>
            </w:pPr>
            <w:r>
              <w:rPr>
                <w:b/>
                <w:color w:val="000000" w:themeColor="text1"/>
              </w:rPr>
              <w:t>projection</w:t>
            </w:r>
          </w:p>
        </w:tc>
      </w:tr>
      <w:tr w:rsidR="003560E0" w14:paraId="55234EF0" w14:textId="77777777" w:rsidTr="001B0095">
        <w:trPr>
          <w:trHeight w:val="531"/>
        </w:trPr>
        <w:tc>
          <w:tcPr>
            <w:tcW w:w="2135" w:type="pct"/>
            <w:tcBorders>
              <w:bottom w:val="single" w:sz="4" w:space="0" w:color="7F7F7F" w:themeColor="text1" w:themeTint="80"/>
            </w:tcBorders>
            <w:hideMark/>
          </w:tcPr>
          <w:p w14:paraId="4091DD5D" w14:textId="77777777" w:rsidR="003560E0" w:rsidRDefault="003560E0" w:rsidP="003560E0">
            <w:pPr>
              <w:rPr>
                <w:color w:val="000000" w:themeColor="text1"/>
                <w:lang w:eastAsia="en-AU"/>
              </w:rPr>
            </w:pPr>
            <w:r>
              <w:rPr>
                <w:color w:val="000000" w:themeColor="text1"/>
                <w:lang w:eastAsia="en-AU"/>
              </w:rPr>
              <w:t>IMHA information and referral sessions</w:t>
            </w:r>
          </w:p>
        </w:tc>
        <w:tc>
          <w:tcPr>
            <w:tcW w:w="103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36E5FD45" w14:textId="6A9483BB" w:rsidR="003560E0" w:rsidRDefault="003560E0" w:rsidP="003560E0">
            <w:pPr>
              <w:jc w:val="center"/>
              <w:rPr>
                <w:lang w:eastAsia="en-AU"/>
              </w:rPr>
            </w:pPr>
            <w:r>
              <w:rPr>
                <w:lang w:eastAsia="en-AU"/>
              </w:rPr>
              <w:t>5,492</w:t>
            </w:r>
          </w:p>
        </w:tc>
        <w:tc>
          <w:tcPr>
            <w:tcW w:w="916" w:type="pct"/>
            <w:tcBorders>
              <w:bottom w:val="single" w:sz="4" w:space="0" w:color="7F7F7F" w:themeColor="text1" w:themeTint="80"/>
            </w:tcBorders>
            <w:shd w:val="clear" w:color="auto" w:fill="D9D9D9" w:themeFill="background1" w:themeFillShade="D9"/>
            <w:vAlign w:val="center"/>
          </w:tcPr>
          <w:p w14:paraId="30321AA8" w14:textId="7AA59EF7" w:rsidR="003560E0" w:rsidRDefault="00626DB7" w:rsidP="003560E0">
            <w:pPr>
              <w:jc w:val="center"/>
              <w:rPr>
                <w:lang w:eastAsia="en-AU"/>
              </w:rPr>
            </w:pPr>
            <w:r>
              <w:rPr>
                <w:lang w:eastAsia="en-AU"/>
              </w:rPr>
              <w:t>6,744</w:t>
            </w:r>
          </w:p>
        </w:tc>
        <w:tc>
          <w:tcPr>
            <w:tcW w:w="916" w:type="pct"/>
            <w:tcBorders>
              <w:bottom w:val="single" w:sz="4" w:space="0" w:color="7F7F7F" w:themeColor="text1" w:themeTint="80"/>
            </w:tcBorders>
            <w:shd w:val="clear" w:color="auto" w:fill="auto"/>
            <w:vAlign w:val="center"/>
          </w:tcPr>
          <w:p w14:paraId="0D3569AA" w14:textId="38369385" w:rsidR="003560E0" w:rsidRDefault="002E0DC4" w:rsidP="003560E0">
            <w:pPr>
              <w:jc w:val="center"/>
              <w:rPr>
                <w:lang w:eastAsia="en-AU"/>
              </w:rPr>
            </w:pPr>
            <w:r>
              <w:rPr>
                <w:lang w:eastAsia="en-AU"/>
              </w:rPr>
              <w:t>6,000</w:t>
            </w:r>
          </w:p>
        </w:tc>
      </w:tr>
      <w:tr w:rsidR="003560E0" w14:paraId="4EA7A6AB" w14:textId="77777777" w:rsidTr="001B0095">
        <w:trPr>
          <w:trHeight w:val="531"/>
        </w:trPr>
        <w:tc>
          <w:tcPr>
            <w:tcW w:w="2135" w:type="pct"/>
            <w:tcBorders>
              <w:bottom w:val="single" w:sz="4" w:space="0" w:color="7F7F7F" w:themeColor="text1" w:themeTint="80"/>
            </w:tcBorders>
          </w:tcPr>
          <w:p w14:paraId="46981F29" w14:textId="77777777" w:rsidR="003560E0" w:rsidRDefault="003560E0" w:rsidP="003560E0">
            <w:pPr>
              <w:rPr>
                <w:color w:val="000000" w:themeColor="text1"/>
                <w:lang w:eastAsia="en-AU"/>
              </w:rPr>
            </w:pPr>
            <w:r>
              <w:rPr>
                <w:color w:val="000000" w:themeColor="text1"/>
                <w:lang w:eastAsia="en-AU"/>
              </w:rPr>
              <w:t>IMHA advocacy and self-advocacy</w:t>
            </w:r>
          </w:p>
        </w:tc>
        <w:tc>
          <w:tcPr>
            <w:tcW w:w="103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54F036CB" w14:textId="5E8E88AE" w:rsidR="003560E0" w:rsidRPr="003E5897" w:rsidRDefault="003560E0" w:rsidP="003560E0">
            <w:pPr>
              <w:jc w:val="center"/>
              <w:rPr>
                <w:lang w:eastAsia="en-AU"/>
              </w:rPr>
            </w:pPr>
            <w:r>
              <w:rPr>
                <w:lang w:eastAsia="en-AU"/>
              </w:rPr>
              <w:t>3,335</w:t>
            </w:r>
          </w:p>
        </w:tc>
        <w:tc>
          <w:tcPr>
            <w:tcW w:w="916" w:type="pct"/>
            <w:tcBorders>
              <w:bottom w:val="single" w:sz="4" w:space="0" w:color="7F7F7F" w:themeColor="text1" w:themeTint="80"/>
            </w:tcBorders>
            <w:shd w:val="clear" w:color="auto" w:fill="D9D9D9" w:themeFill="background1" w:themeFillShade="D9"/>
            <w:vAlign w:val="center"/>
          </w:tcPr>
          <w:p w14:paraId="1E72EDDA" w14:textId="17EB682C" w:rsidR="003560E0" w:rsidRPr="003E5897" w:rsidRDefault="00626DB7" w:rsidP="003560E0">
            <w:pPr>
              <w:jc w:val="center"/>
              <w:rPr>
                <w:lang w:eastAsia="en-AU"/>
              </w:rPr>
            </w:pPr>
            <w:r>
              <w:rPr>
                <w:lang w:eastAsia="en-AU"/>
              </w:rPr>
              <w:t>4,168</w:t>
            </w:r>
          </w:p>
        </w:tc>
        <w:tc>
          <w:tcPr>
            <w:tcW w:w="916" w:type="pct"/>
            <w:tcBorders>
              <w:bottom w:val="single" w:sz="4" w:space="0" w:color="7F7F7F" w:themeColor="text1" w:themeTint="80"/>
            </w:tcBorders>
            <w:shd w:val="clear" w:color="auto" w:fill="auto"/>
            <w:vAlign w:val="center"/>
          </w:tcPr>
          <w:p w14:paraId="3A1B9172" w14:textId="47742CA2" w:rsidR="003560E0" w:rsidRPr="00DB6276" w:rsidRDefault="000D65AC" w:rsidP="003560E0">
            <w:pPr>
              <w:jc w:val="center"/>
              <w:rPr>
                <w:lang w:eastAsia="en-AU"/>
              </w:rPr>
            </w:pPr>
            <w:r>
              <w:rPr>
                <w:lang w:eastAsia="en-AU"/>
              </w:rPr>
              <w:t>3,500</w:t>
            </w:r>
          </w:p>
        </w:tc>
      </w:tr>
      <w:tr w:rsidR="003560E0" w14:paraId="49FBAD53" w14:textId="77777777" w:rsidTr="001B0095">
        <w:trPr>
          <w:trHeight w:val="194"/>
        </w:trPr>
        <w:tc>
          <w:tcPr>
            <w:tcW w:w="2135" w:type="pct"/>
            <w:tcBorders>
              <w:top w:val="single" w:sz="4" w:space="0" w:color="auto"/>
              <w:bottom w:val="single" w:sz="4" w:space="0" w:color="auto"/>
            </w:tcBorders>
            <w:hideMark/>
          </w:tcPr>
          <w:p w14:paraId="10B1C950" w14:textId="77777777" w:rsidR="003560E0" w:rsidRDefault="003560E0" w:rsidP="003560E0">
            <w:pPr>
              <w:rPr>
                <w:color w:val="000000" w:themeColor="text1"/>
                <w:lang w:eastAsia="en-AU"/>
              </w:rPr>
            </w:pPr>
            <w:r>
              <w:rPr>
                <w:color w:val="000000" w:themeColor="text1"/>
                <w:lang w:eastAsia="en-AU"/>
              </w:rPr>
              <w:t xml:space="preserve">IFAS information and referral sessions </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0F84B7B7" w14:textId="1D1E5CB2" w:rsidR="003560E0" w:rsidRDefault="003560E0" w:rsidP="003560E0">
            <w:pPr>
              <w:jc w:val="center"/>
              <w:rPr>
                <w:color w:val="000000" w:themeColor="text1"/>
                <w:lang w:eastAsia="en-AU"/>
              </w:rPr>
            </w:pPr>
            <w:r>
              <w:rPr>
                <w:color w:val="000000" w:themeColor="text1"/>
                <w:lang w:eastAsia="en-AU"/>
              </w:rPr>
              <w:t>545</w:t>
            </w:r>
          </w:p>
        </w:tc>
        <w:tc>
          <w:tcPr>
            <w:tcW w:w="916" w:type="pct"/>
            <w:tcBorders>
              <w:top w:val="single" w:sz="4" w:space="0" w:color="auto"/>
              <w:bottom w:val="single" w:sz="4" w:space="0" w:color="auto"/>
            </w:tcBorders>
            <w:shd w:val="clear" w:color="auto" w:fill="D9D9D9" w:themeFill="background1" w:themeFillShade="D9"/>
            <w:vAlign w:val="center"/>
          </w:tcPr>
          <w:p w14:paraId="71889D0D" w14:textId="08836A1C" w:rsidR="003560E0" w:rsidRDefault="00E9052F" w:rsidP="003560E0">
            <w:pPr>
              <w:jc w:val="center"/>
              <w:rPr>
                <w:color w:val="000000" w:themeColor="text1"/>
                <w:lang w:eastAsia="en-AU"/>
              </w:rPr>
            </w:pPr>
            <w:r>
              <w:rPr>
                <w:color w:val="000000" w:themeColor="text1"/>
                <w:lang w:eastAsia="en-AU"/>
              </w:rPr>
              <w:t>392</w:t>
            </w:r>
          </w:p>
        </w:tc>
        <w:tc>
          <w:tcPr>
            <w:tcW w:w="916" w:type="pct"/>
            <w:tcBorders>
              <w:top w:val="single" w:sz="4" w:space="0" w:color="auto"/>
              <w:bottom w:val="single" w:sz="4" w:space="0" w:color="auto"/>
            </w:tcBorders>
            <w:shd w:val="clear" w:color="auto" w:fill="auto"/>
            <w:vAlign w:val="center"/>
          </w:tcPr>
          <w:p w14:paraId="20FDF70F" w14:textId="4DFDF78C" w:rsidR="003560E0" w:rsidRDefault="000D65AC" w:rsidP="003560E0">
            <w:pPr>
              <w:jc w:val="center"/>
              <w:rPr>
                <w:lang w:eastAsia="en-AU"/>
              </w:rPr>
            </w:pPr>
            <w:r>
              <w:rPr>
                <w:lang w:eastAsia="en-AU"/>
              </w:rPr>
              <w:t>500</w:t>
            </w:r>
          </w:p>
        </w:tc>
      </w:tr>
      <w:tr w:rsidR="003560E0" w14:paraId="4FF9EE2A" w14:textId="77777777" w:rsidTr="001B0095">
        <w:trPr>
          <w:trHeight w:val="194"/>
        </w:trPr>
        <w:tc>
          <w:tcPr>
            <w:tcW w:w="2135" w:type="pct"/>
            <w:tcBorders>
              <w:top w:val="single" w:sz="4" w:space="0" w:color="auto"/>
              <w:bottom w:val="single" w:sz="4" w:space="0" w:color="auto"/>
            </w:tcBorders>
          </w:tcPr>
          <w:p w14:paraId="57352FCE" w14:textId="77777777" w:rsidR="003560E0" w:rsidRDefault="003560E0" w:rsidP="003560E0">
            <w:pPr>
              <w:rPr>
                <w:color w:val="000000" w:themeColor="text1"/>
                <w:lang w:eastAsia="en-AU"/>
              </w:rPr>
            </w:pPr>
            <w:r>
              <w:rPr>
                <w:color w:val="000000" w:themeColor="text1"/>
                <w:lang w:eastAsia="en-AU"/>
              </w:rPr>
              <w:t>IFAS advocacy and self-advocacy</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2E77C5D5" w14:textId="30D6D834" w:rsidR="003560E0" w:rsidRPr="006C14A7" w:rsidRDefault="003560E0" w:rsidP="003560E0">
            <w:pPr>
              <w:jc w:val="center"/>
              <w:rPr>
                <w:lang w:eastAsia="en-AU"/>
              </w:rPr>
            </w:pPr>
            <w:r>
              <w:rPr>
                <w:lang w:eastAsia="en-AU"/>
              </w:rPr>
              <w:t>1,003</w:t>
            </w:r>
          </w:p>
        </w:tc>
        <w:tc>
          <w:tcPr>
            <w:tcW w:w="916" w:type="pct"/>
            <w:tcBorders>
              <w:top w:val="single" w:sz="4" w:space="0" w:color="auto"/>
              <w:bottom w:val="single" w:sz="4" w:space="0" w:color="auto"/>
            </w:tcBorders>
            <w:shd w:val="clear" w:color="auto" w:fill="D9D9D9" w:themeFill="background1" w:themeFillShade="D9"/>
            <w:vAlign w:val="center"/>
          </w:tcPr>
          <w:p w14:paraId="43ED479B" w14:textId="76E94EC3" w:rsidR="003560E0" w:rsidRPr="006C14A7" w:rsidRDefault="00E9052F" w:rsidP="003560E0">
            <w:pPr>
              <w:jc w:val="center"/>
              <w:rPr>
                <w:lang w:eastAsia="en-AU"/>
              </w:rPr>
            </w:pPr>
            <w:r>
              <w:rPr>
                <w:lang w:eastAsia="en-AU"/>
              </w:rPr>
              <w:t>351</w:t>
            </w:r>
          </w:p>
        </w:tc>
        <w:tc>
          <w:tcPr>
            <w:tcW w:w="916" w:type="pct"/>
            <w:tcBorders>
              <w:top w:val="single" w:sz="4" w:space="0" w:color="auto"/>
              <w:bottom w:val="single" w:sz="4" w:space="0" w:color="auto"/>
            </w:tcBorders>
            <w:shd w:val="clear" w:color="auto" w:fill="auto"/>
            <w:vAlign w:val="center"/>
          </w:tcPr>
          <w:p w14:paraId="00E0ED3D" w14:textId="002002F8" w:rsidR="003560E0" w:rsidRDefault="007561F8" w:rsidP="003560E0">
            <w:pPr>
              <w:jc w:val="center"/>
              <w:rPr>
                <w:lang w:eastAsia="en-AU"/>
              </w:rPr>
            </w:pPr>
            <w:r>
              <w:rPr>
                <w:lang w:eastAsia="en-AU"/>
              </w:rPr>
              <w:t>800</w:t>
            </w:r>
          </w:p>
        </w:tc>
      </w:tr>
      <w:bookmarkEnd w:id="3"/>
    </w:tbl>
    <w:p w14:paraId="14C9B3DA" w14:textId="77777777" w:rsidR="00CC05F0" w:rsidRDefault="00CC05F0" w:rsidP="00523B7C">
      <w:pPr>
        <w:rPr>
          <w:b/>
          <w:bCs/>
        </w:rPr>
      </w:pPr>
    </w:p>
    <w:p w14:paraId="29EC6910" w14:textId="42B6CF66" w:rsidR="000639F4" w:rsidRPr="00AC45A5" w:rsidRDefault="000639F4" w:rsidP="000639F4">
      <w:r>
        <w:t xml:space="preserve">We </w:t>
      </w:r>
      <w:r w:rsidR="00040838">
        <w:t xml:space="preserve">allocated </w:t>
      </w:r>
      <w:r>
        <w:t>fewer grants of legal assistance in quarter one 2022</w:t>
      </w:r>
      <w:r>
        <w:rPr>
          <w:lang w:eastAsia="en-AU"/>
        </w:rPr>
        <w:t>–</w:t>
      </w:r>
      <w:r>
        <w:t>23 compared to quarter four 2021</w:t>
      </w:r>
      <w:r>
        <w:rPr>
          <w:lang w:eastAsia="en-AU"/>
        </w:rPr>
        <w:t>–</w:t>
      </w:r>
      <w:r>
        <w:t>22, a decrease of eight per cent. In quarter one there was</w:t>
      </w:r>
      <w:r w:rsidRPr="00BD7AD0">
        <w:t xml:space="preserve"> </w:t>
      </w:r>
      <w:r>
        <w:t>lower than expected number of</w:t>
      </w:r>
      <w:r w:rsidRPr="00BD7AD0">
        <w:t xml:space="preserve"> application</w:t>
      </w:r>
      <w:r>
        <w:t>s</w:t>
      </w:r>
      <w:r w:rsidRPr="00BD7AD0">
        <w:t xml:space="preserve"> </w:t>
      </w:r>
      <w:r w:rsidRPr="00BD7AD0">
        <w:lastRenderedPageBreak/>
        <w:t xml:space="preserve">for child protection grants as </w:t>
      </w:r>
      <w:r>
        <w:t xml:space="preserve">the </w:t>
      </w:r>
      <w:r w:rsidRPr="00BD7AD0">
        <w:t>D</w:t>
      </w:r>
      <w:r>
        <w:t xml:space="preserve">epartment of </w:t>
      </w:r>
      <w:r w:rsidRPr="00BD7AD0">
        <w:t>F</w:t>
      </w:r>
      <w:r>
        <w:t xml:space="preserve">amilies, </w:t>
      </w:r>
      <w:r w:rsidRPr="00BD7AD0">
        <w:t>F</w:t>
      </w:r>
      <w:r>
        <w:t xml:space="preserve">airness and </w:t>
      </w:r>
      <w:r w:rsidRPr="00BD7AD0">
        <w:t>H</w:t>
      </w:r>
      <w:r>
        <w:t>ousing</w:t>
      </w:r>
      <w:r w:rsidRPr="00BD7AD0">
        <w:t xml:space="preserve"> continue to have issues recruiting new officers</w:t>
      </w:r>
      <w:r>
        <w:t>,</w:t>
      </w:r>
      <w:r w:rsidRPr="00BD7AD0">
        <w:t xml:space="preserve"> impacting the number of new investigations. We are continuing to meet the previously committed demand for services within the courts as they address the backlog of matters. This is reflected in our case expenditure figures which remain higher than pre-covid levels (particularly in criminal law) which we expect to remain at these levels for the remainder of 2022</w:t>
      </w:r>
      <w:r>
        <w:rPr>
          <w:lang w:eastAsia="en-AU"/>
        </w:rPr>
        <w:t>–</w:t>
      </w:r>
      <w:r w:rsidRPr="00BD7AD0">
        <w:t xml:space="preserve">23.  </w:t>
      </w:r>
    </w:p>
    <w:p w14:paraId="01844D5B" w14:textId="7D3B4015" w:rsidR="00CC05F0" w:rsidRDefault="007236DB" w:rsidP="003E4AE8">
      <w:pPr>
        <w:spacing w:before="120"/>
      </w:pPr>
      <w:r>
        <w:t>Data for d</w:t>
      </w:r>
      <w:r w:rsidR="003E4AE8">
        <w:t xml:space="preserve">uty </w:t>
      </w:r>
      <w:r>
        <w:t>l</w:t>
      </w:r>
      <w:r w:rsidR="003E4AE8">
        <w:t xml:space="preserve">awyer </w:t>
      </w:r>
      <w:r>
        <w:t>s</w:t>
      </w:r>
      <w:r w:rsidR="003E4AE8">
        <w:t>ervices</w:t>
      </w:r>
      <w:r w:rsidR="003E4AE8" w:rsidRPr="00E13775">
        <w:t xml:space="preserve"> is not available due to the </w:t>
      </w:r>
      <w:r w:rsidR="003E4AE8">
        <w:t xml:space="preserve">implementation of our new case management system - Legal Aid Services Online (LASO). This will be updated in the Quarter 2 report. </w:t>
      </w:r>
    </w:p>
    <w:p w14:paraId="2A1F0837" w14:textId="7F139B2A" w:rsidR="00495A11" w:rsidRPr="00E46959" w:rsidRDefault="007C1487" w:rsidP="00523B7C">
      <w:pPr>
        <w:rPr>
          <w:b/>
          <w:bCs/>
        </w:rPr>
      </w:pPr>
      <w:r w:rsidRPr="00E46959">
        <w:rPr>
          <w:b/>
          <w:bCs/>
        </w:rPr>
        <w:t>Table 1</w:t>
      </w:r>
      <w:r w:rsidR="003700E1">
        <w:rPr>
          <w:b/>
          <w:bCs/>
        </w:rPr>
        <w:t>.</w:t>
      </w:r>
      <w:r w:rsidR="00CC05F0">
        <w:rPr>
          <w:b/>
          <w:bCs/>
        </w:rPr>
        <w:t>5 C</w:t>
      </w:r>
      <w:r w:rsidR="00B84476">
        <w:rPr>
          <w:b/>
          <w:bCs/>
        </w:rPr>
        <w:t>ourt assistance</w:t>
      </w:r>
      <w:r w:rsidRPr="00E46959">
        <w:rPr>
          <w:b/>
          <w:bCs/>
        </w:rPr>
        <w:t xml:space="preser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3"/>
        <w:gridCol w:w="1975"/>
        <w:gridCol w:w="2289"/>
        <w:gridCol w:w="2289"/>
      </w:tblGrid>
      <w:tr w:rsidR="007146D1" w14:paraId="052E6F62" w14:textId="3BBC6511" w:rsidTr="097F0F09">
        <w:trPr>
          <w:cnfStyle w:val="100000000000" w:firstRow="1" w:lastRow="0" w:firstColumn="0" w:lastColumn="0" w:oddVBand="0" w:evenVBand="0" w:oddHBand="0"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038AE825" w14:textId="06782A99" w:rsidR="007146D1" w:rsidRPr="00495A11" w:rsidRDefault="007146D1" w:rsidP="007146D1">
            <w:pPr>
              <w:rPr>
                <w:b/>
                <w:bCs w:val="0"/>
                <w:color w:val="000000" w:themeColor="text1"/>
              </w:rPr>
            </w:pPr>
            <w:r>
              <w:rPr>
                <w:b/>
                <w:bCs w:val="0"/>
                <w:color w:val="000000" w:themeColor="text1"/>
              </w:rPr>
              <w:t>Court assistance</w:t>
            </w:r>
            <w:r w:rsidRPr="00495A11">
              <w:rPr>
                <w:b/>
                <w:bCs w:val="0"/>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27268189" w14:textId="77777777" w:rsidR="007146D1" w:rsidRPr="000E7EED" w:rsidRDefault="007146D1" w:rsidP="007146D1">
            <w:pPr>
              <w:jc w:val="center"/>
              <w:rPr>
                <w:b/>
                <w:color w:val="000000" w:themeColor="text1"/>
              </w:rPr>
            </w:pPr>
            <w:r w:rsidRPr="55245693">
              <w:rPr>
                <w:b/>
                <w:color w:val="000000" w:themeColor="text1"/>
              </w:rPr>
              <w:t>Q</w:t>
            </w:r>
            <w:r>
              <w:rPr>
                <w:b/>
                <w:color w:val="000000" w:themeColor="text1"/>
              </w:rPr>
              <w:t>4</w:t>
            </w:r>
          </w:p>
          <w:p w14:paraId="02F895D5" w14:textId="0B44268F" w:rsidR="007146D1" w:rsidRPr="000E7EED" w:rsidRDefault="007146D1" w:rsidP="007146D1">
            <w:pPr>
              <w:jc w:val="center"/>
              <w:rPr>
                <w:color w:val="000000" w:themeColor="text1"/>
              </w:rPr>
            </w:pPr>
            <w:r w:rsidRPr="000E7EED">
              <w:rPr>
                <w:b/>
                <w:color w:val="000000" w:themeColor="text1"/>
              </w:rPr>
              <w:t>20</w:t>
            </w:r>
            <w:r>
              <w:rPr>
                <w:b/>
                <w:color w:val="000000" w:themeColor="text1"/>
              </w:rPr>
              <w:t>21-22</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0CBC1A75" w14:textId="77777777" w:rsidR="007146D1" w:rsidRDefault="007146D1" w:rsidP="007146D1">
            <w:pPr>
              <w:jc w:val="center"/>
              <w:rPr>
                <w:b/>
                <w:color w:val="000000" w:themeColor="text1"/>
              </w:rPr>
            </w:pPr>
            <w:r w:rsidRPr="55245693">
              <w:rPr>
                <w:b/>
                <w:color w:val="000000" w:themeColor="text1"/>
              </w:rPr>
              <w:t>Q</w:t>
            </w:r>
            <w:r>
              <w:rPr>
                <w:b/>
                <w:color w:val="000000" w:themeColor="text1"/>
              </w:rPr>
              <w:t>1</w:t>
            </w:r>
          </w:p>
          <w:p w14:paraId="1FA34AA2" w14:textId="274FC390" w:rsidR="007146D1" w:rsidRPr="000E7EED" w:rsidRDefault="007146D1" w:rsidP="007146D1">
            <w:pPr>
              <w:jc w:val="center"/>
              <w:rPr>
                <w:color w:val="000000" w:themeColor="text1"/>
              </w:rPr>
            </w:pPr>
            <w:r w:rsidRPr="000E7EED">
              <w:rPr>
                <w:b/>
                <w:color w:val="000000" w:themeColor="text1"/>
              </w:rPr>
              <w:t>20</w:t>
            </w:r>
            <w:r>
              <w:rPr>
                <w:b/>
                <w:color w:val="000000" w:themeColor="text1"/>
              </w:rPr>
              <w:t>22-23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4B529675" w14:textId="77777777" w:rsidR="007146D1" w:rsidRDefault="007146D1" w:rsidP="007146D1">
            <w:pPr>
              <w:jc w:val="center"/>
              <w:rPr>
                <w:b/>
                <w:bCs w:val="0"/>
                <w:color w:val="000000" w:themeColor="text1"/>
              </w:rPr>
            </w:pPr>
            <w:r>
              <w:rPr>
                <w:b/>
                <w:color w:val="000000" w:themeColor="text1"/>
              </w:rPr>
              <w:t>Q2 2022-23</w:t>
            </w:r>
          </w:p>
          <w:p w14:paraId="457E131E" w14:textId="3A62F3E6" w:rsidR="007146D1" w:rsidRPr="55245693" w:rsidRDefault="007146D1" w:rsidP="007146D1">
            <w:pPr>
              <w:jc w:val="center"/>
              <w:rPr>
                <w:b/>
                <w:color w:val="000000" w:themeColor="text1"/>
              </w:rPr>
            </w:pPr>
            <w:r>
              <w:rPr>
                <w:b/>
                <w:color w:val="000000" w:themeColor="text1"/>
              </w:rPr>
              <w:t>projection</w:t>
            </w:r>
          </w:p>
        </w:tc>
      </w:tr>
      <w:tr w:rsidR="00BF2AC5" w14:paraId="3C3FE80A" w14:textId="10B04CDA" w:rsidTr="097F0F09">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173B22E" w14:textId="77777777" w:rsidR="00BF2AC5" w:rsidRDefault="00BF2AC5" w:rsidP="00BF2AC5">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auto"/>
            <w:vAlign w:val="center"/>
          </w:tcPr>
          <w:p w14:paraId="2E8775AA" w14:textId="0A93BB9A" w:rsidR="00BF2AC5" w:rsidRPr="000E7EED" w:rsidRDefault="00BF2AC5" w:rsidP="00BF2AC5">
            <w:pPr>
              <w:jc w:val="center"/>
              <w:rPr>
                <w:color w:val="000000" w:themeColor="text1"/>
              </w:rPr>
            </w:pPr>
            <w:r>
              <w:t>15,918</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7AAB1F72" w14:textId="6F2DBDF4" w:rsidR="00BF2AC5" w:rsidRPr="000E7EED" w:rsidRDefault="00051FCF" w:rsidP="00BF2AC5">
            <w:pPr>
              <w:jc w:val="center"/>
              <w:rPr>
                <w:color w:val="000000" w:themeColor="text1"/>
              </w:rPr>
            </w:pPr>
            <w:r>
              <w:rPr>
                <w:rStyle w:val="normaltextrun"/>
                <w:rFonts w:cs="Arial"/>
                <w:szCs w:val="22"/>
              </w:rPr>
              <w:t>-</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568110B3" w14:textId="67343865" w:rsidR="00BF2AC5" w:rsidRPr="003A61E0" w:rsidRDefault="7722B3F7">
            <w:pPr>
              <w:jc w:val="right"/>
              <w:rPr>
                <w:rFonts w:eastAsia="Arial" w:cs="Arial"/>
                <w:szCs w:val="22"/>
              </w:rPr>
            </w:pPr>
            <w:r w:rsidRPr="00CD0F5E">
              <w:rPr>
                <w:color w:val="000000" w:themeColor="text1"/>
              </w:rPr>
              <w:t>19,000</w:t>
            </w:r>
          </w:p>
        </w:tc>
      </w:tr>
      <w:tr w:rsidR="00BF2AC5" w14:paraId="44E57F19" w14:textId="306A8423" w:rsidTr="097F0F09">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7AB592EF" w14:textId="77777777" w:rsidR="00BF2AC5" w:rsidRDefault="00BF2AC5" w:rsidP="00BF2AC5">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vAlign w:val="center"/>
          </w:tcPr>
          <w:p w14:paraId="22D2C9B8" w14:textId="6090BEA9" w:rsidR="00BF2AC5" w:rsidRPr="000E7EED" w:rsidRDefault="00BF2AC5" w:rsidP="00BF2AC5">
            <w:pPr>
              <w:jc w:val="center"/>
              <w:rPr>
                <w:color w:val="000000" w:themeColor="text1"/>
              </w:rPr>
            </w:pPr>
            <w:r>
              <w:rPr>
                <w:color w:val="000000" w:themeColor="text1"/>
              </w:rPr>
              <w:t>10,418</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64C623A0" w14:textId="0826209E" w:rsidR="00BF2AC5" w:rsidRPr="000E7EED" w:rsidRDefault="000E1283" w:rsidP="00BF2AC5">
            <w:pPr>
              <w:jc w:val="center"/>
              <w:rPr>
                <w:color w:val="000000" w:themeColor="text1"/>
              </w:rPr>
            </w:pPr>
            <w:r>
              <w:t>9</w:t>
            </w:r>
            <w:r w:rsidR="009B5390">
              <w:t>,</w:t>
            </w:r>
            <w:r>
              <w:t>560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015BF5C8" w14:textId="028D612B" w:rsidR="00BF2AC5" w:rsidRPr="00051FCF" w:rsidRDefault="5AF1DB69" w:rsidP="00BF2AC5">
            <w:pPr>
              <w:jc w:val="right"/>
              <w:rPr>
                <w:color w:val="000000" w:themeColor="text1"/>
              </w:rPr>
            </w:pPr>
            <w:r w:rsidRPr="00051FCF">
              <w:rPr>
                <w:color w:val="000000" w:themeColor="text1"/>
              </w:rPr>
              <w:t>9,500</w:t>
            </w:r>
          </w:p>
        </w:tc>
      </w:tr>
    </w:tbl>
    <w:p w14:paraId="389B7E18" w14:textId="77777777" w:rsidR="000B42DC" w:rsidRDefault="000B42DC">
      <w:pPr>
        <w:spacing w:after="0" w:line="240" w:lineRule="auto"/>
        <w:rPr>
          <w:rFonts w:cs="Arial"/>
          <w:b/>
          <w:bCs/>
          <w:iCs/>
          <w:color w:val="971A4B"/>
          <w:sz w:val="28"/>
          <w:szCs w:val="28"/>
          <w:lang w:eastAsia="en-AU"/>
        </w:rPr>
      </w:pPr>
      <w:r>
        <w:br w:type="page"/>
      </w:r>
    </w:p>
    <w:p w14:paraId="6EB8CCDC" w14:textId="400FC8EA" w:rsidR="004175B7" w:rsidRDefault="004175B7" w:rsidP="000B42DC">
      <w:pPr>
        <w:pStyle w:val="Heading2"/>
      </w:pPr>
      <w:r w:rsidRPr="004175B7">
        <w:lastRenderedPageBreak/>
        <w:t xml:space="preserve">Financial </w:t>
      </w:r>
      <w:r w:rsidR="00B03011">
        <w:t>S</w:t>
      </w:r>
      <w:r w:rsidRPr="004175B7">
        <w:t>ummary</w:t>
      </w:r>
    </w:p>
    <w:p w14:paraId="0DBC979C" w14:textId="1FEA9B8E" w:rsidR="00594B0D" w:rsidRDefault="00594B0D" w:rsidP="00594B0D">
      <w:pPr>
        <w:pStyle w:val="Heading3"/>
        <w:rPr>
          <w:b w:val="0"/>
          <w:bCs w:val="0"/>
          <w:sz w:val="22"/>
          <w:szCs w:val="22"/>
        </w:rPr>
      </w:pPr>
      <w:bookmarkStart w:id="4" w:name="_Hlk33006424"/>
      <w:bookmarkStart w:id="5" w:name="_Hlk25835001"/>
      <w:r>
        <w:rPr>
          <w:b w:val="0"/>
          <w:bCs w:val="0"/>
          <w:sz w:val="22"/>
          <w:szCs w:val="22"/>
        </w:rPr>
        <w:t xml:space="preserve">Our operating position for quarter </w:t>
      </w:r>
      <w:r w:rsidR="007F68D4">
        <w:rPr>
          <w:b w:val="0"/>
          <w:bCs w:val="0"/>
          <w:sz w:val="22"/>
          <w:szCs w:val="22"/>
        </w:rPr>
        <w:t>one</w:t>
      </w:r>
      <w:r>
        <w:rPr>
          <w:b w:val="0"/>
          <w:bCs w:val="0"/>
          <w:sz w:val="22"/>
          <w:szCs w:val="22"/>
        </w:rPr>
        <w:t xml:space="preserve"> 2022</w:t>
      </w:r>
      <w:r w:rsidR="00405E09" w:rsidRPr="00405E09">
        <w:rPr>
          <w:b w:val="0"/>
          <w:bCs w:val="0"/>
        </w:rPr>
        <w:t>–</w:t>
      </w:r>
      <w:r w:rsidR="007F68D4">
        <w:rPr>
          <w:b w:val="0"/>
          <w:bCs w:val="0"/>
          <w:sz w:val="22"/>
          <w:szCs w:val="22"/>
        </w:rPr>
        <w:t>23</w:t>
      </w:r>
      <w:r>
        <w:rPr>
          <w:b w:val="0"/>
          <w:bCs w:val="0"/>
          <w:sz w:val="22"/>
          <w:szCs w:val="22"/>
        </w:rPr>
        <w:t xml:space="preserve"> was a small </w:t>
      </w:r>
      <w:r w:rsidR="007F68D4">
        <w:rPr>
          <w:b w:val="0"/>
          <w:bCs w:val="0"/>
          <w:sz w:val="22"/>
          <w:szCs w:val="22"/>
        </w:rPr>
        <w:t>deficit</w:t>
      </w:r>
      <w:r>
        <w:rPr>
          <w:b w:val="0"/>
          <w:bCs w:val="0"/>
          <w:sz w:val="22"/>
          <w:szCs w:val="22"/>
        </w:rPr>
        <w:t xml:space="preserve"> of $2.</w:t>
      </w:r>
      <w:r w:rsidR="007F68D4">
        <w:rPr>
          <w:b w:val="0"/>
          <w:bCs w:val="0"/>
          <w:sz w:val="22"/>
          <w:szCs w:val="22"/>
        </w:rPr>
        <w:t>7</w:t>
      </w:r>
      <w:r>
        <w:rPr>
          <w:b w:val="0"/>
          <w:bCs w:val="0"/>
          <w:sz w:val="22"/>
          <w:szCs w:val="22"/>
        </w:rPr>
        <w:t xml:space="preserve"> million. </w:t>
      </w:r>
      <w:r w:rsidR="00205801">
        <w:rPr>
          <w:b w:val="0"/>
          <w:bCs w:val="0"/>
          <w:sz w:val="22"/>
          <w:szCs w:val="22"/>
        </w:rPr>
        <w:t xml:space="preserve">The reduction in revenue reflects the timing of </w:t>
      </w:r>
      <w:r w:rsidR="00F860DF">
        <w:rPr>
          <w:b w:val="0"/>
          <w:bCs w:val="0"/>
          <w:sz w:val="22"/>
          <w:szCs w:val="22"/>
        </w:rPr>
        <w:t>project funding in quarter four 2021</w:t>
      </w:r>
      <w:r w:rsidR="00AB0219" w:rsidRPr="00AB0219">
        <w:rPr>
          <w:b w:val="0"/>
          <w:bCs w:val="0"/>
        </w:rPr>
        <w:t>–</w:t>
      </w:r>
      <w:r w:rsidR="00F860DF">
        <w:rPr>
          <w:b w:val="0"/>
          <w:bCs w:val="0"/>
          <w:sz w:val="22"/>
          <w:szCs w:val="22"/>
        </w:rPr>
        <w:t xml:space="preserve">22 from both the State and Commonwealth Governments. </w:t>
      </w:r>
      <w:r w:rsidR="0057589A">
        <w:rPr>
          <w:b w:val="0"/>
          <w:bCs w:val="0"/>
          <w:sz w:val="22"/>
          <w:szCs w:val="22"/>
        </w:rPr>
        <w:t xml:space="preserve">The increased </w:t>
      </w:r>
      <w:r>
        <w:rPr>
          <w:b w:val="0"/>
          <w:bCs w:val="0"/>
          <w:sz w:val="22"/>
          <w:szCs w:val="22"/>
        </w:rPr>
        <w:t xml:space="preserve">case expenditure </w:t>
      </w:r>
      <w:r w:rsidR="0057589A">
        <w:rPr>
          <w:b w:val="0"/>
          <w:bCs w:val="0"/>
          <w:sz w:val="22"/>
          <w:szCs w:val="22"/>
        </w:rPr>
        <w:t>experienced in quarter four 2021</w:t>
      </w:r>
      <w:r w:rsidR="00AB0219" w:rsidRPr="00AB0219">
        <w:rPr>
          <w:b w:val="0"/>
          <w:bCs w:val="0"/>
        </w:rPr>
        <w:t>–</w:t>
      </w:r>
      <w:r w:rsidR="0057589A">
        <w:rPr>
          <w:b w:val="0"/>
          <w:bCs w:val="0"/>
          <w:sz w:val="22"/>
          <w:szCs w:val="22"/>
        </w:rPr>
        <w:t>22 has continued into quarter one 2022</w:t>
      </w:r>
      <w:r w:rsidR="00AB0219" w:rsidRPr="00AB0219">
        <w:rPr>
          <w:b w:val="0"/>
          <w:bCs w:val="0"/>
        </w:rPr>
        <w:t>–</w:t>
      </w:r>
      <w:r w:rsidR="0057589A">
        <w:rPr>
          <w:b w:val="0"/>
          <w:bCs w:val="0"/>
          <w:sz w:val="22"/>
          <w:szCs w:val="22"/>
        </w:rPr>
        <w:t xml:space="preserve">23 as the courts </w:t>
      </w:r>
      <w:r w:rsidR="005F37AE">
        <w:rPr>
          <w:b w:val="0"/>
          <w:bCs w:val="0"/>
          <w:sz w:val="22"/>
          <w:szCs w:val="22"/>
        </w:rPr>
        <w:t>continue to ramp up activities following the lifting of</w:t>
      </w:r>
      <w:r>
        <w:rPr>
          <w:b w:val="0"/>
          <w:bCs w:val="0"/>
          <w:sz w:val="22"/>
          <w:szCs w:val="22"/>
        </w:rPr>
        <w:t xml:space="preserve"> COVID-19 restrictions. </w:t>
      </w:r>
      <w:r w:rsidR="00BF61E6">
        <w:rPr>
          <w:b w:val="0"/>
          <w:bCs w:val="0"/>
          <w:sz w:val="22"/>
          <w:szCs w:val="22"/>
        </w:rPr>
        <w:t xml:space="preserve">Additional staff costs also reflect the commencement of </w:t>
      </w:r>
      <w:r w:rsidR="00431AA3">
        <w:rPr>
          <w:b w:val="0"/>
          <w:bCs w:val="0"/>
          <w:sz w:val="22"/>
          <w:szCs w:val="22"/>
        </w:rPr>
        <w:t>several</w:t>
      </w:r>
      <w:r w:rsidR="00BF61E6">
        <w:rPr>
          <w:b w:val="0"/>
          <w:bCs w:val="0"/>
          <w:sz w:val="22"/>
          <w:szCs w:val="22"/>
        </w:rPr>
        <w:t xml:space="preserve"> new Government funded initiatives in 2022</w:t>
      </w:r>
      <w:r w:rsidR="00B03204" w:rsidRPr="00B03204">
        <w:rPr>
          <w:b w:val="0"/>
          <w:bCs w:val="0"/>
        </w:rPr>
        <w:t>–</w:t>
      </w:r>
      <w:r w:rsidR="00BF61E6">
        <w:rPr>
          <w:b w:val="0"/>
          <w:bCs w:val="0"/>
          <w:sz w:val="22"/>
          <w:szCs w:val="22"/>
        </w:rPr>
        <w:t>23.</w:t>
      </w:r>
    </w:p>
    <w:p w14:paraId="79957A57" w14:textId="29850CB8" w:rsidR="00041837" w:rsidRPr="00041837" w:rsidRDefault="00594B0D" w:rsidP="00041837">
      <w:pPr>
        <w:pStyle w:val="Heading3"/>
        <w:rPr>
          <w:b w:val="0"/>
          <w:bCs w:val="0"/>
          <w:sz w:val="22"/>
          <w:szCs w:val="22"/>
        </w:rPr>
      </w:pPr>
      <w:r>
        <w:rPr>
          <w:b w:val="0"/>
          <w:bCs w:val="0"/>
          <w:sz w:val="22"/>
          <w:szCs w:val="22"/>
        </w:rPr>
        <w:t>We are projecting a year-end deficit of approximately $</w:t>
      </w:r>
      <w:r w:rsidR="005F37AE">
        <w:rPr>
          <w:b w:val="0"/>
          <w:bCs w:val="0"/>
          <w:sz w:val="22"/>
          <w:szCs w:val="22"/>
        </w:rPr>
        <w:t>18</w:t>
      </w:r>
      <w:r>
        <w:rPr>
          <w:b w:val="0"/>
          <w:bCs w:val="0"/>
          <w:sz w:val="22"/>
          <w:szCs w:val="22"/>
        </w:rPr>
        <w:t xml:space="preserve"> million. </w:t>
      </w:r>
      <w:r w:rsidR="00B96A6D">
        <w:rPr>
          <w:b w:val="0"/>
          <w:bCs w:val="0"/>
          <w:sz w:val="22"/>
          <w:szCs w:val="22"/>
        </w:rPr>
        <w:t xml:space="preserve">This deficit will be funded from VLA’s existing cash reserves, which arose in recent years </w:t>
      </w:r>
      <w:r w:rsidR="00CA4117">
        <w:rPr>
          <w:b w:val="0"/>
          <w:bCs w:val="0"/>
          <w:sz w:val="22"/>
          <w:szCs w:val="22"/>
        </w:rPr>
        <w:t xml:space="preserve">due to a reduction in court activity from COVID-19.  This is part of </w:t>
      </w:r>
      <w:r w:rsidR="00041837">
        <w:rPr>
          <w:b w:val="0"/>
          <w:bCs w:val="0"/>
          <w:sz w:val="22"/>
          <w:szCs w:val="22"/>
        </w:rPr>
        <w:t>the State Government approved approach to fund approximately $50 million of deficits across 2022</w:t>
      </w:r>
      <w:r w:rsidR="00AB0219" w:rsidRPr="00AB0219">
        <w:rPr>
          <w:b w:val="0"/>
          <w:bCs w:val="0"/>
        </w:rPr>
        <w:t>–</w:t>
      </w:r>
      <w:r w:rsidR="00041837">
        <w:rPr>
          <w:b w:val="0"/>
          <w:bCs w:val="0"/>
          <w:sz w:val="22"/>
          <w:szCs w:val="22"/>
        </w:rPr>
        <w:t xml:space="preserve">23 and 2024-25 from these reserves. However, VLA’s ongoing financial challenges remain, with additional funding required </w:t>
      </w:r>
      <w:r w:rsidR="00431AA3">
        <w:rPr>
          <w:b w:val="0"/>
          <w:bCs w:val="0"/>
          <w:sz w:val="22"/>
          <w:szCs w:val="22"/>
        </w:rPr>
        <w:t>once these reserves are utilised. If additional funding is not received, then service reduction measures will need to be introduced as early as 2024.</w:t>
      </w:r>
    </w:p>
    <w:p w14:paraId="5C7A41B4" w14:textId="28D9E6E2" w:rsidR="004175B7" w:rsidRPr="004175B7" w:rsidRDefault="00351328" w:rsidP="004175B7">
      <w:pPr>
        <w:pStyle w:val="Heading3"/>
      </w:pPr>
      <w:r w:rsidRPr="004175B7">
        <w:rPr>
          <w:rStyle w:val="Heading3Char"/>
          <w:b/>
          <w:bCs/>
        </w:rPr>
        <w:t>Total</w:t>
      </w:r>
      <w:r w:rsidR="004175B7" w:rsidRPr="004175B7">
        <w:rPr>
          <w:rStyle w:val="Heading3Char"/>
          <w:b/>
          <w:bCs/>
        </w:rPr>
        <w:t xml:space="preserve"> revenue breakdown</w:t>
      </w:r>
      <w:r w:rsidR="007F609B">
        <w:rPr>
          <w:rStyle w:val="Heading3Char"/>
          <w:b/>
          <w:bCs/>
        </w:rPr>
        <w:t xml:space="preserve"> </w:t>
      </w:r>
      <w:r w:rsidR="00A6458C" w:rsidRPr="004175B7">
        <w:rPr>
          <w:rStyle w:val="Heading3Char"/>
          <w:b/>
          <w:bCs/>
        </w:rPr>
        <w:t>(</w:t>
      </w:r>
      <w:r w:rsidR="004175B7" w:rsidRPr="004175B7">
        <w:rPr>
          <w:rStyle w:val="Heading3Char"/>
          <w:b/>
          <w:bCs/>
        </w:rPr>
        <w:t>$’000</w:t>
      </w:r>
      <w:r w:rsidR="004175B7" w:rsidRPr="004175B7">
        <w:t>)</w:t>
      </w:r>
      <w:r w:rsidR="007F609B">
        <w:t xml:space="preserve"> </w:t>
      </w:r>
    </w:p>
    <w:tbl>
      <w:tblPr>
        <w:tblStyle w:val="PlainTable2"/>
        <w:tblW w:w="4920" w:type="pct"/>
        <w:tblBorders>
          <w:bottom w:val="none" w:sz="0" w:space="0" w:color="auto"/>
          <w:insideH w:val="none" w:sz="0" w:space="0" w:color="auto"/>
        </w:tblBorders>
        <w:tblLook w:val="0620" w:firstRow="1" w:lastRow="0" w:firstColumn="0" w:lastColumn="0" w:noHBand="1" w:noVBand="1"/>
      </w:tblPr>
      <w:tblGrid>
        <w:gridCol w:w="4399"/>
        <w:gridCol w:w="1981"/>
        <w:gridCol w:w="1981"/>
        <w:gridCol w:w="1564"/>
      </w:tblGrid>
      <w:tr w:rsidR="00672FE2" w:rsidRPr="000E7EED" w14:paraId="1C659569" w14:textId="4E8095C9" w:rsidTr="004F535E">
        <w:trPr>
          <w:cnfStyle w:val="100000000000" w:firstRow="1" w:lastRow="0" w:firstColumn="0" w:lastColumn="0" w:oddVBand="0" w:evenVBand="0" w:oddHBand="0" w:evenHBand="0" w:firstRowFirstColumn="0" w:firstRowLastColumn="0" w:lastRowFirstColumn="0" w:lastRowLastColumn="0"/>
        </w:trPr>
        <w:tc>
          <w:tcPr>
            <w:tcW w:w="2216" w:type="pct"/>
            <w:tcBorders>
              <w:top w:val="single" w:sz="4" w:space="0" w:color="auto"/>
              <w:bottom w:val="single" w:sz="4" w:space="0" w:color="auto"/>
            </w:tcBorders>
            <w:shd w:val="clear" w:color="auto" w:fill="C3AFCC"/>
          </w:tcPr>
          <w:p w14:paraId="59377134" w14:textId="77777777" w:rsidR="00672FE2" w:rsidRPr="000E7EED" w:rsidRDefault="00672FE2" w:rsidP="00672FE2">
            <w:pPr>
              <w:rPr>
                <w:b/>
                <w:color w:val="000000" w:themeColor="text1"/>
              </w:rPr>
            </w:pPr>
            <w:bookmarkStart w:id="6" w:name="_Hlk10632113"/>
            <w:bookmarkEnd w:id="4"/>
            <w:r w:rsidRPr="000E7EED">
              <w:rPr>
                <w:b/>
                <w:color w:val="000000" w:themeColor="text1"/>
              </w:rPr>
              <w:t>Revenue</w:t>
            </w:r>
          </w:p>
        </w:tc>
        <w:tc>
          <w:tcPr>
            <w:tcW w:w="998" w:type="pct"/>
            <w:tcBorders>
              <w:top w:val="single" w:sz="4" w:space="0" w:color="auto"/>
              <w:bottom w:val="single" w:sz="4" w:space="0" w:color="auto"/>
            </w:tcBorders>
            <w:shd w:val="clear" w:color="auto" w:fill="C3AFCC"/>
            <w:vAlign w:val="center"/>
          </w:tcPr>
          <w:p w14:paraId="60DA9018" w14:textId="77777777" w:rsidR="00672FE2" w:rsidRDefault="00672FE2" w:rsidP="00672FE2">
            <w:pPr>
              <w:jc w:val="center"/>
              <w:rPr>
                <w:b/>
                <w:bCs w:val="0"/>
                <w:color w:val="000000" w:themeColor="text1"/>
              </w:rPr>
            </w:pPr>
            <w:r w:rsidRPr="55245693">
              <w:rPr>
                <w:b/>
                <w:color w:val="000000" w:themeColor="text1"/>
              </w:rPr>
              <w:t>Q</w:t>
            </w:r>
            <w:r>
              <w:rPr>
                <w:b/>
                <w:color w:val="000000" w:themeColor="text1"/>
              </w:rPr>
              <w:t>4</w:t>
            </w:r>
          </w:p>
          <w:p w14:paraId="3EFEB76D" w14:textId="0B0884C7" w:rsidR="00672FE2" w:rsidRPr="000E7EED" w:rsidRDefault="00672FE2" w:rsidP="00672FE2">
            <w:pPr>
              <w:jc w:val="center"/>
              <w:rPr>
                <w:b/>
                <w:color w:val="000000" w:themeColor="text1"/>
              </w:rPr>
            </w:pPr>
            <w:r>
              <w:rPr>
                <w:b/>
                <w:color w:val="000000" w:themeColor="text1"/>
              </w:rPr>
              <w:t>2</w:t>
            </w:r>
            <w:r w:rsidRPr="000E7EED">
              <w:rPr>
                <w:b/>
                <w:color w:val="000000" w:themeColor="text1"/>
              </w:rPr>
              <w:t>0</w:t>
            </w:r>
            <w:r>
              <w:rPr>
                <w:b/>
                <w:color w:val="000000" w:themeColor="text1"/>
              </w:rPr>
              <w:t>21-22</w:t>
            </w:r>
          </w:p>
        </w:tc>
        <w:tc>
          <w:tcPr>
            <w:tcW w:w="857" w:type="pct"/>
            <w:tcBorders>
              <w:top w:val="single" w:sz="4" w:space="0" w:color="auto"/>
              <w:bottom w:val="single" w:sz="4" w:space="0" w:color="auto"/>
            </w:tcBorders>
            <w:shd w:val="clear" w:color="auto" w:fill="C3AFCC"/>
          </w:tcPr>
          <w:p w14:paraId="4D7FDA0A" w14:textId="77777777" w:rsidR="00672FE2" w:rsidRDefault="00672FE2" w:rsidP="00672FE2">
            <w:pPr>
              <w:jc w:val="center"/>
              <w:rPr>
                <w:b/>
                <w:color w:val="000000" w:themeColor="text1"/>
              </w:rPr>
            </w:pPr>
            <w:r w:rsidRPr="55245693">
              <w:rPr>
                <w:b/>
                <w:color w:val="000000" w:themeColor="text1"/>
              </w:rPr>
              <w:t>Q</w:t>
            </w:r>
            <w:r>
              <w:rPr>
                <w:b/>
                <w:color w:val="000000" w:themeColor="text1"/>
              </w:rPr>
              <w:t>1</w:t>
            </w:r>
          </w:p>
          <w:p w14:paraId="4CCF9AC7" w14:textId="3CDC96DD" w:rsidR="00672FE2" w:rsidRPr="000E7EED" w:rsidRDefault="00672FE2" w:rsidP="00672FE2">
            <w:pPr>
              <w:jc w:val="center"/>
              <w:rPr>
                <w:b/>
                <w:color w:val="000000" w:themeColor="text1"/>
              </w:rPr>
            </w:pPr>
            <w:r w:rsidRPr="000E7EED">
              <w:rPr>
                <w:b/>
                <w:color w:val="000000" w:themeColor="text1"/>
              </w:rPr>
              <w:t>20</w:t>
            </w:r>
            <w:r>
              <w:rPr>
                <w:b/>
                <w:color w:val="000000" w:themeColor="text1"/>
              </w:rPr>
              <w:t>22-23</w:t>
            </w:r>
          </w:p>
        </w:tc>
        <w:tc>
          <w:tcPr>
            <w:tcW w:w="929" w:type="pct"/>
            <w:tcBorders>
              <w:top w:val="single" w:sz="4" w:space="0" w:color="auto"/>
              <w:bottom w:val="single" w:sz="4" w:space="0" w:color="auto"/>
            </w:tcBorders>
            <w:shd w:val="clear" w:color="auto" w:fill="C3AFCC"/>
          </w:tcPr>
          <w:p w14:paraId="75945EF8" w14:textId="77777777" w:rsidR="00672FE2" w:rsidRDefault="00672FE2" w:rsidP="00672FE2">
            <w:pPr>
              <w:jc w:val="center"/>
              <w:rPr>
                <w:b/>
                <w:bCs w:val="0"/>
                <w:color w:val="000000" w:themeColor="text1"/>
              </w:rPr>
            </w:pPr>
            <w:r>
              <w:rPr>
                <w:b/>
                <w:color w:val="000000" w:themeColor="text1"/>
              </w:rPr>
              <w:t>Q2 2022-23</w:t>
            </w:r>
          </w:p>
          <w:p w14:paraId="35FF2E77" w14:textId="580C4342" w:rsidR="00672FE2" w:rsidRPr="000E7EED" w:rsidRDefault="00672FE2" w:rsidP="00672FE2">
            <w:pPr>
              <w:jc w:val="center"/>
              <w:rPr>
                <w:b/>
                <w:color w:val="000000" w:themeColor="text1"/>
              </w:rPr>
            </w:pPr>
            <w:r>
              <w:rPr>
                <w:b/>
                <w:color w:val="000000" w:themeColor="text1"/>
              </w:rPr>
              <w:t>projection</w:t>
            </w:r>
          </w:p>
        </w:tc>
      </w:tr>
      <w:tr w:rsidR="004F535E" w:rsidRPr="000E7EED" w14:paraId="01E48904" w14:textId="5BAAC4A8" w:rsidTr="004F535E">
        <w:tc>
          <w:tcPr>
            <w:tcW w:w="2216" w:type="pct"/>
            <w:tcBorders>
              <w:top w:val="single" w:sz="4" w:space="0" w:color="auto"/>
              <w:bottom w:val="single" w:sz="4" w:space="0" w:color="auto"/>
            </w:tcBorders>
          </w:tcPr>
          <w:p w14:paraId="0021B005" w14:textId="77777777" w:rsidR="004F535E" w:rsidRPr="000E7EED" w:rsidRDefault="004F535E" w:rsidP="004F535E">
            <w:pPr>
              <w:rPr>
                <w:color w:val="000000" w:themeColor="text1"/>
              </w:rPr>
            </w:pPr>
            <w:r w:rsidRPr="000E7EED">
              <w:rPr>
                <w:color w:val="000000" w:themeColor="text1"/>
              </w:rPr>
              <w:t>Commonwealth – grants</w:t>
            </w:r>
          </w:p>
        </w:tc>
        <w:tc>
          <w:tcPr>
            <w:tcW w:w="998" w:type="pct"/>
            <w:tcBorders>
              <w:top w:val="single" w:sz="4" w:space="0" w:color="auto"/>
              <w:left w:val="nil"/>
              <w:bottom w:val="single" w:sz="4" w:space="0" w:color="auto"/>
              <w:right w:val="nil"/>
            </w:tcBorders>
            <w:shd w:val="clear" w:color="auto" w:fill="auto"/>
          </w:tcPr>
          <w:p w14:paraId="276A5F3F" w14:textId="1D6E8616" w:rsidR="004F535E" w:rsidRPr="008E424E" w:rsidRDefault="004F535E" w:rsidP="004F535E">
            <w:pPr>
              <w:jc w:val="right"/>
            </w:pPr>
            <w:r>
              <w:t>27,624</w:t>
            </w:r>
          </w:p>
        </w:tc>
        <w:tc>
          <w:tcPr>
            <w:tcW w:w="857" w:type="pct"/>
            <w:tcBorders>
              <w:top w:val="single" w:sz="4" w:space="0" w:color="auto"/>
              <w:bottom w:val="single" w:sz="4" w:space="0" w:color="auto"/>
            </w:tcBorders>
            <w:shd w:val="clear" w:color="auto" w:fill="D9D9D9" w:themeFill="background1" w:themeFillShade="D9"/>
          </w:tcPr>
          <w:p w14:paraId="36D4CCE7" w14:textId="4BF6D3FD" w:rsidR="004F535E" w:rsidRPr="008E424E" w:rsidRDefault="000F074C" w:rsidP="004F535E">
            <w:pPr>
              <w:jc w:val="right"/>
            </w:pPr>
            <w:r>
              <w:t>22,</w:t>
            </w:r>
            <w:r w:rsidR="0056726C">
              <w:t>9</w:t>
            </w:r>
            <w:r>
              <w:t>58</w:t>
            </w:r>
          </w:p>
        </w:tc>
        <w:tc>
          <w:tcPr>
            <w:tcW w:w="929" w:type="pct"/>
            <w:tcBorders>
              <w:top w:val="single" w:sz="4" w:space="0" w:color="auto"/>
              <w:bottom w:val="single" w:sz="4" w:space="0" w:color="auto"/>
            </w:tcBorders>
            <w:shd w:val="clear" w:color="auto" w:fill="auto"/>
          </w:tcPr>
          <w:p w14:paraId="414749C8" w14:textId="1819FDAF" w:rsidR="004F535E" w:rsidRPr="008E424E" w:rsidRDefault="000F074C" w:rsidP="004F535E">
            <w:pPr>
              <w:jc w:val="right"/>
            </w:pPr>
            <w:r>
              <w:t>24,089</w:t>
            </w:r>
          </w:p>
        </w:tc>
      </w:tr>
      <w:tr w:rsidR="004F535E" w:rsidRPr="000E7EED" w14:paraId="63873906" w14:textId="4CAEF24E" w:rsidTr="004F535E">
        <w:tc>
          <w:tcPr>
            <w:tcW w:w="2216" w:type="pct"/>
            <w:tcBorders>
              <w:top w:val="single" w:sz="4" w:space="0" w:color="auto"/>
              <w:bottom w:val="single" w:sz="4" w:space="0" w:color="auto"/>
            </w:tcBorders>
          </w:tcPr>
          <w:p w14:paraId="218159F5" w14:textId="226857F3" w:rsidR="004F535E" w:rsidRPr="000E7EED" w:rsidRDefault="004F535E" w:rsidP="004F535E">
            <w:pPr>
              <w:rPr>
                <w:color w:val="000000" w:themeColor="text1"/>
              </w:rPr>
            </w:pPr>
            <w:r>
              <w:rPr>
                <w:color w:val="000000" w:themeColor="text1"/>
              </w:rPr>
              <w:t>ECCCF income</w:t>
            </w:r>
          </w:p>
        </w:tc>
        <w:tc>
          <w:tcPr>
            <w:tcW w:w="998" w:type="pct"/>
            <w:tcBorders>
              <w:top w:val="single" w:sz="4" w:space="0" w:color="auto"/>
              <w:left w:val="nil"/>
              <w:bottom w:val="single" w:sz="4" w:space="0" w:color="auto"/>
              <w:right w:val="nil"/>
            </w:tcBorders>
            <w:shd w:val="clear" w:color="auto" w:fill="auto"/>
          </w:tcPr>
          <w:p w14:paraId="7A64DCB3" w14:textId="05331200" w:rsidR="004F535E" w:rsidRDefault="004F535E" w:rsidP="004F535E">
            <w:pPr>
              <w:jc w:val="right"/>
            </w:pPr>
            <w:r>
              <w:t>0</w:t>
            </w:r>
          </w:p>
        </w:tc>
        <w:tc>
          <w:tcPr>
            <w:tcW w:w="857" w:type="pct"/>
            <w:tcBorders>
              <w:top w:val="single" w:sz="4" w:space="0" w:color="auto"/>
              <w:bottom w:val="single" w:sz="4" w:space="0" w:color="auto"/>
            </w:tcBorders>
            <w:shd w:val="clear" w:color="auto" w:fill="D9D9D9" w:themeFill="background1" w:themeFillShade="D9"/>
          </w:tcPr>
          <w:p w14:paraId="0A73B0EC" w14:textId="514A3740" w:rsidR="004F535E" w:rsidRDefault="000F074C" w:rsidP="004F535E">
            <w:pPr>
              <w:jc w:val="right"/>
            </w:pPr>
            <w:r>
              <w:t>187</w:t>
            </w:r>
          </w:p>
        </w:tc>
        <w:tc>
          <w:tcPr>
            <w:tcW w:w="929" w:type="pct"/>
            <w:tcBorders>
              <w:top w:val="single" w:sz="4" w:space="0" w:color="auto"/>
              <w:bottom w:val="single" w:sz="4" w:space="0" w:color="auto"/>
            </w:tcBorders>
            <w:shd w:val="clear" w:color="auto" w:fill="auto"/>
          </w:tcPr>
          <w:p w14:paraId="6E92822F" w14:textId="37D516C1" w:rsidR="004F535E" w:rsidRDefault="000F074C" w:rsidP="004F535E">
            <w:pPr>
              <w:jc w:val="right"/>
            </w:pPr>
            <w:r>
              <w:t>630</w:t>
            </w:r>
          </w:p>
        </w:tc>
      </w:tr>
      <w:tr w:rsidR="004F535E" w:rsidRPr="000E7EED" w14:paraId="0A69F6B4" w14:textId="2FA51E45" w:rsidTr="004F535E">
        <w:tc>
          <w:tcPr>
            <w:tcW w:w="2216" w:type="pct"/>
            <w:tcBorders>
              <w:top w:val="single" w:sz="4" w:space="0" w:color="auto"/>
              <w:bottom w:val="single" w:sz="4" w:space="0" w:color="auto"/>
            </w:tcBorders>
          </w:tcPr>
          <w:p w14:paraId="3768FF6C" w14:textId="77777777" w:rsidR="004F535E" w:rsidRPr="000E7EED" w:rsidRDefault="004F535E" w:rsidP="004F535E">
            <w:pPr>
              <w:rPr>
                <w:b/>
                <w:color w:val="000000" w:themeColor="text1"/>
              </w:rPr>
            </w:pPr>
            <w:r w:rsidRPr="000E7EED">
              <w:rPr>
                <w:color w:val="000000" w:themeColor="text1"/>
              </w:rPr>
              <w:t>State – grants</w:t>
            </w:r>
          </w:p>
        </w:tc>
        <w:tc>
          <w:tcPr>
            <w:tcW w:w="998" w:type="pct"/>
            <w:tcBorders>
              <w:top w:val="single" w:sz="4" w:space="0" w:color="auto"/>
              <w:left w:val="nil"/>
              <w:bottom w:val="single" w:sz="4" w:space="0" w:color="auto"/>
              <w:right w:val="nil"/>
            </w:tcBorders>
            <w:shd w:val="clear" w:color="auto" w:fill="auto"/>
          </w:tcPr>
          <w:p w14:paraId="521BA914" w14:textId="01DBFF79" w:rsidR="004F535E" w:rsidRPr="008E424E" w:rsidRDefault="004F535E" w:rsidP="004F535E">
            <w:pPr>
              <w:jc w:val="right"/>
            </w:pPr>
            <w:r>
              <w:t>50,876</w:t>
            </w:r>
          </w:p>
        </w:tc>
        <w:tc>
          <w:tcPr>
            <w:tcW w:w="857" w:type="pct"/>
            <w:tcBorders>
              <w:top w:val="single" w:sz="4" w:space="0" w:color="auto"/>
              <w:bottom w:val="single" w:sz="4" w:space="0" w:color="auto"/>
            </w:tcBorders>
            <w:shd w:val="clear" w:color="auto" w:fill="D9D9D9" w:themeFill="background1" w:themeFillShade="D9"/>
          </w:tcPr>
          <w:p w14:paraId="0A3242C1" w14:textId="0020D81D" w:rsidR="004F535E" w:rsidRPr="008E424E" w:rsidRDefault="000F074C" w:rsidP="004F535E">
            <w:pPr>
              <w:jc w:val="right"/>
            </w:pPr>
            <w:r>
              <w:t>42,805</w:t>
            </w:r>
          </w:p>
        </w:tc>
        <w:tc>
          <w:tcPr>
            <w:tcW w:w="929" w:type="pct"/>
            <w:tcBorders>
              <w:top w:val="single" w:sz="4" w:space="0" w:color="auto"/>
              <w:bottom w:val="single" w:sz="4" w:space="0" w:color="auto"/>
            </w:tcBorders>
            <w:shd w:val="clear" w:color="auto" w:fill="auto"/>
          </w:tcPr>
          <w:p w14:paraId="6C86FE54" w14:textId="050D4292" w:rsidR="004F535E" w:rsidRPr="008E424E" w:rsidRDefault="000F074C" w:rsidP="004F535E">
            <w:pPr>
              <w:jc w:val="right"/>
            </w:pPr>
            <w:r>
              <w:t>42,084</w:t>
            </w:r>
          </w:p>
        </w:tc>
      </w:tr>
      <w:tr w:rsidR="004F535E" w:rsidRPr="000E7EED" w14:paraId="1FBF8D6C" w14:textId="062CEB5F" w:rsidTr="00270566">
        <w:tc>
          <w:tcPr>
            <w:tcW w:w="2216" w:type="pct"/>
            <w:tcBorders>
              <w:top w:val="single" w:sz="4" w:space="0" w:color="auto"/>
              <w:bottom w:val="single" w:sz="4" w:space="0" w:color="auto"/>
            </w:tcBorders>
          </w:tcPr>
          <w:p w14:paraId="1E2A089F" w14:textId="77777777" w:rsidR="004F535E" w:rsidRPr="000E7EED" w:rsidRDefault="004F535E" w:rsidP="004F535E">
            <w:pPr>
              <w:rPr>
                <w:b/>
                <w:color w:val="000000" w:themeColor="text1"/>
              </w:rPr>
            </w:pPr>
            <w:r w:rsidRPr="000E7EED">
              <w:rPr>
                <w:color w:val="000000" w:themeColor="text1"/>
              </w:rPr>
              <w:t>Public Purpose Fund</w:t>
            </w:r>
          </w:p>
        </w:tc>
        <w:tc>
          <w:tcPr>
            <w:tcW w:w="998" w:type="pct"/>
            <w:tcBorders>
              <w:top w:val="single" w:sz="4" w:space="0" w:color="auto"/>
              <w:left w:val="nil"/>
              <w:bottom w:val="single" w:sz="4" w:space="0" w:color="auto"/>
              <w:right w:val="nil"/>
            </w:tcBorders>
            <w:shd w:val="clear" w:color="auto" w:fill="auto"/>
          </w:tcPr>
          <w:p w14:paraId="4D9987B3" w14:textId="6FE46F4A" w:rsidR="004F535E" w:rsidRPr="008E424E" w:rsidRDefault="004F535E" w:rsidP="004F535E">
            <w:pPr>
              <w:jc w:val="right"/>
            </w:pPr>
            <w:r>
              <w:t>6,014</w:t>
            </w:r>
          </w:p>
        </w:tc>
        <w:tc>
          <w:tcPr>
            <w:tcW w:w="998" w:type="pct"/>
            <w:tcBorders>
              <w:top w:val="single" w:sz="4" w:space="0" w:color="auto"/>
              <w:left w:val="nil"/>
              <w:bottom w:val="single" w:sz="4" w:space="0" w:color="auto"/>
              <w:right w:val="nil"/>
            </w:tcBorders>
            <w:shd w:val="clear" w:color="auto" w:fill="D9D9D9" w:themeFill="background1" w:themeFillShade="D9"/>
          </w:tcPr>
          <w:p w14:paraId="215112AC" w14:textId="77777777" w:rsidR="000F074C" w:rsidRDefault="000F074C" w:rsidP="004F535E">
            <w:pPr>
              <w:jc w:val="right"/>
            </w:pPr>
            <w:r>
              <w:t>5,772</w:t>
            </w:r>
          </w:p>
        </w:tc>
        <w:tc>
          <w:tcPr>
            <w:tcW w:w="929" w:type="pct"/>
            <w:tcBorders>
              <w:top w:val="single" w:sz="4" w:space="0" w:color="auto"/>
              <w:bottom w:val="single" w:sz="4" w:space="0" w:color="auto"/>
            </w:tcBorders>
            <w:shd w:val="clear" w:color="auto" w:fill="auto"/>
          </w:tcPr>
          <w:p w14:paraId="044E3CDC" w14:textId="3FB2F540" w:rsidR="004F535E" w:rsidRPr="008E424E" w:rsidRDefault="000F074C" w:rsidP="004F535E">
            <w:pPr>
              <w:jc w:val="right"/>
            </w:pPr>
            <w:r>
              <w:t>5,772</w:t>
            </w:r>
          </w:p>
        </w:tc>
      </w:tr>
      <w:tr w:rsidR="004F535E" w:rsidRPr="000E7EED" w14:paraId="078C4944" w14:textId="71CD9D78" w:rsidTr="004F535E">
        <w:tc>
          <w:tcPr>
            <w:tcW w:w="2216" w:type="pct"/>
            <w:tcBorders>
              <w:top w:val="single" w:sz="4" w:space="0" w:color="auto"/>
              <w:bottom w:val="single" w:sz="4" w:space="0" w:color="auto"/>
            </w:tcBorders>
          </w:tcPr>
          <w:p w14:paraId="12A13989" w14:textId="77777777" w:rsidR="004F535E" w:rsidRPr="000E7EED" w:rsidRDefault="004F535E" w:rsidP="004F535E">
            <w:pPr>
              <w:rPr>
                <w:b/>
                <w:color w:val="000000" w:themeColor="text1"/>
              </w:rPr>
            </w:pPr>
            <w:r w:rsidRPr="000E7EED">
              <w:rPr>
                <w:color w:val="000000" w:themeColor="text1"/>
              </w:rPr>
              <w:t>Case revenue</w:t>
            </w:r>
          </w:p>
        </w:tc>
        <w:tc>
          <w:tcPr>
            <w:tcW w:w="998" w:type="pct"/>
            <w:tcBorders>
              <w:top w:val="single" w:sz="4" w:space="0" w:color="auto"/>
              <w:left w:val="nil"/>
              <w:bottom w:val="single" w:sz="4" w:space="0" w:color="auto"/>
              <w:right w:val="nil"/>
            </w:tcBorders>
            <w:shd w:val="clear" w:color="auto" w:fill="auto"/>
          </w:tcPr>
          <w:p w14:paraId="4E28F351" w14:textId="298E5BC7" w:rsidR="004F535E" w:rsidRPr="008E424E" w:rsidRDefault="004F535E" w:rsidP="004F535E">
            <w:pPr>
              <w:jc w:val="right"/>
            </w:pPr>
            <w:r>
              <w:t>2,853</w:t>
            </w:r>
          </w:p>
        </w:tc>
        <w:tc>
          <w:tcPr>
            <w:tcW w:w="857" w:type="pct"/>
            <w:tcBorders>
              <w:top w:val="single" w:sz="4" w:space="0" w:color="auto"/>
              <w:bottom w:val="single" w:sz="4" w:space="0" w:color="auto"/>
            </w:tcBorders>
            <w:shd w:val="clear" w:color="auto" w:fill="D9D9D9" w:themeFill="background1" w:themeFillShade="D9"/>
          </w:tcPr>
          <w:p w14:paraId="140B4D42" w14:textId="698C5315" w:rsidR="004F535E" w:rsidRPr="008E424E" w:rsidRDefault="000F074C" w:rsidP="004F535E">
            <w:pPr>
              <w:jc w:val="right"/>
            </w:pPr>
            <w:r>
              <w:t>1,273</w:t>
            </w:r>
          </w:p>
        </w:tc>
        <w:tc>
          <w:tcPr>
            <w:tcW w:w="929" w:type="pct"/>
            <w:tcBorders>
              <w:top w:val="single" w:sz="4" w:space="0" w:color="auto"/>
              <w:bottom w:val="single" w:sz="4" w:space="0" w:color="auto"/>
            </w:tcBorders>
            <w:shd w:val="clear" w:color="auto" w:fill="auto"/>
          </w:tcPr>
          <w:p w14:paraId="781EFEF3" w14:textId="4632D991" w:rsidR="004F535E" w:rsidRPr="008E424E" w:rsidRDefault="000F074C" w:rsidP="004F535E">
            <w:pPr>
              <w:jc w:val="right"/>
            </w:pPr>
            <w:r>
              <w:t>1</w:t>
            </w:r>
            <w:r w:rsidR="004210EB">
              <w:t>,</w:t>
            </w:r>
            <w:r>
              <w:t>380</w:t>
            </w:r>
          </w:p>
        </w:tc>
      </w:tr>
      <w:tr w:rsidR="004F535E" w:rsidRPr="000E7EED" w14:paraId="3D1AE2EE" w14:textId="5BB48D87" w:rsidTr="004F535E">
        <w:tc>
          <w:tcPr>
            <w:tcW w:w="2216" w:type="pct"/>
            <w:tcBorders>
              <w:top w:val="single" w:sz="4" w:space="0" w:color="auto"/>
              <w:bottom w:val="single" w:sz="4" w:space="0" w:color="auto"/>
            </w:tcBorders>
          </w:tcPr>
          <w:p w14:paraId="2BE35A7F" w14:textId="77777777" w:rsidR="004F535E" w:rsidRPr="000E7EED" w:rsidRDefault="004F535E" w:rsidP="004F535E">
            <w:pPr>
              <w:rPr>
                <w:b/>
                <w:color w:val="000000" w:themeColor="text1"/>
              </w:rPr>
            </w:pPr>
            <w:r w:rsidRPr="000E7EED">
              <w:rPr>
                <w:color w:val="000000" w:themeColor="text1"/>
              </w:rPr>
              <w:t>Other income</w:t>
            </w:r>
          </w:p>
        </w:tc>
        <w:tc>
          <w:tcPr>
            <w:tcW w:w="998" w:type="pct"/>
            <w:tcBorders>
              <w:top w:val="single" w:sz="4" w:space="0" w:color="auto"/>
              <w:left w:val="nil"/>
              <w:bottom w:val="single" w:sz="4" w:space="0" w:color="auto"/>
              <w:right w:val="nil"/>
            </w:tcBorders>
            <w:shd w:val="clear" w:color="auto" w:fill="auto"/>
          </w:tcPr>
          <w:p w14:paraId="4C1374BB" w14:textId="5563AF71" w:rsidR="004F535E" w:rsidRPr="008E424E" w:rsidRDefault="004F535E" w:rsidP="004F535E">
            <w:pPr>
              <w:jc w:val="right"/>
            </w:pPr>
            <w:r>
              <w:t>155</w:t>
            </w:r>
          </w:p>
        </w:tc>
        <w:tc>
          <w:tcPr>
            <w:tcW w:w="857" w:type="pct"/>
            <w:tcBorders>
              <w:top w:val="single" w:sz="4" w:space="0" w:color="auto"/>
              <w:bottom w:val="single" w:sz="4" w:space="0" w:color="auto"/>
            </w:tcBorders>
            <w:shd w:val="clear" w:color="auto" w:fill="D9D9D9" w:themeFill="background1" w:themeFillShade="D9"/>
          </w:tcPr>
          <w:p w14:paraId="2172056C" w14:textId="53451B1D" w:rsidR="004F535E" w:rsidRPr="008E424E" w:rsidRDefault="000F074C" w:rsidP="004F535E">
            <w:pPr>
              <w:jc w:val="right"/>
            </w:pPr>
            <w:r>
              <w:t>638</w:t>
            </w:r>
          </w:p>
        </w:tc>
        <w:tc>
          <w:tcPr>
            <w:tcW w:w="929" w:type="pct"/>
            <w:tcBorders>
              <w:top w:val="single" w:sz="4" w:space="0" w:color="auto"/>
              <w:bottom w:val="single" w:sz="4" w:space="0" w:color="auto"/>
            </w:tcBorders>
            <w:shd w:val="clear" w:color="auto" w:fill="auto"/>
          </w:tcPr>
          <w:p w14:paraId="38A6688F" w14:textId="55EF6306" w:rsidR="004F535E" w:rsidRPr="008E424E" w:rsidRDefault="000F074C" w:rsidP="004F535E">
            <w:pPr>
              <w:jc w:val="right"/>
            </w:pPr>
            <w:r>
              <w:t>783</w:t>
            </w:r>
          </w:p>
        </w:tc>
      </w:tr>
      <w:tr w:rsidR="004F535E" w:rsidRPr="000E7EED" w14:paraId="1D93C896" w14:textId="3DAAD933" w:rsidTr="004F535E">
        <w:tc>
          <w:tcPr>
            <w:tcW w:w="2216" w:type="pct"/>
            <w:tcBorders>
              <w:top w:val="single" w:sz="4" w:space="0" w:color="auto"/>
              <w:bottom w:val="single" w:sz="4" w:space="0" w:color="auto"/>
            </w:tcBorders>
            <w:shd w:val="clear" w:color="auto" w:fill="D9D9D9" w:themeFill="background1" w:themeFillShade="D9"/>
          </w:tcPr>
          <w:p w14:paraId="5F7BC2D9" w14:textId="77777777" w:rsidR="004F535E" w:rsidRPr="000E7EED" w:rsidRDefault="004F535E" w:rsidP="004F535E">
            <w:pPr>
              <w:rPr>
                <w:b/>
                <w:color w:val="000000" w:themeColor="text1"/>
              </w:rPr>
            </w:pPr>
            <w:r w:rsidRPr="000E7EED">
              <w:rPr>
                <w:b/>
                <w:color w:val="000000" w:themeColor="text1"/>
              </w:rPr>
              <w:t>Total revenue</w:t>
            </w:r>
          </w:p>
        </w:tc>
        <w:tc>
          <w:tcPr>
            <w:tcW w:w="998" w:type="pct"/>
            <w:tcBorders>
              <w:top w:val="single" w:sz="4" w:space="0" w:color="auto"/>
              <w:left w:val="nil"/>
              <w:bottom w:val="single" w:sz="4" w:space="0" w:color="auto"/>
              <w:right w:val="nil"/>
            </w:tcBorders>
            <w:shd w:val="clear" w:color="auto" w:fill="D9D9D9" w:themeFill="background1" w:themeFillShade="D9"/>
          </w:tcPr>
          <w:p w14:paraId="29EED78C" w14:textId="6C4E6D32" w:rsidR="004F535E" w:rsidRPr="008E424E" w:rsidRDefault="004F535E" w:rsidP="004F535E">
            <w:pPr>
              <w:jc w:val="right"/>
              <w:rPr>
                <w:b/>
                <w:bCs/>
              </w:rPr>
            </w:pPr>
            <w:r>
              <w:rPr>
                <w:b/>
                <w:bCs/>
              </w:rPr>
              <w:t>87,521</w:t>
            </w:r>
          </w:p>
        </w:tc>
        <w:tc>
          <w:tcPr>
            <w:tcW w:w="857" w:type="pct"/>
            <w:tcBorders>
              <w:top w:val="single" w:sz="4" w:space="0" w:color="auto"/>
              <w:bottom w:val="single" w:sz="4" w:space="0" w:color="auto"/>
            </w:tcBorders>
            <w:shd w:val="clear" w:color="auto" w:fill="D9D9D9" w:themeFill="background1" w:themeFillShade="D9"/>
          </w:tcPr>
          <w:p w14:paraId="4ACFF219" w14:textId="18283B77" w:rsidR="004F535E" w:rsidRPr="00B457A7" w:rsidRDefault="0056726C" w:rsidP="004F535E">
            <w:pPr>
              <w:jc w:val="right"/>
              <w:rPr>
                <w:b/>
                <w:bCs/>
              </w:rPr>
            </w:pPr>
            <w:r>
              <w:rPr>
                <w:b/>
                <w:bCs/>
              </w:rPr>
              <w:t>73,633</w:t>
            </w:r>
          </w:p>
        </w:tc>
        <w:tc>
          <w:tcPr>
            <w:tcW w:w="929" w:type="pct"/>
            <w:tcBorders>
              <w:top w:val="single" w:sz="4" w:space="0" w:color="auto"/>
              <w:bottom w:val="single" w:sz="4" w:space="0" w:color="auto"/>
            </w:tcBorders>
            <w:shd w:val="clear" w:color="auto" w:fill="D9D9D9" w:themeFill="background1" w:themeFillShade="D9"/>
          </w:tcPr>
          <w:p w14:paraId="5E5B5191" w14:textId="68DADA27" w:rsidR="004F535E" w:rsidRPr="00B457A7" w:rsidRDefault="004210EB" w:rsidP="004F535E">
            <w:pPr>
              <w:jc w:val="right"/>
              <w:rPr>
                <w:b/>
                <w:bCs/>
              </w:rPr>
            </w:pPr>
            <w:r>
              <w:rPr>
                <w:b/>
                <w:bCs/>
              </w:rPr>
              <w:t>74,738</w:t>
            </w:r>
          </w:p>
        </w:tc>
      </w:tr>
    </w:tbl>
    <w:p w14:paraId="4982F0A4" w14:textId="77777777" w:rsidR="004175B7" w:rsidRPr="000E7EED" w:rsidRDefault="004175B7" w:rsidP="004175B7">
      <w:pPr>
        <w:pStyle w:val="Heading3"/>
      </w:pPr>
      <w:bookmarkStart w:id="7" w:name="_Hlk33006441"/>
      <w:r w:rsidRPr="000E7EED">
        <w:t>Total expenditure breakdown</w:t>
      </w:r>
      <w:r>
        <w:t xml:space="preserve"> </w:t>
      </w:r>
      <w:r w:rsidRPr="00A64A96">
        <w:t>($,000)</w:t>
      </w:r>
    </w:p>
    <w:tbl>
      <w:tblPr>
        <w:tblStyle w:val="PlainTable2"/>
        <w:tblW w:w="4944" w:type="pct"/>
        <w:tblBorders>
          <w:bottom w:val="none" w:sz="0" w:space="0" w:color="auto"/>
          <w:insideH w:val="none" w:sz="0" w:space="0" w:color="auto"/>
        </w:tblBorders>
        <w:tblLook w:val="0620" w:firstRow="1" w:lastRow="0" w:firstColumn="0" w:lastColumn="0" w:noHBand="1" w:noVBand="1"/>
      </w:tblPr>
      <w:tblGrid>
        <w:gridCol w:w="4390"/>
        <w:gridCol w:w="1989"/>
        <w:gridCol w:w="1701"/>
        <w:gridCol w:w="1893"/>
      </w:tblGrid>
      <w:tr w:rsidR="00672FE2" w:rsidRPr="000E7EED" w14:paraId="1A26A49B" w14:textId="0050A77C" w:rsidTr="00623055">
        <w:trPr>
          <w:cnfStyle w:val="100000000000" w:firstRow="1" w:lastRow="0" w:firstColumn="0" w:lastColumn="0" w:oddVBand="0" w:evenVBand="0" w:oddHBand="0" w:evenHBand="0" w:firstRowFirstColumn="0" w:firstRowLastColumn="0" w:lastRowFirstColumn="0" w:lastRowLastColumn="0"/>
        </w:trPr>
        <w:tc>
          <w:tcPr>
            <w:tcW w:w="2201" w:type="pct"/>
            <w:tcBorders>
              <w:top w:val="single" w:sz="4" w:space="0" w:color="auto"/>
              <w:bottom w:val="single" w:sz="4" w:space="0" w:color="auto"/>
            </w:tcBorders>
            <w:shd w:val="clear" w:color="auto" w:fill="C3AFCC"/>
          </w:tcPr>
          <w:p w14:paraId="3F56AEBA" w14:textId="77777777" w:rsidR="00672FE2" w:rsidRPr="000E7EED" w:rsidRDefault="00672FE2" w:rsidP="00672FE2">
            <w:pPr>
              <w:rPr>
                <w:b/>
                <w:color w:val="000000" w:themeColor="text1"/>
              </w:rPr>
            </w:pPr>
            <w:bookmarkStart w:id="8" w:name="_Hlk33006456"/>
            <w:bookmarkEnd w:id="7"/>
            <w:r w:rsidRPr="000E7EED">
              <w:rPr>
                <w:b/>
                <w:color w:val="000000" w:themeColor="text1"/>
              </w:rPr>
              <w:t>Expenditure</w:t>
            </w:r>
          </w:p>
        </w:tc>
        <w:tc>
          <w:tcPr>
            <w:tcW w:w="997" w:type="pct"/>
            <w:tcBorders>
              <w:top w:val="single" w:sz="4" w:space="0" w:color="auto"/>
              <w:bottom w:val="single" w:sz="4" w:space="0" w:color="auto"/>
            </w:tcBorders>
            <w:shd w:val="clear" w:color="auto" w:fill="C3AFCC"/>
            <w:vAlign w:val="center"/>
          </w:tcPr>
          <w:p w14:paraId="0EDB74A2" w14:textId="77777777" w:rsidR="00672FE2" w:rsidRPr="000E7EED" w:rsidRDefault="00672FE2" w:rsidP="00672FE2">
            <w:pPr>
              <w:jc w:val="center"/>
              <w:rPr>
                <w:b/>
                <w:color w:val="000000" w:themeColor="text1"/>
              </w:rPr>
            </w:pPr>
            <w:r w:rsidRPr="55245693">
              <w:rPr>
                <w:b/>
                <w:color w:val="000000" w:themeColor="text1"/>
              </w:rPr>
              <w:t>Q</w:t>
            </w:r>
            <w:r>
              <w:rPr>
                <w:b/>
                <w:color w:val="000000" w:themeColor="text1"/>
              </w:rPr>
              <w:t>4</w:t>
            </w:r>
          </w:p>
          <w:p w14:paraId="7B79E5AA" w14:textId="14161F61" w:rsidR="00672FE2" w:rsidRPr="000E7EED" w:rsidRDefault="00672FE2" w:rsidP="00672FE2">
            <w:pPr>
              <w:jc w:val="center"/>
              <w:rPr>
                <w:b/>
                <w:color w:val="000000" w:themeColor="text1"/>
              </w:rPr>
            </w:pPr>
            <w:r w:rsidRPr="000E7EED">
              <w:rPr>
                <w:b/>
                <w:color w:val="000000" w:themeColor="text1"/>
              </w:rPr>
              <w:t>20</w:t>
            </w:r>
            <w:r>
              <w:rPr>
                <w:b/>
                <w:color w:val="000000" w:themeColor="text1"/>
              </w:rPr>
              <w:t>21-22</w:t>
            </w:r>
          </w:p>
        </w:tc>
        <w:tc>
          <w:tcPr>
            <w:tcW w:w="853" w:type="pct"/>
            <w:tcBorders>
              <w:top w:val="single" w:sz="4" w:space="0" w:color="auto"/>
              <w:bottom w:val="single" w:sz="4" w:space="0" w:color="auto"/>
            </w:tcBorders>
            <w:shd w:val="clear" w:color="auto" w:fill="C3AFCC"/>
            <w:vAlign w:val="center"/>
          </w:tcPr>
          <w:p w14:paraId="3C1C2B4C" w14:textId="77777777" w:rsidR="00672FE2" w:rsidRDefault="00672FE2" w:rsidP="00672FE2">
            <w:pPr>
              <w:jc w:val="center"/>
              <w:rPr>
                <w:b/>
                <w:color w:val="000000" w:themeColor="text1"/>
              </w:rPr>
            </w:pPr>
            <w:r w:rsidRPr="55245693">
              <w:rPr>
                <w:b/>
                <w:color w:val="000000" w:themeColor="text1"/>
              </w:rPr>
              <w:t>Q</w:t>
            </w:r>
            <w:r>
              <w:rPr>
                <w:b/>
                <w:color w:val="000000" w:themeColor="text1"/>
              </w:rPr>
              <w:t>1</w:t>
            </w:r>
          </w:p>
          <w:p w14:paraId="0E6CB1A2" w14:textId="1FB5D615" w:rsidR="00672FE2" w:rsidRPr="000E7EED" w:rsidRDefault="00672FE2" w:rsidP="00672FE2">
            <w:pPr>
              <w:jc w:val="center"/>
              <w:rPr>
                <w:b/>
                <w:color w:val="000000" w:themeColor="text1"/>
              </w:rPr>
            </w:pPr>
            <w:r w:rsidRPr="000E7EED">
              <w:rPr>
                <w:b/>
                <w:color w:val="000000" w:themeColor="text1"/>
              </w:rPr>
              <w:t>20</w:t>
            </w:r>
            <w:r>
              <w:rPr>
                <w:b/>
                <w:color w:val="000000" w:themeColor="text1"/>
              </w:rPr>
              <w:t>22-23</w:t>
            </w:r>
          </w:p>
        </w:tc>
        <w:tc>
          <w:tcPr>
            <w:tcW w:w="949" w:type="pct"/>
            <w:tcBorders>
              <w:top w:val="single" w:sz="4" w:space="0" w:color="auto"/>
              <w:bottom w:val="single" w:sz="4" w:space="0" w:color="auto"/>
            </w:tcBorders>
            <w:shd w:val="clear" w:color="auto" w:fill="C3AFCC"/>
            <w:vAlign w:val="center"/>
          </w:tcPr>
          <w:p w14:paraId="1DE2A472" w14:textId="77777777" w:rsidR="00672FE2" w:rsidRDefault="00672FE2" w:rsidP="00672FE2">
            <w:pPr>
              <w:jc w:val="center"/>
              <w:rPr>
                <w:b/>
                <w:bCs w:val="0"/>
                <w:color w:val="000000" w:themeColor="text1"/>
              </w:rPr>
            </w:pPr>
            <w:r>
              <w:rPr>
                <w:b/>
                <w:color w:val="000000" w:themeColor="text1"/>
              </w:rPr>
              <w:t>Q2 2022-23</w:t>
            </w:r>
          </w:p>
          <w:p w14:paraId="3135FA0B" w14:textId="1ACB6177" w:rsidR="00672FE2" w:rsidRPr="000E7EED" w:rsidRDefault="00672FE2" w:rsidP="00672FE2">
            <w:pPr>
              <w:jc w:val="center"/>
              <w:rPr>
                <w:b/>
                <w:color w:val="000000" w:themeColor="text1"/>
              </w:rPr>
            </w:pPr>
            <w:r>
              <w:rPr>
                <w:b/>
                <w:color w:val="000000" w:themeColor="text1"/>
              </w:rPr>
              <w:t>projection</w:t>
            </w:r>
          </w:p>
        </w:tc>
      </w:tr>
      <w:tr w:rsidR="00623055" w:rsidRPr="000E7EED" w14:paraId="0355756B" w14:textId="1304D608" w:rsidTr="00623055">
        <w:tc>
          <w:tcPr>
            <w:tcW w:w="2201" w:type="pct"/>
            <w:tcBorders>
              <w:top w:val="single" w:sz="4" w:space="0" w:color="auto"/>
              <w:bottom w:val="single" w:sz="4" w:space="0" w:color="auto"/>
            </w:tcBorders>
          </w:tcPr>
          <w:p w14:paraId="57857B1D" w14:textId="7F8E3E51" w:rsidR="00623055" w:rsidRPr="000E7EED" w:rsidRDefault="00623055" w:rsidP="00623055">
            <w:pPr>
              <w:rPr>
                <w:color w:val="000000" w:themeColor="text1"/>
              </w:rPr>
            </w:pPr>
            <w:r w:rsidRPr="000E7EED">
              <w:rPr>
                <w:color w:val="000000" w:themeColor="text1"/>
              </w:rPr>
              <w:t>Case expenditure</w:t>
            </w:r>
            <w:r>
              <w:rPr>
                <w:color w:val="000000" w:themeColor="text1"/>
              </w:rPr>
              <w:t xml:space="preserve"> (including ECCCF)</w:t>
            </w:r>
          </w:p>
        </w:tc>
        <w:tc>
          <w:tcPr>
            <w:tcW w:w="997" w:type="pct"/>
            <w:tcBorders>
              <w:top w:val="single" w:sz="4" w:space="0" w:color="auto"/>
              <w:left w:val="nil"/>
              <w:bottom w:val="single" w:sz="4" w:space="0" w:color="auto"/>
              <w:right w:val="nil"/>
            </w:tcBorders>
            <w:shd w:val="clear" w:color="auto" w:fill="auto"/>
          </w:tcPr>
          <w:p w14:paraId="36D0F934" w14:textId="5A9EA354" w:rsidR="00623055" w:rsidRPr="008E424E" w:rsidRDefault="00623055" w:rsidP="00623055">
            <w:pPr>
              <w:jc w:val="right"/>
            </w:pPr>
            <w:r>
              <w:t>(29,705)</w:t>
            </w:r>
          </w:p>
        </w:tc>
        <w:tc>
          <w:tcPr>
            <w:tcW w:w="853" w:type="pct"/>
            <w:tcBorders>
              <w:top w:val="single" w:sz="4" w:space="0" w:color="auto"/>
              <w:bottom w:val="single" w:sz="4" w:space="0" w:color="auto"/>
            </w:tcBorders>
            <w:shd w:val="clear" w:color="auto" w:fill="D9D9D9" w:themeFill="background1" w:themeFillShade="D9"/>
          </w:tcPr>
          <w:p w14:paraId="09F5086D" w14:textId="2D1134EF" w:rsidR="00623055" w:rsidRPr="008E424E" w:rsidRDefault="004210EB" w:rsidP="00623055">
            <w:pPr>
              <w:jc w:val="right"/>
            </w:pPr>
            <w:r>
              <w:t>(29,597)</w:t>
            </w:r>
          </w:p>
        </w:tc>
        <w:tc>
          <w:tcPr>
            <w:tcW w:w="949" w:type="pct"/>
            <w:tcBorders>
              <w:top w:val="single" w:sz="4" w:space="0" w:color="auto"/>
              <w:bottom w:val="single" w:sz="4" w:space="0" w:color="auto"/>
            </w:tcBorders>
            <w:shd w:val="clear" w:color="auto" w:fill="auto"/>
          </w:tcPr>
          <w:p w14:paraId="3B93A535" w14:textId="4ACAEABA" w:rsidR="00623055" w:rsidRPr="008E424E" w:rsidRDefault="004210EB" w:rsidP="00623055">
            <w:pPr>
              <w:jc w:val="right"/>
            </w:pPr>
            <w:r>
              <w:t>(29,386)</w:t>
            </w:r>
          </w:p>
        </w:tc>
      </w:tr>
      <w:tr w:rsidR="00623055" w:rsidRPr="000E7EED" w14:paraId="7181F757" w14:textId="118973BF" w:rsidTr="00623055">
        <w:tc>
          <w:tcPr>
            <w:tcW w:w="2201" w:type="pct"/>
            <w:tcBorders>
              <w:top w:val="single" w:sz="4" w:space="0" w:color="auto"/>
              <w:bottom w:val="single" w:sz="4" w:space="0" w:color="auto"/>
            </w:tcBorders>
          </w:tcPr>
          <w:p w14:paraId="00863735" w14:textId="77777777" w:rsidR="00623055" w:rsidRPr="000E7EED" w:rsidRDefault="00623055" w:rsidP="00623055">
            <w:pPr>
              <w:rPr>
                <w:b/>
                <w:color w:val="000000" w:themeColor="text1"/>
              </w:rPr>
            </w:pPr>
            <w:r w:rsidRPr="000E7EED">
              <w:rPr>
                <w:color w:val="000000" w:themeColor="text1"/>
              </w:rPr>
              <w:t>Community legal centre payments</w:t>
            </w:r>
          </w:p>
        </w:tc>
        <w:tc>
          <w:tcPr>
            <w:tcW w:w="997" w:type="pct"/>
            <w:tcBorders>
              <w:top w:val="single" w:sz="4" w:space="0" w:color="auto"/>
              <w:left w:val="nil"/>
              <w:bottom w:val="single" w:sz="4" w:space="0" w:color="auto"/>
              <w:right w:val="nil"/>
            </w:tcBorders>
            <w:shd w:val="clear" w:color="auto" w:fill="auto"/>
          </w:tcPr>
          <w:p w14:paraId="38009B9C" w14:textId="12ECB84B" w:rsidR="00623055" w:rsidRPr="008E424E" w:rsidRDefault="00623055" w:rsidP="00623055">
            <w:pPr>
              <w:jc w:val="right"/>
            </w:pPr>
            <w:r>
              <w:t>(21,068)</w:t>
            </w:r>
          </w:p>
        </w:tc>
        <w:tc>
          <w:tcPr>
            <w:tcW w:w="853" w:type="pct"/>
            <w:tcBorders>
              <w:top w:val="single" w:sz="4" w:space="0" w:color="auto"/>
              <w:bottom w:val="single" w:sz="4" w:space="0" w:color="auto"/>
            </w:tcBorders>
            <w:shd w:val="clear" w:color="auto" w:fill="D9D9D9" w:themeFill="background1" w:themeFillShade="D9"/>
          </w:tcPr>
          <w:p w14:paraId="0A5E81B9" w14:textId="616FE9F3" w:rsidR="00623055" w:rsidRPr="008E424E" w:rsidRDefault="004210EB" w:rsidP="00623055">
            <w:pPr>
              <w:jc w:val="right"/>
            </w:pPr>
            <w:r>
              <w:t>(14,275)</w:t>
            </w:r>
          </w:p>
        </w:tc>
        <w:tc>
          <w:tcPr>
            <w:tcW w:w="949" w:type="pct"/>
            <w:tcBorders>
              <w:top w:val="single" w:sz="4" w:space="0" w:color="auto"/>
              <w:bottom w:val="single" w:sz="4" w:space="0" w:color="auto"/>
            </w:tcBorders>
            <w:shd w:val="clear" w:color="auto" w:fill="auto"/>
          </w:tcPr>
          <w:p w14:paraId="612A31C3" w14:textId="70BF1356" w:rsidR="00623055" w:rsidRPr="008E424E" w:rsidRDefault="004210EB" w:rsidP="00623055">
            <w:pPr>
              <w:jc w:val="right"/>
            </w:pPr>
            <w:r>
              <w:t>(12,</w:t>
            </w:r>
            <w:r w:rsidR="00593F1E">
              <w:t>8</w:t>
            </w:r>
            <w:r w:rsidR="000C0200">
              <w:t>5</w:t>
            </w:r>
            <w:r>
              <w:t>1)</w:t>
            </w:r>
          </w:p>
        </w:tc>
      </w:tr>
      <w:tr w:rsidR="00623055" w:rsidRPr="000E7EED" w14:paraId="14088745" w14:textId="69735599" w:rsidTr="00623055">
        <w:tc>
          <w:tcPr>
            <w:tcW w:w="2201" w:type="pct"/>
            <w:tcBorders>
              <w:top w:val="single" w:sz="4" w:space="0" w:color="auto"/>
              <w:bottom w:val="single" w:sz="4" w:space="0" w:color="auto"/>
            </w:tcBorders>
          </w:tcPr>
          <w:p w14:paraId="21FAB84C" w14:textId="77777777" w:rsidR="00623055" w:rsidRPr="000E7EED" w:rsidRDefault="00623055" w:rsidP="00623055">
            <w:pPr>
              <w:rPr>
                <w:b/>
                <w:color w:val="000000" w:themeColor="text1"/>
              </w:rPr>
            </w:pPr>
            <w:r w:rsidRPr="000E7EED">
              <w:rPr>
                <w:color w:val="000000" w:themeColor="text1"/>
              </w:rPr>
              <w:t>Staff costs</w:t>
            </w:r>
          </w:p>
        </w:tc>
        <w:tc>
          <w:tcPr>
            <w:tcW w:w="997" w:type="pct"/>
            <w:tcBorders>
              <w:top w:val="single" w:sz="4" w:space="0" w:color="auto"/>
              <w:left w:val="nil"/>
              <w:bottom w:val="single" w:sz="4" w:space="0" w:color="auto"/>
              <w:right w:val="nil"/>
            </w:tcBorders>
            <w:shd w:val="clear" w:color="auto" w:fill="auto"/>
          </w:tcPr>
          <w:p w14:paraId="2A7D0078" w14:textId="1E66C281" w:rsidR="00623055" w:rsidRPr="008E424E" w:rsidRDefault="00623055" w:rsidP="00623055">
            <w:pPr>
              <w:jc w:val="right"/>
            </w:pPr>
            <w:r>
              <w:t>(25,548)</w:t>
            </w:r>
          </w:p>
        </w:tc>
        <w:tc>
          <w:tcPr>
            <w:tcW w:w="853" w:type="pct"/>
            <w:tcBorders>
              <w:top w:val="single" w:sz="4" w:space="0" w:color="auto"/>
              <w:bottom w:val="single" w:sz="4" w:space="0" w:color="auto"/>
            </w:tcBorders>
            <w:shd w:val="clear" w:color="auto" w:fill="D9D9D9" w:themeFill="background1" w:themeFillShade="D9"/>
          </w:tcPr>
          <w:p w14:paraId="1887D2AA" w14:textId="6AAC3AEC" w:rsidR="00623055" w:rsidRPr="008E424E" w:rsidRDefault="004210EB" w:rsidP="00623055">
            <w:pPr>
              <w:jc w:val="right"/>
            </w:pPr>
            <w:r>
              <w:t>(26,455)</w:t>
            </w:r>
          </w:p>
        </w:tc>
        <w:tc>
          <w:tcPr>
            <w:tcW w:w="949" w:type="pct"/>
            <w:tcBorders>
              <w:top w:val="single" w:sz="4" w:space="0" w:color="auto"/>
              <w:bottom w:val="single" w:sz="4" w:space="0" w:color="auto"/>
            </w:tcBorders>
            <w:shd w:val="clear" w:color="auto" w:fill="auto"/>
          </w:tcPr>
          <w:p w14:paraId="08A7B5D6" w14:textId="69DE72A5" w:rsidR="00623055" w:rsidRPr="008E424E" w:rsidRDefault="004210EB" w:rsidP="00623055">
            <w:pPr>
              <w:jc w:val="right"/>
            </w:pPr>
            <w:r>
              <w:t>(26,408)</w:t>
            </w:r>
          </w:p>
        </w:tc>
      </w:tr>
      <w:tr w:rsidR="00623055" w:rsidRPr="000E7EED" w14:paraId="166EC63C" w14:textId="2C67FA02" w:rsidTr="00623055">
        <w:tc>
          <w:tcPr>
            <w:tcW w:w="2201" w:type="pct"/>
            <w:tcBorders>
              <w:top w:val="single" w:sz="4" w:space="0" w:color="auto"/>
              <w:bottom w:val="single" w:sz="4" w:space="0" w:color="auto"/>
            </w:tcBorders>
          </w:tcPr>
          <w:p w14:paraId="263A16AB" w14:textId="77777777" w:rsidR="00623055" w:rsidRPr="000E7EED" w:rsidRDefault="00623055" w:rsidP="00623055">
            <w:pPr>
              <w:rPr>
                <w:b/>
                <w:color w:val="000000" w:themeColor="text1"/>
              </w:rPr>
            </w:pPr>
            <w:r w:rsidRPr="000E7EED">
              <w:rPr>
                <w:color w:val="000000" w:themeColor="text1"/>
              </w:rPr>
              <w:t>Administration</w:t>
            </w:r>
          </w:p>
        </w:tc>
        <w:tc>
          <w:tcPr>
            <w:tcW w:w="997" w:type="pct"/>
            <w:tcBorders>
              <w:top w:val="single" w:sz="4" w:space="0" w:color="auto"/>
              <w:left w:val="nil"/>
              <w:bottom w:val="single" w:sz="4" w:space="0" w:color="auto"/>
              <w:right w:val="nil"/>
            </w:tcBorders>
            <w:shd w:val="clear" w:color="auto" w:fill="auto"/>
          </w:tcPr>
          <w:p w14:paraId="1D84653B" w14:textId="67409D9C" w:rsidR="00623055" w:rsidRPr="008E424E" w:rsidRDefault="00623055" w:rsidP="00623055">
            <w:pPr>
              <w:jc w:val="right"/>
            </w:pPr>
            <w:r>
              <w:t>(8,296)</w:t>
            </w:r>
          </w:p>
        </w:tc>
        <w:tc>
          <w:tcPr>
            <w:tcW w:w="853" w:type="pct"/>
            <w:tcBorders>
              <w:top w:val="single" w:sz="4" w:space="0" w:color="auto"/>
              <w:bottom w:val="single" w:sz="4" w:space="0" w:color="auto"/>
            </w:tcBorders>
            <w:shd w:val="clear" w:color="auto" w:fill="D9D9D9" w:themeFill="background1" w:themeFillShade="D9"/>
          </w:tcPr>
          <w:p w14:paraId="7B2C4A5E" w14:textId="2F613581" w:rsidR="00623055" w:rsidRPr="008E424E" w:rsidRDefault="004210EB" w:rsidP="00623055">
            <w:pPr>
              <w:jc w:val="right"/>
            </w:pPr>
            <w:r>
              <w:t>(5,411)</w:t>
            </w:r>
          </w:p>
        </w:tc>
        <w:tc>
          <w:tcPr>
            <w:tcW w:w="949" w:type="pct"/>
            <w:tcBorders>
              <w:top w:val="single" w:sz="4" w:space="0" w:color="auto"/>
              <w:bottom w:val="single" w:sz="4" w:space="0" w:color="auto"/>
            </w:tcBorders>
            <w:shd w:val="clear" w:color="auto" w:fill="auto"/>
          </w:tcPr>
          <w:p w14:paraId="2BEED9EC" w14:textId="4F90F5EA" w:rsidR="00623055" w:rsidRPr="008E424E" w:rsidRDefault="004210EB" w:rsidP="00623055">
            <w:pPr>
              <w:jc w:val="right"/>
            </w:pPr>
            <w:r>
              <w:t>(6,868)</w:t>
            </w:r>
          </w:p>
        </w:tc>
      </w:tr>
      <w:tr w:rsidR="00623055" w:rsidRPr="000E7EED" w14:paraId="50872415" w14:textId="4AA03B80" w:rsidTr="00623055">
        <w:tc>
          <w:tcPr>
            <w:tcW w:w="2201" w:type="pct"/>
            <w:tcBorders>
              <w:top w:val="single" w:sz="4" w:space="0" w:color="auto"/>
              <w:bottom w:val="single" w:sz="4" w:space="0" w:color="auto"/>
            </w:tcBorders>
            <w:shd w:val="clear" w:color="auto" w:fill="D9D9D9" w:themeFill="background1" w:themeFillShade="D9"/>
          </w:tcPr>
          <w:p w14:paraId="7120B54E" w14:textId="6D03CC5D" w:rsidR="00623055" w:rsidRPr="000E7EED" w:rsidRDefault="00623055" w:rsidP="00623055">
            <w:pPr>
              <w:rPr>
                <w:b/>
                <w:color w:val="000000" w:themeColor="text1"/>
              </w:rPr>
            </w:pPr>
            <w:r w:rsidRPr="000E7EED">
              <w:rPr>
                <w:b/>
                <w:color w:val="000000" w:themeColor="text1"/>
              </w:rPr>
              <w:t>Total expenditure</w:t>
            </w:r>
            <w:r>
              <w:rPr>
                <w:b/>
                <w:color w:val="000000" w:themeColor="text1"/>
              </w:rPr>
              <w:t xml:space="preserve"> (Excluding COVID and Bushfire)</w:t>
            </w:r>
          </w:p>
        </w:tc>
        <w:tc>
          <w:tcPr>
            <w:tcW w:w="997" w:type="pct"/>
            <w:tcBorders>
              <w:top w:val="single" w:sz="4" w:space="0" w:color="auto"/>
              <w:left w:val="nil"/>
              <w:bottom w:val="single" w:sz="4" w:space="0" w:color="auto"/>
              <w:right w:val="nil"/>
            </w:tcBorders>
            <w:shd w:val="clear" w:color="auto" w:fill="D9D9D9" w:themeFill="background1" w:themeFillShade="D9"/>
          </w:tcPr>
          <w:p w14:paraId="0ED87789" w14:textId="34EB6634" w:rsidR="00623055" w:rsidRPr="00894561" w:rsidRDefault="00623055" w:rsidP="00623055">
            <w:pPr>
              <w:jc w:val="right"/>
              <w:rPr>
                <w:b/>
                <w:bCs/>
              </w:rPr>
            </w:pPr>
            <w:r>
              <w:rPr>
                <w:b/>
                <w:bCs/>
              </w:rPr>
              <w:t>(84,617)</w:t>
            </w:r>
          </w:p>
        </w:tc>
        <w:tc>
          <w:tcPr>
            <w:tcW w:w="853" w:type="pct"/>
            <w:tcBorders>
              <w:top w:val="single" w:sz="4" w:space="0" w:color="auto"/>
              <w:bottom w:val="single" w:sz="4" w:space="0" w:color="auto"/>
            </w:tcBorders>
            <w:shd w:val="clear" w:color="auto" w:fill="D9D9D9" w:themeFill="background1" w:themeFillShade="D9"/>
          </w:tcPr>
          <w:p w14:paraId="216E8289" w14:textId="02284A99" w:rsidR="00623055" w:rsidRPr="00894561" w:rsidRDefault="004210EB" w:rsidP="00623055">
            <w:pPr>
              <w:jc w:val="right"/>
              <w:rPr>
                <w:b/>
                <w:bCs/>
              </w:rPr>
            </w:pPr>
            <w:r>
              <w:rPr>
                <w:b/>
                <w:bCs/>
              </w:rPr>
              <w:t>(75,738)</w:t>
            </w:r>
          </w:p>
        </w:tc>
        <w:tc>
          <w:tcPr>
            <w:tcW w:w="949" w:type="pct"/>
            <w:tcBorders>
              <w:top w:val="single" w:sz="4" w:space="0" w:color="auto"/>
              <w:bottom w:val="single" w:sz="4" w:space="0" w:color="auto"/>
            </w:tcBorders>
            <w:shd w:val="clear" w:color="auto" w:fill="D9D9D9" w:themeFill="background1" w:themeFillShade="D9"/>
          </w:tcPr>
          <w:p w14:paraId="00177E29" w14:textId="1332185E" w:rsidR="00623055" w:rsidRPr="00894561" w:rsidRDefault="004210EB" w:rsidP="00623055">
            <w:pPr>
              <w:jc w:val="right"/>
              <w:rPr>
                <w:b/>
                <w:bCs/>
              </w:rPr>
            </w:pPr>
            <w:r>
              <w:rPr>
                <w:b/>
                <w:bCs/>
              </w:rPr>
              <w:t>(75,513)</w:t>
            </w:r>
          </w:p>
        </w:tc>
      </w:tr>
      <w:tr w:rsidR="00623055" w:rsidRPr="000E7EED" w14:paraId="07F54B9E" w14:textId="48B41863" w:rsidTr="00623055">
        <w:tc>
          <w:tcPr>
            <w:tcW w:w="2201" w:type="pct"/>
            <w:tcBorders>
              <w:top w:val="single" w:sz="4" w:space="0" w:color="auto"/>
              <w:bottom w:val="single" w:sz="4" w:space="0" w:color="auto"/>
            </w:tcBorders>
            <w:shd w:val="clear" w:color="auto" w:fill="auto"/>
          </w:tcPr>
          <w:p w14:paraId="3C82F621" w14:textId="5485D3C7" w:rsidR="00623055" w:rsidRDefault="00623055" w:rsidP="00623055">
            <w:pPr>
              <w:rPr>
                <w:bCs/>
                <w:color w:val="000000" w:themeColor="text1"/>
              </w:rPr>
            </w:pPr>
            <w:r>
              <w:rPr>
                <w:bCs/>
                <w:color w:val="000000" w:themeColor="text1"/>
              </w:rPr>
              <w:t>Depreciation and Revaluation</w:t>
            </w:r>
          </w:p>
        </w:tc>
        <w:tc>
          <w:tcPr>
            <w:tcW w:w="997" w:type="pct"/>
            <w:tcBorders>
              <w:top w:val="single" w:sz="4" w:space="0" w:color="auto"/>
              <w:left w:val="nil"/>
              <w:bottom w:val="single" w:sz="4" w:space="0" w:color="auto"/>
              <w:right w:val="nil"/>
            </w:tcBorders>
            <w:shd w:val="clear" w:color="auto" w:fill="auto"/>
          </w:tcPr>
          <w:p w14:paraId="072936CB" w14:textId="45BCAE62" w:rsidR="00623055" w:rsidRPr="00B13EF6" w:rsidRDefault="00623055" w:rsidP="00623055">
            <w:pPr>
              <w:jc w:val="right"/>
            </w:pPr>
            <w:r>
              <w:t>(3,449)</w:t>
            </w:r>
          </w:p>
        </w:tc>
        <w:tc>
          <w:tcPr>
            <w:tcW w:w="853" w:type="pct"/>
            <w:tcBorders>
              <w:top w:val="single" w:sz="4" w:space="0" w:color="auto"/>
              <w:bottom w:val="single" w:sz="4" w:space="0" w:color="auto"/>
            </w:tcBorders>
            <w:shd w:val="clear" w:color="auto" w:fill="D9D9D9" w:themeFill="background1" w:themeFillShade="D9"/>
          </w:tcPr>
          <w:p w14:paraId="5327C550" w14:textId="0E46807F" w:rsidR="00623055" w:rsidRPr="000A1E6F" w:rsidRDefault="004210EB" w:rsidP="00623055">
            <w:pPr>
              <w:jc w:val="right"/>
            </w:pPr>
            <w:r>
              <w:t>(587)</w:t>
            </w:r>
          </w:p>
        </w:tc>
        <w:tc>
          <w:tcPr>
            <w:tcW w:w="949" w:type="pct"/>
            <w:tcBorders>
              <w:top w:val="single" w:sz="4" w:space="0" w:color="auto"/>
              <w:bottom w:val="single" w:sz="4" w:space="0" w:color="auto"/>
            </w:tcBorders>
            <w:shd w:val="clear" w:color="auto" w:fill="auto"/>
          </w:tcPr>
          <w:p w14:paraId="401874C4" w14:textId="425F08EC" w:rsidR="00623055" w:rsidRPr="000A1E6F" w:rsidRDefault="004210EB" w:rsidP="00623055">
            <w:pPr>
              <w:jc w:val="right"/>
            </w:pPr>
            <w:r>
              <w:t>(502)</w:t>
            </w:r>
          </w:p>
        </w:tc>
      </w:tr>
      <w:tr w:rsidR="00623055" w:rsidRPr="000E7EED" w14:paraId="1CE8541B" w14:textId="191C65B4" w:rsidTr="00623055">
        <w:tc>
          <w:tcPr>
            <w:tcW w:w="2201" w:type="pct"/>
            <w:tcBorders>
              <w:top w:val="single" w:sz="4" w:space="0" w:color="auto"/>
              <w:bottom w:val="single" w:sz="4" w:space="0" w:color="auto"/>
            </w:tcBorders>
            <w:shd w:val="clear" w:color="auto" w:fill="D9D9D9" w:themeFill="background1" w:themeFillShade="D9"/>
          </w:tcPr>
          <w:p w14:paraId="18FB2D06" w14:textId="1EACFAC2" w:rsidR="00623055" w:rsidRPr="00E5707B" w:rsidRDefault="00623055" w:rsidP="00623055">
            <w:pPr>
              <w:rPr>
                <w:b/>
                <w:color w:val="000000" w:themeColor="text1"/>
              </w:rPr>
            </w:pPr>
            <w:r w:rsidRPr="00E5707B">
              <w:rPr>
                <w:b/>
                <w:color w:val="000000" w:themeColor="text1"/>
              </w:rPr>
              <w:t>Total Expenditure</w:t>
            </w:r>
          </w:p>
        </w:tc>
        <w:tc>
          <w:tcPr>
            <w:tcW w:w="997" w:type="pct"/>
            <w:tcBorders>
              <w:top w:val="single" w:sz="4" w:space="0" w:color="auto"/>
              <w:left w:val="nil"/>
              <w:bottom w:val="single" w:sz="4" w:space="0" w:color="auto"/>
              <w:right w:val="nil"/>
            </w:tcBorders>
            <w:shd w:val="clear" w:color="auto" w:fill="D9D9D9" w:themeFill="background1" w:themeFillShade="D9"/>
          </w:tcPr>
          <w:p w14:paraId="76FB0562" w14:textId="727AC91B" w:rsidR="00623055" w:rsidRPr="00C97F8C" w:rsidRDefault="00623055" w:rsidP="00623055">
            <w:pPr>
              <w:jc w:val="right"/>
              <w:rPr>
                <w:b/>
                <w:bCs/>
              </w:rPr>
            </w:pPr>
            <w:r>
              <w:rPr>
                <w:b/>
                <w:bCs/>
              </w:rPr>
              <w:t>(88,066)</w:t>
            </w:r>
          </w:p>
        </w:tc>
        <w:tc>
          <w:tcPr>
            <w:tcW w:w="853" w:type="pct"/>
            <w:tcBorders>
              <w:top w:val="single" w:sz="4" w:space="0" w:color="auto"/>
              <w:bottom w:val="single" w:sz="4" w:space="0" w:color="auto"/>
            </w:tcBorders>
            <w:shd w:val="clear" w:color="auto" w:fill="D9D9D9" w:themeFill="background1" w:themeFillShade="D9"/>
          </w:tcPr>
          <w:p w14:paraId="170A8860" w14:textId="4C71233E" w:rsidR="00623055" w:rsidRPr="00C97F8C" w:rsidRDefault="004210EB" w:rsidP="00623055">
            <w:pPr>
              <w:jc w:val="right"/>
              <w:rPr>
                <w:b/>
                <w:bCs/>
              </w:rPr>
            </w:pPr>
            <w:r>
              <w:rPr>
                <w:b/>
                <w:bCs/>
              </w:rPr>
              <w:t>(76,325)</w:t>
            </w:r>
          </w:p>
        </w:tc>
        <w:tc>
          <w:tcPr>
            <w:tcW w:w="949" w:type="pct"/>
            <w:tcBorders>
              <w:top w:val="single" w:sz="4" w:space="0" w:color="auto"/>
              <w:bottom w:val="single" w:sz="4" w:space="0" w:color="auto"/>
            </w:tcBorders>
            <w:shd w:val="clear" w:color="auto" w:fill="D9D9D9" w:themeFill="background1" w:themeFillShade="D9"/>
          </w:tcPr>
          <w:p w14:paraId="71767AB6" w14:textId="4CF8A465" w:rsidR="00623055" w:rsidRPr="00C97F8C" w:rsidRDefault="004210EB" w:rsidP="00623055">
            <w:pPr>
              <w:jc w:val="right"/>
              <w:rPr>
                <w:b/>
                <w:bCs/>
              </w:rPr>
            </w:pPr>
            <w:r>
              <w:rPr>
                <w:b/>
                <w:bCs/>
              </w:rPr>
              <w:t>(76,015)</w:t>
            </w:r>
          </w:p>
        </w:tc>
      </w:tr>
      <w:bookmarkEnd w:id="5"/>
      <w:bookmarkEnd w:id="6"/>
      <w:bookmarkEnd w:id="8"/>
    </w:tbl>
    <w:p w14:paraId="7AEF38E3" w14:textId="70CF0D8B" w:rsidR="00461300" w:rsidRPr="00123404" w:rsidRDefault="00461300" w:rsidP="00123404">
      <w:pPr>
        <w:spacing w:after="160" w:line="259" w:lineRule="auto"/>
        <w:rPr>
          <w:rFonts w:cs="Arial"/>
          <w:b/>
          <w:color w:val="000000" w:themeColor="text1"/>
          <w:sz w:val="28"/>
          <w:szCs w:val="28"/>
          <w:lang w:eastAsia="en-AU"/>
        </w:rPr>
      </w:pPr>
    </w:p>
    <w:sectPr w:rsidR="00461300" w:rsidRPr="00123404" w:rsidSect="0039260E">
      <w:headerReference w:type="even" r:id="rId15"/>
      <w:headerReference w:type="default" r:id="rId16"/>
      <w:footerReference w:type="even" r:id="rId17"/>
      <w:footerReference w:type="default" r:id="rId18"/>
      <w:headerReference w:type="first" r:id="rId19"/>
      <w:footerReference w:type="first" r:id="rId20"/>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847A" w14:textId="77777777" w:rsidR="00CC4170" w:rsidRDefault="00CC4170">
      <w:pPr>
        <w:spacing w:after="0" w:line="240" w:lineRule="auto"/>
      </w:pPr>
      <w:r>
        <w:separator/>
      </w:r>
    </w:p>
  </w:endnote>
  <w:endnote w:type="continuationSeparator" w:id="0">
    <w:p w14:paraId="7768E920" w14:textId="77777777" w:rsidR="00CC4170" w:rsidRDefault="00CC4170">
      <w:pPr>
        <w:spacing w:after="0" w:line="240" w:lineRule="auto"/>
      </w:pPr>
      <w:r>
        <w:continuationSeparator/>
      </w:r>
    </w:p>
  </w:endnote>
  <w:endnote w:type="continuationNotice" w:id="1">
    <w:p w14:paraId="218DE250" w14:textId="77777777" w:rsidR="00CC4170" w:rsidRDefault="00CC4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200BF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4C01A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9F97" w14:textId="77777777" w:rsidR="00CC4170" w:rsidRDefault="00CC4170">
      <w:pPr>
        <w:spacing w:after="0" w:line="240" w:lineRule="auto"/>
      </w:pPr>
      <w:r>
        <w:separator/>
      </w:r>
    </w:p>
  </w:footnote>
  <w:footnote w:type="continuationSeparator" w:id="0">
    <w:p w14:paraId="6F308B58" w14:textId="77777777" w:rsidR="00CC4170" w:rsidRDefault="00CC4170">
      <w:pPr>
        <w:spacing w:after="0" w:line="240" w:lineRule="auto"/>
      </w:pPr>
      <w:r>
        <w:continuationSeparator/>
      </w:r>
    </w:p>
  </w:footnote>
  <w:footnote w:type="continuationNotice" w:id="1">
    <w:p w14:paraId="2B87C9F1" w14:textId="77777777" w:rsidR="00CC4170" w:rsidRDefault="00CC4170">
      <w:pPr>
        <w:spacing w:after="0" w:line="240" w:lineRule="auto"/>
      </w:pPr>
    </w:p>
  </w:footnote>
  <w:footnote w:id="2">
    <w:p w14:paraId="393D1CF4" w14:textId="77777777" w:rsidR="0096755F" w:rsidRDefault="0096755F"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0FDA270D" w:rsidR="0095574A" w:rsidRPr="006A6FC6" w:rsidRDefault="00E66D76" w:rsidP="0039260E">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58243" behindDoc="0" locked="0" layoutInCell="0" allowOverlap="1" wp14:anchorId="3F18E79A" wp14:editId="050E54E9">
              <wp:simplePos x="0" y="0"/>
              <wp:positionH relativeFrom="page">
                <wp:posOffset>0</wp:posOffset>
              </wp:positionH>
              <wp:positionV relativeFrom="page">
                <wp:posOffset>190500</wp:posOffset>
              </wp:positionV>
              <wp:extent cx="7556500" cy="273050"/>
              <wp:effectExtent l="0" t="0" r="0" b="12700"/>
              <wp:wrapNone/>
              <wp:docPr id="1" name="MSIPCM2566433a9154823c8be7a857"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E29AA" w14:textId="26C36296"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18E79A" id="_x0000_t202" coordsize="21600,21600" o:spt="202" path="m,l,21600r21600,l21600,xe">
              <v:stroke joinstyle="miter"/>
              <v:path gradientshapeok="t" o:connecttype="rect"/>
            </v:shapetype>
            <v:shape id="MSIPCM2566433a9154823c8be7a857"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57E29AA" w14:textId="26C36296"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v:textbox>
              <w10:wrap anchorx="page" anchory="page"/>
            </v:shape>
          </w:pict>
        </mc:Fallback>
      </mc:AlternateContent>
    </w:r>
    <w:r w:rsidR="0095574A" w:rsidRPr="006A6FC6">
      <w:rPr>
        <w:rFonts w:cs="Arial"/>
        <w:color w:val="B1005D"/>
        <w:sz w:val="18"/>
        <w:szCs w:val="18"/>
      </w:rPr>
      <w:t>Victoria Legal Aid</w:t>
    </w:r>
    <w:r w:rsidR="0095574A">
      <w:rPr>
        <w:rFonts w:cs="Arial"/>
        <w:color w:val="B1005D"/>
        <w:sz w:val="18"/>
        <w:szCs w:val="18"/>
      </w:rPr>
      <w:tab/>
    </w:r>
  </w:p>
  <w:p w14:paraId="2D7E2765" w14:textId="3C53618B" w:rsidR="0095574A" w:rsidRPr="00B42FDE" w:rsidRDefault="0095574A" w:rsidP="00B42FDE">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0892A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w10:wrap anchorx="page" anchory="page"/>
              <w10:anchorlock/>
            </v:line>
          </w:pict>
        </mc:Fallback>
      </mc:AlternateContent>
    </w:r>
    <w:r>
      <w:rPr>
        <w:rFonts w:ascii="Arial Bold" w:hAnsi="Arial Bold" w:cs="Arial"/>
        <w:b/>
        <w:color w:val="B1005D"/>
        <w:sz w:val="18"/>
        <w:szCs w:val="18"/>
      </w:rPr>
      <w:t>20</w:t>
    </w:r>
    <w:r w:rsidR="00261BEF">
      <w:rPr>
        <w:rFonts w:ascii="Arial Bold" w:hAnsi="Arial Bold" w:cs="Arial"/>
        <w:b/>
        <w:color w:val="B1005D"/>
        <w:sz w:val="18"/>
        <w:szCs w:val="18"/>
      </w:rPr>
      <w:t>22</w:t>
    </w:r>
    <w:r>
      <w:rPr>
        <w:rFonts w:ascii="Arial Bold" w:hAnsi="Arial Bold" w:cs="Arial"/>
        <w:b/>
        <w:color w:val="B1005D"/>
        <w:sz w:val="18"/>
        <w:szCs w:val="18"/>
      </w:rPr>
      <w:t>–202</w:t>
    </w:r>
    <w:r w:rsidR="00261BEF">
      <w:rPr>
        <w:rFonts w:ascii="Arial Bold" w:hAnsi="Arial Bold" w:cs="Arial"/>
        <w:b/>
        <w:color w:val="B1005D"/>
        <w:sz w:val="18"/>
        <w:szCs w:val="18"/>
      </w:rPr>
      <w:t>3</w:t>
    </w:r>
    <w:r>
      <w:rPr>
        <w:rFonts w:ascii="Arial Bold" w:hAnsi="Arial Bold" w:cs="Arial"/>
        <w:b/>
        <w:color w:val="B1005D"/>
        <w:sz w:val="18"/>
        <w:szCs w:val="18"/>
      </w:rPr>
      <w:t xml:space="preserve"> quarter </w:t>
    </w:r>
    <w:r w:rsidR="00261BEF">
      <w:rPr>
        <w:rFonts w:ascii="Arial Bold" w:hAnsi="Arial Bold" w:cs="Arial"/>
        <w:b/>
        <w:color w:val="B1005D"/>
        <w:sz w:val="18"/>
        <w:szCs w:val="18"/>
      </w:rPr>
      <w:t>one</w:t>
    </w:r>
    <w:r>
      <w:rPr>
        <w:rFonts w:ascii="Arial Bold" w:hAnsi="Arial Bold" w:cs="Arial"/>
        <w:b/>
        <w:color w:val="B1005D"/>
        <w:sz w:val="18"/>
        <w:szCs w:val="18"/>
      </w:rPr>
      <w:t xml:space="preserv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477FD521" w:rsidR="0095574A" w:rsidRPr="00833658" w:rsidRDefault="00E66D76" w:rsidP="0039260E">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58244" behindDoc="0" locked="0" layoutInCell="0" allowOverlap="1" wp14:anchorId="0E2028B6" wp14:editId="52CD7EAD">
              <wp:simplePos x="0" y="0"/>
              <wp:positionH relativeFrom="page">
                <wp:posOffset>0</wp:posOffset>
              </wp:positionH>
              <wp:positionV relativeFrom="page">
                <wp:posOffset>190500</wp:posOffset>
              </wp:positionV>
              <wp:extent cx="7556500" cy="273050"/>
              <wp:effectExtent l="0" t="0" r="0" b="12700"/>
              <wp:wrapNone/>
              <wp:docPr id="4" name="MSIPCMb6514504b15ae4f793ca4a03"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A8097" w14:textId="52837CDA"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2028B6" id="_x0000_t202" coordsize="21600,21600" o:spt="202" path="m,l,21600r21600,l21600,xe">
              <v:stroke joinstyle="miter"/>
              <v:path gradientshapeok="t" o:connecttype="rect"/>
            </v:shapetype>
            <v:shape id="MSIPCMb6514504b15ae4f793ca4a03" o:spid="_x0000_s1027"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6D2A8097" w14:textId="52837CDA" w:rsidR="00E66D76" w:rsidRPr="00E66D76" w:rsidRDefault="00E66D76" w:rsidP="00E66D76">
                    <w:pPr>
                      <w:spacing w:after="0"/>
                      <w:jc w:val="center"/>
                      <w:rPr>
                        <w:rFonts w:ascii="Calibri" w:hAnsi="Calibri" w:cs="Calibri"/>
                        <w:color w:val="000000"/>
                      </w:rPr>
                    </w:pPr>
                    <w:r w:rsidRPr="00E66D76">
                      <w:rPr>
                        <w:rFonts w:ascii="Calibri" w:hAnsi="Calibri" w:cs="Calibri"/>
                        <w:color w:val="000000"/>
                      </w:rPr>
                      <w:t>OFFICIAL</w:t>
                    </w:r>
                  </w:p>
                </w:txbxContent>
              </v:textbox>
              <w10:wrap anchorx="page" anchory="page"/>
            </v:shape>
          </w:pict>
        </mc:Fallback>
      </mc:AlternateContent>
    </w:r>
    <w:r w:rsidR="0095574A">
      <w:rPr>
        <w:noProof/>
        <w:lang w:val="en-US"/>
      </w:rPr>
      <w:drawing>
        <wp:anchor distT="0" distB="0" distL="114300" distR="114300" simplePos="0" relativeHeight="251658245"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6"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16cid:durableId="1117677252">
    <w:abstractNumId w:val="27"/>
  </w:num>
  <w:num w:numId="2" w16cid:durableId="289290101">
    <w:abstractNumId w:val="18"/>
  </w:num>
  <w:num w:numId="3" w16cid:durableId="1851069127">
    <w:abstractNumId w:val="9"/>
  </w:num>
  <w:num w:numId="4" w16cid:durableId="973875641">
    <w:abstractNumId w:val="11"/>
  </w:num>
  <w:num w:numId="5" w16cid:durableId="1874225724">
    <w:abstractNumId w:val="7"/>
  </w:num>
  <w:num w:numId="6" w16cid:durableId="244999837">
    <w:abstractNumId w:val="22"/>
  </w:num>
  <w:num w:numId="7" w16cid:durableId="936017673">
    <w:abstractNumId w:val="6"/>
  </w:num>
  <w:num w:numId="8" w16cid:durableId="1355619543">
    <w:abstractNumId w:val="22"/>
  </w:num>
  <w:num w:numId="9" w16cid:durableId="824903218">
    <w:abstractNumId w:val="5"/>
  </w:num>
  <w:num w:numId="10" w16cid:durableId="1267889003">
    <w:abstractNumId w:val="4"/>
  </w:num>
  <w:num w:numId="11" w16cid:durableId="1643383706">
    <w:abstractNumId w:val="4"/>
  </w:num>
  <w:num w:numId="12" w16cid:durableId="1163202004">
    <w:abstractNumId w:val="8"/>
  </w:num>
  <w:num w:numId="13" w16cid:durableId="1262569013">
    <w:abstractNumId w:val="8"/>
  </w:num>
  <w:num w:numId="14" w16cid:durableId="1038049875">
    <w:abstractNumId w:val="3"/>
  </w:num>
  <w:num w:numId="15" w16cid:durableId="1651134541">
    <w:abstractNumId w:val="3"/>
  </w:num>
  <w:num w:numId="16" w16cid:durableId="1132594322">
    <w:abstractNumId w:val="2"/>
  </w:num>
  <w:num w:numId="17" w16cid:durableId="832718802">
    <w:abstractNumId w:val="2"/>
  </w:num>
  <w:num w:numId="18" w16cid:durableId="2042123034">
    <w:abstractNumId w:val="1"/>
  </w:num>
  <w:num w:numId="19" w16cid:durableId="1168326787">
    <w:abstractNumId w:val="1"/>
  </w:num>
  <w:num w:numId="20" w16cid:durableId="727999490">
    <w:abstractNumId w:val="0"/>
  </w:num>
  <w:num w:numId="21" w16cid:durableId="1328942523">
    <w:abstractNumId w:val="0"/>
  </w:num>
  <w:num w:numId="22" w16cid:durableId="1352999442">
    <w:abstractNumId w:val="20"/>
  </w:num>
  <w:num w:numId="23" w16cid:durableId="1186404335">
    <w:abstractNumId w:val="20"/>
  </w:num>
  <w:num w:numId="24" w16cid:durableId="667489634">
    <w:abstractNumId w:val="12"/>
  </w:num>
  <w:num w:numId="25" w16cid:durableId="816068690">
    <w:abstractNumId w:val="25"/>
  </w:num>
  <w:num w:numId="26" w16cid:durableId="1643122463">
    <w:abstractNumId w:val="17"/>
  </w:num>
  <w:num w:numId="27" w16cid:durableId="150105849">
    <w:abstractNumId w:val="21"/>
  </w:num>
  <w:num w:numId="28" w16cid:durableId="1518230912">
    <w:abstractNumId w:val="26"/>
  </w:num>
  <w:num w:numId="29" w16cid:durableId="259606432">
    <w:abstractNumId w:val="19"/>
  </w:num>
  <w:num w:numId="30" w16cid:durableId="1845708010">
    <w:abstractNumId w:val="10"/>
  </w:num>
  <w:num w:numId="31" w16cid:durableId="2147355273">
    <w:abstractNumId w:val="15"/>
  </w:num>
  <w:num w:numId="32" w16cid:durableId="1298300540">
    <w:abstractNumId w:val="24"/>
  </w:num>
  <w:num w:numId="33" w16cid:durableId="1365868332">
    <w:abstractNumId w:val="13"/>
  </w:num>
  <w:num w:numId="34" w16cid:durableId="1451361399">
    <w:abstractNumId w:val="16"/>
  </w:num>
  <w:num w:numId="35" w16cid:durableId="1275592920">
    <w:abstractNumId w:val="23"/>
  </w:num>
  <w:num w:numId="36" w16cid:durableId="5483442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7"/>
    <w:rsid w:val="0000020D"/>
    <w:rsid w:val="00000BAF"/>
    <w:rsid w:val="00001AA9"/>
    <w:rsid w:val="000027B7"/>
    <w:rsid w:val="000036A6"/>
    <w:rsid w:val="0000378A"/>
    <w:rsid w:val="000038D1"/>
    <w:rsid w:val="00004CE9"/>
    <w:rsid w:val="00004D17"/>
    <w:rsid w:val="00004F3D"/>
    <w:rsid w:val="000055D7"/>
    <w:rsid w:val="00005D79"/>
    <w:rsid w:val="000061B6"/>
    <w:rsid w:val="00006274"/>
    <w:rsid w:val="000063FE"/>
    <w:rsid w:val="00006CCF"/>
    <w:rsid w:val="00007FD6"/>
    <w:rsid w:val="00010B52"/>
    <w:rsid w:val="00010B80"/>
    <w:rsid w:val="000141D8"/>
    <w:rsid w:val="00014D52"/>
    <w:rsid w:val="0001721A"/>
    <w:rsid w:val="00017518"/>
    <w:rsid w:val="000175F6"/>
    <w:rsid w:val="00017EC1"/>
    <w:rsid w:val="00020994"/>
    <w:rsid w:val="00021293"/>
    <w:rsid w:val="00021580"/>
    <w:rsid w:val="00021B97"/>
    <w:rsid w:val="0002304F"/>
    <w:rsid w:val="00023379"/>
    <w:rsid w:val="000236FD"/>
    <w:rsid w:val="00023F89"/>
    <w:rsid w:val="00024FD4"/>
    <w:rsid w:val="00025EB0"/>
    <w:rsid w:val="0002736E"/>
    <w:rsid w:val="00027BEB"/>
    <w:rsid w:val="00027F97"/>
    <w:rsid w:val="000305B1"/>
    <w:rsid w:val="00032331"/>
    <w:rsid w:val="00033B72"/>
    <w:rsid w:val="00034264"/>
    <w:rsid w:val="0003486A"/>
    <w:rsid w:val="00036024"/>
    <w:rsid w:val="000401FE"/>
    <w:rsid w:val="00040838"/>
    <w:rsid w:val="000410CD"/>
    <w:rsid w:val="00041837"/>
    <w:rsid w:val="00043D3D"/>
    <w:rsid w:val="00045B31"/>
    <w:rsid w:val="00045D7C"/>
    <w:rsid w:val="000464B3"/>
    <w:rsid w:val="00046677"/>
    <w:rsid w:val="0005014C"/>
    <w:rsid w:val="00050188"/>
    <w:rsid w:val="000508D3"/>
    <w:rsid w:val="00050C7A"/>
    <w:rsid w:val="00051071"/>
    <w:rsid w:val="0005145E"/>
    <w:rsid w:val="00051FCF"/>
    <w:rsid w:val="000524B3"/>
    <w:rsid w:val="00053FE2"/>
    <w:rsid w:val="00055C16"/>
    <w:rsid w:val="00055CFB"/>
    <w:rsid w:val="00055DBF"/>
    <w:rsid w:val="0005609D"/>
    <w:rsid w:val="0005677C"/>
    <w:rsid w:val="00056A93"/>
    <w:rsid w:val="00056E86"/>
    <w:rsid w:val="0006012E"/>
    <w:rsid w:val="000604A2"/>
    <w:rsid w:val="000605FF"/>
    <w:rsid w:val="00060C67"/>
    <w:rsid w:val="000631DD"/>
    <w:rsid w:val="000639F4"/>
    <w:rsid w:val="00063EF9"/>
    <w:rsid w:val="00065A6F"/>
    <w:rsid w:val="000660BF"/>
    <w:rsid w:val="000672A7"/>
    <w:rsid w:val="000679DF"/>
    <w:rsid w:val="00067EE4"/>
    <w:rsid w:val="00070A47"/>
    <w:rsid w:val="00072FA2"/>
    <w:rsid w:val="000731E7"/>
    <w:rsid w:val="00073503"/>
    <w:rsid w:val="000742F7"/>
    <w:rsid w:val="000776A9"/>
    <w:rsid w:val="00081319"/>
    <w:rsid w:val="0008244C"/>
    <w:rsid w:val="00082BB4"/>
    <w:rsid w:val="00082E40"/>
    <w:rsid w:val="00083758"/>
    <w:rsid w:val="00084405"/>
    <w:rsid w:val="00086744"/>
    <w:rsid w:val="00087B2F"/>
    <w:rsid w:val="0009039D"/>
    <w:rsid w:val="00093E4D"/>
    <w:rsid w:val="0009511F"/>
    <w:rsid w:val="00096D8A"/>
    <w:rsid w:val="0009711B"/>
    <w:rsid w:val="000A020B"/>
    <w:rsid w:val="000A0339"/>
    <w:rsid w:val="000A0349"/>
    <w:rsid w:val="000A0A68"/>
    <w:rsid w:val="000A1E6F"/>
    <w:rsid w:val="000A2081"/>
    <w:rsid w:val="000A20E1"/>
    <w:rsid w:val="000A25B1"/>
    <w:rsid w:val="000A28EE"/>
    <w:rsid w:val="000A2FBE"/>
    <w:rsid w:val="000A3808"/>
    <w:rsid w:val="000A3C2D"/>
    <w:rsid w:val="000A3DA5"/>
    <w:rsid w:val="000A41F2"/>
    <w:rsid w:val="000A4637"/>
    <w:rsid w:val="000A48BE"/>
    <w:rsid w:val="000A4EA9"/>
    <w:rsid w:val="000A5781"/>
    <w:rsid w:val="000A5DB4"/>
    <w:rsid w:val="000A68E1"/>
    <w:rsid w:val="000A6EDC"/>
    <w:rsid w:val="000A7E07"/>
    <w:rsid w:val="000B1465"/>
    <w:rsid w:val="000B185D"/>
    <w:rsid w:val="000B1E78"/>
    <w:rsid w:val="000B20DD"/>
    <w:rsid w:val="000B2F09"/>
    <w:rsid w:val="000B2F2F"/>
    <w:rsid w:val="000B40B7"/>
    <w:rsid w:val="000B42DC"/>
    <w:rsid w:val="000B6313"/>
    <w:rsid w:val="000B6A75"/>
    <w:rsid w:val="000B6B17"/>
    <w:rsid w:val="000C0200"/>
    <w:rsid w:val="000C08C0"/>
    <w:rsid w:val="000C14B8"/>
    <w:rsid w:val="000C19D5"/>
    <w:rsid w:val="000C2C49"/>
    <w:rsid w:val="000C3027"/>
    <w:rsid w:val="000C59E6"/>
    <w:rsid w:val="000C5E2B"/>
    <w:rsid w:val="000C7FB4"/>
    <w:rsid w:val="000D1243"/>
    <w:rsid w:val="000D32DA"/>
    <w:rsid w:val="000D4258"/>
    <w:rsid w:val="000D469D"/>
    <w:rsid w:val="000D6156"/>
    <w:rsid w:val="000D61AB"/>
    <w:rsid w:val="000D64E6"/>
    <w:rsid w:val="000D65AC"/>
    <w:rsid w:val="000D6FEB"/>
    <w:rsid w:val="000D73DB"/>
    <w:rsid w:val="000E065B"/>
    <w:rsid w:val="000E0EF9"/>
    <w:rsid w:val="000E11BA"/>
    <w:rsid w:val="000E1283"/>
    <w:rsid w:val="000E14D9"/>
    <w:rsid w:val="000E169E"/>
    <w:rsid w:val="000E2347"/>
    <w:rsid w:val="000E3D37"/>
    <w:rsid w:val="000E4249"/>
    <w:rsid w:val="000E5121"/>
    <w:rsid w:val="000E6B10"/>
    <w:rsid w:val="000E76E4"/>
    <w:rsid w:val="000E7883"/>
    <w:rsid w:val="000E79DC"/>
    <w:rsid w:val="000F0145"/>
    <w:rsid w:val="000F074C"/>
    <w:rsid w:val="000F07A7"/>
    <w:rsid w:val="000F122E"/>
    <w:rsid w:val="000F1368"/>
    <w:rsid w:val="000F2125"/>
    <w:rsid w:val="000F2939"/>
    <w:rsid w:val="000F3295"/>
    <w:rsid w:val="000F3B60"/>
    <w:rsid w:val="000F45D3"/>
    <w:rsid w:val="000F4900"/>
    <w:rsid w:val="000F7D49"/>
    <w:rsid w:val="000F7F7C"/>
    <w:rsid w:val="00100BB7"/>
    <w:rsid w:val="0010110A"/>
    <w:rsid w:val="00101A85"/>
    <w:rsid w:val="00101F98"/>
    <w:rsid w:val="001023C8"/>
    <w:rsid w:val="0010438C"/>
    <w:rsid w:val="001072B0"/>
    <w:rsid w:val="00111862"/>
    <w:rsid w:val="00112C54"/>
    <w:rsid w:val="00112CA5"/>
    <w:rsid w:val="001144CF"/>
    <w:rsid w:val="00114EB2"/>
    <w:rsid w:val="001177BE"/>
    <w:rsid w:val="001202C1"/>
    <w:rsid w:val="00120D4C"/>
    <w:rsid w:val="00122D7D"/>
    <w:rsid w:val="00123404"/>
    <w:rsid w:val="00123514"/>
    <w:rsid w:val="00125593"/>
    <w:rsid w:val="00126421"/>
    <w:rsid w:val="00130C44"/>
    <w:rsid w:val="001322A2"/>
    <w:rsid w:val="00135929"/>
    <w:rsid w:val="00135A8A"/>
    <w:rsid w:val="00135AFA"/>
    <w:rsid w:val="00140CB0"/>
    <w:rsid w:val="00142198"/>
    <w:rsid w:val="001428BB"/>
    <w:rsid w:val="0014474C"/>
    <w:rsid w:val="001450F0"/>
    <w:rsid w:val="001465E4"/>
    <w:rsid w:val="00146657"/>
    <w:rsid w:val="00146865"/>
    <w:rsid w:val="00146D1F"/>
    <w:rsid w:val="0015159B"/>
    <w:rsid w:val="0015174B"/>
    <w:rsid w:val="0015181C"/>
    <w:rsid w:val="00151834"/>
    <w:rsid w:val="00152649"/>
    <w:rsid w:val="001526C8"/>
    <w:rsid w:val="0015466E"/>
    <w:rsid w:val="00154C5A"/>
    <w:rsid w:val="00155264"/>
    <w:rsid w:val="00155591"/>
    <w:rsid w:val="00155A08"/>
    <w:rsid w:val="001575EE"/>
    <w:rsid w:val="00157C3D"/>
    <w:rsid w:val="0016044B"/>
    <w:rsid w:val="0016078D"/>
    <w:rsid w:val="001616E6"/>
    <w:rsid w:val="00162471"/>
    <w:rsid w:val="001624FD"/>
    <w:rsid w:val="00163488"/>
    <w:rsid w:val="001634DE"/>
    <w:rsid w:val="00163592"/>
    <w:rsid w:val="00163C00"/>
    <w:rsid w:val="001658A2"/>
    <w:rsid w:val="00166EBD"/>
    <w:rsid w:val="00166FF4"/>
    <w:rsid w:val="00167103"/>
    <w:rsid w:val="001677FB"/>
    <w:rsid w:val="001704A6"/>
    <w:rsid w:val="00170E62"/>
    <w:rsid w:val="00171921"/>
    <w:rsid w:val="00171F24"/>
    <w:rsid w:val="001728AA"/>
    <w:rsid w:val="001741E5"/>
    <w:rsid w:val="00174E39"/>
    <w:rsid w:val="00175277"/>
    <w:rsid w:val="00176E13"/>
    <w:rsid w:val="001770F6"/>
    <w:rsid w:val="001771CC"/>
    <w:rsid w:val="00177331"/>
    <w:rsid w:val="00177673"/>
    <w:rsid w:val="00177814"/>
    <w:rsid w:val="0017798A"/>
    <w:rsid w:val="00177CA1"/>
    <w:rsid w:val="00181099"/>
    <w:rsid w:val="0018149D"/>
    <w:rsid w:val="001815CF"/>
    <w:rsid w:val="00182EF2"/>
    <w:rsid w:val="0018320D"/>
    <w:rsid w:val="00183C63"/>
    <w:rsid w:val="00184398"/>
    <w:rsid w:val="00185425"/>
    <w:rsid w:val="00186295"/>
    <w:rsid w:val="00190038"/>
    <w:rsid w:val="00190A92"/>
    <w:rsid w:val="00191722"/>
    <w:rsid w:val="00192F61"/>
    <w:rsid w:val="00195BEA"/>
    <w:rsid w:val="00195F18"/>
    <w:rsid w:val="00196F8E"/>
    <w:rsid w:val="001A0D32"/>
    <w:rsid w:val="001A1DBD"/>
    <w:rsid w:val="001A27AB"/>
    <w:rsid w:val="001A2B95"/>
    <w:rsid w:val="001A2C87"/>
    <w:rsid w:val="001A4212"/>
    <w:rsid w:val="001A7093"/>
    <w:rsid w:val="001A7527"/>
    <w:rsid w:val="001A76F6"/>
    <w:rsid w:val="001A7E7C"/>
    <w:rsid w:val="001B0095"/>
    <w:rsid w:val="001B0812"/>
    <w:rsid w:val="001B0F4B"/>
    <w:rsid w:val="001B1CE3"/>
    <w:rsid w:val="001B2B1F"/>
    <w:rsid w:val="001B2B83"/>
    <w:rsid w:val="001B2EF7"/>
    <w:rsid w:val="001B3FB6"/>
    <w:rsid w:val="001B4185"/>
    <w:rsid w:val="001B6034"/>
    <w:rsid w:val="001B71AC"/>
    <w:rsid w:val="001B724E"/>
    <w:rsid w:val="001B79B1"/>
    <w:rsid w:val="001B7F0E"/>
    <w:rsid w:val="001C0244"/>
    <w:rsid w:val="001C13AF"/>
    <w:rsid w:val="001C1875"/>
    <w:rsid w:val="001C28ED"/>
    <w:rsid w:val="001C37F7"/>
    <w:rsid w:val="001C3838"/>
    <w:rsid w:val="001C7169"/>
    <w:rsid w:val="001C78D4"/>
    <w:rsid w:val="001C7CB5"/>
    <w:rsid w:val="001C7CC3"/>
    <w:rsid w:val="001D0FA7"/>
    <w:rsid w:val="001D18F4"/>
    <w:rsid w:val="001D1BDD"/>
    <w:rsid w:val="001D277E"/>
    <w:rsid w:val="001D42FF"/>
    <w:rsid w:val="001D4FDD"/>
    <w:rsid w:val="001D520D"/>
    <w:rsid w:val="001D5851"/>
    <w:rsid w:val="001D747E"/>
    <w:rsid w:val="001E1907"/>
    <w:rsid w:val="001E1C65"/>
    <w:rsid w:val="001E1EB8"/>
    <w:rsid w:val="001E2009"/>
    <w:rsid w:val="001E3A98"/>
    <w:rsid w:val="001E4157"/>
    <w:rsid w:val="001E5773"/>
    <w:rsid w:val="001E5852"/>
    <w:rsid w:val="001E5DBD"/>
    <w:rsid w:val="001E6385"/>
    <w:rsid w:val="001E705F"/>
    <w:rsid w:val="001E71CD"/>
    <w:rsid w:val="001E7B75"/>
    <w:rsid w:val="001F0CF5"/>
    <w:rsid w:val="001F0F6D"/>
    <w:rsid w:val="001F1AF2"/>
    <w:rsid w:val="001F1CD9"/>
    <w:rsid w:val="001F30AB"/>
    <w:rsid w:val="001F3E36"/>
    <w:rsid w:val="001F44EE"/>
    <w:rsid w:val="001F5011"/>
    <w:rsid w:val="001F5598"/>
    <w:rsid w:val="001F73D2"/>
    <w:rsid w:val="001F7B45"/>
    <w:rsid w:val="002002A6"/>
    <w:rsid w:val="00200366"/>
    <w:rsid w:val="00200CDD"/>
    <w:rsid w:val="00200FEB"/>
    <w:rsid w:val="002024CA"/>
    <w:rsid w:val="0020340C"/>
    <w:rsid w:val="00203A47"/>
    <w:rsid w:val="002044B7"/>
    <w:rsid w:val="00204ABA"/>
    <w:rsid w:val="00204CCE"/>
    <w:rsid w:val="00205801"/>
    <w:rsid w:val="00205C1D"/>
    <w:rsid w:val="00205D8F"/>
    <w:rsid w:val="00206DB6"/>
    <w:rsid w:val="00206DFC"/>
    <w:rsid w:val="00207A64"/>
    <w:rsid w:val="00207C62"/>
    <w:rsid w:val="002101E6"/>
    <w:rsid w:val="00211B0F"/>
    <w:rsid w:val="00212C25"/>
    <w:rsid w:val="00213A3C"/>
    <w:rsid w:val="002141AC"/>
    <w:rsid w:val="002143D0"/>
    <w:rsid w:val="002143DC"/>
    <w:rsid w:val="00214F4D"/>
    <w:rsid w:val="00215D0D"/>
    <w:rsid w:val="00217775"/>
    <w:rsid w:val="00220889"/>
    <w:rsid w:val="0022503C"/>
    <w:rsid w:val="002253CE"/>
    <w:rsid w:val="00225EEA"/>
    <w:rsid w:val="002278EC"/>
    <w:rsid w:val="002310BB"/>
    <w:rsid w:val="00231769"/>
    <w:rsid w:val="00231AA1"/>
    <w:rsid w:val="00232748"/>
    <w:rsid w:val="00232963"/>
    <w:rsid w:val="00233C99"/>
    <w:rsid w:val="00234BC1"/>
    <w:rsid w:val="00235197"/>
    <w:rsid w:val="002351A0"/>
    <w:rsid w:val="00235822"/>
    <w:rsid w:val="0023599B"/>
    <w:rsid w:val="00235B1F"/>
    <w:rsid w:val="002362DC"/>
    <w:rsid w:val="00236475"/>
    <w:rsid w:val="002372AE"/>
    <w:rsid w:val="00237B26"/>
    <w:rsid w:val="00241319"/>
    <w:rsid w:val="00241729"/>
    <w:rsid w:val="002434EF"/>
    <w:rsid w:val="002439F5"/>
    <w:rsid w:val="00244E32"/>
    <w:rsid w:val="00245207"/>
    <w:rsid w:val="00246649"/>
    <w:rsid w:val="00246DAF"/>
    <w:rsid w:val="002513FF"/>
    <w:rsid w:val="00251D2C"/>
    <w:rsid w:val="00251FD0"/>
    <w:rsid w:val="00252F05"/>
    <w:rsid w:val="0025306B"/>
    <w:rsid w:val="002538F1"/>
    <w:rsid w:val="00253DED"/>
    <w:rsid w:val="002548D0"/>
    <w:rsid w:val="00255BCF"/>
    <w:rsid w:val="00255E85"/>
    <w:rsid w:val="002571EE"/>
    <w:rsid w:val="00257608"/>
    <w:rsid w:val="00257CAE"/>
    <w:rsid w:val="00260EDC"/>
    <w:rsid w:val="0026169E"/>
    <w:rsid w:val="00261836"/>
    <w:rsid w:val="00261BEF"/>
    <w:rsid w:val="00262F73"/>
    <w:rsid w:val="00263AC9"/>
    <w:rsid w:val="00270566"/>
    <w:rsid w:val="0027091D"/>
    <w:rsid w:val="00271733"/>
    <w:rsid w:val="0027473D"/>
    <w:rsid w:val="00276463"/>
    <w:rsid w:val="002800C6"/>
    <w:rsid w:val="00283968"/>
    <w:rsid w:val="0028479C"/>
    <w:rsid w:val="00287D90"/>
    <w:rsid w:val="00291025"/>
    <w:rsid w:val="002915FB"/>
    <w:rsid w:val="00291777"/>
    <w:rsid w:val="00293955"/>
    <w:rsid w:val="00294D79"/>
    <w:rsid w:val="0029784B"/>
    <w:rsid w:val="002A4595"/>
    <w:rsid w:val="002A4D73"/>
    <w:rsid w:val="002A713F"/>
    <w:rsid w:val="002A7FC0"/>
    <w:rsid w:val="002B0B94"/>
    <w:rsid w:val="002B0DCB"/>
    <w:rsid w:val="002B1A23"/>
    <w:rsid w:val="002B4CD2"/>
    <w:rsid w:val="002B4DE8"/>
    <w:rsid w:val="002B4E6A"/>
    <w:rsid w:val="002B575F"/>
    <w:rsid w:val="002B5877"/>
    <w:rsid w:val="002B59EC"/>
    <w:rsid w:val="002B63DF"/>
    <w:rsid w:val="002B7915"/>
    <w:rsid w:val="002B7D3F"/>
    <w:rsid w:val="002C0C17"/>
    <w:rsid w:val="002C1325"/>
    <w:rsid w:val="002C1C38"/>
    <w:rsid w:val="002C2365"/>
    <w:rsid w:val="002C3253"/>
    <w:rsid w:val="002C3387"/>
    <w:rsid w:val="002C3623"/>
    <w:rsid w:val="002C3F7D"/>
    <w:rsid w:val="002C4C15"/>
    <w:rsid w:val="002C4EF6"/>
    <w:rsid w:val="002C5A71"/>
    <w:rsid w:val="002C60D8"/>
    <w:rsid w:val="002C6B09"/>
    <w:rsid w:val="002C6FB9"/>
    <w:rsid w:val="002C7FCF"/>
    <w:rsid w:val="002D1206"/>
    <w:rsid w:val="002D1528"/>
    <w:rsid w:val="002D1A7F"/>
    <w:rsid w:val="002D2718"/>
    <w:rsid w:val="002D29D0"/>
    <w:rsid w:val="002D32FD"/>
    <w:rsid w:val="002D3848"/>
    <w:rsid w:val="002D4C5B"/>
    <w:rsid w:val="002D5177"/>
    <w:rsid w:val="002D5C94"/>
    <w:rsid w:val="002D6AE8"/>
    <w:rsid w:val="002D7D1A"/>
    <w:rsid w:val="002E042D"/>
    <w:rsid w:val="002E0DC4"/>
    <w:rsid w:val="002E142B"/>
    <w:rsid w:val="002E2F1D"/>
    <w:rsid w:val="002E38EA"/>
    <w:rsid w:val="002E3ECB"/>
    <w:rsid w:val="002E47E3"/>
    <w:rsid w:val="002E54E1"/>
    <w:rsid w:val="002E65E7"/>
    <w:rsid w:val="002E6C79"/>
    <w:rsid w:val="002E73F7"/>
    <w:rsid w:val="002F09CB"/>
    <w:rsid w:val="002F1296"/>
    <w:rsid w:val="002F1BF5"/>
    <w:rsid w:val="002F2D0D"/>
    <w:rsid w:val="002F2EE9"/>
    <w:rsid w:val="002F5880"/>
    <w:rsid w:val="002F5DE2"/>
    <w:rsid w:val="002F6F44"/>
    <w:rsid w:val="002F77E8"/>
    <w:rsid w:val="00300639"/>
    <w:rsid w:val="0030160F"/>
    <w:rsid w:val="0030167A"/>
    <w:rsid w:val="003020FD"/>
    <w:rsid w:val="00304024"/>
    <w:rsid w:val="0030444E"/>
    <w:rsid w:val="00305DA2"/>
    <w:rsid w:val="003076A1"/>
    <w:rsid w:val="00310C74"/>
    <w:rsid w:val="0031238A"/>
    <w:rsid w:val="0031392C"/>
    <w:rsid w:val="0031443C"/>
    <w:rsid w:val="003163A7"/>
    <w:rsid w:val="0031670E"/>
    <w:rsid w:val="00316A23"/>
    <w:rsid w:val="00316C23"/>
    <w:rsid w:val="0032193B"/>
    <w:rsid w:val="00321E12"/>
    <w:rsid w:val="00322A9C"/>
    <w:rsid w:val="00322ECB"/>
    <w:rsid w:val="00323AF3"/>
    <w:rsid w:val="0032480C"/>
    <w:rsid w:val="00324C66"/>
    <w:rsid w:val="00324F76"/>
    <w:rsid w:val="00325290"/>
    <w:rsid w:val="003252CE"/>
    <w:rsid w:val="00326DF4"/>
    <w:rsid w:val="00327F07"/>
    <w:rsid w:val="0032A553"/>
    <w:rsid w:val="00330C70"/>
    <w:rsid w:val="0033158F"/>
    <w:rsid w:val="00332682"/>
    <w:rsid w:val="00332A3E"/>
    <w:rsid w:val="00332C80"/>
    <w:rsid w:val="00334883"/>
    <w:rsid w:val="00334E27"/>
    <w:rsid w:val="0033630B"/>
    <w:rsid w:val="00336372"/>
    <w:rsid w:val="00336DC3"/>
    <w:rsid w:val="0034037D"/>
    <w:rsid w:val="0034059D"/>
    <w:rsid w:val="00341964"/>
    <w:rsid w:val="00341D74"/>
    <w:rsid w:val="0034281F"/>
    <w:rsid w:val="00342B2F"/>
    <w:rsid w:val="00343B76"/>
    <w:rsid w:val="003459DF"/>
    <w:rsid w:val="0034666E"/>
    <w:rsid w:val="00347381"/>
    <w:rsid w:val="0034756C"/>
    <w:rsid w:val="00347A34"/>
    <w:rsid w:val="00347C6E"/>
    <w:rsid w:val="003501C7"/>
    <w:rsid w:val="003509A2"/>
    <w:rsid w:val="00351328"/>
    <w:rsid w:val="003525A2"/>
    <w:rsid w:val="0035357E"/>
    <w:rsid w:val="00353F15"/>
    <w:rsid w:val="00354008"/>
    <w:rsid w:val="003551D9"/>
    <w:rsid w:val="00355319"/>
    <w:rsid w:val="00355D8F"/>
    <w:rsid w:val="00355F8B"/>
    <w:rsid w:val="003560E0"/>
    <w:rsid w:val="00356572"/>
    <w:rsid w:val="00356953"/>
    <w:rsid w:val="00357A25"/>
    <w:rsid w:val="00360731"/>
    <w:rsid w:val="00360981"/>
    <w:rsid w:val="00361E3C"/>
    <w:rsid w:val="0036202F"/>
    <w:rsid w:val="00363062"/>
    <w:rsid w:val="00364F03"/>
    <w:rsid w:val="003657F9"/>
    <w:rsid w:val="003664EB"/>
    <w:rsid w:val="003676E2"/>
    <w:rsid w:val="00367925"/>
    <w:rsid w:val="003700E1"/>
    <w:rsid w:val="0037087D"/>
    <w:rsid w:val="00370E8E"/>
    <w:rsid w:val="00371C8A"/>
    <w:rsid w:val="0037231C"/>
    <w:rsid w:val="00373791"/>
    <w:rsid w:val="00373DE1"/>
    <w:rsid w:val="00374835"/>
    <w:rsid w:val="00376E6F"/>
    <w:rsid w:val="00384ECC"/>
    <w:rsid w:val="00385D2C"/>
    <w:rsid w:val="00391E17"/>
    <w:rsid w:val="0039260E"/>
    <w:rsid w:val="003931E9"/>
    <w:rsid w:val="00393CD9"/>
    <w:rsid w:val="00394BFD"/>
    <w:rsid w:val="00395989"/>
    <w:rsid w:val="00395AA6"/>
    <w:rsid w:val="00396011"/>
    <w:rsid w:val="00396280"/>
    <w:rsid w:val="00396DB5"/>
    <w:rsid w:val="003A003E"/>
    <w:rsid w:val="003A05AC"/>
    <w:rsid w:val="003A0854"/>
    <w:rsid w:val="003A1249"/>
    <w:rsid w:val="003A1661"/>
    <w:rsid w:val="003A25ED"/>
    <w:rsid w:val="003A3159"/>
    <w:rsid w:val="003A4647"/>
    <w:rsid w:val="003A4813"/>
    <w:rsid w:val="003A5C29"/>
    <w:rsid w:val="003A61E0"/>
    <w:rsid w:val="003A660A"/>
    <w:rsid w:val="003B0DC7"/>
    <w:rsid w:val="003B33FB"/>
    <w:rsid w:val="003B344F"/>
    <w:rsid w:val="003B400F"/>
    <w:rsid w:val="003B4493"/>
    <w:rsid w:val="003B530D"/>
    <w:rsid w:val="003B531C"/>
    <w:rsid w:val="003B60D1"/>
    <w:rsid w:val="003B659A"/>
    <w:rsid w:val="003B7E9B"/>
    <w:rsid w:val="003C0042"/>
    <w:rsid w:val="003C10AA"/>
    <w:rsid w:val="003C1576"/>
    <w:rsid w:val="003C1BAB"/>
    <w:rsid w:val="003C1C21"/>
    <w:rsid w:val="003C1E85"/>
    <w:rsid w:val="003C3508"/>
    <w:rsid w:val="003C3902"/>
    <w:rsid w:val="003C394B"/>
    <w:rsid w:val="003D0530"/>
    <w:rsid w:val="003D140E"/>
    <w:rsid w:val="003D1743"/>
    <w:rsid w:val="003D3F45"/>
    <w:rsid w:val="003D43BA"/>
    <w:rsid w:val="003D5CB8"/>
    <w:rsid w:val="003D6401"/>
    <w:rsid w:val="003D6BB1"/>
    <w:rsid w:val="003D73C1"/>
    <w:rsid w:val="003E03D5"/>
    <w:rsid w:val="003E05D6"/>
    <w:rsid w:val="003E0D64"/>
    <w:rsid w:val="003E2BBD"/>
    <w:rsid w:val="003E2E3D"/>
    <w:rsid w:val="003E39CD"/>
    <w:rsid w:val="003E4004"/>
    <w:rsid w:val="003E4AB2"/>
    <w:rsid w:val="003E4AE8"/>
    <w:rsid w:val="003E4C2B"/>
    <w:rsid w:val="003E51EA"/>
    <w:rsid w:val="003E520F"/>
    <w:rsid w:val="003E6C61"/>
    <w:rsid w:val="003E70AF"/>
    <w:rsid w:val="003F084E"/>
    <w:rsid w:val="003F1000"/>
    <w:rsid w:val="003F1A40"/>
    <w:rsid w:val="003F1B38"/>
    <w:rsid w:val="003F240A"/>
    <w:rsid w:val="003F26A1"/>
    <w:rsid w:val="003F2920"/>
    <w:rsid w:val="003F37EE"/>
    <w:rsid w:val="003F42DA"/>
    <w:rsid w:val="003F47FD"/>
    <w:rsid w:val="003F4B0E"/>
    <w:rsid w:val="003F6AEF"/>
    <w:rsid w:val="0040102F"/>
    <w:rsid w:val="00402C43"/>
    <w:rsid w:val="004032B6"/>
    <w:rsid w:val="00403947"/>
    <w:rsid w:val="00405E09"/>
    <w:rsid w:val="00406720"/>
    <w:rsid w:val="0041254B"/>
    <w:rsid w:val="00412C70"/>
    <w:rsid w:val="0041403A"/>
    <w:rsid w:val="004147CD"/>
    <w:rsid w:val="00414B89"/>
    <w:rsid w:val="00416290"/>
    <w:rsid w:val="00416C00"/>
    <w:rsid w:val="00416C26"/>
    <w:rsid w:val="004175B7"/>
    <w:rsid w:val="004210EB"/>
    <w:rsid w:val="00421702"/>
    <w:rsid w:val="00421AF8"/>
    <w:rsid w:val="00421D08"/>
    <w:rsid w:val="00423762"/>
    <w:rsid w:val="004257D8"/>
    <w:rsid w:val="004257F8"/>
    <w:rsid w:val="0042666D"/>
    <w:rsid w:val="00430270"/>
    <w:rsid w:val="00430F10"/>
    <w:rsid w:val="00431AA3"/>
    <w:rsid w:val="00432BE9"/>
    <w:rsid w:val="004337A3"/>
    <w:rsid w:val="00434142"/>
    <w:rsid w:val="0043466F"/>
    <w:rsid w:val="0043478B"/>
    <w:rsid w:val="004356AE"/>
    <w:rsid w:val="00436C5F"/>
    <w:rsid w:val="00436FAD"/>
    <w:rsid w:val="00437071"/>
    <w:rsid w:val="00440A28"/>
    <w:rsid w:val="00440B64"/>
    <w:rsid w:val="00441500"/>
    <w:rsid w:val="00442502"/>
    <w:rsid w:val="00442603"/>
    <w:rsid w:val="00442A44"/>
    <w:rsid w:val="00442C02"/>
    <w:rsid w:val="0044409A"/>
    <w:rsid w:val="0044616F"/>
    <w:rsid w:val="00446445"/>
    <w:rsid w:val="00450A59"/>
    <w:rsid w:val="00450B0F"/>
    <w:rsid w:val="00452060"/>
    <w:rsid w:val="004523C7"/>
    <w:rsid w:val="0045298D"/>
    <w:rsid w:val="00452A97"/>
    <w:rsid w:val="004530CB"/>
    <w:rsid w:val="00454D77"/>
    <w:rsid w:val="00455E0A"/>
    <w:rsid w:val="00456C63"/>
    <w:rsid w:val="00457523"/>
    <w:rsid w:val="00457AA5"/>
    <w:rsid w:val="00460AA6"/>
    <w:rsid w:val="00461300"/>
    <w:rsid w:val="00461367"/>
    <w:rsid w:val="00461773"/>
    <w:rsid w:val="00463A3D"/>
    <w:rsid w:val="00463DB0"/>
    <w:rsid w:val="00464524"/>
    <w:rsid w:val="0046470A"/>
    <w:rsid w:val="00465CCA"/>
    <w:rsid w:val="00466119"/>
    <w:rsid w:val="00466393"/>
    <w:rsid w:val="004702A6"/>
    <w:rsid w:val="00470385"/>
    <w:rsid w:val="00471EB1"/>
    <w:rsid w:val="00472066"/>
    <w:rsid w:val="00472193"/>
    <w:rsid w:val="0047374C"/>
    <w:rsid w:val="00473E11"/>
    <w:rsid w:val="00473F45"/>
    <w:rsid w:val="00473F97"/>
    <w:rsid w:val="00475247"/>
    <w:rsid w:val="00476804"/>
    <w:rsid w:val="00476BCB"/>
    <w:rsid w:val="0048057D"/>
    <w:rsid w:val="00481FC3"/>
    <w:rsid w:val="0048219A"/>
    <w:rsid w:val="0048272A"/>
    <w:rsid w:val="00482964"/>
    <w:rsid w:val="00482AAC"/>
    <w:rsid w:val="00484B27"/>
    <w:rsid w:val="004850D3"/>
    <w:rsid w:val="004857D0"/>
    <w:rsid w:val="0048605D"/>
    <w:rsid w:val="00486435"/>
    <w:rsid w:val="0048644B"/>
    <w:rsid w:val="00486552"/>
    <w:rsid w:val="00486866"/>
    <w:rsid w:val="004877EB"/>
    <w:rsid w:val="00487C30"/>
    <w:rsid w:val="00490D52"/>
    <w:rsid w:val="00490DE6"/>
    <w:rsid w:val="00491598"/>
    <w:rsid w:val="00491E6D"/>
    <w:rsid w:val="004935BA"/>
    <w:rsid w:val="00494610"/>
    <w:rsid w:val="00494884"/>
    <w:rsid w:val="004950EE"/>
    <w:rsid w:val="00495517"/>
    <w:rsid w:val="00495A11"/>
    <w:rsid w:val="00497571"/>
    <w:rsid w:val="00497BEA"/>
    <w:rsid w:val="00497F61"/>
    <w:rsid w:val="00497FF5"/>
    <w:rsid w:val="004A004C"/>
    <w:rsid w:val="004A04EB"/>
    <w:rsid w:val="004A1593"/>
    <w:rsid w:val="004A2273"/>
    <w:rsid w:val="004A239D"/>
    <w:rsid w:val="004A3A88"/>
    <w:rsid w:val="004A49BE"/>
    <w:rsid w:val="004A7464"/>
    <w:rsid w:val="004A7A57"/>
    <w:rsid w:val="004B0854"/>
    <w:rsid w:val="004B0D92"/>
    <w:rsid w:val="004B0F3E"/>
    <w:rsid w:val="004B0FA9"/>
    <w:rsid w:val="004B1346"/>
    <w:rsid w:val="004B1FDA"/>
    <w:rsid w:val="004B210F"/>
    <w:rsid w:val="004B4628"/>
    <w:rsid w:val="004B4C38"/>
    <w:rsid w:val="004B5E81"/>
    <w:rsid w:val="004B5FFD"/>
    <w:rsid w:val="004B6243"/>
    <w:rsid w:val="004C0DBD"/>
    <w:rsid w:val="004C0DF6"/>
    <w:rsid w:val="004C1BD6"/>
    <w:rsid w:val="004C2FA5"/>
    <w:rsid w:val="004C4991"/>
    <w:rsid w:val="004C4EE8"/>
    <w:rsid w:val="004C5114"/>
    <w:rsid w:val="004C6480"/>
    <w:rsid w:val="004C7C08"/>
    <w:rsid w:val="004D03F9"/>
    <w:rsid w:val="004D0E80"/>
    <w:rsid w:val="004D0EAC"/>
    <w:rsid w:val="004D27A0"/>
    <w:rsid w:val="004D3373"/>
    <w:rsid w:val="004D6371"/>
    <w:rsid w:val="004D79A1"/>
    <w:rsid w:val="004E01A9"/>
    <w:rsid w:val="004E0666"/>
    <w:rsid w:val="004E0CCB"/>
    <w:rsid w:val="004E1300"/>
    <w:rsid w:val="004E183C"/>
    <w:rsid w:val="004E2AE3"/>
    <w:rsid w:val="004E2CB8"/>
    <w:rsid w:val="004E2D0A"/>
    <w:rsid w:val="004E2EC8"/>
    <w:rsid w:val="004E2FFB"/>
    <w:rsid w:val="004E3157"/>
    <w:rsid w:val="004E3234"/>
    <w:rsid w:val="004E35F9"/>
    <w:rsid w:val="004E385D"/>
    <w:rsid w:val="004E485E"/>
    <w:rsid w:val="004E4DA9"/>
    <w:rsid w:val="004E4DF2"/>
    <w:rsid w:val="004E501F"/>
    <w:rsid w:val="004E6FC9"/>
    <w:rsid w:val="004E779F"/>
    <w:rsid w:val="004F16F6"/>
    <w:rsid w:val="004F1D9E"/>
    <w:rsid w:val="004F2C60"/>
    <w:rsid w:val="004F3D72"/>
    <w:rsid w:val="004F535E"/>
    <w:rsid w:val="004F5F82"/>
    <w:rsid w:val="004F62C5"/>
    <w:rsid w:val="004F67D1"/>
    <w:rsid w:val="004F6DDB"/>
    <w:rsid w:val="004F7DE5"/>
    <w:rsid w:val="005007BD"/>
    <w:rsid w:val="00503320"/>
    <w:rsid w:val="005040C2"/>
    <w:rsid w:val="00506EC4"/>
    <w:rsid w:val="00511D69"/>
    <w:rsid w:val="00512743"/>
    <w:rsid w:val="00515D96"/>
    <w:rsid w:val="00516169"/>
    <w:rsid w:val="00517B84"/>
    <w:rsid w:val="005205C9"/>
    <w:rsid w:val="00522105"/>
    <w:rsid w:val="00522BF9"/>
    <w:rsid w:val="0052319F"/>
    <w:rsid w:val="00523313"/>
    <w:rsid w:val="005235EA"/>
    <w:rsid w:val="00523B7C"/>
    <w:rsid w:val="005247C8"/>
    <w:rsid w:val="00525332"/>
    <w:rsid w:val="00525FFB"/>
    <w:rsid w:val="0052719A"/>
    <w:rsid w:val="005276A4"/>
    <w:rsid w:val="00527918"/>
    <w:rsid w:val="00530665"/>
    <w:rsid w:val="00530CDD"/>
    <w:rsid w:val="00535524"/>
    <w:rsid w:val="00536214"/>
    <w:rsid w:val="00536D82"/>
    <w:rsid w:val="00537233"/>
    <w:rsid w:val="00540862"/>
    <w:rsid w:val="00541B47"/>
    <w:rsid w:val="00542AD7"/>
    <w:rsid w:val="00542C0A"/>
    <w:rsid w:val="00543732"/>
    <w:rsid w:val="00543746"/>
    <w:rsid w:val="005447F0"/>
    <w:rsid w:val="00544E69"/>
    <w:rsid w:val="0054569E"/>
    <w:rsid w:val="00545F45"/>
    <w:rsid w:val="005463E4"/>
    <w:rsid w:val="00546DD7"/>
    <w:rsid w:val="0054726E"/>
    <w:rsid w:val="00547822"/>
    <w:rsid w:val="00547AE4"/>
    <w:rsid w:val="00547AF0"/>
    <w:rsid w:val="00547F69"/>
    <w:rsid w:val="00551836"/>
    <w:rsid w:val="00552BF4"/>
    <w:rsid w:val="00552D48"/>
    <w:rsid w:val="00553070"/>
    <w:rsid w:val="005541E1"/>
    <w:rsid w:val="00554567"/>
    <w:rsid w:val="00555BCB"/>
    <w:rsid w:val="005565D8"/>
    <w:rsid w:val="00562019"/>
    <w:rsid w:val="00562207"/>
    <w:rsid w:val="00563426"/>
    <w:rsid w:val="00563590"/>
    <w:rsid w:val="00564B37"/>
    <w:rsid w:val="00564F36"/>
    <w:rsid w:val="00565159"/>
    <w:rsid w:val="00565D82"/>
    <w:rsid w:val="0056676B"/>
    <w:rsid w:val="00566CF6"/>
    <w:rsid w:val="00566E73"/>
    <w:rsid w:val="0056726C"/>
    <w:rsid w:val="00570315"/>
    <w:rsid w:val="00570B70"/>
    <w:rsid w:val="005724B5"/>
    <w:rsid w:val="00572622"/>
    <w:rsid w:val="005730C6"/>
    <w:rsid w:val="005740EB"/>
    <w:rsid w:val="00574958"/>
    <w:rsid w:val="0057589A"/>
    <w:rsid w:val="00576246"/>
    <w:rsid w:val="00576A5C"/>
    <w:rsid w:val="00577361"/>
    <w:rsid w:val="00580223"/>
    <w:rsid w:val="005807A3"/>
    <w:rsid w:val="0058112E"/>
    <w:rsid w:val="00583556"/>
    <w:rsid w:val="00586D27"/>
    <w:rsid w:val="00587177"/>
    <w:rsid w:val="0059052A"/>
    <w:rsid w:val="0059100F"/>
    <w:rsid w:val="00591ECC"/>
    <w:rsid w:val="00591FCA"/>
    <w:rsid w:val="0059277C"/>
    <w:rsid w:val="00592B1E"/>
    <w:rsid w:val="005934D9"/>
    <w:rsid w:val="00593F1E"/>
    <w:rsid w:val="00594B0D"/>
    <w:rsid w:val="00594EDD"/>
    <w:rsid w:val="00595F36"/>
    <w:rsid w:val="00596166"/>
    <w:rsid w:val="005961A3"/>
    <w:rsid w:val="00596BD2"/>
    <w:rsid w:val="00596D01"/>
    <w:rsid w:val="00597600"/>
    <w:rsid w:val="00597934"/>
    <w:rsid w:val="005A016D"/>
    <w:rsid w:val="005A2DDE"/>
    <w:rsid w:val="005A3E94"/>
    <w:rsid w:val="005A5774"/>
    <w:rsid w:val="005A5E23"/>
    <w:rsid w:val="005A5EF8"/>
    <w:rsid w:val="005A6A8C"/>
    <w:rsid w:val="005A7FE6"/>
    <w:rsid w:val="005B0823"/>
    <w:rsid w:val="005B09FF"/>
    <w:rsid w:val="005B0CF5"/>
    <w:rsid w:val="005B1CC7"/>
    <w:rsid w:val="005B42C8"/>
    <w:rsid w:val="005B4372"/>
    <w:rsid w:val="005B44C6"/>
    <w:rsid w:val="005B468A"/>
    <w:rsid w:val="005B47A0"/>
    <w:rsid w:val="005B50D9"/>
    <w:rsid w:val="005B5C91"/>
    <w:rsid w:val="005B5EE7"/>
    <w:rsid w:val="005B6218"/>
    <w:rsid w:val="005B6898"/>
    <w:rsid w:val="005B6FBA"/>
    <w:rsid w:val="005C1248"/>
    <w:rsid w:val="005C1439"/>
    <w:rsid w:val="005C143C"/>
    <w:rsid w:val="005C164A"/>
    <w:rsid w:val="005C56DF"/>
    <w:rsid w:val="005C6E39"/>
    <w:rsid w:val="005C73C2"/>
    <w:rsid w:val="005C7CDD"/>
    <w:rsid w:val="005D069C"/>
    <w:rsid w:val="005D0F34"/>
    <w:rsid w:val="005D1DEE"/>
    <w:rsid w:val="005D2691"/>
    <w:rsid w:val="005D2BA2"/>
    <w:rsid w:val="005D2CB0"/>
    <w:rsid w:val="005D32ED"/>
    <w:rsid w:val="005D41CB"/>
    <w:rsid w:val="005D4922"/>
    <w:rsid w:val="005D5156"/>
    <w:rsid w:val="005D7078"/>
    <w:rsid w:val="005D7755"/>
    <w:rsid w:val="005D7C8A"/>
    <w:rsid w:val="005E0A41"/>
    <w:rsid w:val="005E0EBE"/>
    <w:rsid w:val="005E0FFC"/>
    <w:rsid w:val="005E120B"/>
    <w:rsid w:val="005E179E"/>
    <w:rsid w:val="005E1841"/>
    <w:rsid w:val="005E2574"/>
    <w:rsid w:val="005E3A11"/>
    <w:rsid w:val="005E41D9"/>
    <w:rsid w:val="005E566B"/>
    <w:rsid w:val="005E6284"/>
    <w:rsid w:val="005E6D72"/>
    <w:rsid w:val="005E7F5A"/>
    <w:rsid w:val="005F0386"/>
    <w:rsid w:val="005F2361"/>
    <w:rsid w:val="005F236E"/>
    <w:rsid w:val="005F358E"/>
    <w:rsid w:val="005F37AE"/>
    <w:rsid w:val="005F3B1B"/>
    <w:rsid w:val="005F51A0"/>
    <w:rsid w:val="005F6903"/>
    <w:rsid w:val="005F6B32"/>
    <w:rsid w:val="0060234B"/>
    <w:rsid w:val="0060283D"/>
    <w:rsid w:val="00602F3C"/>
    <w:rsid w:val="00603B58"/>
    <w:rsid w:val="00604EC1"/>
    <w:rsid w:val="00606C71"/>
    <w:rsid w:val="006108C5"/>
    <w:rsid w:val="006109C4"/>
    <w:rsid w:val="00610D53"/>
    <w:rsid w:val="0061196A"/>
    <w:rsid w:val="00612184"/>
    <w:rsid w:val="0061237D"/>
    <w:rsid w:val="00612CE2"/>
    <w:rsid w:val="0061304E"/>
    <w:rsid w:val="006132F4"/>
    <w:rsid w:val="00613D6F"/>
    <w:rsid w:val="00614E26"/>
    <w:rsid w:val="006157E5"/>
    <w:rsid w:val="00617BD7"/>
    <w:rsid w:val="006204A6"/>
    <w:rsid w:val="006222D2"/>
    <w:rsid w:val="00622A45"/>
    <w:rsid w:val="00623055"/>
    <w:rsid w:val="00624197"/>
    <w:rsid w:val="006247A0"/>
    <w:rsid w:val="006253E9"/>
    <w:rsid w:val="006256DD"/>
    <w:rsid w:val="00626DB7"/>
    <w:rsid w:val="00627BED"/>
    <w:rsid w:val="006306CB"/>
    <w:rsid w:val="00631042"/>
    <w:rsid w:val="00631335"/>
    <w:rsid w:val="00631612"/>
    <w:rsid w:val="00632EA2"/>
    <w:rsid w:val="0063300D"/>
    <w:rsid w:val="006338B1"/>
    <w:rsid w:val="0063608B"/>
    <w:rsid w:val="00636C14"/>
    <w:rsid w:val="0063789E"/>
    <w:rsid w:val="006404C6"/>
    <w:rsid w:val="00640ADD"/>
    <w:rsid w:val="00640D5F"/>
    <w:rsid w:val="00644D5F"/>
    <w:rsid w:val="00646AF4"/>
    <w:rsid w:val="0064714F"/>
    <w:rsid w:val="006472AA"/>
    <w:rsid w:val="006477FC"/>
    <w:rsid w:val="00647BAB"/>
    <w:rsid w:val="00651960"/>
    <w:rsid w:val="006532B7"/>
    <w:rsid w:val="00654575"/>
    <w:rsid w:val="00654A9C"/>
    <w:rsid w:val="00654EC2"/>
    <w:rsid w:val="006565C1"/>
    <w:rsid w:val="00656668"/>
    <w:rsid w:val="00656A30"/>
    <w:rsid w:val="00657170"/>
    <w:rsid w:val="00657456"/>
    <w:rsid w:val="00660A67"/>
    <w:rsid w:val="006638E2"/>
    <w:rsid w:val="006646EA"/>
    <w:rsid w:val="00665B3A"/>
    <w:rsid w:val="00665C78"/>
    <w:rsid w:val="006663E8"/>
    <w:rsid w:val="00666887"/>
    <w:rsid w:val="006674E2"/>
    <w:rsid w:val="006678EA"/>
    <w:rsid w:val="00667CB6"/>
    <w:rsid w:val="00667FB6"/>
    <w:rsid w:val="00667FDF"/>
    <w:rsid w:val="006702EF"/>
    <w:rsid w:val="006705D0"/>
    <w:rsid w:val="00672F7E"/>
    <w:rsid w:val="00672FE2"/>
    <w:rsid w:val="00673FB0"/>
    <w:rsid w:val="0067619C"/>
    <w:rsid w:val="00676695"/>
    <w:rsid w:val="006767FC"/>
    <w:rsid w:val="00676B67"/>
    <w:rsid w:val="006772F3"/>
    <w:rsid w:val="00680423"/>
    <w:rsid w:val="006814B8"/>
    <w:rsid w:val="006830ED"/>
    <w:rsid w:val="00683403"/>
    <w:rsid w:val="00685F12"/>
    <w:rsid w:val="0068681E"/>
    <w:rsid w:val="00686B6C"/>
    <w:rsid w:val="00687195"/>
    <w:rsid w:val="00687B48"/>
    <w:rsid w:val="006915AB"/>
    <w:rsid w:val="00693917"/>
    <w:rsid w:val="00694844"/>
    <w:rsid w:val="00694EDB"/>
    <w:rsid w:val="00695B03"/>
    <w:rsid w:val="00696BAB"/>
    <w:rsid w:val="006A0CFF"/>
    <w:rsid w:val="006A1103"/>
    <w:rsid w:val="006A1EEE"/>
    <w:rsid w:val="006A3080"/>
    <w:rsid w:val="006A39F8"/>
    <w:rsid w:val="006A4B90"/>
    <w:rsid w:val="006A4CEA"/>
    <w:rsid w:val="006A5279"/>
    <w:rsid w:val="006A6490"/>
    <w:rsid w:val="006A701D"/>
    <w:rsid w:val="006A7F43"/>
    <w:rsid w:val="006B0101"/>
    <w:rsid w:val="006B1DFD"/>
    <w:rsid w:val="006B287D"/>
    <w:rsid w:val="006B29F7"/>
    <w:rsid w:val="006B4565"/>
    <w:rsid w:val="006B62A7"/>
    <w:rsid w:val="006C01BA"/>
    <w:rsid w:val="006C09E2"/>
    <w:rsid w:val="006C1C29"/>
    <w:rsid w:val="006C2FA1"/>
    <w:rsid w:val="006C42D5"/>
    <w:rsid w:val="006C432A"/>
    <w:rsid w:val="006C43D5"/>
    <w:rsid w:val="006C497C"/>
    <w:rsid w:val="006C515A"/>
    <w:rsid w:val="006C63C0"/>
    <w:rsid w:val="006C6A0C"/>
    <w:rsid w:val="006D1B06"/>
    <w:rsid w:val="006D217B"/>
    <w:rsid w:val="006D2FD5"/>
    <w:rsid w:val="006D3BE8"/>
    <w:rsid w:val="006D50A3"/>
    <w:rsid w:val="006D54ED"/>
    <w:rsid w:val="006D5E15"/>
    <w:rsid w:val="006D5F6F"/>
    <w:rsid w:val="006D603F"/>
    <w:rsid w:val="006D6468"/>
    <w:rsid w:val="006D690A"/>
    <w:rsid w:val="006D6ABA"/>
    <w:rsid w:val="006E0913"/>
    <w:rsid w:val="006E0929"/>
    <w:rsid w:val="006E0BFF"/>
    <w:rsid w:val="006E2A5E"/>
    <w:rsid w:val="006E2FD3"/>
    <w:rsid w:val="006E5416"/>
    <w:rsid w:val="006E64D0"/>
    <w:rsid w:val="006E6AF9"/>
    <w:rsid w:val="006E77F8"/>
    <w:rsid w:val="006E7F77"/>
    <w:rsid w:val="006F099B"/>
    <w:rsid w:val="006F2909"/>
    <w:rsid w:val="006F3368"/>
    <w:rsid w:val="006F5102"/>
    <w:rsid w:val="006F5159"/>
    <w:rsid w:val="006F608D"/>
    <w:rsid w:val="006F63E1"/>
    <w:rsid w:val="007001EF"/>
    <w:rsid w:val="0070035E"/>
    <w:rsid w:val="00700ABD"/>
    <w:rsid w:val="00701031"/>
    <w:rsid w:val="007019C6"/>
    <w:rsid w:val="00702A3E"/>
    <w:rsid w:val="00702FBA"/>
    <w:rsid w:val="00704249"/>
    <w:rsid w:val="00704FA2"/>
    <w:rsid w:val="00705A73"/>
    <w:rsid w:val="00705E62"/>
    <w:rsid w:val="00707468"/>
    <w:rsid w:val="0071075A"/>
    <w:rsid w:val="00710C6F"/>
    <w:rsid w:val="00711094"/>
    <w:rsid w:val="00711925"/>
    <w:rsid w:val="00711AAA"/>
    <w:rsid w:val="007125C9"/>
    <w:rsid w:val="00712C8A"/>
    <w:rsid w:val="00712F1E"/>
    <w:rsid w:val="00713BC3"/>
    <w:rsid w:val="007146D1"/>
    <w:rsid w:val="00714A9C"/>
    <w:rsid w:val="00715C9D"/>
    <w:rsid w:val="00715CA4"/>
    <w:rsid w:val="007171D9"/>
    <w:rsid w:val="00717213"/>
    <w:rsid w:val="00717A11"/>
    <w:rsid w:val="00721864"/>
    <w:rsid w:val="00722469"/>
    <w:rsid w:val="00723283"/>
    <w:rsid w:val="007236DB"/>
    <w:rsid w:val="007237D6"/>
    <w:rsid w:val="00723C8D"/>
    <w:rsid w:val="00724013"/>
    <w:rsid w:val="00725BDC"/>
    <w:rsid w:val="007266ED"/>
    <w:rsid w:val="007308F0"/>
    <w:rsid w:val="00730E81"/>
    <w:rsid w:val="007323B4"/>
    <w:rsid w:val="00732589"/>
    <w:rsid w:val="00732DC3"/>
    <w:rsid w:val="007334BA"/>
    <w:rsid w:val="007334BB"/>
    <w:rsid w:val="00734F35"/>
    <w:rsid w:val="007362F5"/>
    <w:rsid w:val="00741167"/>
    <w:rsid w:val="0074124B"/>
    <w:rsid w:val="00741FE3"/>
    <w:rsid w:val="007424A3"/>
    <w:rsid w:val="00745EA3"/>
    <w:rsid w:val="00746AFE"/>
    <w:rsid w:val="00747477"/>
    <w:rsid w:val="007505DC"/>
    <w:rsid w:val="00751A43"/>
    <w:rsid w:val="0075283E"/>
    <w:rsid w:val="00753878"/>
    <w:rsid w:val="00753D5C"/>
    <w:rsid w:val="00755C4F"/>
    <w:rsid w:val="00756101"/>
    <w:rsid w:val="007561F8"/>
    <w:rsid w:val="0075655F"/>
    <w:rsid w:val="00757654"/>
    <w:rsid w:val="00757B9F"/>
    <w:rsid w:val="00757F74"/>
    <w:rsid w:val="0076213D"/>
    <w:rsid w:val="00762544"/>
    <w:rsid w:val="007626A0"/>
    <w:rsid w:val="0076399F"/>
    <w:rsid w:val="007645ED"/>
    <w:rsid w:val="007646C5"/>
    <w:rsid w:val="00764C66"/>
    <w:rsid w:val="00764F86"/>
    <w:rsid w:val="0076709F"/>
    <w:rsid w:val="00767A97"/>
    <w:rsid w:val="0077023F"/>
    <w:rsid w:val="00770ECE"/>
    <w:rsid w:val="007729F9"/>
    <w:rsid w:val="00773408"/>
    <w:rsid w:val="00774A51"/>
    <w:rsid w:val="00775380"/>
    <w:rsid w:val="00775FCB"/>
    <w:rsid w:val="00776D2E"/>
    <w:rsid w:val="00776E62"/>
    <w:rsid w:val="007772AD"/>
    <w:rsid w:val="007772B5"/>
    <w:rsid w:val="0078003F"/>
    <w:rsid w:val="0078080F"/>
    <w:rsid w:val="00780E57"/>
    <w:rsid w:val="00781C94"/>
    <w:rsid w:val="0078292B"/>
    <w:rsid w:val="00783C07"/>
    <w:rsid w:val="00784D9D"/>
    <w:rsid w:val="00784EEE"/>
    <w:rsid w:val="00785644"/>
    <w:rsid w:val="007878A5"/>
    <w:rsid w:val="0079266F"/>
    <w:rsid w:val="00793377"/>
    <w:rsid w:val="00793CFB"/>
    <w:rsid w:val="007942DC"/>
    <w:rsid w:val="00795F13"/>
    <w:rsid w:val="00796829"/>
    <w:rsid w:val="007A1268"/>
    <w:rsid w:val="007A1C2B"/>
    <w:rsid w:val="007A3036"/>
    <w:rsid w:val="007A3175"/>
    <w:rsid w:val="007A35DB"/>
    <w:rsid w:val="007A3F28"/>
    <w:rsid w:val="007A5AEB"/>
    <w:rsid w:val="007A5DD8"/>
    <w:rsid w:val="007A647E"/>
    <w:rsid w:val="007A68DF"/>
    <w:rsid w:val="007A700E"/>
    <w:rsid w:val="007A74B0"/>
    <w:rsid w:val="007B0C16"/>
    <w:rsid w:val="007B1F60"/>
    <w:rsid w:val="007B1F86"/>
    <w:rsid w:val="007B212C"/>
    <w:rsid w:val="007B2429"/>
    <w:rsid w:val="007B2A35"/>
    <w:rsid w:val="007B2D88"/>
    <w:rsid w:val="007B36DA"/>
    <w:rsid w:val="007B52E6"/>
    <w:rsid w:val="007B5D72"/>
    <w:rsid w:val="007B6802"/>
    <w:rsid w:val="007B7571"/>
    <w:rsid w:val="007B75EB"/>
    <w:rsid w:val="007C072A"/>
    <w:rsid w:val="007C1487"/>
    <w:rsid w:val="007C1D90"/>
    <w:rsid w:val="007C34BB"/>
    <w:rsid w:val="007C376B"/>
    <w:rsid w:val="007C3F51"/>
    <w:rsid w:val="007C459B"/>
    <w:rsid w:val="007C6423"/>
    <w:rsid w:val="007C67D7"/>
    <w:rsid w:val="007C7734"/>
    <w:rsid w:val="007D08F4"/>
    <w:rsid w:val="007D113A"/>
    <w:rsid w:val="007D25AC"/>
    <w:rsid w:val="007D2723"/>
    <w:rsid w:val="007D5151"/>
    <w:rsid w:val="007D54C8"/>
    <w:rsid w:val="007D5815"/>
    <w:rsid w:val="007D5A52"/>
    <w:rsid w:val="007D6975"/>
    <w:rsid w:val="007D6992"/>
    <w:rsid w:val="007D72ED"/>
    <w:rsid w:val="007D7D76"/>
    <w:rsid w:val="007E010B"/>
    <w:rsid w:val="007E1213"/>
    <w:rsid w:val="007E176E"/>
    <w:rsid w:val="007E196C"/>
    <w:rsid w:val="007E19FF"/>
    <w:rsid w:val="007E3698"/>
    <w:rsid w:val="007E4486"/>
    <w:rsid w:val="007E454A"/>
    <w:rsid w:val="007E5091"/>
    <w:rsid w:val="007E5505"/>
    <w:rsid w:val="007E5DB7"/>
    <w:rsid w:val="007E5E2A"/>
    <w:rsid w:val="007E6815"/>
    <w:rsid w:val="007E6CD5"/>
    <w:rsid w:val="007E7526"/>
    <w:rsid w:val="007E7F8C"/>
    <w:rsid w:val="007F045E"/>
    <w:rsid w:val="007F2378"/>
    <w:rsid w:val="007F2808"/>
    <w:rsid w:val="007F2B63"/>
    <w:rsid w:val="007F2BE9"/>
    <w:rsid w:val="007F3064"/>
    <w:rsid w:val="007F33FD"/>
    <w:rsid w:val="007F3FBD"/>
    <w:rsid w:val="007F468A"/>
    <w:rsid w:val="007F5EA2"/>
    <w:rsid w:val="007F609B"/>
    <w:rsid w:val="007F68D4"/>
    <w:rsid w:val="007F72B8"/>
    <w:rsid w:val="007F7E77"/>
    <w:rsid w:val="00800885"/>
    <w:rsid w:val="00800CAE"/>
    <w:rsid w:val="00801396"/>
    <w:rsid w:val="008013DD"/>
    <w:rsid w:val="00802262"/>
    <w:rsid w:val="0080319C"/>
    <w:rsid w:val="0080435C"/>
    <w:rsid w:val="00804E26"/>
    <w:rsid w:val="00805FD8"/>
    <w:rsid w:val="00806A68"/>
    <w:rsid w:val="0080753F"/>
    <w:rsid w:val="00810938"/>
    <w:rsid w:val="008173D2"/>
    <w:rsid w:val="0082079D"/>
    <w:rsid w:val="008209E9"/>
    <w:rsid w:val="0082142A"/>
    <w:rsid w:val="00821FD5"/>
    <w:rsid w:val="00827E5E"/>
    <w:rsid w:val="00830051"/>
    <w:rsid w:val="008305C0"/>
    <w:rsid w:val="00830C7B"/>
    <w:rsid w:val="00831165"/>
    <w:rsid w:val="008325D0"/>
    <w:rsid w:val="00833FFB"/>
    <w:rsid w:val="0083442E"/>
    <w:rsid w:val="008346F4"/>
    <w:rsid w:val="00834B59"/>
    <w:rsid w:val="00836906"/>
    <w:rsid w:val="00836CC5"/>
    <w:rsid w:val="008400B5"/>
    <w:rsid w:val="00842198"/>
    <w:rsid w:val="00842639"/>
    <w:rsid w:val="00842682"/>
    <w:rsid w:val="00843EF7"/>
    <w:rsid w:val="008448F7"/>
    <w:rsid w:val="00844B56"/>
    <w:rsid w:val="00844BD8"/>
    <w:rsid w:val="00844D97"/>
    <w:rsid w:val="00845793"/>
    <w:rsid w:val="008463CC"/>
    <w:rsid w:val="0084671A"/>
    <w:rsid w:val="0084696D"/>
    <w:rsid w:val="00846F80"/>
    <w:rsid w:val="008502C8"/>
    <w:rsid w:val="00850911"/>
    <w:rsid w:val="00851227"/>
    <w:rsid w:val="00852F8D"/>
    <w:rsid w:val="008540B8"/>
    <w:rsid w:val="0085420E"/>
    <w:rsid w:val="00854CB2"/>
    <w:rsid w:val="00855771"/>
    <w:rsid w:val="00855E03"/>
    <w:rsid w:val="008570B8"/>
    <w:rsid w:val="008572B2"/>
    <w:rsid w:val="00857534"/>
    <w:rsid w:val="0085783B"/>
    <w:rsid w:val="00860738"/>
    <w:rsid w:val="00861729"/>
    <w:rsid w:val="00861BA5"/>
    <w:rsid w:val="00862576"/>
    <w:rsid w:val="00863C18"/>
    <w:rsid w:val="00863E11"/>
    <w:rsid w:val="0086620C"/>
    <w:rsid w:val="00867C1D"/>
    <w:rsid w:val="00867E6A"/>
    <w:rsid w:val="0087052A"/>
    <w:rsid w:val="0087184F"/>
    <w:rsid w:val="00871954"/>
    <w:rsid w:val="0087240D"/>
    <w:rsid w:val="008737D6"/>
    <w:rsid w:val="00873A29"/>
    <w:rsid w:val="00873F84"/>
    <w:rsid w:val="0087445C"/>
    <w:rsid w:val="0087507C"/>
    <w:rsid w:val="008755A3"/>
    <w:rsid w:val="00876B5E"/>
    <w:rsid w:val="00880C8B"/>
    <w:rsid w:val="00880D4D"/>
    <w:rsid w:val="00881695"/>
    <w:rsid w:val="00882115"/>
    <w:rsid w:val="00882C68"/>
    <w:rsid w:val="0088348B"/>
    <w:rsid w:val="00883643"/>
    <w:rsid w:val="00883FB1"/>
    <w:rsid w:val="00884CBB"/>
    <w:rsid w:val="008912B8"/>
    <w:rsid w:val="008913D1"/>
    <w:rsid w:val="0089161C"/>
    <w:rsid w:val="00891904"/>
    <w:rsid w:val="00892206"/>
    <w:rsid w:val="0089329D"/>
    <w:rsid w:val="00893518"/>
    <w:rsid w:val="0089355E"/>
    <w:rsid w:val="008944C3"/>
    <w:rsid w:val="008954AA"/>
    <w:rsid w:val="008954F3"/>
    <w:rsid w:val="00895D08"/>
    <w:rsid w:val="00895E8F"/>
    <w:rsid w:val="00895FE8"/>
    <w:rsid w:val="0089674D"/>
    <w:rsid w:val="00896DCF"/>
    <w:rsid w:val="008972F2"/>
    <w:rsid w:val="00897A78"/>
    <w:rsid w:val="008A0396"/>
    <w:rsid w:val="008A0838"/>
    <w:rsid w:val="008A109B"/>
    <w:rsid w:val="008A1A12"/>
    <w:rsid w:val="008A1D09"/>
    <w:rsid w:val="008A4958"/>
    <w:rsid w:val="008A4971"/>
    <w:rsid w:val="008A761C"/>
    <w:rsid w:val="008A7803"/>
    <w:rsid w:val="008A7CD8"/>
    <w:rsid w:val="008B144C"/>
    <w:rsid w:val="008B51FC"/>
    <w:rsid w:val="008B68D9"/>
    <w:rsid w:val="008C00E5"/>
    <w:rsid w:val="008C0DFB"/>
    <w:rsid w:val="008C13C0"/>
    <w:rsid w:val="008C2F98"/>
    <w:rsid w:val="008C3D2D"/>
    <w:rsid w:val="008C4051"/>
    <w:rsid w:val="008C455E"/>
    <w:rsid w:val="008C45DC"/>
    <w:rsid w:val="008C6582"/>
    <w:rsid w:val="008C7770"/>
    <w:rsid w:val="008D2FEB"/>
    <w:rsid w:val="008D3BDC"/>
    <w:rsid w:val="008D432D"/>
    <w:rsid w:val="008D47F1"/>
    <w:rsid w:val="008D4BA9"/>
    <w:rsid w:val="008D658E"/>
    <w:rsid w:val="008D7135"/>
    <w:rsid w:val="008E145A"/>
    <w:rsid w:val="008E20CB"/>
    <w:rsid w:val="008E4A41"/>
    <w:rsid w:val="008E5945"/>
    <w:rsid w:val="008E59C3"/>
    <w:rsid w:val="008E6FDB"/>
    <w:rsid w:val="008E71FA"/>
    <w:rsid w:val="008E7E03"/>
    <w:rsid w:val="008F02EB"/>
    <w:rsid w:val="008F1298"/>
    <w:rsid w:val="008F1B38"/>
    <w:rsid w:val="008F2E0B"/>
    <w:rsid w:val="008F36EC"/>
    <w:rsid w:val="008F38EA"/>
    <w:rsid w:val="008F3942"/>
    <w:rsid w:val="008F3A43"/>
    <w:rsid w:val="008F3ABE"/>
    <w:rsid w:val="008F3B2D"/>
    <w:rsid w:val="008F3CA9"/>
    <w:rsid w:val="008F4881"/>
    <w:rsid w:val="008F68A4"/>
    <w:rsid w:val="008F74E4"/>
    <w:rsid w:val="008F7B32"/>
    <w:rsid w:val="008F7B71"/>
    <w:rsid w:val="009006C1"/>
    <w:rsid w:val="00901299"/>
    <w:rsid w:val="00901C25"/>
    <w:rsid w:val="009036FA"/>
    <w:rsid w:val="00904855"/>
    <w:rsid w:val="00904BD8"/>
    <w:rsid w:val="00906B50"/>
    <w:rsid w:val="00906C12"/>
    <w:rsid w:val="00906FB2"/>
    <w:rsid w:val="009072F4"/>
    <w:rsid w:val="0091106D"/>
    <w:rsid w:val="009116DC"/>
    <w:rsid w:val="00911A74"/>
    <w:rsid w:val="0091426E"/>
    <w:rsid w:val="00914779"/>
    <w:rsid w:val="00921974"/>
    <w:rsid w:val="00923362"/>
    <w:rsid w:val="00923CA6"/>
    <w:rsid w:val="00923DED"/>
    <w:rsid w:val="00924636"/>
    <w:rsid w:val="00925006"/>
    <w:rsid w:val="00925EFB"/>
    <w:rsid w:val="00930942"/>
    <w:rsid w:val="009314C8"/>
    <w:rsid w:val="00931712"/>
    <w:rsid w:val="0093276F"/>
    <w:rsid w:val="009340FD"/>
    <w:rsid w:val="009369C8"/>
    <w:rsid w:val="00936A17"/>
    <w:rsid w:val="00936B63"/>
    <w:rsid w:val="00936C2A"/>
    <w:rsid w:val="00937739"/>
    <w:rsid w:val="009402D9"/>
    <w:rsid w:val="00940693"/>
    <w:rsid w:val="00940BAD"/>
    <w:rsid w:val="0094105F"/>
    <w:rsid w:val="0094208C"/>
    <w:rsid w:val="009456B0"/>
    <w:rsid w:val="00945A77"/>
    <w:rsid w:val="00945E28"/>
    <w:rsid w:val="00946F17"/>
    <w:rsid w:val="00947AD9"/>
    <w:rsid w:val="00950B63"/>
    <w:rsid w:val="00950DBF"/>
    <w:rsid w:val="0095111C"/>
    <w:rsid w:val="00952591"/>
    <w:rsid w:val="00953A6F"/>
    <w:rsid w:val="009551F5"/>
    <w:rsid w:val="00955321"/>
    <w:rsid w:val="0095574A"/>
    <w:rsid w:val="00955F25"/>
    <w:rsid w:val="00956FC1"/>
    <w:rsid w:val="00957739"/>
    <w:rsid w:val="00961B68"/>
    <w:rsid w:val="0096228B"/>
    <w:rsid w:val="00962CBC"/>
    <w:rsid w:val="00964BC6"/>
    <w:rsid w:val="00965C14"/>
    <w:rsid w:val="00966A85"/>
    <w:rsid w:val="0096755F"/>
    <w:rsid w:val="0096773F"/>
    <w:rsid w:val="0096789B"/>
    <w:rsid w:val="00967EF9"/>
    <w:rsid w:val="0097154A"/>
    <w:rsid w:val="0097416B"/>
    <w:rsid w:val="009749F0"/>
    <w:rsid w:val="00976BE7"/>
    <w:rsid w:val="00977647"/>
    <w:rsid w:val="0098002D"/>
    <w:rsid w:val="00980AC0"/>
    <w:rsid w:val="009812F1"/>
    <w:rsid w:val="00984A1C"/>
    <w:rsid w:val="00985345"/>
    <w:rsid w:val="009854E2"/>
    <w:rsid w:val="0098552A"/>
    <w:rsid w:val="00986F10"/>
    <w:rsid w:val="0098744C"/>
    <w:rsid w:val="009906C1"/>
    <w:rsid w:val="00990F07"/>
    <w:rsid w:val="00991DF5"/>
    <w:rsid w:val="0099400E"/>
    <w:rsid w:val="009A0608"/>
    <w:rsid w:val="009A2380"/>
    <w:rsid w:val="009A413A"/>
    <w:rsid w:val="009A57B7"/>
    <w:rsid w:val="009A5AFD"/>
    <w:rsid w:val="009A5E76"/>
    <w:rsid w:val="009A6FC5"/>
    <w:rsid w:val="009A75B7"/>
    <w:rsid w:val="009A7877"/>
    <w:rsid w:val="009A7DB6"/>
    <w:rsid w:val="009B03DC"/>
    <w:rsid w:val="009B121F"/>
    <w:rsid w:val="009B1280"/>
    <w:rsid w:val="009B171E"/>
    <w:rsid w:val="009B2CE3"/>
    <w:rsid w:val="009B353A"/>
    <w:rsid w:val="009B35DA"/>
    <w:rsid w:val="009B5390"/>
    <w:rsid w:val="009B6176"/>
    <w:rsid w:val="009B63D0"/>
    <w:rsid w:val="009B6C04"/>
    <w:rsid w:val="009B6CEA"/>
    <w:rsid w:val="009B70BB"/>
    <w:rsid w:val="009C2FF1"/>
    <w:rsid w:val="009C49F3"/>
    <w:rsid w:val="009C52A3"/>
    <w:rsid w:val="009C61A2"/>
    <w:rsid w:val="009C695D"/>
    <w:rsid w:val="009D1CF7"/>
    <w:rsid w:val="009D3C85"/>
    <w:rsid w:val="009D412E"/>
    <w:rsid w:val="009D5662"/>
    <w:rsid w:val="009D5D17"/>
    <w:rsid w:val="009D6AEB"/>
    <w:rsid w:val="009D6B4F"/>
    <w:rsid w:val="009D6F02"/>
    <w:rsid w:val="009D6F74"/>
    <w:rsid w:val="009E00AD"/>
    <w:rsid w:val="009E0419"/>
    <w:rsid w:val="009E0D7C"/>
    <w:rsid w:val="009E0FDB"/>
    <w:rsid w:val="009E1143"/>
    <w:rsid w:val="009E2509"/>
    <w:rsid w:val="009E363F"/>
    <w:rsid w:val="009E3A4C"/>
    <w:rsid w:val="009E41B3"/>
    <w:rsid w:val="009E5B50"/>
    <w:rsid w:val="009E5C83"/>
    <w:rsid w:val="009E65CF"/>
    <w:rsid w:val="009E7A0C"/>
    <w:rsid w:val="009E7FAA"/>
    <w:rsid w:val="009F0163"/>
    <w:rsid w:val="009F11EA"/>
    <w:rsid w:val="009F1357"/>
    <w:rsid w:val="009F236F"/>
    <w:rsid w:val="009F38F4"/>
    <w:rsid w:val="009F3CE0"/>
    <w:rsid w:val="009F3EBE"/>
    <w:rsid w:val="009F4267"/>
    <w:rsid w:val="009F4A2E"/>
    <w:rsid w:val="009F4CBB"/>
    <w:rsid w:val="009F5D11"/>
    <w:rsid w:val="00A00587"/>
    <w:rsid w:val="00A03C7F"/>
    <w:rsid w:val="00A05695"/>
    <w:rsid w:val="00A05802"/>
    <w:rsid w:val="00A05C65"/>
    <w:rsid w:val="00A06AC2"/>
    <w:rsid w:val="00A070B4"/>
    <w:rsid w:val="00A072EB"/>
    <w:rsid w:val="00A07D04"/>
    <w:rsid w:val="00A10087"/>
    <w:rsid w:val="00A10F62"/>
    <w:rsid w:val="00A11066"/>
    <w:rsid w:val="00A11218"/>
    <w:rsid w:val="00A12091"/>
    <w:rsid w:val="00A1247C"/>
    <w:rsid w:val="00A12F56"/>
    <w:rsid w:val="00A133B7"/>
    <w:rsid w:val="00A13BE9"/>
    <w:rsid w:val="00A15E9A"/>
    <w:rsid w:val="00A167DB"/>
    <w:rsid w:val="00A17CBF"/>
    <w:rsid w:val="00A22671"/>
    <w:rsid w:val="00A2406E"/>
    <w:rsid w:val="00A25AC5"/>
    <w:rsid w:val="00A25EBD"/>
    <w:rsid w:val="00A26CE0"/>
    <w:rsid w:val="00A274F0"/>
    <w:rsid w:val="00A31C97"/>
    <w:rsid w:val="00A31E1A"/>
    <w:rsid w:val="00A32050"/>
    <w:rsid w:val="00A32C13"/>
    <w:rsid w:val="00A34293"/>
    <w:rsid w:val="00A356A8"/>
    <w:rsid w:val="00A35B76"/>
    <w:rsid w:val="00A361F6"/>
    <w:rsid w:val="00A36737"/>
    <w:rsid w:val="00A37B91"/>
    <w:rsid w:val="00A4155A"/>
    <w:rsid w:val="00A41A71"/>
    <w:rsid w:val="00A41C27"/>
    <w:rsid w:val="00A450DC"/>
    <w:rsid w:val="00A45423"/>
    <w:rsid w:val="00A46EAF"/>
    <w:rsid w:val="00A50107"/>
    <w:rsid w:val="00A50DF5"/>
    <w:rsid w:val="00A50FD6"/>
    <w:rsid w:val="00A50FEF"/>
    <w:rsid w:val="00A51593"/>
    <w:rsid w:val="00A51B94"/>
    <w:rsid w:val="00A51CDC"/>
    <w:rsid w:val="00A53A76"/>
    <w:rsid w:val="00A53CD9"/>
    <w:rsid w:val="00A553D4"/>
    <w:rsid w:val="00A55BFB"/>
    <w:rsid w:val="00A5602B"/>
    <w:rsid w:val="00A563AD"/>
    <w:rsid w:val="00A57F78"/>
    <w:rsid w:val="00A611A0"/>
    <w:rsid w:val="00A61AC1"/>
    <w:rsid w:val="00A625D7"/>
    <w:rsid w:val="00A62D07"/>
    <w:rsid w:val="00A637E4"/>
    <w:rsid w:val="00A6458C"/>
    <w:rsid w:val="00A64FA4"/>
    <w:rsid w:val="00A65922"/>
    <w:rsid w:val="00A70CFF"/>
    <w:rsid w:val="00A7122A"/>
    <w:rsid w:val="00A7312D"/>
    <w:rsid w:val="00A739A9"/>
    <w:rsid w:val="00A74543"/>
    <w:rsid w:val="00A74E1F"/>
    <w:rsid w:val="00A75AE2"/>
    <w:rsid w:val="00A75D82"/>
    <w:rsid w:val="00A76161"/>
    <w:rsid w:val="00A76C81"/>
    <w:rsid w:val="00A779B5"/>
    <w:rsid w:val="00A82677"/>
    <w:rsid w:val="00A83942"/>
    <w:rsid w:val="00A83C9A"/>
    <w:rsid w:val="00A85159"/>
    <w:rsid w:val="00A853CA"/>
    <w:rsid w:val="00A85D11"/>
    <w:rsid w:val="00A86293"/>
    <w:rsid w:val="00A92A77"/>
    <w:rsid w:val="00A937FA"/>
    <w:rsid w:val="00A93EB2"/>
    <w:rsid w:val="00A9428A"/>
    <w:rsid w:val="00A95374"/>
    <w:rsid w:val="00A95890"/>
    <w:rsid w:val="00A96A3B"/>
    <w:rsid w:val="00A96EA4"/>
    <w:rsid w:val="00A97103"/>
    <w:rsid w:val="00AA0021"/>
    <w:rsid w:val="00AA1F64"/>
    <w:rsid w:val="00AA2562"/>
    <w:rsid w:val="00AA2B4A"/>
    <w:rsid w:val="00AA3C8D"/>
    <w:rsid w:val="00AA3D04"/>
    <w:rsid w:val="00AA4B3D"/>
    <w:rsid w:val="00AA5057"/>
    <w:rsid w:val="00AA6042"/>
    <w:rsid w:val="00AA675E"/>
    <w:rsid w:val="00AA6BC2"/>
    <w:rsid w:val="00AB0219"/>
    <w:rsid w:val="00AB0613"/>
    <w:rsid w:val="00AB1951"/>
    <w:rsid w:val="00AB3956"/>
    <w:rsid w:val="00AB3CC4"/>
    <w:rsid w:val="00AB3E64"/>
    <w:rsid w:val="00AB4000"/>
    <w:rsid w:val="00AB4652"/>
    <w:rsid w:val="00AB591B"/>
    <w:rsid w:val="00AB6617"/>
    <w:rsid w:val="00AB67BE"/>
    <w:rsid w:val="00AB6B24"/>
    <w:rsid w:val="00AB7203"/>
    <w:rsid w:val="00AB7405"/>
    <w:rsid w:val="00AB7C4E"/>
    <w:rsid w:val="00AC4057"/>
    <w:rsid w:val="00AC45A5"/>
    <w:rsid w:val="00AC5807"/>
    <w:rsid w:val="00AC5CCF"/>
    <w:rsid w:val="00AC6E86"/>
    <w:rsid w:val="00AC78BC"/>
    <w:rsid w:val="00AD1E53"/>
    <w:rsid w:val="00AD35EF"/>
    <w:rsid w:val="00AD4491"/>
    <w:rsid w:val="00AD5DFC"/>
    <w:rsid w:val="00AD7EFD"/>
    <w:rsid w:val="00AE10D6"/>
    <w:rsid w:val="00AE3495"/>
    <w:rsid w:val="00AE353B"/>
    <w:rsid w:val="00AE3592"/>
    <w:rsid w:val="00AE38CF"/>
    <w:rsid w:val="00AE5B76"/>
    <w:rsid w:val="00AE67E5"/>
    <w:rsid w:val="00AE6900"/>
    <w:rsid w:val="00AE707A"/>
    <w:rsid w:val="00AF254C"/>
    <w:rsid w:val="00AF32C1"/>
    <w:rsid w:val="00AF4537"/>
    <w:rsid w:val="00AF51C1"/>
    <w:rsid w:val="00AF5478"/>
    <w:rsid w:val="00AF5CC6"/>
    <w:rsid w:val="00AF6F99"/>
    <w:rsid w:val="00AF7DFE"/>
    <w:rsid w:val="00B002F2"/>
    <w:rsid w:val="00B00C0E"/>
    <w:rsid w:val="00B00D70"/>
    <w:rsid w:val="00B02491"/>
    <w:rsid w:val="00B03011"/>
    <w:rsid w:val="00B03204"/>
    <w:rsid w:val="00B05C66"/>
    <w:rsid w:val="00B0791A"/>
    <w:rsid w:val="00B122BF"/>
    <w:rsid w:val="00B13EF6"/>
    <w:rsid w:val="00B15BE5"/>
    <w:rsid w:val="00B163E5"/>
    <w:rsid w:val="00B16911"/>
    <w:rsid w:val="00B16A6C"/>
    <w:rsid w:val="00B16A95"/>
    <w:rsid w:val="00B16C95"/>
    <w:rsid w:val="00B201C8"/>
    <w:rsid w:val="00B20CBC"/>
    <w:rsid w:val="00B20E90"/>
    <w:rsid w:val="00B21B07"/>
    <w:rsid w:val="00B228CD"/>
    <w:rsid w:val="00B2311F"/>
    <w:rsid w:val="00B2379E"/>
    <w:rsid w:val="00B24351"/>
    <w:rsid w:val="00B24460"/>
    <w:rsid w:val="00B24C85"/>
    <w:rsid w:val="00B25075"/>
    <w:rsid w:val="00B25312"/>
    <w:rsid w:val="00B258C8"/>
    <w:rsid w:val="00B25E37"/>
    <w:rsid w:val="00B25F62"/>
    <w:rsid w:val="00B269C3"/>
    <w:rsid w:val="00B309C9"/>
    <w:rsid w:val="00B31486"/>
    <w:rsid w:val="00B31D4F"/>
    <w:rsid w:val="00B355E6"/>
    <w:rsid w:val="00B364AF"/>
    <w:rsid w:val="00B37204"/>
    <w:rsid w:val="00B37242"/>
    <w:rsid w:val="00B4180C"/>
    <w:rsid w:val="00B42683"/>
    <w:rsid w:val="00B42776"/>
    <w:rsid w:val="00B42B9B"/>
    <w:rsid w:val="00B42F25"/>
    <w:rsid w:val="00B42FDE"/>
    <w:rsid w:val="00B43115"/>
    <w:rsid w:val="00B43ADD"/>
    <w:rsid w:val="00B44CF8"/>
    <w:rsid w:val="00B457A7"/>
    <w:rsid w:val="00B46100"/>
    <w:rsid w:val="00B51B98"/>
    <w:rsid w:val="00B527E8"/>
    <w:rsid w:val="00B52F7D"/>
    <w:rsid w:val="00B53606"/>
    <w:rsid w:val="00B53761"/>
    <w:rsid w:val="00B55008"/>
    <w:rsid w:val="00B5543D"/>
    <w:rsid w:val="00B55BEB"/>
    <w:rsid w:val="00B5603F"/>
    <w:rsid w:val="00B60549"/>
    <w:rsid w:val="00B61DBA"/>
    <w:rsid w:val="00B6283F"/>
    <w:rsid w:val="00B6290D"/>
    <w:rsid w:val="00B62DF0"/>
    <w:rsid w:val="00B63373"/>
    <w:rsid w:val="00B63711"/>
    <w:rsid w:val="00B64B54"/>
    <w:rsid w:val="00B64D7F"/>
    <w:rsid w:val="00B65B03"/>
    <w:rsid w:val="00B66871"/>
    <w:rsid w:val="00B67115"/>
    <w:rsid w:val="00B70E08"/>
    <w:rsid w:val="00B714C4"/>
    <w:rsid w:val="00B71BD4"/>
    <w:rsid w:val="00B72129"/>
    <w:rsid w:val="00B735D5"/>
    <w:rsid w:val="00B73E6B"/>
    <w:rsid w:val="00B74277"/>
    <w:rsid w:val="00B749ED"/>
    <w:rsid w:val="00B74DAC"/>
    <w:rsid w:val="00B759B8"/>
    <w:rsid w:val="00B7629C"/>
    <w:rsid w:val="00B762C7"/>
    <w:rsid w:val="00B76588"/>
    <w:rsid w:val="00B77129"/>
    <w:rsid w:val="00B77476"/>
    <w:rsid w:val="00B77A72"/>
    <w:rsid w:val="00B81C29"/>
    <w:rsid w:val="00B81DE1"/>
    <w:rsid w:val="00B82BBC"/>
    <w:rsid w:val="00B83649"/>
    <w:rsid w:val="00B83A54"/>
    <w:rsid w:val="00B83CE2"/>
    <w:rsid w:val="00B83E61"/>
    <w:rsid w:val="00B83E78"/>
    <w:rsid w:val="00B84476"/>
    <w:rsid w:val="00B84D02"/>
    <w:rsid w:val="00B85892"/>
    <w:rsid w:val="00B85C26"/>
    <w:rsid w:val="00B868C7"/>
    <w:rsid w:val="00B87D8D"/>
    <w:rsid w:val="00B91D15"/>
    <w:rsid w:val="00B925F5"/>
    <w:rsid w:val="00B92BF0"/>
    <w:rsid w:val="00B9378E"/>
    <w:rsid w:val="00B937A3"/>
    <w:rsid w:val="00B94BB9"/>
    <w:rsid w:val="00B951A5"/>
    <w:rsid w:val="00B957C1"/>
    <w:rsid w:val="00B95D46"/>
    <w:rsid w:val="00B9606E"/>
    <w:rsid w:val="00B96A6D"/>
    <w:rsid w:val="00BA08AA"/>
    <w:rsid w:val="00BA096A"/>
    <w:rsid w:val="00BA112E"/>
    <w:rsid w:val="00BA165E"/>
    <w:rsid w:val="00BA2214"/>
    <w:rsid w:val="00BA315E"/>
    <w:rsid w:val="00BA3808"/>
    <w:rsid w:val="00BA474C"/>
    <w:rsid w:val="00BA64EF"/>
    <w:rsid w:val="00BA73F2"/>
    <w:rsid w:val="00BA75B6"/>
    <w:rsid w:val="00BB0129"/>
    <w:rsid w:val="00BB122C"/>
    <w:rsid w:val="00BB1573"/>
    <w:rsid w:val="00BB27A1"/>
    <w:rsid w:val="00BB33B0"/>
    <w:rsid w:val="00BB38D3"/>
    <w:rsid w:val="00BB48A7"/>
    <w:rsid w:val="00BB52B2"/>
    <w:rsid w:val="00BB53D1"/>
    <w:rsid w:val="00BB5A52"/>
    <w:rsid w:val="00BB6A74"/>
    <w:rsid w:val="00BB6D9B"/>
    <w:rsid w:val="00BB787A"/>
    <w:rsid w:val="00BC10E5"/>
    <w:rsid w:val="00BC14A2"/>
    <w:rsid w:val="00BC1939"/>
    <w:rsid w:val="00BC23E2"/>
    <w:rsid w:val="00BC3A2F"/>
    <w:rsid w:val="00BC4DE4"/>
    <w:rsid w:val="00BC55A8"/>
    <w:rsid w:val="00BC7280"/>
    <w:rsid w:val="00BD11FA"/>
    <w:rsid w:val="00BD2D84"/>
    <w:rsid w:val="00BD3E37"/>
    <w:rsid w:val="00BD400C"/>
    <w:rsid w:val="00BD529B"/>
    <w:rsid w:val="00BD5A3C"/>
    <w:rsid w:val="00BD6245"/>
    <w:rsid w:val="00BD72C0"/>
    <w:rsid w:val="00BD7AD0"/>
    <w:rsid w:val="00BE091B"/>
    <w:rsid w:val="00BE0E64"/>
    <w:rsid w:val="00BE18AB"/>
    <w:rsid w:val="00BE327E"/>
    <w:rsid w:val="00BE390D"/>
    <w:rsid w:val="00BE3D0F"/>
    <w:rsid w:val="00BE52BA"/>
    <w:rsid w:val="00BE73E3"/>
    <w:rsid w:val="00BF0369"/>
    <w:rsid w:val="00BF1E92"/>
    <w:rsid w:val="00BF27C6"/>
    <w:rsid w:val="00BF2AC5"/>
    <w:rsid w:val="00BF37B8"/>
    <w:rsid w:val="00BF4FC3"/>
    <w:rsid w:val="00BF5FF0"/>
    <w:rsid w:val="00BF61E6"/>
    <w:rsid w:val="00BF6B21"/>
    <w:rsid w:val="00BF7CF4"/>
    <w:rsid w:val="00C00904"/>
    <w:rsid w:val="00C015FC"/>
    <w:rsid w:val="00C02BDE"/>
    <w:rsid w:val="00C02D5B"/>
    <w:rsid w:val="00C033AD"/>
    <w:rsid w:val="00C03C96"/>
    <w:rsid w:val="00C040D2"/>
    <w:rsid w:val="00C05B62"/>
    <w:rsid w:val="00C05FA4"/>
    <w:rsid w:val="00C06496"/>
    <w:rsid w:val="00C064D4"/>
    <w:rsid w:val="00C11059"/>
    <w:rsid w:val="00C11CE6"/>
    <w:rsid w:val="00C134E6"/>
    <w:rsid w:val="00C1360B"/>
    <w:rsid w:val="00C145C0"/>
    <w:rsid w:val="00C14E34"/>
    <w:rsid w:val="00C15842"/>
    <w:rsid w:val="00C1715C"/>
    <w:rsid w:val="00C1763E"/>
    <w:rsid w:val="00C21640"/>
    <w:rsid w:val="00C22D6B"/>
    <w:rsid w:val="00C2432A"/>
    <w:rsid w:val="00C25E75"/>
    <w:rsid w:val="00C27358"/>
    <w:rsid w:val="00C30D4A"/>
    <w:rsid w:val="00C33118"/>
    <w:rsid w:val="00C33317"/>
    <w:rsid w:val="00C3346C"/>
    <w:rsid w:val="00C3436B"/>
    <w:rsid w:val="00C36E8F"/>
    <w:rsid w:val="00C40FBA"/>
    <w:rsid w:val="00C45858"/>
    <w:rsid w:val="00C46A09"/>
    <w:rsid w:val="00C46DB5"/>
    <w:rsid w:val="00C50344"/>
    <w:rsid w:val="00C50D42"/>
    <w:rsid w:val="00C514C3"/>
    <w:rsid w:val="00C51F2B"/>
    <w:rsid w:val="00C52050"/>
    <w:rsid w:val="00C5402C"/>
    <w:rsid w:val="00C546CE"/>
    <w:rsid w:val="00C55665"/>
    <w:rsid w:val="00C55CA2"/>
    <w:rsid w:val="00C565F4"/>
    <w:rsid w:val="00C56A2B"/>
    <w:rsid w:val="00C56A87"/>
    <w:rsid w:val="00C57788"/>
    <w:rsid w:val="00C57B42"/>
    <w:rsid w:val="00C6079A"/>
    <w:rsid w:val="00C60C95"/>
    <w:rsid w:val="00C61003"/>
    <w:rsid w:val="00C61552"/>
    <w:rsid w:val="00C621F3"/>
    <w:rsid w:val="00C629E0"/>
    <w:rsid w:val="00C62C70"/>
    <w:rsid w:val="00C670DF"/>
    <w:rsid w:val="00C71C39"/>
    <w:rsid w:val="00C72857"/>
    <w:rsid w:val="00C72EAE"/>
    <w:rsid w:val="00C734CA"/>
    <w:rsid w:val="00C73F14"/>
    <w:rsid w:val="00C7571A"/>
    <w:rsid w:val="00C76119"/>
    <w:rsid w:val="00C80531"/>
    <w:rsid w:val="00C80A5A"/>
    <w:rsid w:val="00C80E0F"/>
    <w:rsid w:val="00C81BAD"/>
    <w:rsid w:val="00C83CE3"/>
    <w:rsid w:val="00C87043"/>
    <w:rsid w:val="00C871A4"/>
    <w:rsid w:val="00C8737B"/>
    <w:rsid w:val="00C90767"/>
    <w:rsid w:val="00C90AC8"/>
    <w:rsid w:val="00C911C2"/>
    <w:rsid w:val="00C91CD1"/>
    <w:rsid w:val="00C92FB0"/>
    <w:rsid w:val="00C94A44"/>
    <w:rsid w:val="00C95035"/>
    <w:rsid w:val="00C9670D"/>
    <w:rsid w:val="00C96764"/>
    <w:rsid w:val="00C97F8C"/>
    <w:rsid w:val="00CA0E0C"/>
    <w:rsid w:val="00CA1D1A"/>
    <w:rsid w:val="00CA3874"/>
    <w:rsid w:val="00CA4117"/>
    <w:rsid w:val="00CA517F"/>
    <w:rsid w:val="00CA54A5"/>
    <w:rsid w:val="00CA71CC"/>
    <w:rsid w:val="00CB03BF"/>
    <w:rsid w:val="00CB0CE5"/>
    <w:rsid w:val="00CB2A50"/>
    <w:rsid w:val="00CB4B37"/>
    <w:rsid w:val="00CB52E0"/>
    <w:rsid w:val="00CB6A08"/>
    <w:rsid w:val="00CB75C3"/>
    <w:rsid w:val="00CC015D"/>
    <w:rsid w:val="00CC05F0"/>
    <w:rsid w:val="00CC0B65"/>
    <w:rsid w:val="00CC366D"/>
    <w:rsid w:val="00CC4170"/>
    <w:rsid w:val="00CC4582"/>
    <w:rsid w:val="00CC4CA2"/>
    <w:rsid w:val="00CC529D"/>
    <w:rsid w:val="00CC5BCD"/>
    <w:rsid w:val="00CC6303"/>
    <w:rsid w:val="00CC65B3"/>
    <w:rsid w:val="00CC79D8"/>
    <w:rsid w:val="00CC7E7B"/>
    <w:rsid w:val="00CD021C"/>
    <w:rsid w:val="00CD0C98"/>
    <w:rsid w:val="00CD0F5E"/>
    <w:rsid w:val="00CD1669"/>
    <w:rsid w:val="00CD2635"/>
    <w:rsid w:val="00CD49A5"/>
    <w:rsid w:val="00CD49F5"/>
    <w:rsid w:val="00CD572D"/>
    <w:rsid w:val="00CD5C6D"/>
    <w:rsid w:val="00CD75DA"/>
    <w:rsid w:val="00CE0B67"/>
    <w:rsid w:val="00CE11BF"/>
    <w:rsid w:val="00CE31F4"/>
    <w:rsid w:val="00CE3392"/>
    <w:rsid w:val="00CE4BCD"/>
    <w:rsid w:val="00CE6738"/>
    <w:rsid w:val="00CF0E63"/>
    <w:rsid w:val="00CF1FE4"/>
    <w:rsid w:val="00CF29BE"/>
    <w:rsid w:val="00CF3026"/>
    <w:rsid w:val="00CF3945"/>
    <w:rsid w:val="00CF53EB"/>
    <w:rsid w:val="00CF5F7E"/>
    <w:rsid w:val="00CF68CF"/>
    <w:rsid w:val="00CF727F"/>
    <w:rsid w:val="00D00C5B"/>
    <w:rsid w:val="00D02AF2"/>
    <w:rsid w:val="00D034BA"/>
    <w:rsid w:val="00D037E7"/>
    <w:rsid w:val="00D03DFA"/>
    <w:rsid w:val="00D0584F"/>
    <w:rsid w:val="00D05FE6"/>
    <w:rsid w:val="00D062F0"/>
    <w:rsid w:val="00D06345"/>
    <w:rsid w:val="00D070E6"/>
    <w:rsid w:val="00D12AC8"/>
    <w:rsid w:val="00D13A90"/>
    <w:rsid w:val="00D14550"/>
    <w:rsid w:val="00D14A33"/>
    <w:rsid w:val="00D162CB"/>
    <w:rsid w:val="00D2016C"/>
    <w:rsid w:val="00D21C96"/>
    <w:rsid w:val="00D21CE7"/>
    <w:rsid w:val="00D2316B"/>
    <w:rsid w:val="00D258F5"/>
    <w:rsid w:val="00D26743"/>
    <w:rsid w:val="00D26759"/>
    <w:rsid w:val="00D27570"/>
    <w:rsid w:val="00D2775C"/>
    <w:rsid w:val="00D27DFD"/>
    <w:rsid w:val="00D30E79"/>
    <w:rsid w:val="00D30EA7"/>
    <w:rsid w:val="00D329E8"/>
    <w:rsid w:val="00D33120"/>
    <w:rsid w:val="00D33BB2"/>
    <w:rsid w:val="00D33CA2"/>
    <w:rsid w:val="00D340A0"/>
    <w:rsid w:val="00D340F1"/>
    <w:rsid w:val="00D346AC"/>
    <w:rsid w:val="00D34D2E"/>
    <w:rsid w:val="00D41298"/>
    <w:rsid w:val="00D414EB"/>
    <w:rsid w:val="00D446A9"/>
    <w:rsid w:val="00D44A70"/>
    <w:rsid w:val="00D473DF"/>
    <w:rsid w:val="00D51194"/>
    <w:rsid w:val="00D51F47"/>
    <w:rsid w:val="00D528BA"/>
    <w:rsid w:val="00D52E87"/>
    <w:rsid w:val="00D53016"/>
    <w:rsid w:val="00D53753"/>
    <w:rsid w:val="00D54410"/>
    <w:rsid w:val="00D5488A"/>
    <w:rsid w:val="00D552A5"/>
    <w:rsid w:val="00D56EB5"/>
    <w:rsid w:val="00D578C1"/>
    <w:rsid w:val="00D57D56"/>
    <w:rsid w:val="00D60A4B"/>
    <w:rsid w:val="00D60D33"/>
    <w:rsid w:val="00D617E0"/>
    <w:rsid w:val="00D618E3"/>
    <w:rsid w:val="00D64B78"/>
    <w:rsid w:val="00D64BA2"/>
    <w:rsid w:val="00D65AAB"/>
    <w:rsid w:val="00D66354"/>
    <w:rsid w:val="00D66AE3"/>
    <w:rsid w:val="00D66C7B"/>
    <w:rsid w:val="00D70B4E"/>
    <w:rsid w:val="00D7172C"/>
    <w:rsid w:val="00D717F9"/>
    <w:rsid w:val="00D72404"/>
    <w:rsid w:val="00D749AE"/>
    <w:rsid w:val="00D76354"/>
    <w:rsid w:val="00D80175"/>
    <w:rsid w:val="00D8021B"/>
    <w:rsid w:val="00D808AE"/>
    <w:rsid w:val="00D80A3B"/>
    <w:rsid w:val="00D80F18"/>
    <w:rsid w:val="00D81348"/>
    <w:rsid w:val="00D81478"/>
    <w:rsid w:val="00D83854"/>
    <w:rsid w:val="00D83D47"/>
    <w:rsid w:val="00D85523"/>
    <w:rsid w:val="00D85AF6"/>
    <w:rsid w:val="00D86194"/>
    <w:rsid w:val="00D86F8A"/>
    <w:rsid w:val="00D87CD5"/>
    <w:rsid w:val="00D87F87"/>
    <w:rsid w:val="00D91004"/>
    <w:rsid w:val="00D9209F"/>
    <w:rsid w:val="00D930FE"/>
    <w:rsid w:val="00D933DC"/>
    <w:rsid w:val="00D95AFC"/>
    <w:rsid w:val="00D96436"/>
    <w:rsid w:val="00D96A4A"/>
    <w:rsid w:val="00DA040A"/>
    <w:rsid w:val="00DA1ABA"/>
    <w:rsid w:val="00DA1B6B"/>
    <w:rsid w:val="00DA2859"/>
    <w:rsid w:val="00DA287B"/>
    <w:rsid w:val="00DA44D7"/>
    <w:rsid w:val="00DA5415"/>
    <w:rsid w:val="00DA56EC"/>
    <w:rsid w:val="00DA74F0"/>
    <w:rsid w:val="00DB07D1"/>
    <w:rsid w:val="00DB0EB5"/>
    <w:rsid w:val="00DB1852"/>
    <w:rsid w:val="00DB1A42"/>
    <w:rsid w:val="00DB2E8B"/>
    <w:rsid w:val="00DB2ED0"/>
    <w:rsid w:val="00DB36A3"/>
    <w:rsid w:val="00DB431B"/>
    <w:rsid w:val="00DB4A7B"/>
    <w:rsid w:val="00DB7ADC"/>
    <w:rsid w:val="00DC0529"/>
    <w:rsid w:val="00DC0E4E"/>
    <w:rsid w:val="00DC3741"/>
    <w:rsid w:val="00DC4755"/>
    <w:rsid w:val="00DC4B6D"/>
    <w:rsid w:val="00DC5F2E"/>
    <w:rsid w:val="00DC6C12"/>
    <w:rsid w:val="00DD1159"/>
    <w:rsid w:val="00DD3B75"/>
    <w:rsid w:val="00DD401E"/>
    <w:rsid w:val="00DD4063"/>
    <w:rsid w:val="00DD5383"/>
    <w:rsid w:val="00DD649C"/>
    <w:rsid w:val="00DD6B2F"/>
    <w:rsid w:val="00DD7876"/>
    <w:rsid w:val="00DE0029"/>
    <w:rsid w:val="00DE00F8"/>
    <w:rsid w:val="00DE081A"/>
    <w:rsid w:val="00DE0E90"/>
    <w:rsid w:val="00DE1393"/>
    <w:rsid w:val="00DE26AB"/>
    <w:rsid w:val="00DE3221"/>
    <w:rsid w:val="00DE33E5"/>
    <w:rsid w:val="00DE36E1"/>
    <w:rsid w:val="00DE3F34"/>
    <w:rsid w:val="00DE4222"/>
    <w:rsid w:val="00DE4EC7"/>
    <w:rsid w:val="00DE60B1"/>
    <w:rsid w:val="00DE6C81"/>
    <w:rsid w:val="00DE6D45"/>
    <w:rsid w:val="00DF014E"/>
    <w:rsid w:val="00DF1616"/>
    <w:rsid w:val="00DF270A"/>
    <w:rsid w:val="00DF2EE1"/>
    <w:rsid w:val="00DF3F35"/>
    <w:rsid w:val="00DF5642"/>
    <w:rsid w:val="00DF5E21"/>
    <w:rsid w:val="00E0076C"/>
    <w:rsid w:val="00E03574"/>
    <w:rsid w:val="00E04D79"/>
    <w:rsid w:val="00E05125"/>
    <w:rsid w:val="00E05C4F"/>
    <w:rsid w:val="00E05CFE"/>
    <w:rsid w:val="00E07878"/>
    <w:rsid w:val="00E115FD"/>
    <w:rsid w:val="00E119B0"/>
    <w:rsid w:val="00E120A4"/>
    <w:rsid w:val="00E124B5"/>
    <w:rsid w:val="00E13775"/>
    <w:rsid w:val="00E140D0"/>
    <w:rsid w:val="00E144FD"/>
    <w:rsid w:val="00E15071"/>
    <w:rsid w:val="00E157DC"/>
    <w:rsid w:val="00E15921"/>
    <w:rsid w:val="00E15E80"/>
    <w:rsid w:val="00E160AA"/>
    <w:rsid w:val="00E16FCC"/>
    <w:rsid w:val="00E208DC"/>
    <w:rsid w:val="00E20B2A"/>
    <w:rsid w:val="00E21A57"/>
    <w:rsid w:val="00E22B30"/>
    <w:rsid w:val="00E22F04"/>
    <w:rsid w:val="00E27365"/>
    <w:rsid w:val="00E31297"/>
    <w:rsid w:val="00E32030"/>
    <w:rsid w:val="00E32238"/>
    <w:rsid w:val="00E32A49"/>
    <w:rsid w:val="00E33AD6"/>
    <w:rsid w:val="00E355F3"/>
    <w:rsid w:val="00E35784"/>
    <w:rsid w:val="00E362E8"/>
    <w:rsid w:val="00E36427"/>
    <w:rsid w:val="00E417A1"/>
    <w:rsid w:val="00E4212F"/>
    <w:rsid w:val="00E4220A"/>
    <w:rsid w:val="00E429ED"/>
    <w:rsid w:val="00E43EE2"/>
    <w:rsid w:val="00E459D3"/>
    <w:rsid w:val="00E4627E"/>
    <w:rsid w:val="00E462CA"/>
    <w:rsid w:val="00E46959"/>
    <w:rsid w:val="00E46AF5"/>
    <w:rsid w:val="00E50B26"/>
    <w:rsid w:val="00E50B4D"/>
    <w:rsid w:val="00E50F69"/>
    <w:rsid w:val="00E510C7"/>
    <w:rsid w:val="00E5157C"/>
    <w:rsid w:val="00E52072"/>
    <w:rsid w:val="00E520EA"/>
    <w:rsid w:val="00E521F4"/>
    <w:rsid w:val="00E52DFE"/>
    <w:rsid w:val="00E5615B"/>
    <w:rsid w:val="00E564C4"/>
    <w:rsid w:val="00E56B4C"/>
    <w:rsid w:val="00E56E62"/>
    <w:rsid w:val="00E5707B"/>
    <w:rsid w:val="00E57631"/>
    <w:rsid w:val="00E6127D"/>
    <w:rsid w:val="00E61767"/>
    <w:rsid w:val="00E61E86"/>
    <w:rsid w:val="00E623D0"/>
    <w:rsid w:val="00E62D99"/>
    <w:rsid w:val="00E63153"/>
    <w:rsid w:val="00E65170"/>
    <w:rsid w:val="00E662C1"/>
    <w:rsid w:val="00E66D76"/>
    <w:rsid w:val="00E67466"/>
    <w:rsid w:val="00E67F29"/>
    <w:rsid w:val="00E70562"/>
    <w:rsid w:val="00E70EBA"/>
    <w:rsid w:val="00E7109D"/>
    <w:rsid w:val="00E7217D"/>
    <w:rsid w:val="00E7326F"/>
    <w:rsid w:val="00E73605"/>
    <w:rsid w:val="00E73A6C"/>
    <w:rsid w:val="00E7488F"/>
    <w:rsid w:val="00E77B65"/>
    <w:rsid w:val="00E800FD"/>
    <w:rsid w:val="00E80FE7"/>
    <w:rsid w:val="00E8115D"/>
    <w:rsid w:val="00E81D03"/>
    <w:rsid w:val="00E82779"/>
    <w:rsid w:val="00E82C7F"/>
    <w:rsid w:val="00E83E9F"/>
    <w:rsid w:val="00E84672"/>
    <w:rsid w:val="00E84C5B"/>
    <w:rsid w:val="00E85609"/>
    <w:rsid w:val="00E85699"/>
    <w:rsid w:val="00E862D9"/>
    <w:rsid w:val="00E866A7"/>
    <w:rsid w:val="00E86749"/>
    <w:rsid w:val="00E87B9D"/>
    <w:rsid w:val="00E9052F"/>
    <w:rsid w:val="00E90607"/>
    <w:rsid w:val="00E90ACC"/>
    <w:rsid w:val="00E90D94"/>
    <w:rsid w:val="00E91653"/>
    <w:rsid w:val="00E91F9C"/>
    <w:rsid w:val="00E91FF5"/>
    <w:rsid w:val="00E92456"/>
    <w:rsid w:val="00E93AF3"/>
    <w:rsid w:val="00E93B69"/>
    <w:rsid w:val="00E93F90"/>
    <w:rsid w:val="00E94FBD"/>
    <w:rsid w:val="00E964BC"/>
    <w:rsid w:val="00E966C7"/>
    <w:rsid w:val="00E968A0"/>
    <w:rsid w:val="00E973BE"/>
    <w:rsid w:val="00EA0C91"/>
    <w:rsid w:val="00EA14EC"/>
    <w:rsid w:val="00EA2341"/>
    <w:rsid w:val="00EA25B8"/>
    <w:rsid w:val="00EB01EE"/>
    <w:rsid w:val="00EB021B"/>
    <w:rsid w:val="00EB02F2"/>
    <w:rsid w:val="00EB0369"/>
    <w:rsid w:val="00EB0701"/>
    <w:rsid w:val="00EB1186"/>
    <w:rsid w:val="00EB1521"/>
    <w:rsid w:val="00EB1B22"/>
    <w:rsid w:val="00EB25E6"/>
    <w:rsid w:val="00EB3B76"/>
    <w:rsid w:val="00EB4714"/>
    <w:rsid w:val="00EB6022"/>
    <w:rsid w:val="00EB6186"/>
    <w:rsid w:val="00EC03D8"/>
    <w:rsid w:val="00EC0A60"/>
    <w:rsid w:val="00EC13C7"/>
    <w:rsid w:val="00EC3516"/>
    <w:rsid w:val="00EC3983"/>
    <w:rsid w:val="00EC453F"/>
    <w:rsid w:val="00EC4B7C"/>
    <w:rsid w:val="00EC4D49"/>
    <w:rsid w:val="00EC5140"/>
    <w:rsid w:val="00EC57A4"/>
    <w:rsid w:val="00EC6296"/>
    <w:rsid w:val="00EC6411"/>
    <w:rsid w:val="00ED0C96"/>
    <w:rsid w:val="00ED1376"/>
    <w:rsid w:val="00ED361B"/>
    <w:rsid w:val="00ED429C"/>
    <w:rsid w:val="00ED48DB"/>
    <w:rsid w:val="00ED5027"/>
    <w:rsid w:val="00ED537D"/>
    <w:rsid w:val="00ED6732"/>
    <w:rsid w:val="00ED7CF0"/>
    <w:rsid w:val="00EE11AE"/>
    <w:rsid w:val="00EE170E"/>
    <w:rsid w:val="00EE1C5B"/>
    <w:rsid w:val="00EE24BC"/>
    <w:rsid w:val="00EE26F5"/>
    <w:rsid w:val="00EE27CE"/>
    <w:rsid w:val="00EE2D2E"/>
    <w:rsid w:val="00EE2EFB"/>
    <w:rsid w:val="00EE37A5"/>
    <w:rsid w:val="00EE3C60"/>
    <w:rsid w:val="00EE427E"/>
    <w:rsid w:val="00EE4612"/>
    <w:rsid w:val="00EE6C98"/>
    <w:rsid w:val="00EE7ADE"/>
    <w:rsid w:val="00EF1771"/>
    <w:rsid w:val="00EF218F"/>
    <w:rsid w:val="00EF2C6C"/>
    <w:rsid w:val="00EF367F"/>
    <w:rsid w:val="00EF3F81"/>
    <w:rsid w:val="00EF48C3"/>
    <w:rsid w:val="00EF5BA0"/>
    <w:rsid w:val="00F006CC"/>
    <w:rsid w:val="00F0088D"/>
    <w:rsid w:val="00F00A82"/>
    <w:rsid w:val="00F01829"/>
    <w:rsid w:val="00F01DEC"/>
    <w:rsid w:val="00F021B5"/>
    <w:rsid w:val="00F03192"/>
    <w:rsid w:val="00F031B7"/>
    <w:rsid w:val="00F06D05"/>
    <w:rsid w:val="00F0704F"/>
    <w:rsid w:val="00F10A0C"/>
    <w:rsid w:val="00F123D5"/>
    <w:rsid w:val="00F12A0A"/>
    <w:rsid w:val="00F13503"/>
    <w:rsid w:val="00F14045"/>
    <w:rsid w:val="00F146F5"/>
    <w:rsid w:val="00F14B0B"/>
    <w:rsid w:val="00F161DC"/>
    <w:rsid w:val="00F200FE"/>
    <w:rsid w:val="00F20626"/>
    <w:rsid w:val="00F20DAD"/>
    <w:rsid w:val="00F218E0"/>
    <w:rsid w:val="00F22376"/>
    <w:rsid w:val="00F224DB"/>
    <w:rsid w:val="00F22D86"/>
    <w:rsid w:val="00F23590"/>
    <w:rsid w:val="00F23817"/>
    <w:rsid w:val="00F2572D"/>
    <w:rsid w:val="00F25992"/>
    <w:rsid w:val="00F259A7"/>
    <w:rsid w:val="00F25E3E"/>
    <w:rsid w:val="00F3076A"/>
    <w:rsid w:val="00F309FB"/>
    <w:rsid w:val="00F3213F"/>
    <w:rsid w:val="00F3234B"/>
    <w:rsid w:val="00F33B80"/>
    <w:rsid w:val="00F36F66"/>
    <w:rsid w:val="00F371F6"/>
    <w:rsid w:val="00F37C55"/>
    <w:rsid w:val="00F4000A"/>
    <w:rsid w:val="00F41EEE"/>
    <w:rsid w:val="00F423AD"/>
    <w:rsid w:val="00F43287"/>
    <w:rsid w:val="00F43E9A"/>
    <w:rsid w:val="00F44345"/>
    <w:rsid w:val="00F44595"/>
    <w:rsid w:val="00F44796"/>
    <w:rsid w:val="00F4766B"/>
    <w:rsid w:val="00F50429"/>
    <w:rsid w:val="00F510FA"/>
    <w:rsid w:val="00F51931"/>
    <w:rsid w:val="00F525DE"/>
    <w:rsid w:val="00F53104"/>
    <w:rsid w:val="00F53C18"/>
    <w:rsid w:val="00F543E2"/>
    <w:rsid w:val="00F54D02"/>
    <w:rsid w:val="00F55B90"/>
    <w:rsid w:val="00F570FC"/>
    <w:rsid w:val="00F57121"/>
    <w:rsid w:val="00F57126"/>
    <w:rsid w:val="00F573FB"/>
    <w:rsid w:val="00F611DA"/>
    <w:rsid w:val="00F62A38"/>
    <w:rsid w:val="00F658F9"/>
    <w:rsid w:val="00F65EE6"/>
    <w:rsid w:val="00F6648B"/>
    <w:rsid w:val="00F66BAE"/>
    <w:rsid w:val="00F67B9D"/>
    <w:rsid w:val="00F719F3"/>
    <w:rsid w:val="00F72CE1"/>
    <w:rsid w:val="00F74D7B"/>
    <w:rsid w:val="00F75474"/>
    <w:rsid w:val="00F75905"/>
    <w:rsid w:val="00F75935"/>
    <w:rsid w:val="00F76183"/>
    <w:rsid w:val="00F7696B"/>
    <w:rsid w:val="00F77366"/>
    <w:rsid w:val="00F77566"/>
    <w:rsid w:val="00F77EF8"/>
    <w:rsid w:val="00F80805"/>
    <w:rsid w:val="00F811F6"/>
    <w:rsid w:val="00F81326"/>
    <w:rsid w:val="00F813FD"/>
    <w:rsid w:val="00F81DE7"/>
    <w:rsid w:val="00F82246"/>
    <w:rsid w:val="00F8258B"/>
    <w:rsid w:val="00F82F5E"/>
    <w:rsid w:val="00F834EF"/>
    <w:rsid w:val="00F846D2"/>
    <w:rsid w:val="00F85383"/>
    <w:rsid w:val="00F85389"/>
    <w:rsid w:val="00F856DD"/>
    <w:rsid w:val="00F85BFF"/>
    <w:rsid w:val="00F860DF"/>
    <w:rsid w:val="00F86301"/>
    <w:rsid w:val="00F873B4"/>
    <w:rsid w:val="00F87FD7"/>
    <w:rsid w:val="00F91078"/>
    <w:rsid w:val="00F914E0"/>
    <w:rsid w:val="00F9156F"/>
    <w:rsid w:val="00F917C1"/>
    <w:rsid w:val="00F91B56"/>
    <w:rsid w:val="00F9272E"/>
    <w:rsid w:val="00F9301D"/>
    <w:rsid w:val="00F938A7"/>
    <w:rsid w:val="00F93F81"/>
    <w:rsid w:val="00F946A9"/>
    <w:rsid w:val="00F9485B"/>
    <w:rsid w:val="00F948A6"/>
    <w:rsid w:val="00F95349"/>
    <w:rsid w:val="00F961F0"/>
    <w:rsid w:val="00F97511"/>
    <w:rsid w:val="00FA09CC"/>
    <w:rsid w:val="00FA0EED"/>
    <w:rsid w:val="00FA1822"/>
    <w:rsid w:val="00FA2F86"/>
    <w:rsid w:val="00FA369E"/>
    <w:rsid w:val="00FA542D"/>
    <w:rsid w:val="00FA5ED3"/>
    <w:rsid w:val="00FA5EEB"/>
    <w:rsid w:val="00FA6205"/>
    <w:rsid w:val="00FA65F0"/>
    <w:rsid w:val="00FB00DD"/>
    <w:rsid w:val="00FB23BC"/>
    <w:rsid w:val="00FB47C8"/>
    <w:rsid w:val="00FB4B18"/>
    <w:rsid w:val="00FB4D8D"/>
    <w:rsid w:val="00FB6622"/>
    <w:rsid w:val="00FB67AE"/>
    <w:rsid w:val="00FB6F06"/>
    <w:rsid w:val="00FB7484"/>
    <w:rsid w:val="00FB75AC"/>
    <w:rsid w:val="00FC1ABE"/>
    <w:rsid w:val="00FC3F3F"/>
    <w:rsid w:val="00FC4862"/>
    <w:rsid w:val="00FC4968"/>
    <w:rsid w:val="00FC6649"/>
    <w:rsid w:val="00FC6C2C"/>
    <w:rsid w:val="00FC7110"/>
    <w:rsid w:val="00FD06A4"/>
    <w:rsid w:val="00FD06EC"/>
    <w:rsid w:val="00FD0E9E"/>
    <w:rsid w:val="00FD1119"/>
    <w:rsid w:val="00FD12B3"/>
    <w:rsid w:val="00FD133D"/>
    <w:rsid w:val="00FD2A4F"/>
    <w:rsid w:val="00FD2F48"/>
    <w:rsid w:val="00FD35AA"/>
    <w:rsid w:val="00FD4589"/>
    <w:rsid w:val="00FD4653"/>
    <w:rsid w:val="00FD6A5A"/>
    <w:rsid w:val="00FD7CFB"/>
    <w:rsid w:val="00FD7F9A"/>
    <w:rsid w:val="00FD7FFE"/>
    <w:rsid w:val="00FE18B7"/>
    <w:rsid w:val="00FE29E2"/>
    <w:rsid w:val="00FE431A"/>
    <w:rsid w:val="00FE4526"/>
    <w:rsid w:val="00FE5147"/>
    <w:rsid w:val="00FF0543"/>
    <w:rsid w:val="00FF1176"/>
    <w:rsid w:val="00FF4127"/>
    <w:rsid w:val="00FF422B"/>
    <w:rsid w:val="00FF5320"/>
    <w:rsid w:val="00FF56B4"/>
    <w:rsid w:val="00FF5E54"/>
    <w:rsid w:val="00FF5EF5"/>
    <w:rsid w:val="00FF60EC"/>
    <w:rsid w:val="01063575"/>
    <w:rsid w:val="01087A2D"/>
    <w:rsid w:val="012F162B"/>
    <w:rsid w:val="0150476F"/>
    <w:rsid w:val="0179A29F"/>
    <w:rsid w:val="018B9220"/>
    <w:rsid w:val="0194DF1D"/>
    <w:rsid w:val="01E9DDF1"/>
    <w:rsid w:val="0256E06F"/>
    <w:rsid w:val="025C4C4B"/>
    <w:rsid w:val="027670D1"/>
    <w:rsid w:val="03021B42"/>
    <w:rsid w:val="03481FBD"/>
    <w:rsid w:val="035E4E16"/>
    <w:rsid w:val="03EA3103"/>
    <w:rsid w:val="03EF2E9C"/>
    <w:rsid w:val="043B2F16"/>
    <w:rsid w:val="043D8B23"/>
    <w:rsid w:val="04704748"/>
    <w:rsid w:val="04744FC1"/>
    <w:rsid w:val="04BAA921"/>
    <w:rsid w:val="0534A627"/>
    <w:rsid w:val="053D855E"/>
    <w:rsid w:val="06185CCF"/>
    <w:rsid w:val="06219647"/>
    <w:rsid w:val="06332ECE"/>
    <w:rsid w:val="0682079D"/>
    <w:rsid w:val="078B334C"/>
    <w:rsid w:val="07D2D759"/>
    <w:rsid w:val="07DFB964"/>
    <w:rsid w:val="07F0BC6E"/>
    <w:rsid w:val="08090FAE"/>
    <w:rsid w:val="08C2E595"/>
    <w:rsid w:val="08FA0D5A"/>
    <w:rsid w:val="09471E32"/>
    <w:rsid w:val="09739A67"/>
    <w:rsid w:val="097F0F09"/>
    <w:rsid w:val="0995D986"/>
    <w:rsid w:val="099D4A26"/>
    <w:rsid w:val="09C26A0E"/>
    <w:rsid w:val="09C27316"/>
    <w:rsid w:val="09CB52FB"/>
    <w:rsid w:val="09CF3FD9"/>
    <w:rsid w:val="0A2BA226"/>
    <w:rsid w:val="0A2EA914"/>
    <w:rsid w:val="0A93A510"/>
    <w:rsid w:val="0AC6697B"/>
    <w:rsid w:val="0B1EDB79"/>
    <w:rsid w:val="0B54E9EA"/>
    <w:rsid w:val="0B7A75A0"/>
    <w:rsid w:val="0B9BFFBD"/>
    <w:rsid w:val="0BDDF214"/>
    <w:rsid w:val="0BF8ABF1"/>
    <w:rsid w:val="0CBB8579"/>
    <w:rsid w:val="0CC2A0E9"/>
    <w:rsid w:val="0D15A6FA"/>
    <w:rsid w:val="0D2E11D3"/>
    <w:rsid w:val="0D9E337C"/>
    <w:rsid w:val="0E3FA96B"/>
    <w:rsid w:val="0E614809"/>
    <w:rsid w:val="0EC9BF96"/>
    <w:rsid w:val="0EF9D3EC"/>
    <w:rsid w:val="0F0BDA35"/>
    <w:rsid w:val="0F610426"/>
    <w:rsid w:val="0F64678E"/>
    <w:rsid w:val="0F652C30"/>
    <w:rsid w:val="0F6BB646"/>
    <w:rsid w:val="0FBD010A"/>
    <w:rsid w:val="10A937FC"/>
    <w:rsid w:val="110449ED"/>
    <w:rsid w:val="112486BA"/>
    <w:rsid w:val="113614E7"/>
    <w:rsid w:val="11C17373"/>
    <w:rsid w:val="11E31AD4"/>
    <w:rsid w:val="11F54A52"/>
    <w:rsid w:val="12804C83"/>
    <w:rsid w:val="12A3597F"/>
    <w:rsid w:val="12D310AC"/>
    <w:rsid w:val="12D6AF61"/>
    <w:rsid w:val="12F8545B"/>
    <w:rsid w:val="130AC8D4"/>
    <w:rsid w:val="131CF05B"/>
    <w:rsid w:val="1364F78C"/>
    <w:rsid w:val="137D7083"/>
    <w:rsid w:val="13977659"/>
    <w:rsid w:val="13EFFFA4"/>
    <w:rsid w:val="13F00A5B"/>
    <w:rsid w:val="13FC5829"/>
    <w:rsid w:val="14092696"/>
    <w:rsid w:val="14182103"/>
    <w:rsid w:val="1439B604"/>
    <w:rsid w:val="14466FFB"/>
    <w:rsid w:val="1451491E"/>
    <w:rsid w:val="147A580A"/>
    <w:rsid w:val="14BBE067"/>
    <w:rsid w:val="14CC34AB"/>
    <w:rsid w:val="1511A99C"/>
    <w:rsid w:val="151443DE"/>
    <w:rsid w:val="152C9CCD"/>
    <w:rsid w:val="1531D389"/>
    <w:rsid w:val="15469508"/>
    <w:rsid w:val="1557A2FA"/>
    <w:rsid w:val="158A5AE7"/>
    <w:rsid w:val="15A33C25"/>
    <w:rsid w:val="15B1C5FD"/>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A273076"/>
    <w:rsid w:val="1A2B7C67"/>
    <w:rsid w:val="1A590AEB"/>
    <w:rsid w:val="1A8EA549"/>
    <w:rsid w:val="1A9DFBB3"/>
    <w:rsid w:val="1AB15E45"/>
    <w:rsid w:val="1AB628F7"/>
    <w:rsid w:val="1B0A6A39"/>
    <w:rsid w:val="1B143381"/>
    <w:rsid w:val="1B77C2D0"/>
    <w:rsid w:val="1BA4D981"/>
    <w:rsid w:val="1BEE8105"/>
    <w:rsid w:val="1C5C39B2"/>
    <w:rsid w:val="1C7929D1"/>
    <w:rsid w:val="1C8EF74A"/>
    <w:rsid w:val="1C9D465D"/>
    <w:rsid w:val="1CC999BA"/>
    <w:rsid w:val="1CD504FC"/>
    <w:rsid w:val="1CF41711"/>
    <w:rsid w:val="1D116AA6"/>
    <w:rsid w:val="1D335FDC"/>
    <w:rsid w:val="1D797D1C"/>
    <w:rsid w:val="1DEC7ADA"/>
    <w:rsid w:val="1DEE311B"/>
    <w:rsid w:val="1E29F501"/>
    <w:rsid w:val="1EB8BF44"/>
    <w:rsid w:val="1EBCAAAD"/>
    <w:rsid w:val="1EC64C79"/>
    <w:rsid w:val="1F3FDB9F"/>
    <w:rsid w:val="1F5E112B"/>
    <w:rsid w:val="1F8B7DEF"/>
    <w:rsid w:val="2049C0F2"/>
    <w:rsid w:val="205D3B38"/>
    <w:rsid w:val="206859B6"/>
    <w:rsid w:val="2103A345"/>
    <w:rsid w:val="2104143B"/>
    <w:rsid w:val="21289963"/>
    <w:rsid w:val="216E5AC5"/>
    <w:rsid w:val="218FD1CC"/>
    <w:rsid w:val="21C1BD07"/>
    <w:rsid w:val="21CD52BB"/>
    <w:rsid w:val="21EF4C6D"/>
    <w:rsid w:val="22105083"/>
    <w:rsid w:val="22168275"/>
    <w:rsid w:val="22A1F119"/>
    <w:rsid w:val="22A2CE71"/>
    <w:rsid w:val="234C2B2B"/>
    <w:rsid w:val="235C49A1"/>
    <w:rsid w:val="236C9673"/>
    <w:rsid w:val="237EFFBA"/>
    <w:rsid w:val="23AB582D"/>
    <w:rsid w:val="23B68713"/>
    <w:rsid w:val="2413380B"/>
    <w:rsid w:val="2415DD3F"/>
    <w:rsid w:val="2432CCAE"/>
    <w:rsid w:val="244EDBAA"/>
    <w:rsid w:val="2480464C"/>
    <w:rsid w:val="24E87FAF"/>
    <w:rsid w:val="252300F4"/>
    <w:rsid w:val="2556E82F"/>
    <w:rsid w:val="255C3081"/>
    <w:rsid w:val="256AC795"/>
    <w:rsid w:val="2577963E"/>
    <w:rsid w:val="257D7E61"/>
    <w:rsid w:val="25B14D1C"/>
    <w:rsid w:val="25BF1B06"/>
    <w:rsid w:val="25CCBA6E"/>
    <w:rsid w:val="25FEC758"/>
    <w:rsid w:val="263E0D75"/>
    <w:rsid w:val="265EBBFA"/>
    <w:rsid w:val="268CD47D"/>
    <w:rsid w:val="269AFC79"/>
    <w:rsid w:val="26A31412"/>
    <w:rsid w:val="26A3E900"/>
    <w:rsid w:val="26BBA98C"/>
    <w:rsid w:val="26FDAE94"/>
    <w:rsid w:val="270E2E09"/>
    <w:rsid w:val="272CB3C1"/>
    <w:rsid w:val="275A7E2B"/>
    <w:rsid w:val="27DC8E35"/>
    <w:rsid w:val="27ED167A"/>
    <w:rsid w:val="2816F173"/>
    <w:rsid w:val="2874D237"/>
    <w:rsid w:val="288F1017"/>
    <w:rsid w:val="2900C54A"/>
    <w:rsid w:val="2970265A"/>
    <w:rsid w:val="29B1683E"/>
    <w:rsid w:val="2A33B6AC"/>
    <w:rsid w:val="2A496DB7"/>
    <w:rsid w:val="2A590BAC"/>
    <w:rsid w:val="2AE139BB"/>
    <w:rsid w:val="2AECE575"/>
    <w:rsid w:val="2B27938B"/>
    <w:rsid w:val="2B3C4141"/>
    <w:rsid w:val="2B7BCEDD"/>
    <w:rsid w:val="2BFCB198"/>
    <w:rsid w:val="2C148960"/>
    <w:rsid w:val="2C287950"/>
    <w:rsid w:val="2C971A9C"/>
    <w:rsid w:val="2CC0874A"/>
    <w:rsid w:val="2CF82AEB"/>
    <w:rsid w:val="2CFB12ED"/>
    <w:rsid w:val="2D11C5E1"/>
    <w:rsid w:val="2D5323EC"/>
    <w:rsid w:val="2D56BFE9"/>
    <w:rsid w:val="2DA03AD0"/>
    <w:rsid w:val="2DA72D1A"/>
    <w:rsid w:val="2DAFE0C7"/>
    <w:rsid w:val="2DCC46B9"/>
    <w:rsid w:val="2DE3E233"/>
    <w:rsid w:val="2DEA7E8E"/>
    <w:rsid w:val="2DF7BDAF"/>
    <w:rsid w:val="2E39433E"/>
    <w:rsid w:val="2E567FE2"/>
    <w:rsid w:val="2E70F180"/>
    <w:rsid w:val="2EE3FA80"/>
    <w:rsid w:val="2F145E6E"/>
    <w:rsid w:val="2F40F683"/>
    <w:rsid w:val="2F551A61"/>
    <w:rsid w:val="2F56DC4F"/>
    <w:rsid w:val="2F58753B"/>
    <w:rsid w:val="2F692FD8"/>
    <w:rsid w:val="2F835EC8"/>
    <w:rsid w:val="2FC4942D"/>
    <w:rsid w:val="2FDC21A0"/>
    <w:rsid w:val="306D8536"/>
    <w:rsid w:val="30E22E7D"/>
    <w:rsid w:val="3136392A"/>
    <w:rsid w:val="3166FDE8"/>
    <w:rsid w:val="3168DB98"/>
    <w:rsid w:val="31713A35"/>
    <w:rsid w:val="317CEA4F"/>
    <w:rsid w:val="318120C4"/>
    <w:rsid w:val="31A486F4"/>
    <w:rsid w:val="31D6FE52"/>
    <w:rsid w:val="31DE99DC"/>
    <w:rsid w:val="31DF96D1"/>
    <w:rsid w:val="31E55379"/>
    <w:rsid w:val="31F254F0"/>
    <w:rsid w:val="322D097C"/>
    <w:rsid w:val="324E74A1"/>
    <w:rsid w:val="326B51ED"/>
    <w:rsid w:val="327465D3"/>
    <w:rsid w:val="32753B3E"/>
    <w:rsid w:val="32A0CFF6"/>
    <w:rsid w:val="32F160F0"/>
    <w:rsid w:val="331B0A3D"/>
    <w:rsid w:val="3365AD84"/>
    <w:rsid w:val="33938258"/>
    <w:rsid w:val="339FE1AC"/>
    <w:rsid w:val="33B0B6BD"/>
    <w:rsid w:val="33C3E176"/>
    <w:rsid w:val="34284B85"/>
    <w:rsid w:val="3461E9C0"/>
    <w:rsid w:val="346D6F8C"/>
    <w:rsid w:val="3498ADF4"/>
    <w:rsid w:val="35153716"/>
    <w:rsid w:val="354FECCC"/>
    <w:rsid w:val="3563B3DB"/>
    <w:rsid w:val="3594478A"/>
    <w:rsid w:val="35EA136D"/>
    <w:rsid w:val="35F2F67E"/>
    <w:rsid w:val="361DA809"/>
    <w:rsid w:val="362D90F7"/>
    <w:rsid w:val="363204CC"/>
    <w:rsid w:val="3692D43B"/>
    <w:rsid w:val="3710D37D"/>
    <w:rsid w:val="3726B5CD"/>
    <w:rsid w:val="376C6C59"/>
    <w:rsid w:val="3789F92C"/>
    <w:rsid w:val="37FB9F88"/>
    <w:rsid w:val="380562C7"/>
    <w:rsid w:val="38308C13"/>
    <w:rsid w:val="38359477"/>
    <w:rsid w:val="38487D73"/>
    <w:rsid w:val="38719E40"/>
    <w:rsid w:val="38734BE6"/>
    <w:rsid w:val="387DFC27"/>
    <w:rsid w:val="38AEDA36"/>
    <w:rsid w:val="38E01C6E"/>
    <w:rsid w:val="38E30F60"/>
    <w:rsid w:val="38E863E2"/>
    <w:rsid w:val="39078BD9"/>
    <w:rsid w:val="398E66C9"/>
    <w:rsid w:val="39A66344"/>
    <w:rsid w:val="39A75426"/>
    <w:rsid w:val="39F41808"/>
    <w:rsid w:val="39FB8250"/>
    <w:rsid w:val="3A5DFF3F"/>
    <w:rsid w:val="3A9F05E2"/>
    <w:rsid w:val="3B01C6FD"/>
    <w:rsid w:val="3B0A34D6"/>
    <w:rsid w:val="3B1E6D38"/>
    <w:rsid w:val="3B2277E6"/>
    <w:rsid w:val="3B362480"/>
    <w:rsid w:val="3B3854B5"/>
    <w:rsid w:val="3B467907"/>
    <w:rsid w:val="3B479929"/>
    <w:rsid w:val="3B715CFB"/>
    <w:rsid w:val="3B7796DB"/>
    <w:rsid w:val="3BA2347E"/>
    <w:rsid w:val="3CAD6EF9"/>
    <w:rsid w:val="3CBCB3D0"/>
    <w:rsid w:val="3CD798EB"/>
    <w:rsid w:val="3CDB203E"/>
    <w:rsid w:val="3CFEB980"/>
    <w:rsid w:val="3D70BB04"/>
    <w:rsid w:val="3DBE9054"/>
    <w:rsid w:val="3E03E464"/>
    <w:rsid w:val="3E41497A"/>
    <w:rsid w:val="3E4C9FCE"/>
    <w:rsid w:val="3E51B8E5"/>
    <w:rsid w:val="3E7E9147"/>
    <w:rsid w:val="3E874B1C"/>
    <w:rsid w:val="3E878879"/>
    <w:rsid w:val="3E9199F7"/>
    <w:rsid w:val="3EDE33A7"/>
    <w:rsid w:val="3EE7D729"/>
    <w:rsid w:val="3EFECFF0"/>
    <w:rsid w:val="3FA7FC9A"/>
    <w:rsid w:val="3FF922DF"/>
    <w:rsid w:val="4061C06D"/>
    <w:rsid w:val="40692800"/>
    <w:rsid w:val="40898F7C"/>
    <w:rsid w:val="40D6E5C2"/>
    <w:rsid w:val="41154428"/>
    <w:rsid w:val="412665F5"/>
    <w:rsid w:val="41279FD4"/>
    <w:rsid w:val="4157552C"/>
    <w:rsid w:val="4180817A"/>
    <w:rsid w:val="41B5D04E"/>
    <w:rsid w:val="41BE2393"/>
    <w:rsid w:val="42C4E2F0"/>
    <w:rsid w:val="435F4BCA"/>
    <w:rsid w:val="438B0B8D"/>
    <w:rsid w:val="43B47571"/>
    <w:rsid w:val="43F0F45D"/>
    <w:rsid w:val="4403A191"/>
    <w:rsid w:val="4418F7F6"/>
    <w:rsid w:val="4424B1F1"/>
    <w:rsid w:val="442EBE57"/>
    <w:rsid w:val="4455E053"/>
    <w:rsid w:val="44781C8D"/>
    <w:rsid w:val="447AAF6A"/>
    <w:rsid w:val="44E538FD"/>
    <w:rsid w:val="44F07E68"/>
    <w:rsid w:val="44FA42EF"/>
    <w:rsid w:val="45065F5E"/>
    <w:rsid w:val="458A94B0"/>
    <w:rsid w:val="459B56EC"/>
    <w:rsid w:val="45BB1B0C"/>
    <w:rsid w:val="46304122"/>
    <w:rsid w:val="46439E93"/>
    <w:rsid w:val="4654864E"/>
    <w:rsid w:val="4655D07D"/>
    <w:rsid w:val="466C05C6"/>
    <w:rsid w:val="46749DD6"/>
    <w:rsid w:val="4674B32E"/>
    <w:rsid w:val="46962EE2"/>
    <w:rsid w:val="46A49225"/>
    <w:rsid w:val="46D994D5"/>
    <w:rsid w:val="46F42BBD"/>
    <w:rsid w:val="47118AC2"/>
    <w:rsid w:val="472569CF"/>
    <w:rsid w:val="4727CAD6"/>
    <w:rsid w:val="47373C51"/>
    <w:rsid w:val="47565D14"/>
    <w:rsid w:val="4782362F"/>
    <w:rsid w:val="47BC6759"/>
    <w:rsid w:val="47F9F6CB"/>
    <w:rsid w:val="483EB5F3"/>
    <w:rsid w:val="48B24B71"/>
    <w:rsid w:val="48C8E4B4"/>
    <w:rsid w:val="490AA981"/>
    <w:rsid w:val="4952F718"/>
    <w:rsid w:val="49645835"/>
    <w:rsid w:val="497BCE3F"/>
    <w:rsid w:val="4995611A"/>
    <w:rsid w:val="49C86C3B"/>
    <w:rsid w:val="49D754D7"/>
    <w:rsid w:val="49ED1280"/>
    <w:rsid w:val="49F7E010"/>
    <w:rsid w:val="4A050BED"/>
    <w:rsid w:val="4A59C3B1"/>
    <w:rsid w:val="4AD2423C"/>
    <w:rsid w:val="4B1D4764"/>
    <w:rsid w:val="4B461659"/>
    <w:rsid w:val="4B8EE060"/>
    <w:rsid w:val="4B924352"/>
    <w:rsid w:val="4BBCC0C8"/>
    <w:rsid w:val="4BEA1829"/>
    <w:rsid w:val="4C0F8EC6"/>
    <w:rsid w:val="4C441ABA"/>
    <w:rsid w:val="4C729A4E"/>
    <w:rsid w:val="4CA81462"/>
    <w:rsid w:val="4CC11D8E"/>
    <w:rsid w:val="4D0930E4"/>
    <w:rsid w:val="4D1BDAAC"/>
    <w:rsid w:val="4D6FF0BC"/>
    <w:rsid w:val="4D84887A"/>
    <w:rsid w:val="4E1CD8E8"/>
    <w:rsid w:val="4E48F670"/>
    <w:rsid w:val="4E8C1F86"/>
    <w:rsid w:val="4E8DC3E2"/>
    <w:rsid w:val="4E94EB1A"/>
    <w:rsid w:val="4EAD197B"/>
    <w:rsid w:val="4ECF9CC7"/>
    <w:rsid w:val="4EF17771"/>
    <w:rsid w:val="4F177560"/>
    <w:rsid w:val="4F2FF5F5"/>
    <w:rsid w:val="4F36CF6B"/>
    <w:rsid w:val="4F4EFFD4"/>
    <w:rsid w:val="4F66330C"/>
    <w:rsid w:val="4F7CEB62"/>
    <w:rsid w:val="4F97CC36"/>
    <w:rsid w:val="4FB2E4D5"/>
    <w:rsid w:val="4FC7DC62"/>
    <w:rsid w:val="5024313E"/>
    <w:rsid w:val="503EE4F6"/>
    <w:rsid w:val="50402EB1"/>
    <w:rsid w:val="5050CD9F"/>
    <w:rsid w:val="50C32761"/>
    <w:rsid w:val="50D407BC"/>
    <w:rsid w:val="50F72EC0"/>
    <w:rsid w:val="50FA6ECA"/>
    <w:rsid w:val="5104089E"/>
    <w:rsid w:val="510DDA2D"/>
    <w:rsid w:val="512C2D0D"/>
    <w:rsid w:val="51A37481"/>
    <w:rsid w:val="51B632D5"/>
    <w:rsid w:val="51B7C66F"/>
    <w:rsid w:val="5215C140"/>
    <w:rsid w:val="5231806A"/>
    <w:rsid w:val="52353AC6"/>
    <w:rsid w:val="525D8866"/>
    <w:rsid w:val="52F8023D"/>
    <w:rsid w:val="530D1348"/>
    <w:rsid w:val="5399E754"/>
    <w:rsid w:val="53CFD82B"/>
    <w:rsid w:val="53D7856A"/>
    <w:rsid w:val="53EB8021"/>
    <w:rsid w:val="540F622D"/>
    <w:rsid w:val="543AB9DE"/>
    <w:rsid w:val="546271EF"/>
    <w:rsid w:val="547055C4"/>
    <w:rsid w:val="549E7CF4"/>
    <w:rsid w:val="54C0BFEA"/>
    <w:rsid w:val="55084553"/>
    <w:rsid w:val="550FD613"/>
    <w:rsid w:val="55245693"/>
    <w:rsid w:val="554305EE"/>
    <w:rsid w:val="55A08AA8"/>
    <w:rsid w:val="55A5464F"/>
    <w:rsid w:val="561AE09A"/>
    <w:rsid w:val="56585D15"/>
    <w:rsid w:val="56622819"/>
    <w:rsid w:val="566697ED"/>
    <w:rsid w:val="5667D21F"/>
    <w:rsid w:val="568C61E1"/>
    <w:rsid w:val="569296E3"/>
    <w:rsid w:val="56D0BC22"/>
    <w:rsid w:val="573485E2"/>
    <w:rsid w:val="573960B7"/>
    <w:rsid w:val="57550329"/>
    <w:rsid w:val="57650901"/>
    <w:rsid w:val="576C6966"/>
    <w:rsid w:val="577F09D6"/>
    <w:rsid w:val="57A551F7"/>
    <w:rsid w:val="580CC875"/>
    <w:rsid w:val="581BF1AA"/>
    <w:rsid w:val="58659F81"/>
    <w:rsid w:val="586CF58F"/>
    <w:rsid w:val="5895C52C"/>
    <w:rsid w:val="58A7E900"/>
    <w:rsid w:val="58AC182B"/>
    <w:rsid w:val="58CD8211"/>
    <w:rsid w:val="58CDA930"/>
    <w:rsid w:val="58D22F23"/>
    <w:rsid w:val="58EC3DB7"/>
    <w:rsid w:val="596909B4"/>
    <w:rsid w:val="5990C82C"/>
    <w:rsid w:val="59CB8E59"/>
    <w:rsid w:val="59DCE919"/>
    <w:rsid w:val="59EFC636"/>
    <w:rsid w:val="5A01FBC4"/>
    <w:rsid w:val="5A2FFDC0"/>
    <w:rsid w:val="5A4B2150"/>
    <w:rsid w:val="5A904C62"/>
    <w:rsid w:val="5AA39EC1"/>
    <w:rsid w:val="5ABAF880"/>
    <w:rsid w:val="5AF1DB69"/>
    <w:rsid w:val="5B5A0769"/>
    <w:rsid w:val="5C196AE5"/>
    <w:rsid w:val="5C61FA22"/>
    <w:rsid w:val="5C6834BE"/>
    <w:rsid w:val="5C6FE508"/>
    <w:rsid w:val="5CD1BF16"/>
    <w:rsid w:val="5D6A6C87"/>
    <w:rsid w:val="5DBB769E"/>
    <w:rsid w:val="5DE33F8A"/>
    <w:rsid w:val="5DE3E972"/>
    <w:rsid w:val="5E1F1BD5"/>
    <w:rsid w:val="5E54EE63"/>
    <w:rsid w:val="5E76C978"/>
    <w:rsid w:val="5EB3C6C3"/>
    <w:rsid w:val="5EC3C158"/>
    <w:rsid w:val="5F055704"/>
    <w:rsid w:val="5F32A96B"/>
    <w:rsid w:val="5F572696"/>
    <w:rsid w:val="5F5CE01A"/>
    <w:rsid w:val="5FC7ACB3"/>
    <w:rsid w:val="5FCD17EA"/>
    <w:rsid w:val="6094B1EB"/>
    <w:rsid w:val="609F7FD1"/>
    <w:rsid w:val="60AFFF03"/>
    <w:rsid w:val="60E6FBAF"/>
    <w:rsid w:val="617561ED"/>
    <w:rsid w:val="62845D5F"/>
    <w:rsid w:val="628A3B9A"/>
    <w:rsid w:val="63D17ABE"/>
    <w:rsid w:val="642990FC"/>
    <w:rsid w:val="646DFA1D"/>
    <w:rsid w:val="64EE9F8B"/>
    <w:rsid w:val="64F29C28"/>
    <w:rsid w:val="650F45D0"/>
    <w:rsid w:val="65184A55"/>
    <w:rsid w:val="65535495"/>
    <w:rsid w:val="657A19E5"/>
    <w:rsid w:val="65953F0E"/>
    <w:rsid w:val="65C2E52E"/>
    <w:rsid w:val="66070A7F"/>
    <w:rsid w:val="66425C61"/>
    <w:rsid w:val="664B370F"/>
    <w:rsid w:val="665458CB"/>
    <w:rsid w:val="66B161D1"/>
    <w:rsid w:val="66F33720"/>
    <w:rsid w:val="67430A64"/>
    <w:rsid w:val="678034D3"/>
    <w:rsid w:val="67CCC571"/>
    <w:rsid w:val="68093B55"/>
    <w:rsid w:val="681D4DCF"/>
    <w:rsid w:val="684B2F5C"/>
    <w:rsid w:val="68645168"/>
    <w:rsid w:val="688E0B40"/>
    <w:rsid w:val="68959810"/>
    <w:rsid w:val="68DF9697"/>
    <w:rsid w:val="69205CCB"/>
    <w:rsid w:val="6929A108"/>
    <w:rsid w:val="692C18BB"/>
    <w:rsid w:val="6939B83F"/>
    <w:rsid w:val="696C1845"/>
    <w:rsid w:val="696E1247"/>
    <w:rsid w:val="697B58F1"/>
    <w:rsid w:val="69A90056"/>
    <w:rsid w:val="69FAF2D9"/>
    <w:rsid w:val="6A166C7D"/>
    <w:rsid w:val="6A1CE860"/>
    <w:rsid w:val="6A32D12F"/>
    <w:rsid w:val="6A860412"/>
    <w:rsid w:val="6A9CC2A5"/>
    <w:rsid w:val="6AA80AF1"/>
    <w:rsid w:val="6ABED7CC"/>
    <w:rsid w:val="6AE6B95B"/>
    <w:rsid w:val="6AEB26CF"/>
    <w:rsid w:val="6AECA9EC"/>
    <w:rsid w:val="6B149CF1"/>
    <w:rsid w:val="6B158881"/>
    <w:rsid w:val="6B1A660D"/>
    <w:rsid w:val="6B2E336B"/>
    <w:rsid w:val="6B562A68"/>
    <w:rsid w:val="6B8ABD5E"/>
    <w:rsid w:val="6BB7BB53"/>
    <w:rsid w:val="6C675B3A"/>
    <w:rsid w:val="6CBCEC18"/>
    <w:rsid w:val="6CC992EB"/>
    <w:rsid w:val="6D00CD4D"/>
    <w:rsid w:val="6D0A4796"/>
    <w:rsid w:val="6D272F1A"/>
    <w:rsid w:val="6D4800A1"/>
    <w:rsid w:val="6D9E9AA1"/>
    <w:rsid w:val="6DB48648"/>
    <w:rsid w:val="6E1662A8"/>
    <w:rsid w:val="6E2BF25F"/>
    <w:rsid w:val="6E8CA207"/>
    <w:rsid w:val="6ED0E7C5"/>
    <w:rsid w:val="6F43B2DA"/>
    <w:rsid w:val="6F803610"/>
    <w:rsid w:val="6F933ED6"/>
    <w:rsid w:val="6FC5E190"/>
    <w:rsid w:val="7002F348"/>
    <w:rsid w:val="70280E54"/>
    <w:rsid w:val="702F0BF4"/>
    <w:rsid w:val="7049344F"/>
    <w:rsid w:val="704B322B"/>
    <w:rsid w:val="7050B807"/>
    <w:rsid w:val="707DF129"/>
    <w:rsid w:val="70C84CE6"/>
    <w:rsid w:val="716AF493"/>
    <w:rsid w:val="720FAABC"/>
    <w:rsid w:val="722A22DD"/>
    <w:rsid w:val="72723725"/>
    <w:rsid w:val="72A45446"/>
    <w:rsid w:val="7316D814"/>
    <w:rsid w:val="73196021"/>
    <w:rsid w:val="734621EB"/>
    <w:rsid w:val="7347854F"/>
    <w:rsid w:val="73563EF8"/>
    <w:rsid w:val="73CC9E15"/>
    <w:rsid w:val="746EFFBD"/>
    <w:rsid w:val="74BCB0AC"/>
    <w:rsid w:val="74D0269F"/>
    <w:rsid w:val="74DC413A"/>
    <w:rsid w:val="752E6AF1"/>
    <w:rsid w:val="7541EDF6"/>
    <w:rsid w:val="754702AE"/>
    <w:rsid w:val="757AB2F3"/>
    <w:rsid w:val="757AD398"/>
    <w:rsid w:val="7585A98F"/>
    <w:rsid w:val="75A77407"/>
    <w:rsid w:val="75DDF443"/>
    <w:rsid w:val="762249C5"/>
    <w:rsid w:val="7658A405"/>
    <w:rsid w:val="76AC4D72"/>
    <w:rsid w:val="76B0D29B"/>
    <w:rsid w:val="76B5D40F"/>
    <w:rsid w:val="76BD055B"/>
    <w:rsid w:val="76C16E0A"/>
    <w:rsid w:val="76E0C63B"/>
    <w:rsid w:val="76E3C25C"/>
    <w:rsid w:val="771723A2"/>
    <w:rsid w:val="7722B3F7"/>
    <w:rsid w:val="776BBE1E"/>
    <w:rsid w:val="77D3E841"/>
    <w:rsid w:val="78496ABE"/>
    <w:rsid w:val="787974ED"/>
    <w:rsid w:val="788BF2C8"/>
    <w:rsid w:val="78BBD896"/>
    <w:rsid w:val="78CAAE62"/>
    <w:rsid w:val="78F2A0AF"/>
    <w:rsid w:val="79073701"/>
    <w:rsid w:val="793B455B"/>
    <w:rsid w:val="794AFB26"/>
    <w:rsid w:val="797E54F5"/>
    <w:rsid w:val="79C6C240"/>
    <w:rsid w:val="79D5C5DC"/>
    <w:rsid w:val="79DAA64C"/>
    <w:rsid w:val="79F435B9"/>
    <w:rsid w:val="7A112D0B"/>
    <w:rsid w:val="7A2E3046"/>
    <w:rsid w:val="7A43884B"/>
    <w:rsid w:val="7A5A3949"/>
    <w:rsid w:val="7A5E5876"/>
    <w:rsid w:val="7A79CC79"/>
    <w:rsid w:val="7AB14C47"/>
    <w:rsid w:val="7ABAC4B6"/>
    <w:rsid w:val="7AC26C0D"/>
    <w:rsid w:val="7AF0BCA8"/>
    <w:rsid w:val="7AF496DF"/>
    <w:rsid w:val="7B23FB27"/>
    <w:rsid w:val="7B264AA6"/>
    <w:rsid w:val="7B2D5B55"/>
    <w:rsid w:val="7B6F79A2"/>
    <w:rsid w:val="7B885158"/>
    <w:rsid w:val="7B950621"/>
    <w:rsid w:val="7BAD5062"/>
    <w:rsid w:val="7BE7DB33"/>
    <w:rsid w:val="7CB983D1"/>
    <w:rsid w:val="7CD425ED"/>
    <w:rsid w:val="7CDA70E9"/>
    <w:rsid w:val="7CEBB621"/>
    <w:rsid w:val="7CFBBDD8"/>
    <w:rsid w:val="7D42D6A3"/>
    <w:rsid w:val="7D7A0756"/>
    <w:rsid w:val="7DFE2431"/>
    <w:rsid w:val="7E2E8D92"/>
    <w:rsid w:val="7E6BD5D9"/>
    <w:rsid w:val="7E728F32"/>
    <w:rsid w:val="7E87CC2A"/>
    <w:rsid w:val="7EA68C60"/>
    <w:rsid w:val="7EB72C85"/>
    <w:rsid w:val="7EBBBB4E"/>
    <w:rsid w:val="7ECA38B9"/>
    <w:rsid w:val="7EE8C803"/>
    <w:rsid w:val="7F0E1404"/>
    <w:rsid w:val="7F14CCD2"/>
    <w:rsid w:val="7FA96EE3"/>
    <w:rsid w:val="7FB59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F906"/>
  <w14:defaultImageDpi w14:val="32767"/>
  <w15:chartTrackingRefBased/>
  <w15:docId w15:val="{313C22FF-A31F-42EC-BC23-5BAB9D29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6"/>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6"/>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 w:type="paragraph" w:customStyle="1" w:styleId="DJCSbody">
    <w:name w:val="DJCS body"/>
    <w:link w:val="DJCSbodyChar"/>
    <w:qFormat/>
    <w:rsid w:val="00114EB2"/>
    <w:pPr>
      <w:spacing w:after="120" w:line="250" w:lineRule="atLeast"/>
      <w:ind w:left="851"/>
    </w:pPr>
    <w:rPr>
      <w:rFonts w:ascii="Arial" w:eastAsia="Times" w:hAnsi="Arial" w:cs="Times New Roman"/>
      <w:sz w:val="22"/>
      <w:szCs w:val="20"/>
      <w:lang w:val="en-AU"/>
    </w:rPr>
  </w:style>
  <w:style w:type="character" w:customStyle="1" w:styleId="DJCSbodyChar">
    <w:name w:val="DJCS body Char"/>
    <w:basedOn w:val="DefaultParagraphFont"/>
    <w:link w:val="DJCSbody"/>
    <w:rsid w:val="00114EB2"/>
    <w:rPr>
      <w:rFonts w:ascii="Arial" w:eastAsia="Times" w:hAnsi="Arial" w:cs="Times New Roman"/>
      <w:sz w:val="22"/>
      <w:szCs w:val="20"/>
      <w:lang w:val="en-AU"/>
    </w:rPr>
  </w:style>
  <w:style w:type="character" w:customStyle="1" w:styleId="normaltextrun">
    <w:name w:val="normaltextrun"/>
    <w:basedOn w:val="DefaultParagraphFont"/>
    <w:rsid w:val="006D603F"/>
  </w:style>
  <w:style w:type="character" w:styleId="Emphasis">
    <w:name w:val="Emphasis"/>
    <w:basedOn w:val="DefaultParagraphFont"/>
    <w:uiPriority w:val="20"/>
    <w:qFormat/>
    <w:rsid w:val="00032331"/>
    <w:rPr>
      <w:i/>
      <w:iCs/>
    </w:rPr>
  </w:style>
  <w:style w:type="character" w:customStyle="1" w:styleId="rpl-text-label">
    <w:name w:val="rpl-text-label"/>
    <w:basedOn w:val="DefaultParagraphFont"/>
    <w:rsid w:val="00D329E8"/>
  </w:style>
  <w:style w:type="character" w:customStyle="1" w:styleId="rpl-text-icongroup">
    <w:name w:val="rpl-text-icon__group"/>
    <w:basedOn w:val="DefaultParagraphFont"/>
    <w:rsid w:val="00D329E8"/>
  </w:style>
  <w:style w:type="character" w:customStyle="1" w:styleId="highlightedtext-926">
    <w:name w:val="highlightedtext-926"/>
    <w:basedOn w:val="DefaultParagraphFont"/>
    <w:rsid w:val="009551F5"/>
  </w:style>
  <w:style w:type="character" w:customStyle="1" w:styleId="text-446">
    <w:name w:val="text-446"/>
    <w:basedOn w:val="DefaultParagraphFont"/>
    <w:rsid w:val="00955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551771843">
      <w:bodyDiv w:val="1"/>
      <w:marLeft w:val="0"/>
      <w:marRight w:val="0"/>
      <w:marTop w:val="0"/>
      <w:marBottom w:val="0"/>
      <w:divBdr>
        <w:top w:val="none" w:sz="0" w:space="0" w:color="auto"/>
        <w:left w:val="none" w:sz="0" w:space="0" w:color="auto"/>
        <w:bottom w:val="none" w:sz="0" w:space="0" w:color="auto"/>
        <w:right w:val="none" w:sz="0" w:space="0" w:color="auto"/>
      </w:divBdr>
    </w:div>
    <w:div w:id="648443601">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752432570">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005204568">
      <w:bodyDiv w:val="1"/>
      <w:marLeft w:val="0"/>
      <w:marRight w:val="0"/>
      <w:marTop w:val="0"/>
      <w:marBottom w:val="0"/>
      <w:divBdr>
        <w:top w:val="none" w:sz="0" w:space="0" w:color="auto"/>
        <w:left w:val="none" w:sz="0" w:space="0" w:color="auto"/>
        <w:bottom w:val="none" w:sz="0" w:space="0" w:color="auto"/>
        <w:right w:val="none" w:sz="0" w:space="0" w:color="auto"/>
      </w:divBdr>
    </w:div>
    <w:div w:id="1100682133">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85621769">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449818801">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597013924">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732116898">
      <w:bodyDiv w:val="1"/>
      <w:marLeft w:val="0"/>
      <w:marRight w:val="0"/>
      <w:marTop w:val="0"/>
      <w:marBottom w:val="0"/>
      <w:divBdr>
        <w:top w:val="none" w:sz="0" w:space="0" w:color="auto"/>
        <w:left w:val="none" w:sz="0" w:space="0" w:color="auto"/>
        <w:bottom w:val="none" w:sz="0" w:space="0" w:color="auto"/>
        <w:right w:val="none" w:sz="0" w:space="0" w:color="auto"/>
      </w:divBdr>
    </w:div>
    <w:div w:id="180291921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mental-health-reform/a-new-mental-health-and-wellbeing-act-for-victori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alaid.vic.gov.au/family-advocacy-and-support-serv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royal-commission-robodebt-scheme-hear-witness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ha.vic.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SharedWithUsers xmlns="e90065c7-7f7f-4df0-a469-5749d80eada3">
      <UserInfo>
        <DisplayName>Ammar Zafar</DisplayName>
        <AccountId>570</AccountId>
        <AccountType/>
      </UserInfo>
      <UserInfo>
        <DisplayName>Vanessa Hirst</DisplayName>
        <AccountId>14</AccountId>
        <AccountType/>
      </UserInfo>
      <UserInfo>
        <DisplayName>Matthew Dale</DisplayName>
        <AccountId>16</AccountId>
        <AccountType/>
      </UserInfo>
      <UserInfo>
        <DisplayName>Megan Panayi</DisplayName>
        <AccountId>343</AccountId>
        <AccountType/>
      </UserInfo>
      <UserInfo>
        <DisplayName>Chris Sheard</DisplayName>
        <AccountId>7</AccountId>
        <AccountType/>
      </UserInfo>
      <UserInfo>
        <DisplayName>Martha Arkalis</DisplayName>
        <AccountId>157</AccountId>
        <AccountType/>
      </UserInfo>
      <UserInfo>
        <DisplayName>Liz Borgia</DisplayName>
        <AccountId>175</AccountId>
        <AccountType/>
      </UserInfo>
      <UserInfo>
        <DisplayName>Kayleigh Elborn</DisplayName>
        <AccountId>579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6" ma:contentTypeDescription="Create a new document." ma:contentTypeScope="" ma:versionID="d4036ebd60c301f18eb857620fef34c1">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a66a6518db4b1bdad0c8b2fa307e5fda"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29B2-146B-4362-9462-0EA11FBBE540}">
  <ds:schemaRefs>
    <ds:schemaRef ds:uri="http://purl.org/dc/dcmitype/"/>
    <ds:schemaRef ds:uri="e90065c7-7f7f-4df0-a469-5749d80eada3"/>
    <ds:schemaRef ds:uri="68c7d542-4e7f-4a13-a678-0dc97ca94df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3.xml><?xml version="1.0" encoding="utf-8"?>
<ds:datastoreItem xmlns:ds="http://schemas.openxmlformats.org/officeDocument/2006/customXml" ds:itemID="{51A7AA7B-E8EB-4DEC-9104-A7D3A23D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 Generic (Fact Sheet)</Template>
  <TotalTime>7</TotalTime>
  <Pages>5</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Victoria Legal Aid 2022–23 Quarter One Report </vt:lpstr>
    </vt:vector>
  </TitlesOfParts>
  <Company>Victoria Legal Aid</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2022–23 Quarter One Report </dc:title>
  <dc:subject/>
  <dc:creator>Victoria Legal Aid</dc:creator>
  <cp:keywords/>
  <dc:description/>
  <cp:lastPrinted>2020-02-05T13:56:00Z</cp:lastPrinted>
  <dcterms:created xsi:type="dcterms:W3CDTF">2020-12-22T12:11:00Z</dcterms:created>
  <dcterms:modified xsi:type="dcterms:W3CDTF">2022-12-21T01:11:00Z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y fmtid="{D5CDD505-2E9C-101B-9397-08002B2CF9AE}" pid="3" name="MSIP_Label_9150236c-7dbd-4fa5-957d-8e3e9c46dc34_Enabled">
    <vt:lpwstr>true</vt:lpwstr>
  </property>
  <property fmtid="{D5CDD505-2E9C-101B-9397-08002B2CF9AE}" pid="4" name="MSIP_Label_9150236c-7dbd-4fa5-957d-8e3e9c46dc34_SetDate">
    <vt:lpwstr>2022-09-20T06:24:51Z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c2447eb9-b69e-401e-9b5e-9746304edce4</vt:lpwstr>
  </property>
  <property fmtid="{D5CDD505-2E9C-101B-9397-08002B2CF9AE}" pid="9" name="MSIP_Label_9150236c-7dbd-4fa5-957d-8e3e9c46dc34_ContentBits">
    <vt:lpwstr>1</vt:lpwstr>
  </property>
  <property fmtid="{D5CDD505-2E9C-101B-9397-08002B2CF9AE}" pid="10" name="MediaServiceImageTags">
    <vt:lpwstr/>
  </property>
</Properties>
</file>