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F6626" w14:textId="15CBC062" w:rsidR="00E50B26" w:rsidRDefault="00627BED" w:rsidP="0082604E">
      <w:pPr>
        <w:pStyle w:val="Heading1"/>
        <w:tabs>
          <w:tab w:val="left" w:pos="2268"/>
        </w:tabs>
        <w:rPr>
          <w:sz w:val="24"/>
          <w:szCs w:val="24"/>
        </w:rPr>
      </w:pPr>
      <w:r>
        <w:t xml:space="preserve">Victoria Legal Aid </w:t>
      </w:r>
      <w:r w:rsidR="004175B7">
        <w:t>20</w:t>
      </w:r>
      <w:r w:rsidR="00214F4D">
        <w:t>2</w:t>
      </w:r>
      <w:r w:rsidR="00B378B6">
        <w:t>1</w:t>
      </w:r>
      <w:r w:rsidR="004175B7">
        <w:t>–2</w:t>
      </w:r>
      <w:r w:rsidR="00B378B6">
        <w:t>2</w:t>
      </w:r>
      <w:r w:rsidR="004175B7">
        <w:t xml:space="preserve"> </w:t>
      </w:r>
      <w:r w:rsidR="79DAA64C">
        <w:t>Q</w:t>
      </w:r>
      <w:r w:rsidR="004175B7">
        <w:t xml:space="preserve">uarter </w:t>
      </w:r>
      <w:r w:rsidR="004B5BE9">
        <w:t>Four</w:t>
      </w:r>
      <w:r w:rsidR="00214F4D">
        <w:t xml:space="preserve"> </w:t>
      </w:r>
      <w:r w:rsidR="2FDC21A0">
        <w:t>R</w:t>
      </w:r>
      <w:r w:rsidR="004175B7">
        <w:t>eport</w:t>
      </w:r>
      <w:r w:rsidR="00544E69">
        <w:t xml:space="preserve"> </w:t>
      </w:r>
      <w:r>
        <w:br/>
      </w:r>
      <w:r w:rsidR="00DC4815" w:rsidRPr="79C9147B">
        <w:rPr>
          <w:sz w:val="24"/>
          <w:szCs w:val="24"/>
        </w:rPr>
        <w:t xml:space="preserve">1 </w:t>
      </w:r>
      <w:r w:rsidR="00904CEF">
        <w:rPr>
          <w:sz w:val="24"/>
          <w:szCs w:val="24"/>
        </w:rPr>
        <w:t>April</w:t>
      </w:r>
      <w:r w:rsidR="00544E69" w:rsidRPr="79C9147B">
        <w:rPr>
          <w:sz w:val="24"/>
          <w:szCs w:val="24"/>
        </w:rPr>
        <w:t xml:space="preserve"> – </w:t>
      </w:r>
      <w:r w:rsidR="00904CEF">
        <w:rPr>
          <w:sz w:val="24"/>
          <w:szCs w:val="24"/>
        </w:rPr>
        <w:t>30 June</w:t>
      </w:r>
      <w:r w:rsidR="00DC4815" w:rsidRPr="79C9147B">
        <w:rPr>
          <w:sz w:val="24"/>
          <w:szCs w:val="24"/>
        </w:rPr>
        <w:t xml:space="preserve"> </w:t>
      </w:r>
      <w:r w:rsidR="00544E69" w:rsidRPr="79C9147B">
        <w:rPr>
          <w:sz w:val="24"/>
          <w:szCs w:val="24"/>
        </w:rPr>
        <w:t>20</w:t>
      </w:r>
      <w:r w:rsidR="00DC4815" w:rsidRPr="79C9147B">
        <w:rPr>
          <w:sz w:val="24"/>
          <w:szCs w:val="24"/>
        </w:rPr>
        <w:t>2</w:t>
      </w:r>
      <w:r w:rsidR="00B378B6">
        <w:rPr>
          <w:sz w:val="24"/>
          <w:szCs w:val="24"/>
        </w:rPr>
        <w:t>2</w:t>
      </w:r>
    </w:p>
    <w:p w14:paraId="518903F1" w14:textId="52E9E7BF" w:rsidR="005128D9" w:rsidRDefault="00BF1E92" w:rsidP="00871D98">
      <w:pPr>
        <w:pStyle w:val="Heading2"/>
      </w:pPr>
      <w:r>
        <w:t xml:space="preserve">Message from the </w:t>
      </w:r>
      <w:r w:rsidRPr="001F0CF5">
        <w:t>CEO</w:t>
      </w:r>
    </w:p>
    <w:p w14:paraId="4AB609AD" w14:textId="2B99DD43" w:rsidR="00B715FB" w:rsidRDefault="00B715FB" w:rsidP="00022C58">
      <w:r>
        <w:rPr>
          <w:lang w:eastAsia="en-AU"/>
        </w:rPr>
        <w:t>In 2021</w:t>
      </w:r>
      <w:r w:rsidR="00AE6617">
        <w:rPr>
          <w:lang w:eastAsia="en-AU"/>
        </w:rPr>
        <w:t>–</w:t>
      </w:r>
      <w:r>
        <w:rPr>
          <w:lang w:eastAsia="en-AU"/>
        </w:rPr>
        <w:t>22 we were still experiencing pandemic</w:t>
      </w:r>
      <w:r w:rsidR="00AE6617">
        <w:rPr>
          <w:lang w:eastAsia="en-AU"/>
        </w:rPr>
        <w:t>-</w:t>
      </w:r>
      <w:r>
        <w:rPr>
          <w:lang w:eastAsia="en-AU"/>
        </w:rPr>
        <w:t xml:space="preserve">related restrictions, </w:t>
      </w:r>
      <w:r w:rsidR="00493360">
        <w:rPr>
          <w:lang w:eastAsia="en-AU"/>
        </w:rPr>
        <w:t xml:space="preserve">which </w:t>
      </w:r>
      <w:r>
        <w:rPr>
          <w:lang w:eastAsia="en-AU"/>
        </w:rPr>
        <w:t>affect</w:t>
      </w:r>
      <w:r w:rsidR="00493360">
        <w:rPr>
          <w:lang w:eastAsia="en-AU"/>
        </w:rPr>
        <w:t>ed</w:t>
      </w:r>
      <w:r>
        <w:rPr>
          <w:lang w:eastAsia="en-AU"/>
        </w:rPr>
        <w:t xml:space="preserve"> our service delivery and financial results. Whilst we saw more clients and provided more </w:t>
      </w:r>
      <w:r w:rsidR="002A3444">
        <w:rPr>
          <w:lang w:eastAsia="en-AU"/>
        </w:rPr>
        <w:t xml:space="preserve">duty lawyer </w:t>
      </w:r>
      <w:r>
        <w:rPr>
          <w:lang w:eastAsia="en-AU"/>
        </w:rPr>
        <w:t xml:space="preserve">services than </w:t>
      </w:r>
      <w:r w:rsidR="00493360">
        <w:rPr>
          <w:lang w:eastAsia="en-AU"/>
        </w:rPr>
        <w:t>in</w:t>
      </w:r>
      <w:r>
        <w:rPr>
          <w:lang w:eastAsia="en-AU"/>
        </w:rPr>
        <w:t xml:space="preserve"> 2020</w:t>
      </w:r>
      <w:r w:rsidR="00493360">
        <w:rPr>
          <w:lang w:eastAsia="en-AU"/>
        </w:rPr>
        <w:t>–</w:t>
      </w:r>
      <w:r>
        <w:rPr>
          <w:lang w:eastAsia="en-AU"/>
        </w:rPr>
        <w:t>21, there was a slower than anticipated return to normal court operations</w:t>
      </w:r>
      <w:r w:rsidR="0034201C">
        <w:rPr>
          <w:lang w:eastAsia="en-AU"/>
        </w:rPr>
        <w:t>,</w:t>
      </w:r>
      <w:r>
        <w:rPr>
          <w:lang w:eastAsia="en-AU"/>
        </w:rPr>
        <w:t xml:space="preserve"> meaning we are still not providing as many </w:t>
      </w:r>
      <w:r w:rsidR="002A3444">
        <w:rPr>
          <w:lang w:eastAsia="en-AU"/>
        </w:rPr>
        <w:t xml:space="preserve">overall </w:t>
      </w:r>
      <w:r>
        <w:rPr>
          <w:lang w:eastAsia="en-AU"/>
        </w:rPr>
        <w:t>services as pre-pandemic years</w:t>
      </w:r>
      <w:r>
        <w:t>.</w:t>
      </w:r>
    </w:p>
    <w:p w14:paraId="531EFF22" w14:textId="03E8A7C5" w:rsidR="00AC5E1A" w:rsidRDefault="004E499D" w:rsidP="00022C58">
      <w:r>
        <w:rPr>
          <w:lang w:eastAsia="en-AU"/>
        </w:rPr>
        <w:t xml:space="preserve">Our focus on </w:t>
      </w:r>
      <w:r w:rsidR="003C5B7B">
        <w:rPr>
          <w:lang w:eastAsia="en-AU"/>
        </w:rPr>
        <w:t xml:space="preserve">refining and </w:t>
      </w:r>
      <w:r>
        <w:rPr>
          <w:lang w:eastAsia="en-AU"/>
        </w:rPr>
        <w:t>growing early intervention</w:t>
      </w:r>
      <w:r w:rsidR="007C0170">
        <w:rPr>
          <w:lang w:eastAsia="en-AU"/>
        </w:rPr>
        <w:t xml:space="preserve"> and early resolution </w:t>
      </w:r>
      <w:r>
        <w:rPr>
          <w:lang w:eastAsia="en-AU"/>
        </w:rPr>
        <w:t xml:space="preserve">services </w:t>
      </w:r>
      <w:r w:rsidR="007C0170">
        <w:rPr>
          <w:lang w:eastAsia="en-AU"/>
        </w:rPr>
        <w:t xml:space="preserve">continues. </w:t>
      </w:r>
      <w:r w:rsidR="0089016E">
        <w:rPr>
          <w:lang w:eastAsia="en-AU"/>
        </w:rPr>
        <w:t xml:space="preserve">Help Before Court (HB4C) was designed and implemented </w:t>
      </w:r>
      <w:r w:rsidR="00914E5D">
        <w:rPr>
          <w:lang w:eastAsia="en-AU"/>
        </w:rPr>
        <w:t xml:space="preserve">in response to COVID-19 and </w:t>
      </w:r>
      <w:r w:rsidR="0089016E">
        <w:rPr>
          <w:lang w:eastAsia="en-AU"/>
        </w:rPr>
        <w:t xml:space="preserve">to complement our existing in-person duty lawyer services. </w:t>
      </w:r>
      <w:r w:rsidR="00985B4E">
        <w:rPr>
          <w:lang w:eastAsia="en-AU"/>
        </w:rPr>
        <w:t xml:space="preserve">An evaluation of our </w:t>
      </w:r>
      <w:hyperlink r:id="rId11" w:history="1">
        <w:r w:rsidR="00985B4E" w:rsidRPr="000F03C4">
          <w:rPr>
            <w:rStyle w:val="Hyperlink"/>
            <w:lang w:eastAsia="en-AU"/>
          </w:rPr>
          <w:t>Help Before Court</w:t>
        </w:r>
      </w:hyperlink>
      <w:r w:rsidR="00985B4E">
        <w:rPr>
          <w:lang w:eastAsia="en-AU"/>
        </w:rPr>
        <w:t xml:space="preserve"> service </w:t>
      </w:r>
      <w:r w:rsidR="00DC2B5E">
        <w:t xml:space="preserve">has backed the pre-court service to continue and </w:t>
      </w:r>
      <w:r w:rsidR="003C5B7B">
        <w:t>expand</w:t>
      </w:r>
      <w:r w:rsidR="00DC2B5E">
        <w:t>, saying it has provided a better experience for many clients and can often lead to better outcomes</w:t>
      </w:r>
      <w:r w:rsidR="000014B8">
        <w:t xml:space="preserve">. </w:t>
      </w:r>
      <w:r w:rsidR="0089016E" w:rsidRPr="0089016E">
        <w:rPr>
          <w:rFonts w:cs="Arial"/>
        </w:rPr>
        <w:t>The success of HB4C has shown the appetite among clients for greater use of technology and for greater contact options when seeking help, highlighting the value of service design that is informed by the clients who will use it.</w:t>
      </w:r>
      <w:r w:rsidR="00074B57" w:rsidRPr="00074B57">
        <w:t xml:space="preserve"> </w:t>
      </w:r>
    </w:p>
    <w:p w14:paraId="1E949C0E" w14:textId="768AAC6E" w:rsidR="00677684" w:rsidRDefault="00664865" w:rsidP="00022C58">
      <w:pPr>
        <w:rPr>
          <w:rFonts w:cs="Arial"/>
        </w:rPr>
      </w:pPr>
      <w:r w:rsidRPr="00DF1F3A">
        <w:rPr>
          <w:szCs w:val="22"/>
        </w:rPr>
        <w:t xml:space="preserve">Our new website, launched in May 2022, has </w:t>
      </w:r>
      <w:r w:rsidR="00043F34">
        <w:rPr>
          <w:szCs w:val="22"/>
        </w:rPr>
        <w:t xml:space="preserve">also </w:t>
      </w:r>
      <w:r w:rsidRPr="00DF1F3A">
        <w:rPr>
          <w:szCs w:val="22"/>
        </w:rPr>
        <w:t xml:space="preserve">been developed in conjunction with our clients in a user centric way, delivering a </w:t>
      </w:r>
      <w:r w:rsidR="00074B57" w:rsidRPr="009A48A2">
        <w:t xml:space="preserve">contemporary, </w:t>
      </w:r>
      <w:r w:rsidR="009C4499" w:rsidRPr="009A48A2">
        <w:t>interactive,</w:t>
      </w:r>
      <w:r w:rsidR="00074B57" w:rsidRPr="009A48A2">
        <w:t xml:space="preserve"> </w:t>
      </w:r>
      <w:r w:rsidR="00074B57">
        <w:t>and easier way to access legal information</w:t>
      </w:r>
      <w:r w:rsidR="0083685A" w:rsidRPr="00257CF6">
        <w:rPr>
          <w:rFonts w:eastAsiaTheme="minorEastAsia"/>
          <w:lang w:eastAsia="en-AU"/>
        </w:rPr>
        <w:t>. It also supports self-help as a first step, before accessing intensive services like webchat or calling Legal Help.</w:t>
      </w:r>
    </w:p>
    <w:p w14:paraId="713003BD" w14:textId="2288F165" w:rsidR="00EC2DEF" w:rsidRDefault="007B4B5C" w:rsidP="00EC2DEF">
      <w:pPr>
        <w:rPr>
          <w:szCs w:val="22"/>
          <w:lang w:eastAsia="en-AU"/>
        </w:rPr>
      </w:pPr>
      <w:r>
        <w:t xml:space="preserve">We </w:t>
      </w:r>
      <w:r w:rsidR="00AC5E1A">
        <w:t xml:space="preserve">also </w:t>
      </w:r>
      <w:r>
        <w:t xml:space="preserve">launched our new </w:t>
      </w:r>
      <w:r w:rsidR="00E412A3">
        <w:t>four-year</w:t>
      </w:r>
      <w:r>
        <w:t xml:space="preserve"> strategy, </w:t>
      </w:r>
      <w:hyperlink r:id="rId12" w:history="1">
        <w:r w:rsidR="00F66852" w:rsidRPr="00E412A3">
          <w:rPr>
            <w:rStyle w:val="Hyperlink"/>
          </w:rPr>
          <w:t>Strategy 26</w:t>
        </w:r>
      </w:hyperlink>
      <w:r>
        <w:t>,</w:t>
      </w:r>
      <w:r w:rsidR="00E412A3">
        <w:t xml:space="preserve"> which outlines how we will work towards a fair, just and inclusive society</w:t>
      </w:r>
      <w:r w:rsidR="00DE1A91">
        <w:t>. As part of the development of this strategy we have added a new value of inclusion</w:t>
      </w:r>
      <w:r w:rsidR="00760F3A">
        <w:t xml:space="preserve">. </w:t>
      </w:r>
      <w:r w:rsidR="00824A14">
        <w:t xml:space="preserve">During </w:t>
      </w:r>
      <w:r w:rsidR="00E74B83">
        <w:t>2021</w:t>
      </w:r>
      <w:r w:rsidR="003C7251">
        <w:t>–</w:t>
      </w:r>
      <w:r w:rsidR="00E74B83">
        <w:t xml:space="preserve">22 we launched our </w:t>
      </w:r>
      <w:hyperlink r:id="rId13" w:history="1">
        <w:r w:rsidR="00E74B83" w:rsidRPr="000B43AC">
          <w:rPr>
            <w:rStyle w:val="Hyperlink"/>
          </w:rPr>
          <w:t>Disability Action Plan</w:t>
        </w:r>
      </w:hyperlink>
      <w:r w:rsidR="00331568">
        <w:t xml:space="preserve">, </w:t>
      </w:r>
      <w:hyperlink r:id="rId14" w:history="1">
        <w:r w:rsidR="00F66852" w:rsidRPr="00871223">
          <w:rPr>
            <w:rStyle w:val="Hyperlink"/>
          </w:rPr>
          <w:t>Gender Equality Action Plan</w:t>
        </w:r>
        <w:r w:rsidR="00871223">
          <w:rPr>
            <w:rStyle w:val="Hyperlink"/>
          </w:rPr>
          <w:t>,</w:t>
        </w:r>
        <w:r w:rsidR="00E74B83" w:rsidRPr="00871223">
          <w:rPr>
            <w:rStyle w:val="Hyperlink"/>
          </w:rPr>
          <w:t xml:space="preserve"> </w:t>
        </w:r>
      </w:hyperlink>
      <w:hyperlink r:id="rId15" w:history="1">
        <w:r w:rsidR="00E43A86" w:rsidRPr="001B4434">
          <w:rPr>
            <w:rStyle w:val="Hyperlink"/>
          </w:rPr>
          <w:t>Equitable Briefing Strategy</w:t>
        </w:r>
      </w:hyperlink>
      <w:r w:rsidR="00E43A86">
        <w:t>,</w:t>
      </w:r>
      <w:r w:rsidR="001B4434">
        <w:t xml:space="preserve"> and </w:t>
      </w:r>
      <w:r w:rsidR="00881F72">
        <w:t xml:space="preserve">our </w:t>
      </w:r>
      <w:hyperlink r:id="rId16" w:history="1">
        <w:r w:rsidR="00881F72" w:rsidRPr="00CA0AB6">
          <w:rPr>
            <w:rStyle w:val="Hyperlink"/>
          </w:rPr>
          <w:t>Diversity and Inclusion Framework</w:t>
        </w:r>
      </w:hyperlink>
      <w:r w:rsidR="00881F72">
        <w:t>.</w:t>
      </w:r>
      <w:r w:rsidR="00D444A9">
        <w:t xml:space="preserve"> </w:t>
      </w:r>
      <w:r w:rsidR="008067DA">
        <w:t xml:space="preserve">This marks our commitment </w:t>
      </w:r>
      <w:r w:rsidR="00BD7C94" w:rsidRPr="00DF1F3A">
        <w:rPr>
          <w:szCs w:val="22"/>
        </w:rPr>
        <w:t>to establishing a gender equitable, safe, inclusive, and respectful workplace for all staff, and ensur</w:t>
      </w:r>
      <w:r w:rsidR="00824A14">
        <w:rPr>
          <w:szCs w:val="22"/>
        </w:rPr>
        <w:t xml:space="preserve">ing </w:t>
      </w:r>
      <w:r w:rsidR="00BD7C94" w:rsidRPr="00DF1F3A">
        <w:rPr>
          <w:szCs w:val="22"/>
        </w:rPr>
        <w:t>our services contribute to equitable access to legal assistance for our clients and the Victorian community.</w:t>
      </w:r>
    </w:p>
    <w:p w14:paraId="724ACAC4" w14:textId="1343207E" w:rsidR="00EC2DEF" w:rsidRPr="00DF1F3A" w:rsidRDefault="00EC2DEF" w:rsidP="00EC2DEF">
      <w:pPr>
        <w:rPr>
          <w:szCs w:val="22"/>
          <w:lang w:eastAsia="en-AU"/>
        </w:rPr>
      </w:pPr>
      <w:r>
        <w:rPr>
          <w:szCs w:val="22"/>
          <w:lang w:eastAsia="en-AU"/>
        </w:rPr>
        <w:t>W</w:t>
      </w:r>
      <w:r w:rsidRPr="00DF1F3A">
        <w:rPr>
          <w:szCs w:val="22"/>
          <w:lang w:eastAsia="en-AU"/>
        </w:rPr>
        <w:t xml:space="preserve">e continue our journey to better understand the structural impacts of the legal system on Aboriginal and Torres Strait Islander clients and colleagues. </w:t>
      </w:r>
      <w:r w:rsidR="00AF6AB0">
        <w:t>We reviewed our First Nations services to identify areas for improved service deliver</w:t>
      </w:r>
      <w:r w:rsidR="008067DA">
        <w:t>y a</w:t>
      </w:r>
      <w:r w:rsidRPr="00DF1F3A">
        <w:rPr>
          <w:szCs w:val="22"/>
          <w:lang w:eastAsia="en-AU"/>
        </w:rPr>
        <w:t xml:space="preserve">s well as opportunities for collaboration with and support of Aboriginal Legal Services and Aboriginal Community Controlled Organisations. </w:t>
      </w:r>
    </w:p>
    <w:p w14:paraId="2F73B4FB" w14:textId="77777777" w:rsidR="00F0382C" w:rsidRDefault="00F0382C" w:rsidP="00F0382C">
      <w:r>
        <w:t>We are ready to meet the challenges ahead and we hope to increase client services and pursue much needed reforms for our priority clients, especially our First Nations clients.</w:t>
      </w:r>
      <w:r w:rsidRPr="00833A95">
        <w:t xml:space="preserve"> </w:t>
      </w:r>
      <w:r>
        <w:t>Courts are facing significant pressure to address the backlog in cases created by the pandemic. We will work with others and do our part in helping to reduce the court backlog which has led to more people on remand for greater periods of time.</w:t>
      </w:r>
    </w:p>
    <w:p w14:paraId="7F6483CE" w14:textId="7B431AD7" w:rsidR="001C238C" w:rsidRDefault="001C238C" w:rsidP="00583E04">
      <w:pPr>
        <w:spacing w:after="0" w:line="240" w:lineRule="auto"/>
      </w:pPr>
      <w:r>
        <w:br w:type="page"/>
      </w:r>
    </w:p>
    <w:p w14:paraId="1C7CBEA9" w14:textId="41589A4A" w:rsidR="00E43EE2" w:rsidRDefault="009E5C83" w:rsidP="00597600">
      <w:pPr>
        <w:pStyle w:val="Heading2"/>
      </w:pPr>
      <w:r>
        <w:lastRenderedPageBreak/>
        <w:t>Client Services</w:t>
      </w:r>
      <w:r w:rsidR="007F609B">
        <w:t xml:space="preserve"> </w:t>
      </w:r>
      <w:r w:rsidR="004175B7" w:rsidRPr="004175B7">
        <w:t xml:space="preserve"> </w:t>
      </w:r>
    </w:p>
    <w:p w14:paraId="47F2B559" w14:textId="0AF08A59" w:rsidR="00852EA0" w:rsidRPr="00D6508F" w:rsidRDefault="00F84C68" w:rsidP="00961AD9">
      <w:r>
        <w:rPr>
          <w:lang w:eastAsia="en-AU"/>
        </w:rPr>
        <w:t>In 2021</w:t>
      </w:r>
      <w:r w:rsidR="004642B0">
        <w:rPr>
          <w:lang w:eastAsia="en-AU"/>
        </w:rPr>
        <w:t>–</w:t>
      </w:r>
      <w:r>
        <w:rPr>
          <w:lang w:eastAsia="en-AU"/>
        </w:rPr>
        <w:t>22 we saw 80,547 clients</w:t>
      </w:r>
      <w:r w:rsidR="004642B0">
        <w:rPr>
          <w:lang w:eastAsia="en-AU"/>
        </w:rPr>
        <w:t>—</w:t>
      </w:r>
      <w:r>
        <w:rPr>
          <w:lang w:eastAsia="en-AU"/>
        </w:rPr>
        <w:t>eight per cent more than 20</w:t>
      </w:r>
      <w:r w:rsidR="00C23E56">
        <w:rPr>
          <w:lang w:eastAsia="en-AU"/>
        </w:rPr>
        <w:t>20</w:t>
      </w:r>
      <w:r w:rsidR="008348FC">
        <w:rPr>
          <w:lang w:eastAsia="en-AU"/>
        </w:rPr>
        <w:t>–</w:t>
      </w:r>
      <w:r w:rsidR="00C23E56">
        <w:rPr>
          <w:lang w:eastAsia="en-AU"/>
        </w:rPr>
        <w:t>21 where we saw</w:t>
      </w:r>
      <w:r>
        <w:rPr>
          <w:lang w:eastAsia="en-AU"/>
        </w:rPr>
        <w:t xml:space="preserve"> </w:t>
      </w:r>
      <w:r w:rsidR="00124253">
        <w:rPr>
          <w:lang w:eastAsia="en-AU"/>
        </w:rPr>
        <w:t>74,670 clients.</w:t>
      </w:r>
      <w:r w:rsidR="00AA394B">
        <w:rPr>
          <w:lang w:eastAsia="en-AU"/>
        </w:rPr>
        <w:t xml:space="preserve"> </w:t>
      </w:r>
      <w:r w:rsidR="00375A49">
        <w:rPr>
          <w:lang w:eastAsia="en-AU"/>
        </w:rPr>
        <w:t xml:space="preserve">As courts </w:t>
      </w:r>
      <w:r w:rsidR="004A6631">
        <w:rPr>
          <w:lang w:eastAsia="en-AU"/>
        </w:rPr>
        <w:t xml:space="preserve">continue </w:t>
      </w:r>
      <w:r w:rsidR="00375A49">
        <w:rPr>
          <w:lang w:eastAsia="en-AU"/>
        </w:rPr>
        <w:t xml:space="preserve">to increase their capacity as restrictions ease further, we </w:t>
      </w:r>
      <w:r w:rsidR="00B04C50">
        <w:rPr>
          <w:lang w:eastAsia="en-AU"/>
        </w:rPr>
        <w:t>anticipate</w:t>
      </w:r>
      <w:r w:rsidR="00375A49">
        <w:rPr>
          <w:lang w:eastAsia="en-AU"/>
        </w:rPr>
        <w:t xml:space="preserve"> that the number of clients we will see in quarter one 2022</w:t>
      </w:r>
      <w:r w:rsidR="004A6631">
        <w:rPr>
          <w:lang w:eastAsia="en-AU"/>
        </w:rPr>
        <w:t>–</w:t>
      </w:r>
      <w:r w:rsidR="00375A49">
        <w:rPr>
          <w:lang w:eastAsia="en-AU"/>
        </w:rPr>
        <w:t xml:space="preserve">23 will </w:t>
      </w:r>
      <w:r w:rsidR="00FF3D72">
        <w:rPr>
          <w:lang w:eastAsia="en-AU"/>
        </w:rPr>
        <w:t>return to near pre-pandemic levels.</w:t>
      </w:r>
    </w:p>
    <w:p w14:paraId="3C21063F" w14:textId="6764E295" w:rsidR="00E43EE2" w:rsidRDefault="007C1487" w:rsidP="55245693">
      <w:pPr>
        <w:rPr>
          <w:b/>
          <w:bCs/>
          <w:sz w:val="24"/>
        </w:rPr>
      </w:pPr>
      <w:r>
        <w:rPr>
          <w:b/>
          <w:bCs/>
          <w:sz w:val="24"/>
        </w:rPr>
        <w:t xml:space="preserve">Table 1.1 </w:t>
      </w:r>
      <w:r w:rsidR="00E43EE2" w:rsidRPr="55245693">
        <w:rPr>
          <w:b/>
          <w:bCs/>
          <w:sz w:val="24"/>
        </w:rPr>
        <w:t>Clients snapshot</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862"/>
        <w:gridCol w:w="1632"/>
        <w:gridCol w:w="1864"/>
        <w:gridCol w:w="1860"/>
        <w:gridCol w:w="1858"/>
      </w:tblGrid>
      <w:tr w:rsidR="00D5126E" w:rsidRPr="000E7EED" w14:paraId="5105FACB" w14:textId="61515848" w:rsidTr="00D5126E">
        <w:trPr>
          <w:cnfStyle w:val="100000000000" w:firstRow="1" w:lastRow="0" w:firstColumn="0" w:lastColumn="0" w:oddVBand="0" w:evenVBand="0" w:oddHBand="0" w:evenHBand="0" w:firstRowFirstColumn="0" w:firstRowLastColumn="0" w:lastRowFirstColumn="0" w:lastRowLastColumn="0"/>
          <w:trHeight w:val="190"/>
        </w:trPr>
        <w:tc>
          <w:tcPr>
            <w:cnfStyle w:val="000010000000" w:firstRow="0" w:lastRow="0" w:firstColumn="0" w:lastColumn="0" w:oddVBand="1" w:evenVBand="0" w:oddHBand="0" w:evenHBand="0" w:firstRowFirstColumn="0" w:firstRowLastColumn="0" w:lastRowFirstColumn="0" w:lastRowLastColumn="0"/>
            <w:tcW w:w="1420" w:type="pct"/>
            <w:shd w:val="clear" w:color="auto" w:fill="C3AFCC"/>
          </w:tcPr>
          <w:p w14:paraId="02AC0E7C" w14:textId="77777777" w:rsidR="00D5126E" w:rsidRPr="000E7EED" w:rsidRDefault="00D5126E" w:rsidP="0039260E">
            <w:pPr>
              <w:rPr>
                <w:color w:val="000000" w:themeColor="text1"/>
              </w:rPr>
            </w:pPr>
            <w:bookmarkStart w:id="0" w:name="_Hlk31869858"/>
            <w:r w:rsidRPr="000E7EED">
              <w:rPr>
                <w:b/>
                <w:color w:val="000000" w:themeColor="text1"/>
              </w:rPr>
              <w:t>Clients</w:t>
            </w:r>
          </w:p>
        </w:tc>
        <w:tc>
          <w:tcPr>
            <w:cnfStyle w:val="000001000000" w:firstRow="0" w:lastRow="0" w:firstColumn="0" w:lastColumn="0" w:oddVBand="0" w:evenVBand="1" w:oddHBand="0" w:evenHBand="0" w:firstRowFirstColumn="0" w:firstRowLastColumn="0" w:lastRowFirstColumn="0" w:lastRowLastColumn="0"/>
            <w:tcW w:w="810" w:type="pct"/>
            <w:shd w:val="clear" w:color="auto" w:fill="C3AFCC"/>
          </w:tcPr>
          <w:p w14:paraId="1DB462B9" w14:textId="3B8DA315" w:rsidR="00D5126E" w:rsidRPr="000E7EED" w:rsidRDefault="00D5126E" w:rsidP="55245693">
            <w:pPr>
              <w:jc w:val="center"/>
              <w:rPr>
                <w:b/>
                <w:color w:val="000000" w:themeColor="text1"/>
              </w:rPr>
            </w:pPr>
            <w:r>
              <w:rPr>
                <w:b/>
                <w:color w:val="000000" w:themeColor="text1"/>
              </w:rPr>
              <w:t>Q3</w:t>
            </w:r>
          </w:p>
          <w:p w14:paraId="2C3C051D" w14:textId="3823281A" w:rsidR="00D5126E" w:rsidRPr="000E7EED" w:rsidRDefault="00D5126E" w:rsidP="0039260E">
            <w:pPr>
              <w:jc w:val="center"/>
              <w:rPr>
                <w:color w:val="000000" w:themeColor="text1"/>
              </w:rPr>
            </w:pPr>
            <w:r w:rsidRPr="000E7EED">
              <w:rPr>
                <w:b/>
                <w:color w:val="000000" w:themeColor="text1"/>
              </w:rPr>
              <w:t>20</w:t>
            </w:r>
            <w:r>
              <w:rPr>
                <w:b/>
                <w:color w:val="000000" w:themeColor="text1"/>
              </w:rPr>
              <w:t>21</w:t>
            </w:r>
            <w:r w:rsidR="004A6631">
              <w:rPr>
                <w:b/>
                <w:color w:val="000000" w:themeColor="text1"/>
              </w:rPr>
              <w:t>–</w:t>
            </w:r>
            <w:r>
              <w:rPr>
                <w:b/>
                <w:color w:val="000000" w:themeColor="text1"/>
              </w:rPr>
              <w:t>22</w:t>
            </w:r>
          </w:p>
        </w:tc>
        <w:tc>
          <w:tcPr>
            <w:cnfStyle w:val="000010000000" w:firstRow="0" w:lastRow="0" w:firstColumn="0" w:lastColumn="0" w:oddVBand="1" w:evenVBand="0" w:oddHBand="0" w:evenHBand="0" w:firstRowFirstColumn="0" w:firstRowLastColumn="0" w:lastRowFirstColumn="0" w:lastRowLastColumn="0"/>
            <w:tcW w:w="925" w:type="pct"/>
            <w:shd w:val="clear" w:color="auto" w:fill="C3AFCC"/>
          </w:tcPr>
          <w:p w14:paraId="47FD7D32" w14:textId="3F041A66" w:rsidR="00D5126E" w:rsidRDefault="00D5126E" w:rsidP="55245693">
            <w:pPr>
              <w:jc w:val="center"/>
              <w:rPr>
                <w:b/>
                <w:color w:val="000000" w:themeColor="text1"/>
              </w:rPr>
            </w:pPr>
            <w:r w:rsidRPr="55245693">
              <w:rPr>
                <w:b/>
                <w:color w:val="000000" w:themeColor="text1"/>
              </w:rPr>
              <w:t>Q</w:t>
            </w:r>
            <w:r>
              <w:rPr>
                <w:b/>
                <w:color w:val="000000" w:themeColor="text1"/>
              </w:rPr>
              <w:t>4</w:t>
            </w:r>
          </w:p>
          <w:p w14:paraId="62B8B011" w14:textId="126686B5" w:rsidR="00D5126E" w:rsidRPr="00A76427" w:rsidRDefault="00D5126E" w:rsidP="0039260E">
            <w:pPr>
              <w:jc w:val="center"/>
              <w:rPr>
                <w:b/>
                <w:color w:val="000000" w:themeColor="text1"/>
              </w:rPr>
            </w:pPr>
            <w:r w:rsidRPr="000E7EED">
              <w:rPr>
                <w:b/>
                <w:color w:val="000000" w:themeColor="text1"/>
              </w:rPr>
              <w:t>20</w:t>
            </w:r>
            <w:r>
              <w:rPr>
                <w:b/>
                <w:color w:val="000000" w:themeColor="text1"/>
              </w:rPr>
              <w:t>21</w:t>
            </w:r>
            <w:r w:rsidR="004A6631">
              <w:rPr>
                <w:b/>
                <w:color w:val="000000" w:themeColor="text1"/>
              </w:rPr>
              <w:t>–</w:t>
            </w:r>
            <w:r>
              <w:rPr>
                <w:b/>
                <w:color w:val="000000" w:themeColor="text1"/>
              </w:rPr>
              <w:t>22</w:t>
            </w:r>
          </w:p>
        </w:tc>
        <w:tc>
          <w:tcPr>
            <w:cnfStyle w:val="000001000000" w:firstRow="0" w:lastRow="0" w:firstColumn="0" w:lastColumn="0" w:oddVBand="0" w:evenVBand="1" w:oddHBand="0" w:evenHBand="0" w:firstRowFirstColumn="0" w:firstRowLastColumn="0" w:lastRowFirstColumn="0" w:lastRowLastColumn="0"/>
            <w:tcW w:w="923" w:type="pct"/>
            <w:shd w:val="clear" w:color="auto" w:fill="C3AFCC"/>
          </w:tcPr>
          <w:p w14:paraId="792B1BD4" w14:textId="68F39B6C" w:rsidR="00D5126E" w:rsidRDefault="00D5126E" w:rsidP="55245693">
            <w:pPr>
              <w:jc w:val="center"/>
              <w:rPr>
                <w:b/>
                <w:color w:val="000000" w:themeColor="text1"/>
              </w:rPr>
            </w:pPr>
            <w:r>
              <w:rPr>
                <w:b/>
                <w:color w:val="000000" w:themeColor="text1"/>
              </w:rPr>
              <w:t xml:space="preserve">Year-end </w:t>
            </w:r>
            <w:r w:rsidR="008C706B">
              <w:rPr>
                <w:b/>
                <w:color w:val="000000" w:themeColor="text1"/>
              </w:rPr>
              <w:t>t</w:t>
            </w:r>
            <w:r>
              <w:rPr>
                <w:b/>
                <w:color w:val="000000" w:themeColor="text1"/>
              </w:rPr>
              <w:t>otal 2021</w:t>
            </w:r>
            <w:r w:rsidR="004A6631">
              <w:rPr>
                <w:b/>
                <w:color w:val="000000" w:themeColor="text1"/>
              </w:rPr>
              <w:t>–</w:t>
            </w:r>
            <w:r>
              <w:rPr>
                <w:b/>
                <w:color w:val="000000" w:themeColor="text1"/>
              </w:rPr>
              <w:t>22</w:t>
            </w:r>
          </w:p>
        </w:tc>
        <w:tc>
          <w:tcPr>
            <w:cnfStyle w:val="000010000000" w:firstRow="0" w:lastRow="0" w:firstColumn="0" w:lastColumn="0" w:oddVBand="1" w:evenVBand="0" w:oddHBand="0" w:evenHBand="0" w:firstRowFirstColumn="0" w:firstRowLastColumn="0" w:lastRowFirstColumn="0" w:lastRowLastColumn="0"/>
            <w:tcW w:w="922" w:type="pct"/>
            <w:shd w:val="clear" w:color="auto" w:fill="C3AFCC"/>
          </w:tcPr>
          <w:p w14:paraId="6B1834FE" w14:textId="0A9F4C24" w:rsidR="00D5126E" w:rsidRDefault="00D5126E" w:rsidP="55245693">
            <w:pPr>
              <w:jc w:val="center"/>
              <w:rPr>
                <w:b/>
                <w:bCs w:val="0"/>
                <w:color w:val="000000" w:themeColor="text1"/>
              </w:rPr>
            </w:pPr>
            <w:r>
              <w:rPr>
                <w:b/>
                <w:color w:val="000000" w:themeColor="text1"/>
              </w:rPr>
              <w:t>Q1 2022</w:t>
            </w:r>
            <w:r w:rsidR="004A6631">
              <w:rPr>
                <w:b/>
                <w:color w:val="000000" w:themeColor="text1"/>
              </w:rPr>
              <w:t>–</w:t>
            </w:r>
            <w:r>
              <w:rPr>
                <w:b/>
                <w:color w:val="000000" w:themeColor="text1"/>
              </w:rPr>
              <w:t>23</w:t>
            </w:r>
          </w:p>
          <w:p w14:paraId="08B49C60" w14:textId="4461BA4C" w:rsidR="00D5126E" w:rsidRPr="55245693" w:rsidRDefault="00D5126E" w:rsidP="55245693">
            <w:pPr>
              <w:jc w:val="center"/>
              <w:rPr>
                <w:b/>
                <w:color w:val="000000" w:themeColor="text1"/>
              </w:rPr>
            </w:pPr>
            <w:r>
              <w:rPr>
                <w:b/>
                <w:color w:val="000000" w:themeColor="text1"/>
              </w:rPr>
              <w:t>projection</w:t>
            </w:r>
          </w:p>
        </w:tc>
      </w:tr>
      <w:tr w:rsidR="00D5126E" w:rsidRPr="000E7EED" w14:paraId="712E240F" w14:textId="13DFB6AA" w:rsidTr="00774940">
        <w:trPr>
          <w:cnfStyle w:val="000000100000" w:firstRow="0" w:lastRow="0" w:firstColumn="0" w:lastColumn="0" w:oddVBand="0" w:evenVBand="0" w:oddHBand="1" w:evenHBand="0" w:firstRowFirstColumn="0" w:firstRowLastColumn="0" w:lastRowFirstColumn="0" w:lastRowLastColumn="0"/>
          <w:trHeight w:val="566"/>
        </w:trPr>
        <w:tc>
          <w:tcPr>
            <w:cnfStyle w:val="000010000000" w:firstRow="0" w:lastRow="0" w:firstColumn="0" w:lastColumn="0" w:oddVBand="1" w:evenVBand="0" w:oddHBand="0" w:evenHBand="0" w:firstRowFirstColumn="0" w:firstRowLastColumn="0" w:lastRowFirstColumn="0" w:lastRowLastColumn="0"/>
            <w:tcW w:w="1420" w:type="pct"/>
          </w:tcPr>
          <w:p w14:paraId="6D73261E" w14:textId="77777777" w:rsidR="00D5126E" w:rsidRPr="000E7EED" w:rsidRDefault="00D5126E" w:rsidP="0039260E">
            <w:pPr>
              <w:rPr>
                <w:color w:val="000000" w:themeColor="text1"/>
              </w:rPr>
            </w:pPr>
            <w:r w:rsidRPr="000E7EED">
              <w:rPr>
                <w:color w:val="000000" w:themeColor="text1"/>
              </w:rPr>
              <w:t>Unique clients</w:t>
            </w:r>
            <w:r w:rsidRPr="000E7EED">
              <w:rPr>
                <w:rStyle w:val="FootnoteReference"/>
                <w:color w:val="000000" w:themeColor="text1"/>
              </w:rPr>
              <w:footnoteReference w:id="2"/>
            </w:r>
          </w:p>
        </w:tc>
        <w:tc>
          <w:tcPr>
            <w:cnfStyle w:val="000001000000" w:firstRow="0" w:lastRow="0" w:firstColumn="0" w:lastColumn="0" w:oddVBand="0" w:evenVBand="1" w:oddHBand="0" w:evenHBand="0" w:firstRowFirstColumn="0" w:firstRowLastColumn="0" w:lastRowFirstColumn="0" w:lastRowLastColumn="0"/>
            <w:tcW w:w="810" w:type="pct"/>
            <w:vAlign w:val="center"/>
          </w:tcPr>
          <w:p w14:paraId="758A4E12" w14:textId="72E886CA" w:rsidR="00D5126E" w:rsidRPr="000E7EED" w:rsidRDefault="00D5126E" w:rsidP="001C26CE">
            <w:pPr>
              <w:jc w:val="center"/>
              <w:rPr>
                <w:color w:val="000000" w:themeColor="text1"/>
              </w:rPr>
            </w:pPr>
            <w:r>
              <w:rPr>
                <w:color w:val="000000" w:themeColor="text1"/>
              </w:rPr>
              <w:t>15,197</w:t>
            </w:r>
          </w:p>
        </w:tc>
        <w:tc>
          <w:tcPr>
            <w:cnfStyle w:val="000010000000" w:firstRow="0" w:lastRow="0" w:firstColumn="0" w:lastColumn="0" w:oddVBand="1" w:evenVBand="0" w:oddHBand="0" w:evenHBand="0" w:firstRowFirstColumn="0" w:firstRowLastColumn="0" w:lastRowFirstColumn="0" w:lastRowLastColumn="0"/>
            <w:tcW w:w="925" w:type="pct"/>
            <w:shd w:val="clear" w:color="auto" w:fill="D9D9D9" w:themeFill="background1" w:themeFillShade="D9"/>
            <w:vAlign w:val="center"/>
          </w:tcPr>
          <w:p w14:paraId="5C50A8F1" w14:textId="05535931" w:rsidR="00D5126E" w:rsidRPr="0021615C" w:rsidRDefault="00C14F4F" w:rsidP="001C26CE">
            <w:pPr>
              <w:jc w:val="center"/>
            </w:pPr>
            <w:r>
              <w:t>22</w:t>
            </w:r>
            <w:r w:rsidR="00224EDF">
              <w:t>,</w:t>
            </w:r>
            <w:r>
              <w:t>529</w:t>
            </w:r>
          </w:p>
        </w:tc>
        <w:tc>
          <w:tcPr>
            <w:cnfStyle w:val="000001000000" w:firstRow="0" w:lastRow="0" w:firstColumn="0" w:lastColumn="0" w:oddVBand="0" w:evenVBand="1" w:oddHBand="0" w:evenHBand="0" w:firstRowFirstColumn="0" w:firstRowLastColumn="0" w:lastRowFirstColumn="0" w:lastRowLastColumn="0"/>
            <w:tcW w:w="923" w:type="pct"/>
            <w:vAlign w:val="center"/>
          </w:tcPr>
          <w:p w14:paraId="6D5D6FDB" w14:textId="438A3B44" w:rsidR="00D5126E" w:rsidRDefault="00C4402A" w:rsidP="00224EDF">
            <w:pPr>
              <w:jc w:val="center"/>
            </w:pPr>
            <w:r>
              <w:t>80</w:t>
            </w:r>
            <w:r w:rsidR="00224EDF">
              <w:t>,</w:t>
            </w:r>
            <w:r>
              <w:t>547</w:t>
            </w:r>
          </w:p>
        </w:tc>
        <w:tc>
          <w:tcPr>
            <w:cnfStyle w:val="000010000000" w:firstRow="0" w:lastRow="0" w:firstColumn="0" w:lastColumn="0" w:oddVBand="1" w:evenVBand="0" w:oddHBand="0" w:evenHBand="0" w:firstRowFirstColumn="0" w:firstRowLastColumn="0" w:lastRowFirstColumn="0" w:lastRowLastColumn="0"/>
            <w:tcW w:w="922" w:type="pct"/>
            <w:shd w:val="clear" w:color="auto" w:fill="auto"/>
            <w:vAlign w:val="center"/>
          </w:tcPr>
          <w:p w14:paraId="086F5C8C" w14:textId="22377F11" w:rsidR="00D5126E" w:rsidRDefault="00375A49" w:rsidP="001C26CE">
            <w:pPr>
              <w:jc w:val="center"/>
            </w:pPr>
            <w:r>
              <w:t>28</w:t>
            </w:r>
            <w:r w:rsidR="00D228CC">
              <w:t>,000</w:t>
            </w:r>
          </w:p>
        </w:tc>
      </w:tr>
    </w:tbl>
    <w:p w14:paraId="0D09B60D" w14:textId="77777777" w:rsidR="00774940" w:rsidRDefault="00774940" w:rsidP="00774940">
      <w:pPr>
        <w:rPr>
          <w:rFonts w:eastAsiaTheme="minorEastAsia"/>
          <w:lang w:eastAsia="en-AU"/>
        </w:rPr>
      </w:pPr>
      <w:bookmarkStart w:id="1" w:name="_Hlk52886498"/>
      <w:bookmarkEnd w:id="0"/>
    </w:p>
    <w:p w14:paraId="7B25D3A4" w14:textId="60B40CE5" w:rsidR="001A32E2" w:rsidRDefault="00774940" w:rsidP="00774940">
      <w:pPr>
        <w:rPr>
          <w:rFonts w:eastAsiaTheme="minorEastAsia"/>
          <w:lang w:eastAsia="en-AU"/>
        </w:rPr>
      </w:pPr>
      <w:r w:rsidRPr="3E07DCCF">
        <w:rPr>
          <w:rFonts w:eastAsiaTheme="minorEastAsia"/>
          <w:lang w:eastAsia="en-AU"/>
        </w:rPr>
        <w:t>In 2021</w:t>
      </w:r>
      <w:r>
        <w:t>–</w:t>
      </w:r>
      <w:r w:rsidRPr="3E07DCCF">
        <w:rPr>
          <w:rFonts w:eastAsiaTheme="minorEastAsia"/>
          <w:lang w:eastAsia="en-AU"/>
        </w:rPr>
        <w:t xml:space="preserve">22, Legal Help remained </w:t>
      </w:r>
      <w:r w:rsidR="00672CF7">
        <w:rPr>
          <w:rFonts w:eastAsiaTheme="minorEastAsia"/>
          <w:lang w:eastAsia="en-AU"/>
        </w:rPr>
        <w:t>a</w:t>
      </w:r>
      <w:r w:rsidRPr="3E07DCCF">
        <w:rPr>
          <w:rFonts w:eastAsiaTheme="minorEastAsia"/>
          <w:lang w:eastAsia="en-AU"/>
        </w:rPr>
        <w:t xml:space="preserve"> key entry point for Victorians seeking legal assistance</w:t>
      </w:r>
      <w:r w:rsidR="00672CF7">
        <w:rPr>
          <w:rFonts w:eastAsiaTheme="minorEastAsia"/>
          <w:lang w:eastAsia="en-AU"/>
        </w:rPr>
        <w:t xml:space="preserve"> at VLA</w:t>
      </w:r>
      <w:r w:rsidRPr="3E07DCCF">
        <w:rPr>
          <w:rFonts w:eastAsiaTheme="minorEastAsia"/>
          <w:lang w:eastAsia="en-AU"/>
        </w:rPr>
        <w:t>. We answered 56 per cent of phone calls, and 95 per cent of incoming webchats.</w:t>
      </w:r>
      <w:r w:rsidR="00145BD9">
        <w:rPr>
          <w:rFonts w:eastAsiaTheme="minorEastAsia"/>
          <w:lang w:eastAsia="en-AU"/>
        </w:rPr>
        <w:t xml:space="preserve"> Due to the ongoing pandemic restrictions, we experienced periods of </w:t>
      </w:r>
      <w:r w:rsidR="000F5800">
        <w:rPr>
          <w:rFonts w:eastAsiaTheme="minorEastAsia"/>
          <w:lang w:eastAsia="en-AU"/>
        </w:rPr>
        <w:t>lower-than-expected</w:t>
      </w:r>
      <w:r w:rsidR="002522DD">
        <w:rPr>
          <w:rFonts w:eastAsiaTheme="minorEastAsia"/>
          <w:lang w:eastAsia="en-AU"/>
        </w:rPr>
        <w:t xml:space="preserve"> demand. </w:t>
      </w:r>
      <w:r w:rsidR="000E766F">
        <w:rPr>
          <w:rFonts w:eastAsiaTheme="minorEastAsia"/>
          <w:lang w:eastAsia="en-AU"/>
        </w:rPr>
        <w:t>W</w:t>
      </w:r>
      <w:r w:rsidR="002522DD">
        <w:rPr>
          <w:rFonts w:eastAsiaTheme="minorEastAsia"/>
          <w:lang w:eastAsia="en-AU"/>
        </w:rPr>
        <w:t>e a</w:t>
      </w:r>
      <w:r w:rsidR="000873C5">
        <w:rPr>
          <w:rFonts w:eastAsiaTheme="minorEastAsia"/>
          <w:lang w:eastAsia="en-AU"/>
        </w:rPr>
        <w:t>lso</w:t>
      </w:r>
      <w:r w:rsidR="002522DD">
        <w:rPr>
          <w:rFonts w:eastAsiaTheme="minorEastAsia"/>
          <w:lang w:eastAsia="en-AU"/>
        </w:rPr>
        <w:t xml:space="preserve"> experienced an increase in the number of unplanned staff </w:t>
      </w:r>
      <w:r w:rsidR="000873C5">
        <w:rPr>
          <w:rFonts w:eastAsiaTheme="minorEastAsia"/>
          <w:lang w:eastAsia="en-AU"/>
        </w:rPr>
        <w:t xml:space="preserve">absences </w:t>
      </w:r>
      <w:proofErr w:type="gramStart"/>
      <w:r w:rsidR="000873C5">
        <w:rPr>
          <w:rFonts w:eastAsiaTheme="minorEastAsia"/>
          <w:lang w:eastAsia="en-AU"/>
        </w:rPr>
        <w:t>as a result of</w:t>
      </w:r>
      <w:proofErr w:type="gramEnd"/>
      <w:r w:rsidR="000873C5">
        <w:rPr>
          <w:rFonts w:eastAsiaTheme="minorEastAsia"/>
          <w:lang w:eastAsia="en-AU"/>
        </w:rPr>
        <w:t xml:space="preserve"> staff contracting COVID-19</w:t>
      </w:r>
      <w:r w:rsidR="000E766F">
        <w:rPr>
          <w:rFonts w:eastAsiaTheme="minorEastAsia"/>
          <w:lang w:eastAsia="en-AU"/>
        </w:rPr>
        <w:t>,</w:t>
      </w:r>
      <w:r w:rsidR="00B34B88">
        <w:rPr>
          <w:rFonts w:eastAsiaTheme="minorEastAsia"/>
          <w:lang w:eastAsia="en-AU"/>
        </w:rPr>
        <w:t xml:space="preserve"> which affected our service delivery</w:t>
      </w:r>
      <w:r w:rsidR="00FE4253">
        <w:rPr>
          <w:rFonts w:eastAsiaTheme="minorEastAsia"/>
          <w:lang w:eastAsia="en-AU"/>
        </w:rPr>
        <w:t xml:space="preserve"> in quarter four</w:t>
      </w:r>
      <w:r w:rsidR="000873C5">
        <w:rPr>
          <w:rFonts w:eastAsiaTheme="minorEastAsia"/>
          <w:lang w:eastAsia="en-AU"/>
        </w:rPr>
        <w:t>.</w:t>
      </w:r>
    </w:p>
    <w:p w14:paraId="1CAAB958" w14:textId="2F645449" w:rsidR="001A32E2" w:rsidRPr="00961AD9" w:rsidRDefault="001A32E2" w:rsidP="00961AD9">
      <w:pPr>
        <w:rPr>
          <w:rFonts w:eastAsiaTheme="minorEastAsia"/>
        </w:rPr>
      </w:pPr>
      <w:r w:rsidRPr="3F8179FB">
        <w:rPr>
          <w:rFonts w:eastAsiaTheme="minorEastAsia"/>
          <w:lang w:eastAsia="en-AU"/>
        </w:rPr>
        <w:t xml:space="preserve">We continued modernising </w:t>
      </w:r>
      <w:r w:rsidR="00696FF4">
        <w:rPr>
          <w:rFonts w:eastAsiaTheme="minorEastAsia"/>
          <w:lang w:eastAsia="en-AU"/>
        </w:rPr>
        <w:t>the</w:t>
      </w:r>
      <w:r w:rsidRPr="3F8179FB">
        <w:rPr>
          <w:rFonts w:eastAsiaTheme="minorEastAsia"/>
          <w:lang w:eastAsia="en-AU"/>
        </w:rPr>
        <w:t xml:space="preserve"> software systems we use to operate Legal </w:t>
      </w:r>
      <w:r w:rsidR="000F5800" w:rsidRPr="3F8179FB">
        <w:rPr>
          <w:rFonts w:eastAsiaTheme="minorEastAsia"/>
          <w:lang w:eastAsia="en-AU"/>
        </w:rPr>
        <w:t>Help</w:t>
      </w:r>
      <w:r w:rsidR="000F5800">
        <w:rPr>
          <w:rFonts w:eastAsiaTheme="minorEastAsia"/>
          <w:lang w:eastAsia="en-AU"/>
        </w:rPr>
        <w:t xml:space="preserve"> and</w:t>
      </w:r>
      <w:r>
        <w:rPr>
          <w:rFonts w:eastAsiaTheme="minorEastAsia"/>
          <w:lang w:eastAsia="en-AU"/>
        </w:rPr>
        <w:t xml:space="preserve"> will continue to do so in the coming months. We are transitioning to a new platform that will provide greater efficiencies </w:t>
      </w:r>
      <w:r w:rsidR="0055788A">
        <w:rPr>
          <w:rFonts w:eastAsiaTheme="minorEastAsia"/>
          <w:lang w:eastAsia="en-AU"/>
        </w:rPr>
        <w:t>in the future. However, in the short term as we onboard and train staff, there will be some disruptions to the service, resulting in lower quarter one 2022</w:t>
      </w:r>
      <w:r w:rsidR="009B4A96">
        <w:rPr>
          <w:rFonts w:eastAsiaTheme="minorEastAsia"/>
          <w:lang w:eastAsia="en-AU"/>
        </w:rPr>
        <w:t>–</w:t>
      </w:r>
      <w:r w:rsidR="0055788A">
        <w:rPr>
          <w:rFonts w:eastAsiaTheme="minorEastAsia"/>
          <w:lang w:eastAsia="en-AU"/>
        </w:rPr>
        <w:t xml:space="preserve">23 </w:t>
      </w:r>
      <w:r w:rsidR="000F5800">
        <w:rPr>
          <w:rFonts w:eastAsiaTheme="minorEastAsia"/>
          <w:lang w:eastAsia="en-AU"/>
        </w:rPr>
        <w:t>projections.</w:t>
      </w:r>
      <w:r w:rsidR="001D4391">
        <w:rPr>
          <w:rFonts w:eastAsiaTheme="minorEastAsia"/>
          <w:lang w:eastAsia="en-AU"/>
        </w:rPr>
        <w:t xml:space="preserve"> From quarter two onwards we expect the </w:t>
      </w:r>
      <w:r w:rsidR="002B255E">
        <w:rPr>
          <w:rFonts w:eastAsiaTheme="minorEastAsia"/>
          <w:lang w:eastAsia="en-AU"/>
        </w:rPr>
        <w:t>service to resume at normal levels.</w:t>
      </w:r>
    </w:p>
    <w:p w14:paraId="71C1B22F" w14:textId="32BE2549" w:rsidR="00E43EE2" w:rsidRDefault="007C1487" w:rsidP="00E43EE2">
      <w:pPr>
        <w:pStyle w:val="Tableheader"/>
      </w:pPr>
      <w:r>
        <w:t xml:space="preserve">Table 1.2 </w:t>
      </w:r>
      <w:r w:rsidR="00495A11">
        <w:t xml:space="preserve">Legal Help </w:t>
      </w:r>
      <w:r w:rsidR="00495A11" w:rsidRPr="001F0CF5">
        <w:t>phoneline</w:t>
      </w:r>
      <w:r w:rsidR="00E43EE2">
        <w:t xml:space="preserve"> </w:t>
      </w:r>
      <w:r w:rsidR="001F1CD9">
        <w:t xml:space="preserve">and web chat </w:t>
      </w:r>
      <w:r w:rsidR="00E43EE2">
        <w:t>snapshot</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078"/>
        <w:gridCol w:w="1773"/>
        <w:gridCol w:w="1397"/>
        <w:gridCol w:w="1610"/>
        <w:gridCol w:w="1610"/>
        <w:gridCol w:w="1608"/>
      </w:tblGrid>
      <w:tr w:rsidR="008C706B" w:rsidRPr="000E7EED" w14:paraId="610BF466" w14:textId="21499514" w:rsidTr="008C706B">
        <w:trPr>
          <w:cnfStyle w:val="100000000000" w:firstRow="1" w:lastRow="0" w:firstColumn="0" w:lastColumn="0" w:oddVBand="0" w:evenVBand="0" w:oddHBand="0" w:evenHBand="0" w:firstRowFirstColumn="0" w:firstRowLastColumn="0" w:lastRowFirstColumn="0" w:lastRowLastColumn="0"/>
          <w:trHeight w:val="365"/>
        </w:trPr>
        <w:tc>
          <w:tcPr>
            <w:cnfStyle w:val="000010000000" w:firstRow="0" w:lastRow="0" w:firstColumn="0" w:lastColumn="0" w:oddVBand="1" w:evenVBand="0" w:oddHBand="0" w:evenHBand="0" w:firstRowFirstColumn="0" w:firstRowLastColumn="0" w:lastRowFirstColumn="0" w:lastRowLastColumn="0"/>
            <w:tcW w:w="1031" w:type="pct"/>
            <w:shd w:val="clear" w:color="auto" w:fill="C4B0CC"/>
          </w:tcPr>
          <w:p w14:paraId="685BCF7D" w14:textId="306AA6B1" w:rsidR="008C706B" w:rsidRPr="000E7EED" w:rsidRDefault="008C706B" w:rsidP="00CA2B34">
            <w:pPr>
              <w:rPr>
                <w:color w:val="000000" w:themeColor="text1"/>
              </w:rPr>
            </w:pPr>
            <w:bookmarkStart w:id="2" w:name="_Hlk31804015"/>
            <w:r>
              <w:rPr>
                <w:b/>
                <w:color w:val="000000" w:themeColor="text1"/>
              </w:rPr>
              <w:t>Legal Help</w:t>
            </w:r>
            <w:r w:rsidRPr="000E7EED">
              <w:rPr>
                <w:b/>
                <w:color w:val="000000" w:themeColor="text1"/>
              </w:rPr>
              <w:t xml:space="preserve"> </w:t>
            </w:r>
          </w:p>
        </w:tc>
        <w:tc>
          <w:tcPr>
            <w:cnfStyle w:val="000001000000" w:firstRow="0" w:lastRow="0" w:firstColumn="0" w:lastColumn="0" w:oddVBand="0" w:evenVBand="1" w:oddHBand="0" w:evenHBand="0" w:firstRowFirstColumn="0" w:firstRowLastColumn="0" w:lastRowFirstColumn="0" w:lastRowLastColumn="0"/>
            <w:tcW w:w="880" w:type="pct"/>
            <w:shd w:val="clear" w:color="auto" w:fill="C3AFCC"/>
          </w:tcPr>
          <w:p w14:paraId="7CEF1135" w14:textId="57655427" w:rsidR="008C706B" w:rsidRPr="55245693" w:rsidRDefault="008C706B" w:rsidP="00CA2B34">
            <w:pPr>
              <w:jc w:val="center"/>
              <w:rPr>
                <w:b/>
                <w:color w:val="000000" w:themeColor="text1"/>
              </w:rPr>
            </w:pPr>
            <w:r>
              <w:rPr>
                <w:b/>
                <w:color w:val="000000" w:themeColor="text1"/>
              </w:rPr>
              <w:t>Service Delivery type</w:t>
            </w:r>
          </w:p>
        </w:tc>
        <w:tc>
          <w:tcPr>
            <w:cnfStyle w:val="000010000000" w:firstRow="0" w:lastRow="0" w:firstColumn="0" w:lastColumn="0" w:oddVBand="1" w:evenVBand="0" w:oddHBand="0" w:evenHBand="0" w:firstRowFirstColumn="0" w:firstRowLastColumn="0" w:lastRowFirstColumn="0" w:lastRowLastColumn="0"/>
            <w:tcW w:w="693" w:type="pct"/>
            <w:shd w:val="clear" w:color="auto" w:fill="C3AFCC"/>
          </w:tcPr>
          <w:p w14:paraId="783291FD" w14:textId="776E154F" w:rsidR="008C706B" w:rsidRPr="000E7EED" w:rsidRDefault="008C706B" w:rsidP="00CA2B34">
            <w:pPr>
              <w:jc w:val="center"/>
              <w:rPr>
                <w:b/>
                <w:color w:val="000000" w:themeColor="text1"/>
              </w:rPr>
            </w:pPr>
            <w:r>
              <w:rPr>
                <w:b/>
                <w:color w:val="000000" w:themeColor="text1"/>
              </w:rPr>
              <w:t>Q3</w:t>
            </w:r>
          </w:p>
          <w:p w14:paraId="537B5889" w14:textId="5CCA8997" w:rsidR="008C706B" w:rsidRPr="000E7EED" w:rsidRDefault="008C706B" w:rsidP="00CA2B34">
            <w:pPr>
              <w:jc w:val="center"/>
              <w:rPr>
                <w:color w:val="000000" w:themeColor="text1"/>
              </w:rPr>
            </w:pPr>
            <w:r w:rsidRPr="000E7EED">
              <w:rPr>
                <w:b/>
                <w:color w:val="000000" w:themeColor="text1"/>
              </w:rPr>
              <w:t>20</w:t>
            </w:r>
            <w:r>
              <w:rPr>
                <w:b/>
                <w:color w:val="000000" w:themeColor="text1"/>
              </w:rPr>
              <w:t>21</w:t>
            </w:r>
            <w:r w:rsidR="009B4A96">
              <w:rPr>
                <w:b/>
                <w:color w:val="000000" w:themeColor="text1"/>
              </w:rPr>
              <w:t>–</w:t>
            </w:r>
            <w:r>
              <w:rPr>
                <w:b/>
                <w:color w:val="000000" w:themeColor="text1"/>
              </w:rPr>
              <w:t>22</w:t>
            </w:r>
          </w:p>
        </w:tc>
        <w:tc>
          <w:tcPr>
            <w:cnfStyle w:val="000001000000" w:firstRow="0" w:lastRow="0" w:firstColumn="0" w:lastColumn="0" w:oddVBand="0" w:evenVBand="1" w:oddHBand="0" w:evenHBand="0" w:firstRowFirstColumn="0" w:firstRowLastColumn="0" w:lastRowFirstColumn="0" w:lastRowLastColumn="0"/>
            <w:tcW w:w="799" w:type="pct"/>
            <w:shd w:val="clear" w:color="auto" w:fill="C3AFCC"/>
          </w:tcPr>
          <w:p w14:paraId="3E7D867D" w14:textId="5A1C3CE7" w:rsidR="008C706B" w:rsidRDefault="008C706B" w:rsidP="00CA2B34">
            <w:pPr>
              <w:jc w:val="center"/>
              <w:rPr>
                <w:b/>
                <w:color w:val="000000" w:themeColor="text1"/>
              </w:rPr>
            </w:pPr>
            <w:r w:rsidRPr="55245693">
              <w:rPr>
                <w:b/>
                <w:color w:val="000000" w:themeColor="text1"/>
              </w:rPr>
              <w:t>Q</w:t>
            </w:r>
            <w:r>
              <w:rPr>
                <w:b/>
                <w:color w:val="000000" w:themeColor="text1"/>
              </w:rPr>
              <w:t>4</w:t>
            </w:r>
          </w:p>
          <w:p w14:paraId="7F054B76" w14:textId="0E657C18" w:rsidR="008C706B" w:rsidRPr="00A76427" w:rsidRDefault="008C706B" w:rsidP="00CA2B34">
            <w:pPr>
              <w:jc w:val="center"/>
              <w:rPr>
                <w:b/>
                <w:color w:val="000000" w:themeColor="text1"/>
              </w:rPr>
            </w:pPr>
            <w:r w:rsidRPr="000E7EED">
              <w:rPr>
                <w:b/>
                <w:color w:val="000000" w:themeColor="text1"/>
              </w:rPr>
              <w:t>20</w:t>
            </w:r>
            <w:r>
              <w:rPr>
                <w:b/>
                <w:color w:val="000000" w:themeColor="text1"/>
              </w:rPr>
              <w:t>21</w:t>
            </w:r>
            <w:r w:rsidR="009B4A96">
              <w:rPr>
                <w:b/>
                <w:color w:val="000000" w:themeColor="text1"/>
              </w:rPr>
              <w:t>–</w:t>
            </w:r>
            <w:r>
              <w:rPr>
                <w:b/>
                <w:color w:val="000000" w:themeColor="text1"/>
              </w:rPr>
              <w:t>22</w:t>
            </w:r>
          </w:p>
        </w:tc>
        <w:tc>
          <w:tcPr>
            <w:cnfStyle w:val="000010000000" w:firstRow="0" w:lastRow="0" w:firstColumn="0" w:lastColumn="0" w:oddVBand="1" w:evenVBand="0" w:oddHBand="0" w:evenHBand="0" w:firstRowFirstColumn="0" w:firstRowLastColumn="0" w:lastRowFirstColumn="0" w:lastRowLastColumn="0"/>
            <w:tcW w:w="799" w:type="pct"/>
            <w:shd w:val="clear" w:color="auto" w:fill="C3AFCC"/>
          </w:tcPr>
          <w:p w14:paraId="0BB80342" w14:textId="63CEA4B6" w:rsidR="008C706B" w:rsidRDefault="008C706B" w:rsidP="00CA2B34">
            <w:pPr>
              <w:jc w:val="center"/>
              <w:rPr>
                <w:b/>
                <w:color w:val="000000" w:themeColor="text1"/>
              </w:rPr>
            </w:pPr>
            <w:r>
              <w:rPr>
                <w:b/>
                <w:color w:val="000000" w:themeColor="text1"/>
              </w:rPr>
              <w:t>Year-end total 2021</w:t>
            </w:r>
            <w:r w:rsidR="009B4A96">
              <w:rPr>
                <w:b/>
                <w:color w:val="000000" w:themeColor="text1"/>
              </w:rPr>
              <w:t>–</w:t>
            </w:r>
            <w:r>
              <w:rPr>
                <w:b/>
                <w:color w:val="000000" w:themeColor="text1"/>
              </w:rPr>
              <w:t>22</w:t>
            </w:r>
          </w:p>
        </w:tc>
        <w:tc>
          <w:tcPr>
            <w:cnfStyle w:val="000001000000" w:firstRow="0" w:lastRow="0" w:firstColumn="0" w:lastColumn="0" w:oddVBand="0" w:evenVBand="1" w:oddHBand="0" w:evenHBand="0" w:firstRowFirstColumn="0" w:firstRowLastColumn="0" w:lastRowFirstColumn="0" w:lastRowLastColumn="0"/>
            <w:tcW w:w="798" w:type="pct"/>
            <w:shd w:val="clear" w:color="auto" w:fill="C3AFCC"/>
          </w:tcPr>
          <w:p w14:paraId="68983894" w14:textId="6DCB7C0C" w:rsidR="008C706B" w:rsidRDefault="008C706B" w:rsidP="00CA2B34">
            <w:pPr>
              <w:jc w:val="center"/>
              <w:rPr>
                <w:b/>
                <w:bCs w:val="0"/>
                <w:color w:val="000000" w:themeColor="text1"/>
              </w:rPr>
            </w:pPr>
            <w:r>
              <w:rPr>
                <w:b/>
                <w:color w:val="000000" w:themeColor="text1"/>
              </w:rPr>
              <w:t>Q1 2022</w:t>
            </w:r>
            <w:r w:rsidR="009B4A96">
              <w:rPr>
                <w:b/>
                <w:color w:val="000000" w:themeColor="text1"/>
              </w:rPr>
              <w:t>–</w:t>
            </w:r>
            <w:r>
              <w:rPr>
                <w:b/>
                <w:color w:val="000000" w:themeColor="text1"/>
              </w:rPr>
              <w:t>23</w:t>
            </w:r>
          </w:p>
          <w:p w14:paraId="1EE8EA13" w14:textId="32BF623A" w:rsidR="008C706B" w:rsidRPr="55245693" w:rsidRDefault="008C706B" w:rsidP="00CA2B34">
            <w:pPr>
              <w:jc w:val="center"/>
              <w:rPr>
                <w:b/>
                <w:color w:val="000000" w:themeColor="text1"/>
              </w:rPr>
            </w:pPr>
            <w:r>
              <w:rPr>
                <w:b/>
                <w:color w:val="000000" w:themeColor="text1"/>
              </w:rPr>
              <w:t>projection</w:t>
            </w:r>
          </w:p>
        </w:tc>
      </w:tr>
      <w:tr w:rsidR="0019660E" w:rsidRPr="000E7EED" w14:paraId="673A80E6" w14:textId="68688B27" w:rsidTr="008C706B">
        <w:trPr>
          <w:cnfStyle w:val="000000100000" w:firstRow="0" w:lastRow="0" w:firstColumn="0" w:lastColumn="0" w:oddVBand="0" w:evenVBand="0" w:oddHBand="1" w:evenHBand="0" w:firstRowFirstColumn="0" w:firstRowLastColumn="0" w:lastRowFirstColumn="0" w:lastRowLastColumn="0"/>
          <w:trHeight w:val="581"/>
        </w:trPr>
        <w:tc>
          <w:tcPr>
            <w:cnfStyle w:val="000010000000" w:firstRow="0" w:lastRow="0" w:firstColumn="0" w:lastColumn="0" w:oddVBand="1" w:evenVBand="0" w:oddHBand="0" w:evenHBand="0" w:firstRowFirstColumn="0" w:firstRowLastColumn="0" w:lastRowFirstColumn="0" w:lastRowLastColumn="0"/>
            <w:tcW w:w="1031" w:type="pct"/>
            <w:vMerge w:val="restart"/>
          </w:tcPr>
          <w:p w14:paraId="22ABC519" w14:textId="103D0FC9" w:rsidR="0019660E" w:rsidRPr="001F0CF5" w:rsidRDefault="0019660E" w:rsidP="0019660E">
            <w:pPr>
              <w:rPr>
                <w:color w:val="000000" w:themeColor="text1"/>
              </w:rPr>
            </w:pPr>
            <w:r w:rsidRPr="001F0CF5">
              <w:rPr>
                <w:color w:val="000000" w:themeColor="text1"/>
              </w:rPr>
              <w:t>Requests for Legal Help assistance</w:t>
            </w:r>
          </w:p>
        </w:tc>
        <w:tc>
          <w:tcPr>
            <w:cnfStyle w:val="000001000000" w:firstRow="0" w:lastRow="0" w:firstColumn="0" w:lastColumn="0" w:oddVBand="0" w:evenVBand="1" w:oddHBand="0" w:evenHBand="0" w:firstRowFirstColumn="0" w:firstRowLastColumn="0" w:lastRowFirstColumn="0" w:lastRowLastColumn="0"/>
            <w:tcW w:w="880" w:type="pct"/>
          </w:tcPr>
          <w:p w14:paraId="50E1615B" w14:textId="185CA98D" w:rsidR="0019660E" w:rsidRPr="000E7EED" w:rsidRDefault="0019660E" w:rsidP="0019660E">
            <w:pPr>
              <w:rPr>
                <w:color w:val="000000" w:themeColor="text1"/>
              </w:rPr>
            </w:pPr>
            <w:r>
              <w:rPr>
                <w:color w:val="000000" w:themeColor="text1"/>
              </w:rPr>
              <w:t>Phoneline</w:t>
            </w:r>
          </w:p>
        </w:tc>
        <w:tc>
          <w:tcPr>
            <w:cnfStyle w:val="000010000000" w:firstRow="0" w:lastRow="0" w:firstColumn="0" w:lastColumn="0" w:oddVBand="1" w:evenVBand="0" w:oddHBand="0" w:evenHBand="0" w:firstRowFirstColumn="0" w:firstRowLastColumn="0" w:lastRowFirstColumn="0" w:lastRowLastColumn="0"/>
            <w:tcW w:w="693" w:type="pct"/>
            <w:vAlign w:val="center"/>
          </w:tcPr>
          <w:p w14:paraId="32B513F8" w14:textId="297EBA0A" w:rsidR="0019660E" w:rsidRPr="000E7EED" w:rsidRDefault="0019660E" w:rsidP="0019660E">
            <w:pPr>
              <w:jc w:val="center"/>
              <w:rPr>
                <w:color w:val="000000" w:themeColor="text1"/>
              </w:rPr>
            </w:pPr>
            <w:r>
              <w:rPr>
                <w:rStyle w:val="normaltextrun"/>
                <w:rFonts w:cs="Arial"/>
                <w:szCs w:val="22"/>
              </w:rPr>
              <w:t>35,716</w:t>
            </w:r>
            <w:r>
              <w:rPr>
                <w:rStyle w:val="eop"/>
                <w:szCs w:val="22"/>
              </w:rPr>
              <w:t> </w:t>
            </w:r>
          </w:p>
        </w:tc>
        <w:tc>
          <w:tcPr>
            <w:cnfStyle w:val="000001000000" w:firstRow="0" w:lastRow="0" w:firstColumn="0" w:lastColumn="0" w:oddVBand="0" w:evenVBand="1" w:oddHBand="0" w:evenHBand="0" w:firstRowFirstColumn="0" w:firstRowLastColumn="0" w:lastRowFirstColumn="0" w:lastRowLastColumn="0"/>
            <w:tcW w:w="799" w:type="pct"/>
            <w:shd w:val="clear" w:color="auto" w:fill="D9D9D9" w:themeFill="background1" w:themeFillShade="D9"/>
            <w:vAlign w:val="center"/>
          </w:tcPr>
          <w:p w14:paraId="12828136" w14:textId="798BF50F" w:rsidR="0019660E" w:rsidRPr="0019660E" w:rsidRDefault="0019660E" w:rsidP="0019660E">
            <w:pPr>
              <w:jc w:val="center"/>
              <w:rPr>
                <w:rStyle w:val="normaltextrun"/>
                <w:rFonts w:cs="Arial"/>
                <w:szCs w:val="22"/>
              </w:rPr>
            </w:pPr>
            <w:r w:rsidRPr="0019660E">
              <w:rPr>
                <w:rStyle w:val="normaltextrun"/>
                <w:rFonts w:cs="Arial"/>
                <w:szCs w:val="22"/>
              </w:rPr>
              <w:t>32</w:t>
            </w:r>
            <w:r w:rsidR="005A62C6">
              <w:rPr>
                <w:rStyle w:val="normaltextrun"/>
                <w:rFonts w:cs="Arial"/>
                <w:szCs w:val="22"/>
              </w:rPr>
              <w:t>,</w:t>
            </w:r>
            <w:r w:rsidRPr="0019660E">
              <w:rPr>
                <w:rStyle w:val="normaltextrun"/>
                <w:rFonts w:cs="Arial"/>
                <w:szCs w:val="22"/>
              </w:rPr>
              <w:t>153</w:t>
            </w:r>
          </w:p>
        </w:tc>
        <w:tc>
          <w:tcPr>
            <w:cnfStyle w:val="000010000000" w:firstRow="0" w:lastRow="0" w:firstColumn="0" w:lastColumn="0" w:oddVBand="1" w:evenVBand="0" w:oddHBand="0" w:evenHBand="0" w:firstRowFirstColumn="0" w:firstRowLastColumn="0" w:lastRowFirstColumn="0" w:lastRowLastColumn="0"/>
            <w:tcW w:w="799" w:type="pct"/>
          </w:tcPr>
          <w:p w14:paraId="54E57D5C" w14:textId="6A140654" w:rsidR="0019660E" w:rsidRPr="0019660E" w:rsidRDefault="0019660E" w:rsidP="0019660E">
            <w:pPr>
              <w:jc w:val="center"/>
              <w:rPr>
                <w:rStyle w:val="normaltextrun"/>
                <w:rFonts w:cs="Arial"/>
              </w:rPr>
            </w:pPr>
            <w:r w:rsidRPr="0019660E">
              <w:rPr>
                <w:rStyle w:val="normaltextrun"/>
                <w:rFonts w:cs="Arial"/>
                <w:szCs w:val="22"/>
              </w:rPr>
              <w:t>137</w:t>
            </w:r>
            <w:r w:rsidR="005A62C6">
              <w:rPr>
                <w:rStyle w:val="normaltextrun"/>
                <w:rFonts w:cs="Arial"/>
                <w:szCs w:val="22"/>
              </w:rPr>
              <w:t>,</w:t>
            </w:r>
            <w:r w:rsidRPr="0019660E">
              <w:rPr>
                <w:rStyle w:val="normaltextrun"/>
                <w:rFonts w:cs="Arial"/>
                <w:szCs w:val="22"/>
              </w:rPr>
              <w:t>712</w:t>
            </w:r>
          </w:p>
        </w:tc>
        <w:tc>
          <w:tcPr>
            <w:cnfStyle w:val="000001000000" w:firstRow="0" w:lastRow="0" w:firstColumn="0" w:lastColumn="0" w:oddVBand="0" w:evenVBand="1" w:oddHBand="0" w:evenHBand="0" w:firstRowFirstColumn="0" w:firstRowLastColumn="0" w:lastRowFirstColumn="0" w:lastRowLastColumn="0"/>
            <w:tcW w:w="798" w:type="pct"/>
            <w:shd w:val="clear" w:color="auto" w:fill="auto"/>
            <w:vAlign w:val="center"/>
          </w:tcPr>
          <w:p w14:paraId="0DAF5679" w14:textId="2F2AB25B" w:rsidR="0019660E" w:rsidRPr="0019660E" w:rsidRDefault="0019660E" w:rsidP="0019660E">
            <w:pPr>
              <w:jc w:val="center"/>
              <w:rPr>
                <w:rStyle w:val="normaltextrun"/>
                <w:rFonts w:cs="Arial"/>
              </w:rPr>
            </w:pPr>
            <w:r w:rsidRPr="0019660E">
              <w:rPr>
                <w:rStyle w:val="normaltextrun"/>
                <w:rFonts w:cs="Arial"/>
                <w:szCs w:val="22"/>
              </w:rPr>
              <w:t>36</w:t>
            </w:r>
            <w:r w:rsidR="005A62C6">
              <w:rPr>
                <w:rStyle w:val="normaltextrun"/>
                <w:rFonts w:cs="Arial"/>
                <w:szCs w:val="22"/>
              </w:rPr>
              <w:t>,</w:t>
            </w:r>
            <w:r w:rsidRPr="0019660E">
              <w:rPr>
                <w:rStyle w:val="normaltextrun"/>
                <w:rFonts w:cs="Arial"/>
                <w:szCs w:val="22"/>
              </w:rPr>
              <w:t>80</w:t>
            </w:r>
            <w:r w:rsidR="002B255E">
              <w:rPr>
                <w:rStyle w:val="normaltextrun"/>
                <w:rFonts w:cs="Arial"/>
                <w:szCs w:val="22"/>
              </w:rPr>
              <w:t>0</w:t>
            </w:r>
          </w:p>
        </w:tc>
      </w:tr>
      <w:tr w:rsidR="0019660E" w:rsidRPr="000E7EED" w14:paraId="1B8D8858" w14:textId="1A952ABD" w:rsidTr="008C706B">
        <w:trPr>
          <w:cnfStyle w:val="000000010000" w:firstRow="0" w:lastRow="0" w:firstColumn="0" w:lastColumn="0" w:oddVBand="0" w:evenVBand="0" w:oddHBand="0" w:evenHBand="1" w:firstRowFirstColumn="0" w:firstRowLastColumn="0" w:lastRowFirstColumn="0" w:lastRowLastColumn="0"/>
          <w:trHeight w:val="581"/>
        </w:trPr>
        <w:tc>
          <w:tcPr>
            <w:cnfStyle w:val="000010000000" w:firstRow="0" w:lastRow="0" w:firstColumn="0" w:lastColumn="0" w:oddVBand="1" w:evenVBand="0" w:oddHBand="0" w:evenHBand="0" w:firstRowFirstColumn="0" w:firstRowLastColumn="0" w:lastRowFirstColumn="0" w:lastRowLastColumn="0"/>
            <w:tcW w:w="1031" w:type="pct"/>
            <w:vMerge/>
          </w:tcPr>
          <w:p w14:paraId="6FE97750" w14:textId="77777777" w:rsidR="0019660E" w:rsidRPr="001F0CF5" w:rsidRDefault="0019660E" w:rsidP="0019660E">
            <w:pPr>
              <w:rPr>
                <w:color w:val="000000" w:themeColor="text1"/>
              </w:rPr>
            </w:pPr>
          </w:p>
        </w:tc>
        <w:tc>
          <w:tcPr>
            <w:cnfStyle w:val="000001000000" w:firstRow="0" w:lastRow="0" w:firstColumn="0" w:lastColumn="0" w:oddVBand="0" w:evenVBand="1" w:oddHBand="0" w:evenHBand="0" w:firstRowFirstColumn="0" w:firstRowLastColumn="0" w:lastRowFirstColumn="0" w:lastRowLastColumn="0"/>
            <w:tcW w:w="880" w:type="pct"/>
            <w:tcBorders>
              <w:top w:val="single" w:sz="4" w:space="0" w:color="7F7F7F" w:themeColor="text1" w:themeTint="80"/>
            </w:tcBorders>
          </w:tcPr>
          <w:p w14:paraId="6A9325D5" w14:textId="17639081" w:rsidR="0019660E" w:rsidRPr="000E7EED" w:rsidRDefault="0019660E" w:rsidP="0019660E">
            <w:pPr>
              <w:rPr>
                <w:color w:val="000000" w:themeColor="text1"/>
              </w:rPr>
            </w:pPr>
            <w:r>
              <w:rPr>
                <w:color w:val="000000" w:themeColor="text1"/>
              </w:rPr>
              <w:t>Web chat</w:t>
            </w:r>
          </w:p>
        </w:tc>
        <w:tc>
          <w:tcPr>
            <w:cnfStyle w:val="000010000000" w:firstRow="0" w:lastRow="0" w:firstColumn="0" w:lastColumn="0" w:oddVBand="1" w:evenVBand="0" w:oddHBand="0" w:evenHBand="0" w:firstRowFirstColumn="0" w:firstRowLastColumn="0" w:lastRowFirstColumn="0" w:lastRowLastColumn="0"/>
            <w:tcW w:w="693" w:type="pct"/>
            <w:vAlign w:val="center"/>
          </w:tcPr>
          <w:p w14:paraId="2A1F3A44" w14:textId="7DB3DC1C" w:rsidR="0019660E" w:rsidRPr="000E7EED" w:rsidRDefault="0019660E" w:rsidP="0019660E">
            <w:pPr>
              <w:jc w:val="center"/>
              <w:rPr>
                <w:color w:val="000000" w:themeColor="text1"/>
              </w:rPr>
            </w:pPr>
            <w:r>
              <w:rPr>
                <w:rStyle w:val="normaltextrun"/>
                <w:rFonts w:cs="Arial"/>
                <w:szCs w:val="22"/>
              </w:rPr>
              <w:t>9,679</w:t>
            </w:r>
            <w:r>
              <w:rPr>
                <w:rStyle w:val="eop"/>
                <w:szCs w:val="22"/>
              </w:rPr>
              <w:t> </w:t>
            </w:r>
          </w:p>
        </w:tc>
        <w:tc>
          <w:tcPr>
            <w:cnfStyle w:val="000001000000" w:firstRow="0" w:lastRow="0" w:firstColumn="0" w:lastColumn="0" w:oddVBand="0" w:evenVBand="1" w:oddHBand="0" w:evenHBand="0" w:firstRowFirstColumn="0" w:firstRowLastColumn="0" w:lastRowFirstColumn="0" w:lastRowLastColumn="0"/>
            <w:tcW w:w="799" w:type="pct"/>
            <w:shd w:val="clear" w:color="auto" w:fill="D9D9D9" w:themeFill="background1" w:themeFillShade="D9"/>
            <w:vAlign w:val="center"/>
          </w:tcPr>
          <w:p w14:paraId="0B0B0D09" w14:textId="54C95877" w:rsidR="0019660E" w:rsidRPr="0019660E" w:rsidRDefault="0019660E" w:rsidP="0019660E">
            <w:pPr>
              <w:jc w:val="center"/>
              <w:rPr>
                <w:rStyle w:val="normaltextrun"/>
                <w:rFonts w:cs="Arial"/>
                <w:szCs w:val="22"/>
              </w:rPr>
            </w:pPr>
            <w:r w:rsidRPr="0019660E">
              <w:rPr>
                <w:rStyle w:val="normaltextrun"/>
                <w:rFonts w:cs="Arial"/>
                <w:szCs w:val="22"/>
              </w:rPr>
              <w:t>9</w:t>
            </w:r>
            <w:r w:rsidR="005A62C6">
              <w:rPr>
                <w:rStyle w:val="normaltextrun"/>
                <w:rFonts w:cs="Arial"/>
                <w:szCs w:val="22"/>
              </w:rPr>
              <w:t>,</w:t>
            </w:r>
            <w:r w:rsidRPr="0019660E">
              <w:rPr>
                <w:rStyle w:val="normaltextrun"/>
                <w:rFonts w:cs="Arial"/>
                <w:szCs w:val="22"/>
              </w:rPr>
              <w:t>114</w:t>
            </w:r>
          </w:p>
        </w:tc>
        <w:tc>
          <w:tcPr>
            <w:cnfStyle w:val="000010000000" w:firstRow="0" w:lastRow="0" w:firstColumn="0" w:lastColumn="0" w:oddVBand="1" w:evenVBand="0" w:oddHBand="0" w:evenHBand="0" w:firstRowFirstColumn="0" w:firstRowLastColumn="0" w:lastRowFirstColumn="0" w:lastRowLastColumn="0"/>
            <w:tcW w:w="799" w:type="pct"/>
          </w:tcPr>
          <w:p w14:paraId="79FD6575" w14:textId="365708B1" w:rsidR="0019660E" w:rsidRPr="0019660E" w:rsidRDefault="0019660E" w:rsidP="0019660E">
            <w:pPr>
              <w:jc w:val="center"/>
              <w:rPr>
                <w:rStyle w:val="normaltextrun"/>
                <w:rFonts w:cs="Arial"/>
                <w:szCs w:val="22"/>
              </w:rPr>
            </w:pPr>
            <w:r w:rsidRPr="0019660E">
              <w:rPr>
                <w:rStyle w:val="normaltextrun"/>
                <w:rFonts w:cs="Arial"/>
                <w:szCs w:val="22"/>
              </w:rPr>
              <w:t>38</w:t>
            </w:r>
            <w:r w:rsidR="005A62C6">
              <w:rPr>
                <w:rStyle w:val="normaltextrun"/>
                <w:rFonts w:cs="Arial"/>
                <w:szCs w:val="22"/>
              </w:rPr>
              <w:t>,</w:t>
            </w:r>
            <w:r w:rsidRPr="0019660E">
              <w:rPr>
                <w:rStyle w:val="normaltextrun"/>
                <w:rFonts w:cs="Arial"/>
                <w:szCs w:val="22"/>
              </w:rPr>
              <w:t>458</w:t>
            </w:r>
          </w:p>
        </w:tc>
        <w:tc>
          <w:tcPr>
            <w:cnfStyle w:val="000001000000" w:firstRow="0" w:lastRow="0" w:firstColumn="0" w:lastColumn="0" w:oddVBand="0" w:evenVBand="1" w:oddHBand="0" w:evenHBand="0" w:firstRowFirstColumn="0" w:firstRowLastColumn="0" w:lastRowFirstColumn="0" w:lastRowLastColumn="0"/>
            <w:tcW w:w="798" w:type="pct"/>
            <w:shd w:val="clear" w:color="auto" w:fill="auto"/>
            <w:vAlign w:val="center"/>
          </w:tcPr>
          <w:p w14:paraId="679552C6" w14:textId="51082E61" w:rsidR="0019660E" w:rsidRPr="0019660E" w:rsidRDefault="0019660E" w:rsidP="0019660E">
            <w:pPr>
              <w:jc w:val="center"/>
              <w:rPr>
                <w:rStyle w:val="normaltextrun"/>
                <w:rFonts w:cs="Arial"/>
                <w:szCs w:val="22"/>
              </w:rPr>
            </w:pPr>
            <w:r w:rsidRPr="0019660E">
              <w:rPr>
                <w:rStyle w:val="normaltextrun"/>
                <w:rFonts w:cs="Arial"/>
                <w:szCs w:val="22"/>
              </w:rPr>
              <w:t>10</w:t>
            </w:r>
            <w:r w:rsidR="005A62C6">
              <w:rPr>
                <w:rStyle w:val="normaltextrun"/>
                <w:rFonts w:cs="Arial"/>
                <w:szCs w:val="22"/>
              </w:rPr>
              <w:t>,</w:t>
            </w:r>
            <w:r w:rsidRPr="0019660E">
              <w:rPr>
                <w:rStyle w:val="normaltextrun"/>
                <w:rFonts w:cs="Arial"/>
                <w:szCs w:val="22"/>
              </w:rPr>
              <w:t>700</w:t>
            </w:r>
          </w:p>
        </w:tc>
      </w:tr>
      <w:tr w:rsidR="0019660E" w:rsidRPr="000E7EED" w14:paraId="63EA8C9D" w14:textId="66956605" w:rsidTr="008C706B">
        <w:trPr>
          <w:cnfStyle w:val="000000100000" w:firstRow="0" w:lastRow="0" w:firstColumn="0" w:lastColumn="0" w:oddVBand="0" w:evenVBand="0" w:oddHBand="1" w:evenHBand="0" w:firstRowFirstColumn="0" w:firstRowLastColumn="0" w:lastRowFirstColumn="0" w:lastRowLastColumn="0"/>
          <w:trHeight w:val="581"/>
        </w:trPr>
        <w:tc>
          <w:tcPr>
            <w:cnfStyle w:val="000010000000" w:firstRow="0" w:lastRow="0" w:firstColumn="0" w:lastColumn="0" w:oddVBand="1" w:evenVBand="0" w:oddHBand="0" w:evenHBand="0" w:firstRowFirstColumn="0" w:firstRowLastColumn="0" w:lastRowFirstColumn="0" w:lastRowLastColumn="0"/>
            <w:tcW w:w="1031" w:type="pct"/>
            <w:vMerge w:val="restart"/>
          </w:tcPr>
          <w:p w14:paraId="343F4B5B" w14:textId="11A27AD7" w:rsidR="0019660E" w:rsidRPr="001F0CF5" w:rsidRDefault="0019660E" w:rsidP="0019660E">
            <w:pPr>
              <w:rPr>
                <w:color w:val="000000" w:themeColor="text1"/>
              </w:rPr>
            </w:pPr>
            <w:r>
              <w:rPr>
                <w:color w:val="000000" w:themeColor="text1"/>
              </w:rPr>
              <w:t>Number of Legal Help sessions delivered</w:t>
            </w:r>
          </w:p>
        </w:tc>
        <w:tc>
          <w:tcPr>
            <w:cnfStyle w:val="000001000000" w:firstRow="0" w:lastRow="0" w:firstColumn="0" w:lastColumn="0" w:oddVBand="0" w:evenVBand="1" w:oddHBand="0" w:evenHBand="0" w:firstRowFirstColumn="0" w:firstRowLastColumn="0" w:lastRowFirstColumn="0" w:lastRowLastColumn="0"/>
            <w:tcW w:w="880" w:type="pct"/>
          </w:tcPr>
          <w:p w14:paraId="2AA551BD" w14:textId="762B83B8" w:rsidR="0019660E" w:rsidRPr="000E7EED" w:rsidRDefault="0019660E" w:rsidP="0019660E">
            <w:pPr>
              <w:rPr>
                <w:color w:val="000000" w:themeColor="text1"/>
              </w:rPr>
            </w:pPr>
            <w:r>
              <w:rPr>
                <w:color w:val="000000" w:themeColor="text1"/>
              </w:rPr>
              <w:t>Phoneline</w:t>
            </w:r>
          </w:p>
        </w:tc>
        <w:tc>
          <w:tcPr>
            <w:cnfStyle w:val="000010000000" w:firstRow="0" w:lastRow="0" w:firstColumn="0" w:lastColumn="0" w:oddVBand="1" w:evenVBand="0" w:oddHBand="0" w:evenHBand="0" w:firstRowFirstColumn="0" w:firstRowLastColumn="0" w:lastRowFirstColumn="0" w:lastRowLastColumn="0"/>
            <w:tcW w:w="693" w:type="pct"/>
            <w:vAlign w:val="center"/>
          </w:tcPr>
          <w:p w14:paraId="7B3AC051" w14:textId="78100D23" w:rsidR="0019660E" w:rsidRPr="000E7EED" w:rsidRDefault="0019660E" w:rsidP="0019660E">
            <w:pPr>
              <w:jc w:val="center"/>
              <w:rPr>
                <w:color w:val="000000" w:themeColor="text1"/>
              </w:rPr>
            </w:pPr>
            <w:r>
              <w:rPr>
                <w:rStyle w:val="normaltextrun"/>
                <w:rFonts w:cs="Arial"/>
                <w:szCs w:val="22"/>
              </w:rPr>
              <w:t>20,086</w:t>
            </w:r>
            <w:r>
              <w:rPr>
                <w:rStyle w:val="eop"/>
                <w:szCs w:val="22"/>
              </w:rPr>
              <w:t> </w:t>
            </w:r>
          </w:p>
        </w:tc>
        <w:tc>
          <w:tcPr>
            <w:cnfStyle w:val="000001000000" w:firstRow="0" w:lastRow="0" w:firstColumn="0" w:lastColumn="0" w:oddVBand="0" w:evenVBand="1" w:oddHBand="0" w:evenHBand="0" w:firstRowFirstColumn="0" w:firstRowLastColumn="0" w:lastRowFirstColumn="0" w:lastRowLastColumn="0"/>
            <w:tcW w:w="799" w:type="pct"/>
            <w:shd w:val="clear" w:color="auto" w:fill="D9D9D9" w:themeFill="background1" w:themeFillShade="D9"/>
            <w:vAlign w:val="center"/>
          </w:tcPr>
          <w:p w14:paraId="0C7F4A16" w14:textId="4967D20A" w:rsidR="0019660E" w:rsidRPr="0019660E" w:rsidRDefault="0019660E" w:rsidP="0019660E">
            <w:pPr>
              <w:jc w:val="center"/>
              <w:rPr>
                <w:rStyle w:val="normaltextrun"/>
                <w:rFonts w:cs="Arial"/>
                <w:szCs w:val="22"/>
              </w:rPr>
            </w:pPr>
            <w:r w:rsidRPr="0019660E">
              <w:rPr>
                <w:rStyle w:val="normaltextrun"/>
                <w:rFonts w:cs="Arial"/>
                <w:szCs w:val="22"/>
              </w:rPr>
              <w:t>19</w:t>
            </w:r>
            <w:r w:rsidR="005A62C6">
              <w:rPr>
                <w:rStyle w:val="normaltextrun"/>
                <w:rFonts w:cs="Arial"/>
                <w:szCs w:val="22"/>
              </w:rPr>
              <w:t>,</w:t>
            </w:r>
            <w:r w:rsidRPr="0019660E">
              <w:rPr>
                <w:rStyle w:val="normaltextrun"/>
                <w:rFonts w:cs="Arial"/>
                <w:szCs w:val="22"/>
              </w:rPr>
              <w:t>681</w:t>
            </w:r>
          </w:p>
        </w:tc>
        <w:tc>
          <w:tcPr>
            <w:cnfStyle w:val="000010000000" w:firstRow="0" w:lastRow="0" w:firstColumn="0" w:lastColumn="0" w:oddVBand="1" w:evenVBand="0" w:oddHBand="0" w:evenHBand="0" w:firstRowFirstColumn="0" w:firstRowLastColumn="0" w:lastRowFirstColumn="0" w:lastRowLastColumn="0"/>
            <w:tcW w:w="799" w:type="pct"/>
          </w:tcPr>
          <w:p w14:paraId="55631412" w14:textId="383770BD" w:rsidR="0019660E" w:rsidRPr="0019660E" w:rsidRDefault="0019660E" w:rsidP="0019660E">
            <w:pPr>
              <w:jc w:val="center"/>
              <w:rPr>
                <w:rStyle w:val="normaltextrun"/>
                <w:rFonts w:cs="Arial"/>
                <w:szCs w:val="22"/>
              </w:rPr>
            </w:pPr>
            <w:r w:rsidRPr="0019660E">
              <w:rPr>
                <w:rStyle w:val="normaltextrun"/>
                <w:rFonts w:cs="Arial"/>
                <w:szCs w:val="22"/>
              </w:rPr>
              <w:t>83</w:t>
            </w:r>
            <w:r w:rsidR="005A62C6">
              <w:rPr>
                <w:rStyle w:val="normaltextrun"/>
                <w:rFonts w:cs="Arial"/>
                <w:szCs w:val="22"/>
              </w:rPr>
              <w:t>,</w:t>
            </w:r>
            <w:r w:rsidRPr="0019660E">
              <w:rPr>
                <w:rStyle w:val="normaltextrun"/>
                <w:rFonts w:cs="Arial"/>
                <w:szCs w:val="22"/>
              </w:rPr>
              <w:t>249</w:t>
            </w:r>
          </w:p>
        </w:tc>
        <w:tc>
          <w:tcPr>
            <w:cnfStyle w:val="000001000000" w:firstRow="0" w:lastRow="0" w:firstColumn="0" w:lastColumn="0" w:oddVBand="0" w:evenVBand="1" w:oddHBand="0" w:evenHBand="0" w:firstRowFirstColumn="0" w:firstRowLastColumn="0" w:lastRowFirstColumn="0" w:lastRowLastColumn="0"/>
            <w:tcW w:w="798" w:type="pct"/>
            <w:shd w:val="clear" w:color="auto" w:fill="auto"/>
            <w:vAlign w:val="center"/>
          </w:tcPr>
          <w:p w14:paraId="0C77C3D5" w14:textId="14091119" w:rsidR="0019660E" w:rsidRPr="0019660E" w:rsidRDefault="0019660E" w:rsidP="0019660E">
            <w:pPr>
              <w:jc w:val="center"/>
              <w:rPr>
                <w:rStyle w:val="normaltextrun"/>
                <w:rFonts w:cs="Arial"/>
                <w:szCs w:val="22"/>
              </w:rPr>
            </w:pPr>
            <w:r w:rsidRPr="0019660E">
              <w:rPr>
                <w:rStyle w:val="normaltextrun"/>
                <w:rFonts w:cs="Arial"/>
                <w:szCs w:val="22"/>
              </w:rPr>
              <w:t>13</w:t>
            </w:r>
            <w:r w:rsidR="005A62C6">
              <w:rPr>
                <w:rStyle w:val="normaltextrun"/>
                <w:rFonts w:cs="Arial"/>
                <w:szCs w:val="22"/>
              </w:rPr>
              <w:t>,</w:t>
            </w:r>
            <w:r w:rsidR="002B255E" w:rsidRPr="0019660E">
              <w:rPr>
                <w:rStyle w:val="normaltextrun"/>
                <w:rFonts w:cs="Arial"/>
                <w:szCs w:val="22"/>
              </w:rPr>
              <w:t>8</w:t>
            </w:r>
            <w:r w:rsidR="002B255E">
              <w:rPr>
                <w:rStyle w:val="normaltextrun"/>
                <w:rFonts w:cs="Arial"/>
                <w:szCs w:val="22"/>
              </w:rPr>
              <w:t>00</w:t>
            </w:r>
          </w:p>
        </w:tc>
      </w:tr>
      <w:tr w:rsidR="0019660E" w:rsidRPr="000E7EED" w14:paraId="7DCD8807" w14:textId="69A07913" w:rsidTr="008C706B">
        <w:trPr>
          <w:cnfStyle w:val="000000010000" w:firstRow="0" w:lastRow="0" w:firstColumn="0" w:lastColumn="0" w:oddVBand="0" w:evenVBand="0" w:oddHBand="0" w:evenHBand="1" w:firstRowFirstColumn="0" w:firstRowLastColumn="0" w:lastRowFirstColumn="0" w:lastRowLastColumn="0"/>
          <w:trHeight w:val="581"/>
        </w:trPr>
        <w:tc>
          <w:tcPr>
            <w:cnfStyle w:val="000010000000" w:firstRow="0" w:lastRow="0" w:firstColumn="0" w:lastColumn="0" w:oddVBand="1" w:evenVBand="0" w:oddHBand="0" w:evenHBand="0" w:firstRowFirstColumn="0" w:firstRowLastColumn="0" w:lastRowFirstColumn="0" w:lastRowLastColumn="0"/>
            <w:tcW w:w="1031" w:type="pct"/>
            <w:vMerge/>
          </w:tcPr>
          <w:p w14:paraId="58C5451E" w14:textId="77777777" w:rsidR="0019660E" w:rsidRDefault="0019660E" w:rsidP="0019660E">
            <w:pPr>
              <w:rPr>
                <w:color w:val="000000" w:themeColor="text1"/>
              </w:rPr>
            </w:pPr>
          </w:p>
        </w:tc>
        <w:tc>
          <w:tcPr>
            <w:cnfStyle w:val="000001000000" w:firstRow="0" w:lastRow="0" w:firstColumn="0" w:lastColumn="0" w:oddVBand="0" w:evenVBand="1" w:oddHBand="0" w:evenHBand="0" w:firstRowFirstColumn="0" w:firstRowLastColumn="0" w:lastRowFirstColumn="0" w:lastRowLastColumn="0"/>
            <w:tcW w:w="880" w:type="pct"/>
            <w:tcBorders>
              <w:top w:val="single" w:sz="4" w:space="0" w:color="7F7F7F" w:themeColor="text1" w:themeTint="80"/>
            </w:tcBorders>
          </w:tcPr>
          <w:p w14:paraId="22F965B2" w14:textId="769783D4" w:rsidR="0019660E" w:rsidRPr="000E7EED" w:rsidRDefault="0019660E" w:rsidP="0019660E">
            <w:pPr>
              <w:rPr>
                <w:color w:val="000000" w:themeColor="text1"/>
              </w:rPr>
            </w:pPr>
            <w:r>
              <w:rPr>
                <w:color w:val="000000" w:themeColor="text1"/>
              </w:rPr>
              <w:t>Web chat</w:t>
            </w:r>
          </w:p>
        </w:tc>
        <w:tc>
          <w:tcPr>
            <w:cnfStyle w:val="000010000000" w:firstRow="0" w:lastRow="0" w:firstColumn="0" w:lastColumn="0" w:oddVBand="1" w:evenVBand="0" w:oddHBand="0" w:evenHBand="0" w:firstRowFirstColumn="0" w:firstRowLastColumn="0" w:lastRowFirstColumn="0" w:lastRowLastColumn="0"/>
            <w:tcW w:w="693" w:type="pct"/>
            <w:vAlign w:val="center"/>
          </w:tcPr>
          <w:p w14:paraId="54BF1051" w14:textId="1AD4F85F" w:rsidR="0019660E" w:rsidRPr="000E7EED" w:rsidRDefault="0019660E" w:rsidP="0019660E">
            <w:pPr>
              <w:jc w:val="center"/>
              <w:rPr>
                <w:color w:val="000000" w:themeColor="text1"/>
              </w:rPr>
            </w:pPr>
            <w:r>
              <w:rPr>
                <w:rStyle w:val="normaltextrun"/>
                <w:rFonts w:cs="Arial"/>
                <w:szCs w:val="22"/>
              </w:rPr>
              <w:t>9,314</w:t>
            </w:r>
            <w:r>
              <w:rPr>
                <w:rStyle w:val="eop"/>
                <w:szCs w:val="22"/>
              </w:rPr>
              <w:t> </w:t>
            </w:r>
          </w:p>
        </w:tc>
        <w:tc>
          <w:tcPr>
            <w:cnfStyle w:val="000001000000" w:firstRow="0" w:lastRow="0" w:firstColumn="0" w:lastColumn="0" w:oddVBand="0" w:evenVBand="1" w:oddHBand="0" w:evenHBand="0" w:firstRowFirstColumn="0" w:firstRowLastColumn="0" w:lastRowFirstColumn="0" w:lastRowLastColumn="0"/>
            <w:tcW w:w="799" w:type="pct"/>
            <w:shd w:val="clear" w:color="auto" w:fill="D9D9D9" w:themeFill="background1" w:themeFillShade="D9"/>
            <w:vAlign w:val="center"/>
          </w:tcPr>
          <w:p w14:paraId="40E1C52C" w14:textId="794CAA4D" w:rsidR="0019660E" w:rsidRPr="0019660E" w:rsidRDefault="0019660E" w:rsidP="0019660E">
            <w:pPr>
              <w:jc w:val="center"/>
              <w:rPr>
                <w:rStyle w:val="normaltextrun"/>
                <w:rFonts w:cs="Arial"/>
                <w:szCs w:val="22"/>
              </w:rPr>
            </w:pPr>
            <w:r w:rsidRPr="0019660E">
              <w:rPr>
                <w:rStyle w:val="normaltextrun"/>
                <w:rFonts w:cs="Arial"/>
                <w:szCs w:val="22"/>
              </w:rPr>
              <w:t>8</w:t>
            </w:r>
            <w:r w:rsidR="005A62C6">
              <w:rPr>
                <w:rStyle w:val="normaltextrun"/>
                <w:rFonts w:cs="Arial"/>
                <w:szCs w:val="22"/>
              </w:rPr>
              <w:t>,</w:t>
            </w:r>
            <w:r w:rsidRPr="0019660E">
              <w:rPr>
                <w:rStyle w:val="normaltextrun"/>
                <w:rFonts w:cs="Arial"/>
                <w:szCs w:val="22"/>
              </w:rPr>
              <w:t>678</w:t>
            </w:r>
          </w:p>
        </w:tc>
        <w:tc>
          <w:tcPr>
            <w:cnfStyle w:val="000010000000" w:firstRow="0" w:lastRow="0" w:firstColumn="0" w:lastColumn="0" w:oddVBand="1" w:evenVBand="0" w:oddHBand="0" w:evenHBand="0" w:firstRowFirstColumn="0" w:firstRowLastColumn="0" w:lastRowFirstColumn="0" w:lastRowLastColumn="0"/>
            <w:tcW w:w="799" w:type="pct"/>
          </w:tcPr>
          <w:p w14:paraId="6CF40E40" w14:textId="377522E7" w:rsidR="0019660E" w:rsidRPr="0019660E" w:rsidRDefault="0019660E" w:rsidP="0019660E">
            <w:pPr>
              <w:jc w:val="center"/>
              <w:rPr>
                <w:rStyle w:val="normaltextrun"/>
                <w:rFonts w:cs="Arial"/>
                <w:szCs w:val="22"/>
              </w:rPr>
            </w:pPr>
            <w:r w:rsidRPr="0019660E">
              <w:rPr>
                <w:rStyle w:val="normaltextrun"/>
                <w:rFonts w:cs="Arial"/>
                <w:szCs w:val="22"/>
              </w:rPr>
              <w:t>36</w:t>
            </w:r>
            <w:r w:rsidR="005A62C6">
              <w:rPr>
                <w:rStyle w:val="normaltextrun"/>
                <w:rFonts w:cs="Arial"/>
                <w:szCs w:val="22"/>
              </w:rPr>
              <w:t>,</w:t>
            </w:r>
            <w:r w:rsidRPr="0019660E">
              <w:rPr>
                <w:rStyle w:val="normaltextrun"/>
                <w:rFonts w:cs="Arial"/>
                <w:szCs w:val="22"/>
              </w:rPr>
              <w:t>706</w:t>
            </w:r>
          </w:p>
        </w:tc>
        <w:tc>
          <w:tcPr>
            <w:cnfStyle w:val="000001000000" w:firstRow="0" w:lastRow="0" w:firstColumn="0" w:lastColumn="0" w:oddVBand="0" w:evenVBand="1" w:oddHBand="0" w:evenHBand="0" w:firstRowFirstColumn="0" w:firstRowLastColumn="0" w:lastRowFirstColumn="0" w:lastRowLastColumn="0"/>
            <w:tcW w:w="798" w:type="pct"/>
            <w:shd w:val="clear" w:color="auto" w:fill="auto"/>
            <w:vAlign w:val="center"/>
          </w:tcPr>
          <w:p w14:paraId="4C51BEAB" w14:textId="3AE19CDC" w:rsidR="0019660E" w:rsidRPr="0019660E" w:rsidRDefault="0019660E" w:rsidP="0019660E">
            <w:pPr>
              <w:jc w:val="center"/>
              <w:rPr>
                <w:rStyle w:val="normaltextrun"/>
                <w:rFonts w:cs="Arial"/>
                <w:szCs w:val="22"/>
              </w:rPr>
            </w:pPr>
            <w:r w:rsidRPr="0019660E">
              <w:rPr>
                <w:rStyle w:val="normaltextrun"/>
                <w:rFonts w:cs="Arial"/>
                <w:szCs w:val="22"/>
              </w:rPr>
              <w:t>9</w:t>
            </w:r>
            <w:r w:rsidR="005A62C6">
              <w:rPr>
                <w:rStyle w:val="normaltextrun"/>
                <w:rFonts w:cs="Arial"/>
                <w:szCs w:val="22"/>
              </w:rPr>
              <w:t>,</w:t>
            </w:r>
            <w:r w:rsidR="002B255E" w:rsidRPr="0019660E">
              <w:rPr>
                <w:rStyle w:val="normaltextrun"/>
                <w:rFonts w:cs="Arial"/>
                <w:szCs w:val="22"/>
              </w:rPr>
              <w:t>6</w:t>
            </w:r>
            <w:r w:rsidR="002B255E">
              <w:rPr>
                <w:rStyle w:val="normaltextrun"/>
                <w:rFonts w:cs="Arial"/>
                <w:szCs w:val="22"/>
              </w:rPr>
              <w:t>00</w:t>
            </w:r>
          </w:p>
        </w:tc>
      </w:tr>
      <w:tr w:rsidR="0019660E" w:rsidRPr="000E7EED" w14:paraId="413F851F" w14:textId="77777777" w:rsidTr="0019660E">
        <w:trPr>
          <w:cnfStyle w:val="000000100000" w:firstRow="0" w:lastRow="0" w:firstColumn="0" w:lastColumn="0" w:oddVBand="0" w:evenVBand="0" w:oddHBand="1" w:evenHBand="0" w:firstRowFirstColumn="0" w:firstRowLastColumn="0" w:lastRowFirstColumn="0" w:lastRowLastColumn="0"/>
          <w:trHeight w:val="339"/>
        </w:trPr>
        <w:tc>
          <w:tcPr>
            <w:cnfStyle w:val="000010000000" w:firstRow="0" w:lastRow="0" w:firstColumn="0" w:lastColumn="0" w:oddVBand="1" w:evenVBand="0" w:oddHBand="0" w:evenHBand="0" w:firstRowFirstColumn="0" w:firstRowLastColumn="0" w:lastRowFirstColumn="0" w:lastRowLastColumn="0"/>
            <w:tcW w:w="1031" w:type="pct"/>
          </w:tcPr>
          <w:p w14:paraId="152892DE" w14:textId="1A6F0CC3" w:rsidR="0019660E" w:rsidRPr="673921BC" w:rsidRDefault="0019660E" w:rsidP="0019660E">
            <w:pPr>
              <w:rPr>
                <w:color w:val="000000" w:themeColor="text1"/>
              </w:rPr>
            </w:pPr>
            <w:r w:rsidRPr="673921BC">
              <w:rPr>
                <w:color w:val="000000" w:themeColor="text1"/>
              </w:rPr>
              <w:t>Average wait time (minutes)</w:t>
            </w:r>
          </w:p>
        </w:tc>
        <w:tc>
          <w:tcPr>
            <w:cnfStyle w:val="000001000000" w:firstRow="0" w:lastRow="0" w:firstColumn="0" w:lastColumn="0" w:oddVBand="0" w:evenVBand="1" w:oddHBand="0" w:evenHBand="0" w:firstRowFirstColumn="0" w:firstRowLastColumn="0" w:lastRowFirstColumn="0" w:lastRowLastColumn="0"/>
            <w:tcW w:w="880" w:type="pct"/>
          </w:tcPr>
          <w:p w14:paraId="5096FFF3" w14:textId="6576256E" w:rsidR="0019660E" w:rsidRDefault="0019660E" w:rsidP="0019660E">
            <w:pPr>
              <w:rPr>
                <w:color w:val="000000" w:themeColor="text1"/>
              </w:rPr>
            </w:pPr>
            <w:r>
              <w:rPr>
                <w:color w:val="000000" w:themeColor="text1"/>
              </w:rPr>
              <w:t>Phoneline and web chat (consolidated)</w:t>
            </w:r>
          </w:p>
        </w:tc>
        <w:tc>
          <w:tcPr>
            <w:cnfStyle w:val="000010000000" w:firstRow="0" w:lastRow="0" w:firstColumn="0" w:lastColumn="0" w:oddVBand="1" w:evenVBand="0" w:oddHBand="0" w:evenHBand="0" w:firstRowFirstColumn="0" w:firstRowLastColumn="0" w:lastRowFirstColumn="0" w:lastRowLastColumn="0"/>
            <w:tcW w:w="693" w:type="pct"/>
            <w:vAlign w:val="center"/>
          </w:tcPr>
          <w:p w14:paraId="4BE5FB0C" w14:textId="77490357" w:rsidR="0019660E" w:rsidRDefault="0019660E" w:rsidP="0019660E">
            <w:pPr>
              <w:jc w:val="center"/>
              <w:rPr>
                <w:color w:val="000000" w:themeColor="text1"/>
              </w:rPr>
            </w:pPr>
            <w:r>
              <w:rPr>
                <w:rStyle w:val="normaltextrun"/>
                <w:rFonts w:cs="Arial"/>
                <w:szCs w:val="22"/>
              </w:rPr>
              <w:t>12:57</w:t>
            </w:r>
            <w:r>
              <w:rPr>
                <w:rStyle w:val="eop"/>
                <w:szCs w:val="22"/>
              </w:rPr>
              <w:t> </w:t>
            </w:r>
          </w:p>
        </w:tc>
        <w:tc>
          <w:tcPr>
            <w:cnfStyle w:val="000001000000" w:firstRow="0" w:lastRow="0" w:firstColumn="0" w:lastColumn="0" w:oddVBand="0" w:evenVBand="1" w:oddHBand="0" w:evenHBand="0" w:firstRowFirstColumn="0" w:firstRowLastColumn="0" w:lastRowFirstColumn="0" w:lastRowLastColumn="0"/>
            <w:tcW w:w="799" w:type="pct"/>
            <w:shd w:val="clear" w:color="auto" w:fill="D9D9D9" w:themeFill="background1" w:themeFillShade="D9"/>
            <w:vAlign w:val="center"/>
          </w:tcPr>
          <w:p w14:paraId="50DCD92B" w14:textId="4BBE7C42" w:rsidR="0019660E" w:rsidRPr="0019660E" w:rsidRDefault="0019660E" w:rsidP="0019660E">
            <w:pPr>
              <w:jc w:val="center"/>
              <w:rPr>
                <w:rStyle w:val="normaltextrun"/>
                <w:rFonts w:cs="Arial"/>
                <w:szCs w:val="22"/>
              </w:rPr>
            </w:pPr>
            <w:r w:rsidRPr="0019660E">
              <w:rPr>
                <w:rStyle w:val="normaltextrun"/>
                <w:rFonts w:cs="Arial"/>
                <w:szCs w:val="22"/>
              </w:rPr>
              <w:t>11:01</w:t>
            </w:r>
          </w:p>
        </w:tc>
        <w:tc>
          <w:tcPr>
            <w:cnfStyle w:val="000010000000" w:firstRow="0" w:lastRow="0" w:firstColumn="0" w:lastColumn="0" w:oddVBand="1" w:evenVBand="0" w:oddHBand="0" w:evenHBand="0" w:firstRowFirstColumn="0" w:firstRowLastColumn="0" w:lastRowFirstColumn="0" w:lastRowLastColumn="0"/>
            <w:tcW w:w="799" w:type="pct"/>
            <w:vAlign w:val="center"/>
          </w:tcPr>
          <w:p w14:paraId="4786FA0E" w14:textId="1CC1C59F" w:rsidR="0019660E" w:rsidRPr="0019660E" w:rsidRDefault="0019660E" w:rsidP="0019660E">
            <w:pPr>
              <w:jc w:val="center"/>
              <w:rPr>
                <w:rStyle w:val="normaltextrun"/>
                <w:rFonts w:cs="Arial"/>
                <w:szCs w:val="22"/>
              </w:rPr>
            </w:pPr>
            <w:r w:rsidRPr="0019660E">
              <w:rPr>
                <w:rStyle w:val="normaltextrun"/>
                <w:rFonts w:cs="Arial"/>
                <w:szCs w:val="22"/>
              </w:rPr>
              <w:t>11:23</w:t>
            </w:r>
          </w:p>
        </w:tc>
        <w:tc>
          <w:tcPr>
            <w:cnfStyle w:val="000001000000" w:firstRow="0" w:lastRow="0" w:firstColumn="0" w:lastColumn="0" w:oddVBand="0" w:evenVBand="1" w:oddHBand="0" w:evenHBand="0" w:firstRowFirstColumn="0" w:firstRowLastColumn="0" w:lastRowFirstColumn="0" w:lastRowLastColumn="0"/>
            <w:tcW w:w="798" w:type="pct"/>
            <w:shd w:val="clear" w:color="auto" w:fill="auto"/>
            <w:vAlign w:val="center"/>
          </w:tcPr>
          <w:p w14:paraId="43843058" w14:textId="50C720B4" w:rsidR="0019660E" w:rsidRPr="0019660E" w:rsidRDefault="0019660E" w:rsidP="0019660E">
            <w:pPr>
              <w:jc w:val="center"/>
              <w:rPr>
                <w:rStyle w:val="normaltextrun"/>
                <w:rFonts w:cs="Arial"/>
                <w:szCs w:val="22"/>
              </w:rPr>
            </w:pPr>
            <w:r w:rsidRPr="0019660E">
              <w:rPr>
                <w:rStyle w:val="normaltextrun"/>
                <w:rFonts w:cs="Arial"/>
                <w:szCs w:val="22"/>
              </w:rPr>
              <w:t>15:40</w:t>
            </w:r>
          </w:p>
        </w:tc>
      </w:tr>
      <w:bookmarkEnd w:id="1"/>
      <w:bookmarkEnd w:id="2"/>
    </w:tbl>
    <w:p w14:paraId="687B64E8" w14:textId="77777777" w:rsidR="005706EE" w:rsidRDefault="005706EE" w:rsidP="005706EE">
      <w:pPr>
        <w:pStyle w:val="FootnoteText"/>
        <w:rPr>
          <w:rFonts w:eastAsiaTheme="minorEastAsia"/>
          <w:sz w:val="22"/>
          <w:szCs w:val="24"/>
          <w:lang w:eastAsia="en-AU"/>
        </w:rPr>
      </w:pPr>
    </w:p>
    <w:p w14:paraId="58D94082" w14:textId="58699346" w:rsidR="009E1819" w:rsidRDefault="00853BE7" w:rsidP="00135B43">
      <w:pPr>
        <w:pStyle w:val="FootnoteText"/>
        <w:ind w:left="0" w:firstLine="0"/>
        <w:rPr>
          <w:rFonts w:eastAsiaTheme="minorEastAsia"/>
          <w:sz w:val="22"/>
          <w:szCs w:val="24"/>
          <w:lang w:eastAsia="en-AU"/>
        </w:rPr>
      </w:pPr>
      <w:r>
        <w:rPr>
          <w:rFonts w:eastAsiaTheme="minorEastAsia"/>
          <w:sz w:val="22"/>
          <w:szCs w:val="24"/>
          <w:lang w:eastAsia="en-AU"/>
        </w:rPr>
        <w:t xml:space="preserve">We provided </w:t>
      </w:r>
      <w:r w:rsidR="00E3403F">
        <w:rPr>
          <w:rFonts w:eastAsiaTheme="minorEastAsia"/>
          <w:sz w:val="22"/>
          <w:szCs w:val="24"/>
          <w:lang w:eastAsia="en-AU"/>
        </w:rPr>
        <w:t>fewer information sessions in quarter four compared to quarter three (-</w:t>
      </w:r>
      <w:r w:rsidR="00DD1C23">
        <w:rPr>
          <w:rFonts w:eastAsiaTheme="minorEastAsia"/>
          <w:sz w:val="22"/>
          <w:szCs w:val="24"/>
          <w:lang w:eastAsia="en-AU"/>
        </w:rPr>
        <w:t>22 per cent)</w:t>
      </w:r>
      <w:r w:rsidR="00E3403F">
        <w:rPr>
          <w:rFonts w:eastAsiaTheme="minorEastAsia"/>
          <w:sz w:val="22"/>
          <w:szCs w:val="24"/>
          <w:lang w:eastAsia="en-AU"/>
        </w:rPr>
        <w:t>.</w:t>
      </w:r>
      <w:r w:rsidR="00FD12D8">
        <w:rPr>
          <w:rFonts w:eastAsiaTheme="minorEastAsia"/>
          <w:sz w:val="22"/>
          <w:szCs w:val="24"/>
          <w:lang w:eastAsia="en-AU"/>
        </w:rPr>
        <w:t xml:space="preserve"> This is mostly driven by a reduction in the number of Legal Help sessions delivered </w:t>
      </w:r>
      <w:r w:rsidR="00FE4253">
        <w:rPr>
          <w:rFonts w:eastAsiaTheme="minorEastAsia"/>
          <w:sz w:val="22"/>
          <w:szCs w:val="24"/>
          <w:lang w:eastAsia="en-AU"/>
        </w:rPr>
        <w:t xml:space="preserve">by both the phoneline and </w:t>
      </w:r>
      <w:r w:rsidR="00FE4253">
        <w:rPr>
          <w:rFonts w:eastAsiaTheme="minorEastAsia"/>
          <w:sz w:val="22"/>
          <w:szCs w:val="24"/>
          <w:lang w:eastAsia="en-AU"/>
        </w:rPr>
        <w:lastRenderedPageBreak/>
        <w:t>web chat in quarter four.</w:t>
      </w:r>
      <w:r w:rsidR="00E3403F">
        <w:rPr>
          <w:rFonts w:eastAsiaTheme="minorEastAsia"/>
          <w:sz w:val="22"/>
          <w:szCs w:val="24"/>
          <w:lang w:eastAsia="en-AU"/>
        </w:rPr>
        <w:t xml:space="preserve"> </w:t>
      </w:r>
      <w:r w:rsidR="005706EE" w:rsidRPr="00961AD9">
        <w:rPr>
          <w:rFonts w:eastAsiaTheme="minorEastAsia"/>
          <w:sz w:val="22"/>
          <w:szCs w:val="24"/>
          <w:lang w:eastAsia="en-AU"/>
        </w:rPr>
        <w:t>Community Legal Education continue</w:t>
      </w:r>
      <w:r w:rsidR="00C213CA">
        <w:rPr>
          <w:rFonts w:eastAsiaTheme="minorEastAsia"/>
          <w:sz w:val="22"/>
          <w:szCs w:val="24"/>
          <w:lang w:eastAsia="en-AU"/>
        </w:rPr>
        <w:t>d</w:t>
      </w:r>
      <w:r w:rsidR="005706EE" w:rsidRPr="00961AD9">
        <w:rPr>
          <w:rFonts w:eastAsiaTheme="minorEastAsia"/>
          <w:sz w:val="22"/>
          <w:szCs w:val="24"/>
          <w:lang w:eastAsia="en-AU"/>
        </w:rPr>
        <w:t xml:space="preserve"> to be impacted by COVID-19</w:t>
      </w:r>
      <w:r w:rsidR="00C213CA">
        <w:rPr>
          <w:rFonts w:eastAsiaTheme="minorEastAsia"/>
          <w:sz w:val="22"/>
          <w:szCs w:val="24"/>
          <w:lang w:eastAsia="en-AU"/>
        </w:rPr>
        <w:t xml:space="preserve"> in quarter three</w:t>
      </w:r>
      <w:r w:rsidR="00135B43">
        <w:rPr>
          <w:rFonts w:eastAsiaTheme="minorEastAsia"/>
          <w:sz w:val="22"/>
          <w:szCs w:val="24"/>
          <w:lang w:eastAsia="en-AU"/>
        </w:rPr>
        <w:t xml:space="preserve">, and </w:t>
      </w:r>
      <w:r w:rsidR="00030651">
        <w:rPr>
          <w:rFonts w:eastAsiaTheme="minorEastAsia"/>
          <w:sz w:val="22"/>
          <w:szCs w:val="24"/>
          <w:lang w:eastAsia="en-AU"/>
        </w:rPr>
        <w:t>several</w:t>
      </w:r>
      <w:r w:rsidR="00135B43">
        <w:rPr>
          <w:rFonts w:eastAsiaTheme="minorEastAsia"/>
          <w:sz w:val="22"/>
          <w:szCs w:val="24"/>
          <w:lang w:eastAsia="en-AU"/>
        </w:rPr>
        <w:t xml:space="preserve"> events</w:t>
      </w:r>
      <w:r w:rsidR="009E62E0">
        <w:rPr>
          <w:rFonts w:eastAsiaTheme="minorEastAsia"/>
          <w:sz w:val="22"/>
          <w:szCs w:val="24"/>
          <w:lang w:eastAsia="en-AU"/>
        </w:rPr>
        <w:t xml:space="preserve"> planned for quarter three were rescheduled in quarter four. </w:t>
      </w:r>
      <w:r w:rsidR="009E1819">
        <w:rPr>
          <w:rFonts w:eastAsiaTheme="minorEastAsia"/>
          <w:sz w:val="22"/>
          <w:szCs w:val="24"/>
          <w:lang w:eastAsia="en-AU"/>
        </w:rPr>
        <w:t xml:space="preserve">There was a similar drop in the number of </w:t>
      </w:r>
      <w:r w:rsidR="00030651">
        <w:rPr>
          <w:rFonts w:eastAsiaTheme="minorEastAsia"/>
          <w:sz w:val="22"/>
          <w:szCs w:val="24"/>
          <w:lang w:eastAsia="en-AU"/>
        </w:rPr>
        <w:t>advice</w:t>
      </w:r>
      <w:r w:rsidR="007D0BBF">
        <w:rPr>
          <w:rFonts w:eastAsiaTheme="minorEastAsia"/>
          <w:sz w:val="22"/>
          <w:szCs w:val="24"/>
          <w:lang w:eastAsia="en-AU"/>
        </w:rPr>
        <w:t xml:space="preserve"> services</w:t>
      </w:r>
      <w:r w:rsidR="00C86ADB">
        <w:rPr>
          <w:rFonts w:eastAsiaTheme="minorEastAsia"/>
          <w:sz w:val="22"/>
          <w:szCs w:val="24"/>
          <w:lang w:eastAsia="en-AU"/>
        </w:rPr>
        <w:t xml:space="preserve"> provided (-</w:t>
      </w:r>
      <w:r w:rsidR="004C0D38">
        <w:rPr>
          <w:rFonts w:eastAsiaTheme="minorEastAsia"/>
          <w:sz w:val="22"/>
          <w:szCs w:val="24"/>
          <w:lang w:eastAsia="en-AU"/>
        </w:rPr>
        <w:t xml:space="preserve">12 per cent). </w:t>
      </w:r>
      <w:r w:rsidR="00CD1D1F">
        <w:rPr>
          <w:rFonts w:eastAsiaTheme="minorEastAsia"/>
          <w:sz w:val="22"/>
          <w:szCs w:val="24"/>
          <w:lang w:eastAsia="en-AU"/>
        </w:rPr>
        <w:t>As well as fewer Legal Help sessions being delivered, i</w:t>
      </w:r>
      <w:r w:rsidR="004C0D38">
        <w:rPr>
          <w:rFonts w:eastAsiaTheme="minorEastAsia"/>
          <w:sz w:val="22"/>
          <w:szCs w:val="24"/>
          <w:lang w:eastAsia="en-AU"/>
        </w:rPr>
        <w:t xml:space="preserve">n-person advice </w:t>
      </w:r>
      <w:r w:rsidR="00CD1D1F">
        <w:rPr>
          <w:rFonts w:eastAsiaTheme="minorEastAsia"/>
          <w:sz w:val="22"/>
          <w:szCs w:val="24"/>
          <w:lang w:eastAsia="en-AU"/>
        </w:rPr>
        <w:t xml:space="preserve">also </w:t>
      </w:r>
      <w:r w:rsidR="004C0D38">
        <w:rPr>
          <w:rFonts w:eastAsiaTheme="minorEastAsia"/>
          <w:sz w:val="22"/>
          <w:szCs w:val="24"/>
          <w:lang w:eastAsia="en-AU"/>
        </w:rPr>
        <w:t>d</w:t>
      </w:r>
      <w:r w:rsidR="00CD1D1F">
        <w:rPr>
          <w:rFonts w:eastAsiaTheme="minorEastAsia"/>
          <w:sz w:val="22"/>
          <w:szCs w:val="24"/>
          <w:lang w:eastAsia="en-AU"/>
        </w:rPr>
        <w:t>ecreased</w:t>
      </w:r>
      <w:r w:rsidR="004C0D38">
        <w:rPr>
          <w:rFonts w:eastAsiaTheme="minorEastAsia"/>
          <w:sz w:val="22"/>
          <w:szCs w:val="24"/>
          <w:lang w:eastAsia="en-AU"/>
        </w:rPr>
        <w:t xml:space="preserve">, most likely </w:t>
      </w:r>
      <w:proofErr w:type="gramStart"/>
      <w:r w:rsidR="004C0D38">
        <w:rPr>
          <w:rFonts w:eastAsiaTheme="minorEastAsia"/>
          <w:sz w:val="22"/>
          <w:szCs w:val="24"/>
          <w:lang w:eastAsia="en-AU"/>
        </w:rPr>
        <w:t>as a result of</w:t>
      </w:r>
      <w:proofErr w:type="gramEnd"/>
      <w:r w:rsidR="004C0D38">
        <w:rPr>
          <w:rFonts w:eastAsiaTheme="minorEastAsia"/>
          <w:sz w:val="22"/>
          <w:szCs w:val="24"/>
          <w:lang w:eastAsia="en-AU"/>
        </w:rPr>
        <w:t xml:space="preserve"> staff taking unplanned leave and court hearings being postponed.</w:t>
      </w:r>
    </w:p>
    <w:p w14:paraId="4FCFEA0A" w14:textId="6A72FB5B" w:rsidR="004A04B3" w:rsidRDefault="008734F3" w:rsidP="00135B43">
      <w:pPr>
        <w:pStyle w:val="FootnoteText"/>
        <w:ind w:left="0" w:firstLine="0"/>
        <w:rPr>
          <w:rFonts w:eastAsiaTheme="minorEastAsia"/>
          <w:sz w:val="22"/>
          <w:szCs w:val="24"/>
          <w:lang w:eastAsia="en-AU"/>
        </w:rPr>
      </w:pPr>
      <w:r>
        <w:rPr>
          <w:rFonts w:eastAsiaTheme="minorEastAsia"/>
          <w:sz w:val="22"/>
          <w:szCs w:val="24"/>
          <w:lang w:eastAsia="en-AU"/>
        </w:rPr>
        <w:t xml:space="preserve">The ongoing disruptions of COVID-19 meant we were not able to deliver as many events </w:t>
      </w:r>
      <w:r w:rsidR="00366EB5">
        <w:rPr>
          <w:rFonts w:eastAsiaTheme="minorEastAsia"/>
          <w:sz w:val="22"/>
          <w:szCs w:val="24"/>
          <w:lang w:eastAsia="en-AU"/>
        </w:rPr>
        <w:t>as we had hoped in 2021</w:t>
      </w:r>
      <w:r w:rsidR="000C1C61">
        <w:rPr>
          <w:rFonts w:eastAsiaTheme="minorEastAsia"/>
          <w:sz w:val="22"/>
          <w:szCs w:val="24"/>
          <w:lang w:eastAsia="en-AU"/>
        </w:rPr>
        <w:t>–</w:t>
      </w:r>
      <w:r w:rsidR="00366EB5">
        <w:rPr>
          <w:rFonts w:eastAsiaTheme="minorEastAsia"/>
          <w:sz w:val="22"/>
          <w:szCs w:val="24"/>
          <w:lang w:eastAsia="en-AU"/>
        </w:rPr>
        <w:t>22. W</w:t>
      </w:r>
      <w:r w:rsidR="0094550E">
        <w:rPr>
          <w:rFonts w:eastAsiaTheme="minorEastAsia"/>
          <w:sz w:val="22"/>
          <w:szCs w:val="24"/>
          <w:lang w:eastAsia="en-AU"/>
        </w:rPr>
        <w:t>e focused our community education work on</w:t>
      </w:r>
      <w:r w:rsidR="00AC577B">
        <w:rPr>
          <w:rFonts w:eastAsiaTheme="minorEastAsia"/>
          <w:sz w:val="22"/>
          <w:szCs w:val="24"/>
          <w:lang w:eastAsia="en-AU"/>
        </w:rPr>
        <w:t xml:space="preserve"> </w:t>
      </w:r>
      <w:r w:rsidR="00AC577B" w:rsidRPr="00961AD9">
        <w:rPr>
          <w:rFonts w:eastAsiaTheme="minorEastAsia"/>
          <w:sz w:val="22"/>
          <w:szCs w:val="24"/>
          <w:lang w:eastAsia="en-AU"/>
        </w:rPr>
        <w:t xml:space="preserve">making legal information more inclusive and accessible, improving how we target in-person education, and building sector capability to make high quality legal information. </w:t>
      </w:r>
      <w:r w:rsidR="00121D4C">
        <w:rPr>
          <w:rFonts w:eastAsiaTheme="minorEastAsia"/>
          <w:sz w:val="22"/>
          <w:szCs w:val="24"/>
          <w:lang w:eastAsia="en-AU"/>
        </w:rPr>
        <w:t xml:space="preserve">As restrictions ease, and we enter the warmer months, we </w:t>
      </w:r>
      <w:r w:rsidR="00C213CA">
        <w:rPr>
          <w:rFonts w:eastAsiaTheme="minorEastAsia"/>
          <w:sz w:val="22"/>
          <w:szCs w:val="24"/>
          <w:lang w:eastAsia="en-AU"/>
        </w:rPr>
        <w:t>anticipate</w:t>
      </w:r>
      <w:r w:rsidR="00121D4C">
        <w:rPr>
          <w:rFonts w:eastAsiaTheme="minorEastAsia"/>
          <w:sz w:val="22"/>
          <w:szCs w:val="24"/>
          <w:lang w:eastAsia="en-AU"/>
        </w:rPr>
        <w:t xml:space="preserve"> that we will be able to hold more events in quarter one </w:t>
      </w:r>
      <w:r w:rsidR="00C213CA">
        <w:rPr>
          <w:rFonts w:eastAsiaTheme="minorEastAsia"/>
          <w:sz w:val="22"/>
          <w:szCs w:val="24"/>
          <w:lang w:eastAsia="en-AU"/>
        </w:rPr>
        <w:t>2022</w:t>
      </w:r>
      <w:r w:rsidR="000C1C61">
        <w:rPr>
          <w:rFonts w:eastAsiaTheme="minorEastAsia"/>
          <w:sz w:val="22"/>
          <w:szCs w:val="24"/>
          <w:lang w:eastAsia="en-AU"/>
        </w:rPr>
        <w:t>–</w:t>
      </w:r>
      <w:r w:rsidR="00C213CA">
        <w:rPr>
          <w:rFonts w:eastAsiaTheme="minorEastAsia"/>
          <w:sz w:val="22"/>
          <w:szCs w:val="24"/>
          <w:lang w:eastAsia="en-AU"/>
        </w:rPr>
        <w:t xml:space="preserve">23. </w:t>
      </w:r>
    </w:p>
    <w:p w14:paraId="22166540" w14:textId="11912370" w:rsidR="00715857" w:rsidRPr="00961AD9" w:rsidRDefault="00595F3E" w:rsidP="00961AD9">
      <w:pPr>
        <w:pStyle w:val="FootnoteText"/>
        <w:ind w:left="0" w:firstLine="0"/>
        <w:rPr>
          <w:rFonts w:eastAsiaTheme="minorEastAsia"/>
          <w:sz w:val="22"/>
          <w:szCs w:val="24"/>
          <w:lang w:eastAsia="en-AU"/>
        </w:rPr>
      </w:pPr>
      <w:r w:rsidRPr="00257CF6">
        <w:rPr>
          <w:rFonts w:eastAsiaTheme="minorEastAsia"/>
          <w:sz w:val="22"/>
          <w:szCs w:val="24"/>
          <w:lang w:eastAsia="en-AU"/>
        </w:rPr>
        <w:t xml:space="preserve">There was a drop in </w:t>
      </w:r>
      <w:r w:rsidR="00EF53FD" w:rsidRPr="00257CF6">
        <w:rPr>
          <w:rFonts w:eastAsiaTheme="minorEastAsia"/>
          <w:sz w:val="22"/>
          <w:szCs w:val="24"/>
          <w:lang w:eastAsia="en-AU"/>
        </w:rPr>
        <w:t>website sessions in quarter four, and an overall drop of</w:t>
      </w:r>
      <w:r w:rsidR="00064C8E">
        <w:rPr>
          <w:rFonts w:eastAsiaTheme="minorEastAsia"/>
          <w:sz w:val="22"/>
          <w:szCs w:val="24"/>
          <w:lang w:eastAsia="en-AU"/>
        </w:rPr>
        <w:t xml:space="preserve"> 3.4 per cent </w:t>
      </w:r>
      <w:r w:rsidR="00EF53FD">
        <w:rPr>
          <w:rFonts w:eastAsiaTheme="minorEastAsia"/>
          <w:sz w:val="22"/>
          <w:szCs w:val="24"/>
          <w:lang w:eastAsia="en-AU"/>
        </w:rPr>
        <w:t>compared to</w:t>
      </w:r>
      <w:r w:rsidR="00064C8E">
        <w:rPr>
          <w:rFonts w:eastAsiaTheme="minorEastAsia"/>
          <w:sz w:val="22"/>
          <w:szCs w:val="24"/>
          <w:lang w:eastAsia="en-AU"/>
        </w:rPr>
        <w:t xml:space="preserve"> 2020—21.</w:t>
      </w:r>
      <w:r w:rsidR="0024760C">
        <w:rPr>
          <w:rFonts w:eastAsiaTheme="minorEastAsia"/>
          <w:sz w:val="22"/>
          <w:szCs w:val="24"/>
          <w:lang w:eastAsia="en-AU"/>
        </w:rPr>
        <w:t xml:space="preserve"> </w:t>
      </w:r>
      <w:r w:rsidR="00856CC9" w:rsidRPr="00B83CB5">
        <w:rPr>
          <w:rFonts w:eastAsiaTheme="minorEastAsia"/>
          <w:sz w:val="22"/>
          <w:szCs w:val="24"/>
          <w:lang w:eastAsia="en-AU"/>
        </w:rPr>
        <w:t xml:space="preserve">For the first six weeks of the new site, unique visits to legal information in the new ‘I need information about’ section was slightly down on the same time last year on the old website. </w:t>
      </w:r>
      <w:r w:rsidR="003C09C8" w:rsidRPr="00B83CB5">
        <w:rPr>
          <w:rFonts w:eastAsiaTheme="minorEastAsia"/>
          <w:sz w:val="22"/>
          <w:szCs w:val="24"/>
          <w:lang w:eastAsia="en-AU"/>
        </w:rPr>
        <w:t>It will take some time for the new website to appear high</w:t>
      </w:r>
      <w:r w:rsidR="005A6D17">
        <w:rPr>
          <w:rFonts w:eastAsiaTheme="minorEastAsia"/>
          <w:sz w:val="22"/>
          <w:szCs w:val="24"/>
          <w:lang w:eastAsia="en-AU"/>
        </w:rPr>
        <w:t>er</w:t>
      </w:r>
      <w:r w:rsidR="003C09C8" w:rsidRPr="00B83CB5">
        <w:rPr>
          <w:rFonts w:eastAsiaTheme="minorEastAsia"/>
          <w:sz w:val="22"/>
          <w:szCs w:val="24"/>
          <w:lang w:eastAsia="en-AU"/>
        </w:rPr>
        <w:t xml:space="preserve"> in Google searches</w:t>
      </w:r>
      <w:r w:rsidR="005A6D17" w:rsidRPr="00B83CB5">
        <w:rPr>
          <w:rFonts w:eastAsiaTheme="minorEastAsia"/>
          <w:sz w:val="22"/>
          <w:szCs w:val="24"/>
          <w:lang w:eastAsia="en-AU"/>
        </w:rPr>
        <w:t xml:space="preserve"> which may lead to an initial drop in website sessions.</w:t>
      </w:r>
      <w:r w:rsidR="003C09C8">
        <w:rPr>
          <w:rFonts w:cs="Arial"/>
          <w:sz w:val="20"/>
          <w:lang w:eastAsia="en-AU"/>
        </w:rPr>
        <w:t xml:space="preserve"> </w:t>
      </w:r>
    </w:p>
    <w:p w14:paraId="548B2E87" w14:textId="3A3BC58C" w:rsidR="008F1B38" w:rsidRDefault="007C1487" w:rsidP="00E43EE2">
      <w:pPr>
        <w:pStyle w:val="Tableheader"/>
      </w:pPr>
      <w:r>
        <w:t xml:space="preserve">Table 1.3 </w:t>
      </w:r>
      <w:r w:rsidR="00495A11" w:rsidRPr="00495A11">
        <w:t>Early Intervention and Preventative services snapshot</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872"/>
        <w:gridCol w:w="1608"/>
        <w:gridCol w:w="1866"/>
        <w:gridCol w:w="1866"/>
        <w:gridCol w:w="1864"/>
      </w:tblGrid>
      <w:tr w:rsidR="008C706B" w14:paraId="4E36734E" w14:textId="6F69B069" w:rsidTr="008C706B">
        <w:trPr>
          <w:cnfStyle w:val="100000000000" w:firstRow="1" w:lastRow="0" w:firstColumn="0" w:lastColumn="0" w:oddVBand="0" w:evenVBand="0" w:oddHBand="0" w:evenHBand="0" w:firstRowFirstColumn="0" w:firstRowLastColumn="0" w:lastRowFirstColumn="0" w:lastRowLastColumn="0"/>
          <w:trHeight w:val="361"/>
        </w:trPr>
        <w:tc>
          <w:tcPr>
            <w:cnfStyle w:val="000010000000" w:firstRow="0" w:lastRow="0" w:firstColumn="0" w:lastColumn="0" w:oddVBand="1" w:evenVBand="0" w:oddHBand="0" w:evenHBand="0" w:firstRowFirstColumn="0" w:firstRowLastColumn="0" w:lastRowFirstColumn="0" w:lastRowLastColumn="0"/>
            <w:tcW w:w="1425" w:type="pct"/>
            <w:shd w:val="clear" w:color="auto" w:fill="C4B0CC"/>
          </w:tcPr>
          <w:p w14:paraId="69A5DE08" w14:textId="77777777" w:rsidR="008C706B" w:rsidRPr="00495A11" w:rsidRDefault="008C706B" w:rsidP="00904CEF">
            <w:pPr>
              <w:rPr>
                <w:b/>
                <w:color w:val="000000" w:themeColor="text1"/>
              </w:rPr>
            </w:pPr>
            <w:r w:rsidRPr="00495A11">
              <w:rPr>
                <w:b/>
                <w:color w:val="000000" w:themeColor="text1"/>
              </w:rPr>
              <w:t>Early Intervention and Preventative services</w:t>
            </w:r>
          </w:p>
        </w:tc>
        <w:tc>
          <w:tcPr>
            <w:cnfStyle w:val="000001000000" w:firstRow="0" w:lastRow="0" w:firstColumn="0" w:lastColumn="0" w:oddVBand="0" w:evenVBand="1" w:oddHBand="0" w:evenHBand="0" w:firstRowFirstColumn="0" w:firstRowLastColumn="0" w:lastRowFirstColumn="0" w:lastRowLastColumn="0"/>
            <w:tcW w:w="798" w:type="pct"/>
            <w:shd w:val="clear" w:color="auto" w:fill="C4B0CC"/>
          </w:tcPr>
          <w:p w14:paraId="1CCA7EC6" w14:textId="77777777" w:rsidR="008C706B" w:rsidRPr="000E7EED" w:rsidRDefault="008C706B" w:rsidP="00904CEF">
            <w:pPr>
              <w:jc w:val="center"/>
              <w:rPr>
                <w:b/>
                <w:color w:val="000000" w:themeColor="text1"/>
              </w:rPr>
            </w:pPr>
            <w:r>
              <w:rPr>
                <w:b/>
                <w:color w:val="000000" w:themeColor="text1"/>
              </w:rPr>
              <w:t>Q3</w:t>
            </w:r>
          </w:p>
          <w:p w14:paraId="1B43C195" w14:textId="201212AC" w:rsidR="008C706B" w:rsidRPr="00495A11" w:rsidRDefault="008C706B" w:rsidP="00904CEF">
            <w:pPr>
              <w:jc w:val="center"/>
              <w:rPr>
                <w:b/>
                <w:color w:val="000000" w:themeColor="text1"/>
              </w:rPr>
            </w:pPr>
            <w:r w:rsidRPr="000E7EED">
              <w:rPr>
                <w:b/>
                <w:color w:val="000000" w:themeColor="text1"/>
              </w:rPr>
              <w:t>20</w:t>
            </w:r>
            <w:r>
              <w:rPr>
                <w:b/>
                <w:color w:val="000000" w:themeColor="text1"/>
              </w:rPr>
              <w:t>21</w:t>
            </w:r>
            <w:r w:rsidR="00D20017">
              <w:rPr>
                <w:b/>
                <w:color w:val="000000" w:themeColor="text1"/>
              </w:rPr>
              <w:t>–</w:t>
            </w:r>
            <w:r>
              <w:rPr>
                <w:b/>
                <w:color w:val="000000" w:themeColor="text1"/>
              </w:rPr>
              <w:t>22</w:t>
            </w:r>
          </w:p>
        </w:tc>
        <w:tc>
          <w:tcPr>
            <w:cnfStyle w:val="000010000000" w:firstRow="0" w:lastRow="0" w:firstColumn="0" w:lastColumn="0" w:oddVBand="1" w:evenVBand="0" w:oddHBand="0" w:evenHBand="0" w:firstRowFirstColumn="0" w:firstRowLastColumn="0" w:lastRowFirstColumn="0" w:lastRowLastColumn="0"/>
            <w:tcW w:w="926" w:type="pct"/>
            <w:shd w:val="clear" w:color="auto" w:fill="C4B0CC"/>
          </w:tcPr>
          <w:p w14:paraId="7E22E6A9" w14:textId="77777777" w:rsidR="008C706B" w:rsidRDefault="008C706B" w:rsidP="00904CEF">
            <w:pPr>
              <w:jc w:val="center"/>
              <w:rPr>
                <w:b/>
                <w:color w:val="000000" w:themeColor="text1"/>
              </w:rPr>
            </w:pPr>
            <w:r w:rsidRPr="55245693">
              <w:rPr>
                <w:b/>
                <w:color w:val="000000" w:themeColor="text1"/>
              </w:rPr>
              <w:t>Q</w:t>
            </w:r>
            <w:r>
              <w:rPr>
                <w:b/>
                <w:color w:val="000000" w:themeColor="text1"/>
              </w:rPr>
              <w:t>4</w:t>
            </w:r>
          </w:p>
          <w:p w14:paraId="1AE9CE31" w14:textId="2F356F5C" w:rsidR="008C706B" w:rsidRPr="00495A11" w:rsidRDefault="008C706B" w:rsidP="00904CEF">
            <w:pPr>
              <w:jc w:val="center"/>
              <w:rPr>
                <w:b/>
                <w:color w:val="000000" w:themeColor="text1"/>
              </w:rPr>
            </w:pPr>
            <w:r w:rsidRPr="000E7EED">
              <w:rPr>
                <w:b/>
                <w:color w:val="000000" w:themeColor="text1"/>
              </w:rPr>
              <w:t>20</w:t>
            </w:r>
            <w:r>
              <w:rPr>
                <w:b/>
                <w:color w:val="000000" w:themeColor="text1"/>
              </w:rPr>
              <w:t>21</w:t>
            </w:r>
            <w:r w:rsidR="00D20017">
              <w:rPr>
                <w:b/>
                <w:color w:val="000000" w:themeColor="text1"/>
              </w:rPr>
              <w:t>–</w:t>
            </w:r>
            <w:r>
              <w:rPr>
                <w:b/>
                <w:color w:val="000000" w:themeColor="text1"/>
              </w:rPr>
              <w:t>22</w:t>
            </w:r>
          </w:p>
        </w:tc>
        <w:tc>
          <w:tcPr>
            <w:cnfStyle w:val="000001000000" w:firstRow="0" w:lastRow="0" w:firstColumn="0" w:lastColumn="0" w:oddVBand="0" w:evenVBand="1" w:oddHBand="0" w:evenHBand="0" w:firstRowFirstColumn="0" w:firstRowLastColumn="0" w:lastRowFirstColumn="0" w:lastRowLastColumn="0"/>
            <w:tcW w:w="926" w:type="pct"/>
            <w:shd w:val="clear" w:color="auto" w:fill="C4B0CC"/>
          </w:tcPr>
          <w:p w14:paraId="7C05E81E" w14:textId="338E487E" w:rsidR="008C706B" w:rsidRDefault="008C706B" w:rsidP="00904CEF">
            <w:pPr>
              <w:jc w:val="center"/>
              <w:rPr>
                <w:b/>
                <w:color w:val="000000" w:themeColor="text1"/>
              </w:rPr>
            </w:pPr>
            <w:r>
              <w:rPr>
                <w:b/>
                <w:color w:val="000000" w:themeColor="text1"/>
              </w:rPr>
              <w:t>Year-end total 2021</w:t>
            </w:r>
            <w:r w:rsidR="00D20017">
              <w:rPr>
                <w:b/>
                <w:color w:val="000000" w:themeColor="text1"/>
              </w:rPr>
              <w:t>–</w:t>
            </w:r>
            <w:r>
              <w:rPr>
                <w:b/>
                <w:color w:val="000000" w:themeColor="text1"/>
              </w:rPr>
              <w:t>22</w:t>
            </w:r>
          </w:p>
        </w:tc>
        <w:tc>
          <w:tcPr>
            <w:cnfStyle w:val="000010000000" w:firstRow="0" w:lastRow="0" w:firstColumn="0" w:lastColumn="0" w:oddVBand="1" w:evenVBand="0" w:oddHBand="0" w:evenHBand="0" w:firstRowFirstColumn="0" w:firstRowLastColumn="0" w:lastRowFirstColumn="0" w:lastRowLastColumn="0"/>
            <w:tcW w:w="925" w:type="pct"/>
            <w:shd w:val="clear" w:color="auto" w:fill="C4B0CC"/>
          </w:tcPr>
          <w:p w14:paraId="57F1F596" w14:textId="71E3959A" w:rsidR="008C706B" w:rsidRDefault="008C706B" w:rsidP="00904CEF">
            <w:pPr>
              <w:jc w:val="center"/>
              <w:rPr>
                <w:b/>
                <w:bCs w:val="0"/>
                <w:color w:val="000000" w:themeColor="text1"/>
              </w:rPr>
            </w:pPr>
            <w:r>
              <w:rPr>
                <w:b/>
                <w:color w:val="000000" w:themeColor="text1"/>
              </w:rPr>
              <w:t>Q1 2022</w:t>
            </w:r>
            <w:r w:rsidR="00D20017">
              <w:rPr>
                <w:b/>
                <w:color w:val="000000" w:themeColor="text1"/>
              </w:rPr>
              <w:t>–</w:t>
            </w:r>
            <w:r>
              <w:rPr>
                <w:b/>
                <w:color w:val="000000" w:themeColor="text1"/>
              </w:rPr>
              <w:t>23</w:t>
            </w:r>
          </w:p>
          <w:p w14:paraId="44A1A4EE" w14:textId="7867582D" w:rsidR="008C706B" w:rsidRPr="55245693" w:rsidRDefault="008C706B" w:rsidP="00904CEF">
            <w:pPr>
              <w:jc w:val="center"/>
              <w:rPr>
                <w:b/>
                <w:color w:val="000000" w:themeColor="text1"/>
              </w:rPr>
            </w:pPr>
            <w:r>
              <w:rPr>
                <w:b/>
                <w:color w:val="000000" w:themeColor="text1"/>
              </w:rPr>
              <w:t>projection</w:t>
            </w:r>
          </w:p>
        </w:tc>
      </w:tr>
      <w:tr w:rsidR="008C706B" w:rsidRPr="0021615C" w14:paraId="17F5CA1B" w14:textId="084127E4" w:rsidTr="008C706B">
        <w:trPr>
          <w:cnfStyle w:val="000000100000" w:firstRow="0" w:lastRow="0" w:firstColumn="0" w:lastColumn="0" w:oddVBand="0" w:evenVBand="0" w:oddHBand="1" w:evenHBand="0" w:firstRowFirstColumn="0" w:firstRowLastColumn="0" w:lastRowFirstColumn="0" w:lastRowLastColumn="0"/>
          <w:trHeight w:val="531"/>
        </w:trPr>
        <w:tc>
          <w:tcPr>
            <w:cnfStyle w:val="000010000000" w:firstRow="0" w:lastRow="0" w:firstColumn="0" w:lastColumn="0" w:oddVBand="1" w:evenVBand="0" w:oddHBand="0" w:evenHBand="0" w:firstRowFirstColumn="0" w:firstRowLastColumn="0" w:lastRowFirstColumn="0" w:lastRowLastColumn="0"/>
            <w:tcW w:w="1425" w:type="pct"/>
          </w:tcPr>
          <w:p w14:paraId="19F24B7C" w14:textId="49986B26" w:rsidR="008C706B" w:rsidRPr="000E7EED" w:rsidRDefault="008C706B" w:rsidP="00EE4B32">
            <w:pPr>
              <w:rPr>
                <w:color w:val="000000" w:themeColor="text1"/>
              </w:rPr>
            </w:pPr>
            <w:r w:rsidRPr="000E7EED">
              <w:rPr>
                <w:color w:val="000000" w:themeColor="text1"/>
              </w:rPr>
              <w:t xml:space="preserve">Information </w:t>
            </w:r>
            <w:r>
              <w:rPr>
                <w:color w:val="000000" w:themeColor="text1"/>
              </w:rPr>
              <w:t>sessions</w:t>
            </w:r>
          </w:p>
        </w:tc>
        <w:tc>
          <w:tcPr>
            <w:cnfStyle w:val="000001000000" w:firstRow="0" w:lastRow="0" w:firstColumn="0" w:lastColumn="0" w:oddVBand="0" w:evenVBand="1" w:oddHBand="0" w:evenHBand="0" w:firstRowFirstColumn="0" w:firstRowLastColumn="0" w:lastRowFirstColumn="0" w:lastRowLastColumn="0"/>
            <w:tcW w:w="798" w:type="pct"/>
            <w:vAlign w:val="center"/>
          </w:tcPr>
          <w:p w14:paraId="7F4686D8" w14:textId="20055BD1" w:rsidR="008C706B" w:rsidRPr="000E7EED" w:rsidRDefault="008C706B" w:rsidP="00EE4B32">
            <w:pPr>
              <w:jc w:val="center"/>
              <w:rPr>
                <w:color w:val="000000" w:themeColor="text1"/>
              </w:rPr>
            </w:pPr>
            <w:r>
              <w:rPr>
                <w:rStyle w:val="normaltextrun"/>
                <w:rFonts w:cs="Arial"/>
                <w:szCs w:val="22"/>
              </w:rPr>
              <w:t>26,751</w:t>
            </w:r>
            <w:r>
              <w:rPr>
                <w:rStyle w:val="eop"/>
                <w:szCs w:val="22"/>
              </w:rPr>
              <w:t> </w:t>
            </w:r>
          </w:p>
        </w:tc>
        <w:tc>
          <w:tcPr>
            <w:cnfStyle w:val="000010000000" w:firstRow="0" w:lastRow="0" w:firstColumn="0" w:lastColumn="0" w:oddVBand="1" w:evenVBand="0" w:oddHBand="0" w:evenHBand="0" w:firstRowFirstColumn="0" w:firstRowLastColumn="0" w:lastRowFirstColumn="0" w:lastRowLastColumn="0"/>
            <w:tcW w:w="926" w:type="pct"/>
            <w:shd w:val="clear" w:color="auto" w:fill="D9D9D9" w:themeFill="background1" w:themeFillShade="D9"/>
            <w:vAlign w:val="center"/>
          </w:tcPr>
          <w:p w14:paraId="30C32A25" w14:textId="5AAECA08" w:rsidR="008C706B" w:rsidRPr="0021615C" w:rsidRDefault="00B80535" w:rsidP="00EE4B32">
            <w:pPr>
              <w:jc w:val="center"/>
              <w:rPr>
                <w:szCs w:val="22"/>
              </w:rPr>
            </w:pPr>
            <w:r>
              <w:rPr>
                <w:szCs w:val="22"/>
              </w:rPr>
              <w:t>20,981</w:t>
            </w:r>
          </w:p>
        </w:tc>
        <w:tc>
          <w:tcPr>
            <w:cnfStyle w:val="000001000000" w:firstRow="0" w:lastRow="0" w:firstColumn="0" w:lastColumn="0" w:oddVBand="0" w:evenVBand="1" w:oddHBand="0" w:evenHBand="0" w:firstRowFirstColumn="0" w:firstRowLastColumn="0" w:lastRowFirstColumn="0" w:lastRowLastColumn="0"/>
            <w:tcW w:w="926" w:type="pct"/>
          </w:tcPr>
          <w:p w14:paraId="2534DFAE" w14:textId="6732BECD" w:rsidR="008C706B" w:rsidRDefault="00B80535" w:rsidP="00EE4B32">
            <w:pPr>
              <w:jc w:val="center"/>
            </w:pPr>
            <w:r>
              <w:t>103,467</w:t>
            </w:r>
          </w:p>
        </w:tc>
        <w:tc>
          <w:tcPr>
            <w:cnfStyle w:val="000010000000" w:firstRow="0" w:lastRow="0" w:firstColumn="0" w:lastColumn="0" w:oddVBand="1" w:evenVBand="0" w:oddHBand="0" w:evenHBand="0" w:firstRowFirstColumn="0" w:firstRowLastColumn="0" w:lastRowFirstColumn="0" w:lastRowLastColumn="0"/>
            <w:tcW w:w="925" w:type="pct"/>
            <w:shd w:val="clear" w:color="auto" w:fill="auto"/>
            <w:vAlign w:val="center"/>
          </w:tcPr>
          <w:p w14:paraId="46A3F8BF" w14:textId="17A7D04E" w:rsidR="008C706B" w:rsidRDefault="00887E9F" w:rsidP="00EE4B32">
            <w:pPr>
              <w:jc w:val="center"/>
            </w:pPr>
            <w:r>
              <w:t>21,000</w:t>
            </w:r>
          </w:p>
        </w:tc>
      </w:tr>
      <w:tr w:rsidR="008C706B" w14:paraId="63D578F8" w14:textId="1B8A8397" w:rsidTr="008C706B">
        <w:trPr>
          <w:cnfStyle w:val="000000010000" w:firstRow="0" w:lastRow="0" w:firstColumn="0" w:lastColumn="0" w:oddVBand="0" w:evenVBand="0" w:oddHBand="0" w:evenHBand="1"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1425" w:type="pct"/>
          </w:tcPr>
          <w:p w14:paraId="3941F306" w14:textId="4F191B1A" w:rsidR="008C706B" w:rsidRPr="000E7EED" w:rsidRDefault="008C706B" w:rsidP="00EE4B32">
            <w:pPr>
              <w:rPr>
                <w:color w:val="000000" w:themeColor="text1"/>
              </w:rPr>
            </w:pPr>
            <w:r>
              <w:rPr>
                <w:color w:val="000000" w:themeColor="text1"/>
              </w:rPr>
              <w:t>Legal Advice sessions</w:t>
            </w:r>
          </w:p>
        </w:tc>
        <w:tc>
          <w:tcPr>
            <w:cnfStyle w:val="000001000000" w:firstRow="0" w:lastRow="0" w:firstColumn="0" w:lastColumn="0" w:oddVBand="0" w:evenVBand="1" w:oddHBand="0" w:evenHBand="0" w:firstRowFirstColumn="0" w:firstRowLastColumn="0" w:lastRowFirstColumn="0" w:lastRowLastColumn="0"/>
            <w:tcW w:w="798" w:type="pct"/>
            <w:vAlign w:val="center"/>
          </w:tcPr>
          <w:p w14:paraId="321509DE" w14:textId="08A02C28" w:rsidR="008C706B" w:rsidRPr="000E7EED" w:rsidRDefault="008C706B" w:rsidP="00EE4B32">
            <w:pPr>
              <w:jc w:val="center"/>
              <w:rPr>
                <w:color w:val="000000" w:themeColor="text1"/>
              </w:rPr>
            </w:pPr>
            <w:r>
              <w:rPr>
                <w:rStyle w:val="normaltextrun"/>
                <w:rFonts w:cs="Arial"/>
                <w:color w:val="000000"/>
                <w:szCs w:val="22"/>
              </w:rPr>
              <w:t>8,563</w:t>
            </w:r>
            <w:r>
              <w:rPr>
                <w:rStyle w:val="eop"/>
                <w:color w:val="000000"/>
                <w:szCs w:val="22"/>
              </w:rPr>
              <w:t> </w:t>
            </w:r>
          </w:p>
        </w:tc>
        <w:tc>
          <w:tcPr>
            <w:cnfStyle w:val="000010000000" w:firstRow="0" w:lastRow="0" w:firstColumn="0" w:lastColumn="0" w:oddVBand="1" w:evenVBand="0" w:oddHBand="0" w:evenHBand="0" w:firstRowFirstColumn="0" w:firstRowLastColumn="0" w:lastRowFirstColumn="0" w:lastRowLastColumn="0"/>
            <w:tcW w:w="926" w:type="pct"/>
            <w:shd w:val="clear" w:color="auto" w:fill="D9D9D9" w:themeFill="background1" w:themeFillShade="D9"/>
            <w:vAlign w:val="center"/>
          </w:tcPr>
          <w:p w14:paraId="62B478A5" w14:textId="4940132C" w:rsidR="008C706B" w:rsidRPr="000E7EED" w:rsidRDefault="00064FCF" w:rsidP="00EE4B32">
            <w:pPr>
              <w:jc w:val="center"/>
              <w:rPr>
                <w:color w:val="000000" w:themeColor="text1"/>
              </w:rPr>
            </w:pPr>
            <w:r>
              <w:rPr>
                <w:color w:val="000000" w:themeColor="text1"/>
              </w:rPr>
              <w:t>7</w:t>
            </w:r>
            <w:r w:rsidR="00B208CC">
              <w:rPr>
                <w:color w:val="000000" w:themeColor="text1"/>
              </w:rPr>
              <w:t>,555</w:t>
            </w:r>
          </w:p>
        </w:tc>
        <w:tc>
          <w:tcPr>
            <w:cnfStyle w:val="000001000000" w:firstRow="0" w:lastRow="0" w:firstColumn="0" w:lastColumn="0" w:oddVBand="0" w:evenVBand="1" w:oddHBand="0" w:evenHBand="0" w:firstRowFirstColumn="0" w:firstRowLastColumn="0" w:lastRowFirstColumn="0" w:lastRowLastColumn="0"/>
            <w:tcW w:w="926" w:type="pct"/>
          </w:tcPr>
          <w:p w14:paraId="6094B554" w14:textId="408561D5" w:rsidR="008C706B" w:rsidRDefault="00B208CC" w:rsidP="00EE4B32">
            <w:pPr>
              <w:jc w:val="center"/>
              <w:rPr>
                <w:color w:val="000000" w:themeColor="text1"/>
              </w:rPr>
            </w:pPr>
            <w:r>
              <w:rPr>
                <w:color w:val="000000" w:themeColor="text1"/>
              </w:rPr>
              <w:t>36,038</w:t>
            </w:r>
            <w:r w:rsidR="0080678C">
              <w:rPr>
                <w:rStyle w:val="FootnoteReference"/>
                <w:color w:val="000000" w:themeColor="text1"/>
              </w:rPr>
              <w:footnoteReference w:id="3"/>
            </w:r>
          </w:p>
        </w:tc>
        <w:tc>
          <w:tcPr>
            <w:cnfStyle w:val="000010000000" w:firstRow="0" w:lastRow="0" w:firstColumn="0" w:lastColumn="0" w:oddVBand="1" w:evenVBand="0" w:oddHBand="0" w:evenHBand="0" w:firstRowFirstColumn="0" w:firstRowLastColumn="0" w:lastRowFirstColumn="0" w:lastRowLastColumn="0"/>
            <w:tcW w:w="925" w:type="pct"/>
            <w:shd w:val="clear" w:color="auto" w:fill="auto"/>
            <w:vAlign w:val="center"/>
          </w:tcPr>
          <w:p w14:paraId="2BE70748" w14:textId="58DE628B" w:rsidR="008C706B" w:rsidRDefault="00A62F07" w:rsidP="00EE4B32">
            <w:pPr>
              <w:jc w:val="center"/>
              <w:rPr>
                <w:color w:val="000000" w:themeColor="text1"/>
              </w:rPr>
            </w:pPr>
            <w:r>
              <w:rPr>
                <w:color w:val="000000" w:themeColor="text1"/>
              </w:rPr>
              <w:t>6</w:t>
            </w:r>
            <w:r w:rsidR="00ED37B7">
              <w:rPr>
                <w:color w:val="000000" w:themeColor="text1"/>
              </w:rPr>
              <w:t>,000</w:t>
            </w:r>
          </w:p>
        </w:tc>
      </w:tr>
      <w:tr w:rsidR="008C706B" w14:paraId="72BA4F0C" w14:textId="77777777" w:rsidTr="00961AD9">
        <w:trPr>
          <w:cnfStyle w:val="000000100000" w:firstRow="0" w:lastRow="0" w:firstColumn="0" w:lastColumn="0" w:oddVBand="0" w:evenVBand="0" w:oddHBand="1" w:evenHBand="0"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0" w:type="pct"/>
          </w:tcPr>
          <w:p w14:paraId="62630860" w14:textId="5D7100D4" w:rsidR="008C706B" w:rsidRDefault="008C706B" w:rsidP="00EE4B32">
            <w:pPr>
              <w:rPr>
                <w:color w:val="000000" w:themeColor="text1"/>
              </w:rPr>
            </w:pPr>
            <w:r>
              <w:rPr>
                <w:color w:val="000000" w:themeColor="text1"/>
              </w:rPr>
              <w:t>Community Legal Education sessions</w:t>
            </w:r>
          </w:p>
        </w:tc>
        <w:tc>
          <w:tcPr>
            <w:cnfStyle w:val="000001000000" w:firstRow="0" w:lastRow="0" w:firstColumn="0" w:lastColumn="0" w:oddVBand="0" w:evenVBand="1" w:oddHBand="0" w:evenHBand="0" w:firstRowFirstColumn="0" w:firstRowLastColumn="0" w:lastRowFirstColumn="0" w:lastRowLastColumn="0"/>
            <w:tcW w:w="0" w:type="pct"/>
            <w:vAlign w:val="center"/>
          </w:tcPr>
          <w:p w14:paraId="54A6C641" w14:textId="03CABC19" w:rsidR="008C706B" w:rsidRDefault="008C706B" w:rsidP="00EE4B32">
            <w:pPr>
              <w:jc w:val="center"/>
              <w:rPr>
                <w:color w:val="000000" w:themeColor="text1"/>
              </w:rPr>
            </w:pPr>
            <w:r>
              <w:rPr>
                <w:rStyle w:val="normaltextrun"/>
                <w:rFonts w:cs="Arial"/>
                <w:color w:val="000000"/>
                <w:szCs w:val="22"/>
              </w:rPr>
              <w:t>20</w:t>
            </w:r>
            <w:r>
              <w:rPr>
                <w:rStyle w:val="eop"/>
                <w:color w:val="000000"/>
                <w:szCs w:val="22"/>
              </w:rPr>
              <w:t> </w:t>
            </w:r>
          </w:p>
        </w:tc>
        <w:tc>
          <w:tcPr>
            <w:cnfStyle w:val="000010000000" w:firstRow="0" w:lastRow="0" w:firstColumn="0" w:lastColumn="0" w:oddVBand="1" w:evenVBand="0" w:oddHBand="0" w:evenHBand="0" w:firstRowFirstColumn="0" w:firstRowLastColumn="0" w:lastRowFirstColumn="0" w:lastRowLastColumn="0"/>
            <w:tcW w:w="0" w:type="pct"/>
            <w:shd w:val="clear" w:color="auto" w:fill="D9D9D9" w:themeFill="background1" w:themeFillShade="D9"/>
            <w:vAlign w:val="center"/>
          </w:tcPr>
          <w:p w14:paraId="1D108980" w14:textId="64768EFF" w:rsidR="008C706B" w:rsidRDefault="00F5288F" w:rsidP="00EE4B32">
            <w:pPr>
              <w:jc w:val="center"/>
              <w:rPr>
                <w:color w:val="000000" w:themeColor="text1"/>
              </w:rPr>
            </w:pPr>
            <w:r>
              <w:rPr>
                <w:color w:val="000000" w:themeColor="text1"/>
              </w:rPr>
              <w:t>47</w:t>
            </w:r>
          </w:p>
        </w:tc>
        <w:tc>
          <w:tcPr>
            <w:cnfStyle w:val="000001000000" w:firstRow="0" w:lastRow="0" w:firstColumn="0" w:lastColumn="0" w:oddVBand="0" w:evenVBand="1" w:oddHBand="0" w:evenHBand="0" w:firstRowFirstColumn="0" w:firstRowLastColumn="0" w:lastRowFirstColumn="0" w:lastRowLastColumn="0"/>
            <w:tcW w:w="0" w:type="pct"/>
            <w:vAlign w:val="center"/>
          </w:tcPr>
          <w:p w14:paraId="333E2ED7" w14:textId="7DA17131" w:rsidR="008C706B" w:rsidRDefault="00061D65" w:rsidP="00224EDF">
            <w:pPr>
              <w:jc w:val="center"/>
              <w:rPr>
                <w:color w:val="000000" w:themeColor="text1"/>
              </w:rPr>
            </w:pPr>
            <w:r>
              <w:rPr>
                <w:color w:val="000000" w:themeColor="text1"/>
              </w:rPr>
              <w:t>116</w:t>
            </w:r>
          </w:p>
        </w:tc>
        <w:tc>
          <w:tcPr>
            <w:cnfStyle w:val="000010000000" w:firstRow="0" w:lastRow="0" w:firstColumn="0" w:lastColumn="0" w:oddVBand="1" w:evenVBand="0" w:oddHBand="0" w:evenHBand="0" w:firstRowFirstColumn="0" w:firstRowLastColumn="0" w:lastRowFirstColumn="0" w:lastRowLastColumn="0"/>
            <w:tcW w:w="0" w:type="pct"/>
            <w:shd w:val="clear" w:color="auto" w:fill="auto"/>
            <w:vAlign w:val="center"/>
          </w:tcPr>
          <w:p w14:paraId="1E77BDD5" w14:textId="58D56E8F" w:rsidR="008C706B" w:rsidRDefault="00061D65" w:rsidP="00EE4B32">
            <w:pPr>
              <w:jc w:val="center"/>
              <w:rPr>
                <w:color w:val="000000" w:themeColor="text1"/>
              </w:rPr>
            </w:pPr>
            <w:r>
              <w:rPr>
                <w:color w:val="000000" w:themeColor="text1"/>
              </w:rPr>
              <w:t>28</w:t>
            </w:r>
          </w:p>
        </w:tc>
      </w:tr>
      <w:tr w:rsidR="008C706B" w14:paraId="3ADBA7D7" w14:textId="77777777" w:rsidTr="008C706B">
        <w:trPr>
          <w:cnfStyle w:val="000000010000" w:firstRow="0" w:lastRow="0" w:firstColumn="0" w:lastColumn="0" w:oddVBand="0" w:evenVBand="0" w:oddHBand="0" w:evenHBand="1"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1425" w:type="pct"/>
          </w:tcPr>
          <w:p w14:paraId="1702BE28" w14:textId="02086054" w:rsidR="008C706B" w:rsidRDefault="008C706B" w:rsidP="00EE4B32">
            <w:pPr>
              <w:rPr>
                <w:color w:val="000000" w:themeColor="text1"/>
              </w:rPr>
            </w:pPr>
            <w:r>
              <w:rPr>
                <w:color w:val="000000" w:themeColor="text1"/>
              </w:rPr>
              <w:t xml:space="preserve">Website sessions </w:t>
            </w:r>
          </w:p>
        </w:tc>
        <w:tc>
          <w:tcPr>
            <w:cnfStyle w:val="000001000000" w:firstRow="0" w:lastRow="0" w:firstColumn="0" w:lastColumn="0" w:oddVBand="0" w:evenVBand="1" w:oddHBand="0" w:evenHBand="0" w:firstRowFirstColumn="0" w:firstRowLastColumn="0" w:lastRowFirstColumn="0" w:lastRowLastColumn="0"/>
            <w:tcW w:w="798" w:type="pct"/>
            <w:vAlign w:val="center"/>
          </w:tcPr>
          <w:p w14:paraId="11604E83" w14:textId="139EBC17" w:rsidR="008C706B" w:rsidRDefault="008C706B" w:rsidP="00EE4B32">
            <w:pPr>
              <w:jc w:val="center"/>
              <w:rPr>
                <w:color w:val="000000" w:themeColor="text1"/>
              </w:rPr>
            </w:pPr>
            <w:r>
              <w:rPr>
                <w:rStyle w:val="normaltextrun"/>
                <w:rFonts w:cs="Arial"/>
                <w:color w:val="000000"/>
                <w:szCs w:val="22"/>
              </w:rPr>
              <w:t>642,501</w:t>
            </w:r>
            <w:r>
              <w:rPr>
                <w:rStyle w:val="eop"/>
                <w:color w:val="000000"/>
                <w:szCs w:val="22"/>
              </w:rPr>
              <w:t> </w:t>
            </w:r>
          </w:p>
        </w:tc>
        <w:tc>
          <w:tcPr>
            <w:cnfStyle w:val="000010000000" w:firstRow="0" w:lastRow="0" w:firstColumn="0" w:lastColumn="0" w:oddVBand="1" w:evenVBand="0" w:oddHBand="0" w:evenHBand="0" w:firstRowFirstColumn="0" w:firstRowLastColumn="0" w:lastRowFirstColumn="0" w:lastRowLastColumn="0"/>
            <w:tcW w:w="926" w:type="pct"/>
            <w:shd w:val="clear" w:color="auto" w:fill="D9D9D9" w:themeFill="background1" w:themeFillShade="D9"/>
            <w:vAlign w:val="center"/>
          </w:tcPr>
          <w:p w14:paraId="36B0BBC7" w14:textId="6F338EBE" w:rsidR="008C706B" w:rsidRDefault="007A6A53" w:rsidP="00EE4B32">
            <w:pPr>
              <w:jc w:val="center"/>
              <w:rPr>
                <w:color w:val="000000" w:themeColor="text1"/>
              </w:rPr>
            </w:pPr>
            <w:r>
              <w:rPr>
                <w:color w:val="000000" w:themeColor="text1"/>
              </w:rPr>
              <w:t>61</w:t>
            </w:r>
            <w:r w:rsidR="0044340F">
              <w:rPr>
                <w:color w:val="000000" w:themeColor="text1"/>
              </w:rPr>
              <w:t>7</w:t>
            </w:r>
            <w:r>
              <w:rPr>
                <w:color w:val="000000" w:themeColor="text1"/>
              </w:rPr>
              <w:t>,</w:t>
            </w:r>
            <w:r w:rsidR="0044340F">
              <w:rPr>
                <w:color w:val="000000" w:themeColor="text1"/>
              </w:rPr>
              <w:t>1</w:t>
            </w:r>
            <w:r>
              <w:rPr>
                <w:color w:val="000000" w:themeColor="text1"/>
              </w:rPr>
              <w:t>1</w:t>
            </w:r>
            <w:r w:rsidR="0044340F">
              <w:rPr>
                <w:color w:val="000000" w:themeColor="text1"/>
              </w:rPr>
              <w:t>3</w:t>
            </w:r>
          </w:p>
        </w:tc>
        <w:tc>
          <w:tcPr>
            <w:cnfStyle w:val="000001000000" w:firstRow="0" w:lastRow="0" w:firstColumn="0" w:lastColumn="0" w:oddVBand="0" w:evenVBand="1" w:oddHBand="0" w:evenHBand="0" w:firstRowFirstColumn="0" w:firstRowLastColumn="0" w:lastRowFirstColumn="0" w:lastRowLastColumn="0"/>
            <w:tcW w:w="926" w:type="pct"/>
          </w:tcPr>
          <w:p w14:paraId="43C92B2E" w14:textId="652C901A" w:rsidR="008C706B" w:rsidRDefault="007A6A53" w:rsidP="00EE4B32">
            <w:pPr>
              <w:jc w:val="center"/>
              <w:rPr>
                <w:color w:val="000000" w:themeColor="text1"/>
              </w:rPr>
            </w:pPr>
            <w:r>
              <w:rPr>
                <w:color w:val="000000" w:themeColor="text1"/>
              </w:rPr>
              <w:t>2,624,</w:t>
            </w:r>
            <w:r w:rsidR="004209EA">
              <w:rPr>
                <w:color w:val="000000" w:themeColor="text1"/>
              </w:rPr>
              <w:t>903</w:t>
            </w:r>
          </w:p>
        </w:tc>
        <w:tc>
          <w:tcPr>
            <w:cnfStyle w:val="000010000000" w:firstRow="0" w:lastRow="0" w:firstColumn="0" w:lastColumn="0" w:oddVBand="1" w:evenVBand="0" w:oddHBand="0" w:evenHBand="0" w:firstRowFirstColumn="0" w:firstRowLastColumn="0" w:lastRowFirstColumn="0" w:lastRowLastColumn="0"/>
            <w:tcW w:w="925" w:type="pct"/>
            <w:shd w:val="clear" w:color="auto" w:fill="auto"/>
            <w:vAlign w:val="center"/>
          </w:tcPr>
          <w:p w14:paraId="35208002" w14:textId="25B00C09" w:rsidR="008C706B" w:rsidRDefault="007A6A53" w:rsidP="00EE4B32">
            <w:pPr>
              <w:jc w:val="center"/>
              <w:rPr>
                <w:color w:val="000000" w:themeColor="text1"/>
              </w:rPr>
            </w:pPr>
            <w:r>
              <w:rPr>
                <w:color w:val="000000" w:themeColor="text1"/>
              </w:rPr>
              <w:t>728,501</w:t>
            </w:r>
          </w:p>
        </w:tc>
      </w:tr>
    </w:tbl>
    <w:p w14:paraId="588A59FC" w14:textId="77777777" w:rsidR="008207F7" w:rsidRDefault="008207F7" w:rsidP="008207F7">
      <w:pPr>
        <w:pStyle w:val="FootnoteText"/>
      </w:pPr>
    </w:p>
    <w:p w14:paraId="62A69B60" w14:textId="17F42ACD" w:rsidR="008207F7" w:rsidRDefault="00D25582" w:rsidP="002171D4">
      <w:pPr>
        <w:pStyle w:val="FootnoteText"/>
        <w:ind w:left="0" w:firstLine="0"/>
        <w:rPr>
          <w:rFonts w:eastAsiaTheme="minorEastAsia"/>
          <w:sz w:val="22"/>
          <w:szCs w:val="24"/>
          <w:lang w:eastAsia="en-AU"/>
        </w:rPr>
      </w:pPr>
      <w:r>
        <w:rPr>
          <w:rFonts w:eastAsiaTheme="minorEastAsia"/>
          <w:sz w:val="22"/>
          <w:szCs w:val="24"/>
          <w:lang w:eastAsia="en-AU"/>
        </w:rPr>
        <w:t>Independent Mental Health Advocacy (</w:t>
      </w:r>
      <w:r w:rsidR="00D20017">
        <w:rPr>
          <w:rFonts w:eastAsiaTheme="minorEastAsia"/>
          <w:sz w:val="22"/>
          <w:szCs w:val="24"/>
          <w:lang w:eastAsia="en-AU"/>
        </w:rPr>
        <w:t>IMHA</w:t>
      </w:r>
      <w:r>
        <w:rPr>
          <w:rFonts w:eastAsiaTheme="minorEastAsia"/>
          <w:sz w:val="22"/>
          <w:szCs w:val="24"/>
          <w:lang w:eastAsia="en-AU"/>
        </w:rPr>
        <w:t xml:space="preserve">) and </w:t>
      </w:r>
      <w:r w:rsidR="002171D4">
        <w:rPr>
          <w:rFonts w:eastAsiaTheme="minorEastAsia"/>
          <w:sz w:val="22"/>
          <w:szCs w:val="24"/>
          <w:lang w:eastAsia="en-AU"/>
        </w:rPr>
        <w:t xml:space="preserve">Independent Family Advocacy Support (IFAS) </w:t>
      </w:r>
      <w:r w:rsidR="00CD1D1F">
        <w:rPr>
          <w:rFonts w:eastAsiaTheme="minorEastAsia"/>
          <w:sz w:val="22"/>
          <w:szCs w:val="24"/>
          <w:lang w:eastAsia="en-AU"/>
        </w:rPr>
        <w:t>are specialist</w:t>
      </w:r>
      <w:r w:rsidR="00BA7677">
        <w:rPr>
          <w:rFonts w:eastAsiaTheme="minorEastAsia"/>
          <w:sz w:val="22"/>
          <w:szCs w:val="24"/>
          <w:lang w:eastAsia="en-AU"/>
        </w:rPr>
        <w:t xml:space="preserve"> resolution and advocacy services</w:t>
      </w:r>
      <w:r w:rsidR="00B56055">
        <w:rPr>
          <w:rFonts w:eastAsiaTheme="minorEastAsia"/>
          <w:sz w:val="22"/>
          <w:szCs w:val="24"/>
          <w:lang w:eastAsia="en-AU"/>
        </w:rPr>
        <w:t xml:space="preserve"> that are designed to advise and assist those who are subject to compulsory mental health treatment or to help divert families from the court system. </w:t>
      </w:r>
      <w:r w:rsidR="0076557D">
        <w:rPr>
          <w:rFonts w:eastAsiaTheme="minorEastAsia"/>
          <w:sz w:val="22"/>
          <w:szCs w:val="24"/>
          <w:lang w:eastAsia="en-AU"/>
        </w:rPr>
        <w:t xml:space="preserve">There was a decrease in the number of </w:t>
      </w:r>
      <w:r w:rsidR="00D20017">
        <w:rPr>
          <w:rFonts w:eastAsiaTheme="minorEastAsia"/>
          <w:sz w:val="22"/>
          <w:szCs w:val="24"/>
          <w:lang w:eastAsia="en-AU"/>
        </w:rPr>
        <w:t xml:space="preserve">IMHA </w:t>
      </w:r>
      <w:r w:rsidR="0076557D">
        <w:rPr>
          <w:rFonts w:eastAsiaTheme="minorEastAsia"/>
          <w:sz w:val="22"/>
          <w:szCs w:val="24"/>
          <w:lang w:eastAsia="en-AU"/>
        </w:rPr>
        <w:t xml:space="preserve">information and referral </w:t>
      </w:r>
      <w:r w:rsidR="006B46EA">
        <w:rPr>
          <w:rFonts w:eastAsiaTheme="minorEastAsia"/>
          <w:sz w:val="22"/>
          <w:szCs w:val="24"/>
          <w:lang w:eastAsia="en-AU"/>
        </w:rPr>
        <w:t>sessions</w:t>
      </w:r>
      <w:r w:rsidR="0076557D">
        <w:rPr>
          <w:rFonts w:eastAsiaTheme="minorEastAsia"/>
          <w:sz w:val="22"/>
          <w:szCs w:val="24"/>
          <w:lang w:eastAsia="en-AU"/>
        </w:rPr>
        <w:t xml:space="preserve"> for quarter four compared to quarter three for 2021</w:t>
      </w:r>
      <w:r w:rsidR="00D20017">
        <w:rPr>
          <w:rFonts w:eastAsiaTheme="minorEastAsia"/>
          <w:sz w:val="22"/>
          <w:szCs w:val="24"/>
          <w:lang w:eastAsia="en-AU"/>
        </w:rPr>
        <w:t>–</w:t>
      </w:r>
      <w:r w:rsidR="0076557D">
        <w:rPr>
          <w:rFonts w:eastAsiaTheme="minorEastAsia"/>
          <w:sz w:val="22"/>
          <w:szCs w:val="24"/>
          <w:lang w:eastAsia="en-AU"/>
        </w:rPr>
        <w:t>22. However,</w:t>
      </w:r>
      <w:r w:rsidR="006B46EA">
        <w:rPr>
          <w:rFonts w:eastAsiaTheme="minorEastAsia"/>
          <w:sz w:val="22"/>
          <w:szCs w:val="24"/>
          <w:lang w:eastAsia="en-AU"/>
        </w:rPr>
        <w:t xml:space="preserve"> for the year-end total</w:t>
      </w:r>
      <w:r w:rsidR="0076557D">
        <w:rPr>
          <w:rFonts w:eastAsiaTheme="minorEastAsia"/>
          <w:sz w:val="22"/>
          <w:szCs w:val="24"/>
          <w:lang w:eastAsia="en-AU"/>
        </w:rPr>
        <w:t xml:space="preserve"> there was an overall increase of </w:t>
      </w:r>
      <w:r w:rsidR="006B46EA">
        <w:rPr>
          <w:rFonts w:eastAsiaTheme="minorEastAsia"/>
          <w:sz w:val="22"/>
          <w:szCs w:val="24"/>
          <w:lang w:eastAsia="en-AU"/>
        </w:rPr>
        <w:t>3.5 per cent compared to the previous year</w:t>
      </w:r>
      <w:r w:rsidR="0001213B">
        <w:rPr>
          <w:rFonts w:eastAsiaTheme="minorEastAsia"/>
          <w:sz w:val="22"/>
          <w:szCs w:val="24"/>
          <w:lang w:eastAsia="en-AU"/>
        </w:rPr>
        <w:t xml:space="preserve">. Whilst </w:t>
      </w:r>
      <w:r w:rsidR="00D20017">
        <w:rPr>
          <w:rFonts w:eastAsiaTheme="minorEastAsia"/>
          <w:sz w:val="22"/>
          <w:szCs w:val="24"/>
          <w:lang w:eastAsia="en-AU"/>
        </w:rPr>
        <w:t xml:space="preserve">IMHA </w:t>
      </w:r>
      <w:r w:rsidR="0001213B">
        <w:rPr>
          <w:rFonts w:eastAsiaTheme="minorEastAsia"/>
          <w:sz w:val="22"/>
          <w:szCs w:val="24"/>
          <w:lang w:eastAsia="en-AU"/>
        </w:rPr>
        <w:t>advocacy and IFAS information and advocacy services all increased in quarter four, there was an overall drop in these services for the year-end totals compared to 20</w:t>
      </w:r>
      <w:r w:rsidR="00317B03">
        <w:rPr>
          <w:rFonts w:eastAsiaTheme="minorEastAsia"/>
          <w:sz w:val="22"/>
          <w:szCs w:val="24"/>
          <w:lang w:eastAsia="en-AU"/>
        </w:rPr>
        <w:t>21</w:t>
      </w:r>
      <w:r w:rsidR="00CE7798">
        <w:rPr>
          <w:rFonts w:eastAsiaTheme="minorEastAsia"/>
          <w:sz w:val="22"/>
          <w:szCs w:val="24"/>
          <w:lang w:eastAsia="en-AU"/>
        </w:rPr>
        <w:t>–</w:t>
      </w:r>
      <w:r w:rsidR="00317B03">
        <w:rPr>
          <w:rFonts w:eastAsiaTheme="minorEastAsia"/>
          <w:sz w:val="22"/>
          <w:szCs w:val="24"/>
          <w:lang w:eastAsia="en-AU"/>
        </w:rPr>
        <w:t xml:space="preserve">22. </w:t>
      </w:r>
      <w:r w:rsidR="00C26273">
        <w:rPr>
          <w:rFonts w:eastAsiaTheme="minorEastAsia"/>
          <w:sz w:val="22"/>
          <w:szCs w:val="24"/>
          <w:lang w:eastAsia="en-AU"/>
        </w:rPr>
        <w:t>COVID-19 is assumed t</w:t>
      </w:r>
      <w:r w:rsidR="0059543C">
        <w:rPr>
          <w:rFonts w:eastAsiaTheme="minorEastAsia"/>
          <w:sz w:val="22"/>
          <w:szCs w:val="24"/>
          <w:lang w:eastAsia="en-AU"/>
        </w:rPr>
        <w:t>o</w:t>
      </w:r>
      <w:r w:rsidR="00C26273">
        <w:rPr>
          <w:rFonts w:eastAsiaTheme="minorEastAsia"/>
          <w:sz w:val="22"/>
          <w:szCs w:val="24"/>
          <w:lang w:eastAsia="en-AU"/>
        </w:rPr>
        <w:t xml:space="preserve"> have caused this drop due to the </w:t>
      </w:r>
      <w:proofErr w:type="gramStart"/>
      <w:r w:rsidR="00AB37BC">
        <w:rPr>
          <w:rFonts w:eastAsiaTheme="minorEastAsia"/>
          <w:sz w:val="22"/>
          <w:szCs w:val="24"/>
          <w:lang w:eastAsia="en-AU"/>
        </w:rPr>
        <w:t>lower case</w:t>
      </w:r>
      <w:proofErr w:type="gramEnd"/>
      <w:r w:rsidR="00AB37BC">
        <w:rPr>
          <w:rFonts w:eastAsiaTheme="minorEastAsia"/>
          <w:sz w:val="22"/>
          <w:szCs w:val="24"/>
          <w:lang w:eastAsia="en-AU"/>
        </w:rPr>
        <w:t xml:space="preserve"> numbers at court.</w:t>
      </w:r>
    </w:p>
    <w:p w14:paraId="5452E67B" w14:textId="77777777" w:rsidR="00961AD9" w:rsidRDefault="00961AD9" w:rsidP="002171D4">
      <w:pPr>
        <w:pStyle w:val="FootnoteText"/>
        <w:ind w:left="0" w:firstLine="0"/>
        <w:rPr>
          <w:rFonts w:eastAsiaTheme="minorEastAsia"/>
          <w:sz w:val="22"/>
          <w:szCs w:val="24"/>
          <w:lang w:eastAsia="en-AU"/>
        </w:rPr>
      </w:pPr>
    </w:p>
    <w:p w14:paraId="736F4983" w14:textId="77777777" w:rsidR="00961AD9" w:rsidRDefault="00961AD9" w:rsidP="002171D4">
      <w:pPr>
        <w:pStyle w:val="FootnoteText"/>
        <w:ind w:left="0" w:firstLine="0"/>
        <w:rPr>
          <w:rFonts w:eastAsiaTheme="minorEastAsia"/>
          <w:sz w:val="22"/>
          <w:szCs w:val="24"/>
          <w:lang w:eastAsia="en-AU"/>
        </w:rPr>
      </w:pPr>
    </w:p>
    <w:p w14:paraId="1CF30FFB" w14:textId="77777777" w:rsidR="00961AD9" w:rsidRDefault="00961AD9" w:rsidP="002171D4">
      <w:pPr>
        <w:pStyle w:val="FootnoteText"/>
        <w:ind w:left="0" w:firstLine="0"/>
        <w:rPr>
          <w:rFonts w:eastAsiaTheme="minorEastAsia"/>
          <w:sz w:val="22"/>
          <w:szCs w:val="24"/>
          <w:lang w:eastAsia="en-AU"/>
        </w:rPr>
      </w:pPr>
    </w:p>
    <w:p w14:paraId="31F857A5" w14:textId="77777777" w:rsidR="00961AD9" w:rsidRDefault="00961AD9" w:rsidP="002171D4">
      <w:pPr>
        <w:pStyle w:val="FootnoteText"/>
        <w:ind w:left="0" w:firstLine="0"/>
        <w:rPr>
          <w:rFonts w:eastAsiaTheme="minorEastAsia"/>
          <w:sz w:val="22"/>
          <w:szCs w:val="24"/>
          <w:lang w:eastAsia="en-AU"/>
        </w:rPr>
      </w:pPr>
    </w:p>
    <w:p w14:paraId="50CEC713" w14:textId="3C5D0B61" w:rsidR="00C96991" w:rsidRPr="00EB59BB" w:rsidRDefault="00C96991" w:rsidP="00EB59BB">
      <w:pPr>
        <w:pStyle w:val="Tableheader"/>
      </w:pPr>
      <w:r w:rsidRPr="00EB59BB">
        <w:lastRenderedPageBreak/>
        <w:t>Table 1.4 Specialist resolution and advocacy services</w:t>
      </w:r>
    </w:p>
    <w:tbl>
      <w:tblPr>
        <w:tblpPr w:leftFromText="180" w:rightFromText="180" w:vertAnchor="text" w:horzAnchor="margin" w:tblpY="15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3636"/>
        <w:gridCol w:w="1760"/>
        <w:gridCol w:w="1560"/>
        <w:gridCol w:w="1560"/>
        <w:gridCol w:w="1560"/>
      </w:tblGrid>
      <w:tr w:rsidR="008C706B" w14:paraId="6B7D8919" w14:textId="77777777" w:rsidTr="008C706B">
        <w:trPr>
          <w:cantSplit/>
          <w:trHeight w:val="361"/>
          <w:tblHeader/>
        </w:trPr>
        <w:tc>
          <w:tcPr>
            <w:tcW w:w="1804" w:type="pct"/>
            <w:shd w:val="clear" w:color="auto" w:fill="C4B0CC"/>
            <w:hideMark/>
          </w:tcPr>
          <w:p w14:paraId="27B80F0D" w14:textId="77777777" w:rsidR="008C706B" w:rsidRDefault="008C706B">
            <w:pPr>
              <w:rPr>
                <w:b/>
                <w:color w:val="000000" w:themeColor="text1"/>
                <w:lang w:eastAsia="en-AU"/>
              </w:rPr>
            </w:pPr>
            <w:r w:rsidRPr="006B69F9">
              <w:rPr>
                <w:b/>
                <w:bCs/>
                <w:color w:val="000000" w:themeColor="text1"/>
                <w:szCs w:val="20"/>
                <w:lang w:eastAsia="en-AU"/>
              </w:rPr>
              <w:t>Specialist resolution and advocacy services</w:t>
            </w:r>
          </w:p>
        </w:tc>
        <w:tc>
          <w:tcPr>
            <w:tcW w:w="873" w:type="pct"/>
            <w:shd w:val="clear" w:color="auto" w:fill="C4B0CC"/>
          </w:tcPr>
          <w:p w14:paraId="5B2635D2" w14:textId="77777777" w:rsidR="008C706B" w:rsidRPr="000E7EED" w:rsidRDefault="008C706B">
            <w:pPr>
              <w:jc w:val="center"/>
              <w:rPr>
                <w:b/>
                <w:color w:val="000000" w:themeColor="text1"/>
              </w:rPr>
            </w:pPr>
            <w:r>
              <w:rPr>
                <w:b/>
                <w:color w:val="000000" w:themeColor="text1"/>
              </w:rPr>
              <w:t>Q3</w:t>
            </w:r>
          </w:p>
          <w:p w14:paraId="63EB99CB" w14:textId="654D9920" w:rsidR="008C706B" w:rsidRDefault="008C706B">
            <w:pPr>
              <w:jc w:val="center"/>
              <w:rPr>
                <w:b/>
                <w:color w:val="000000" w:themeColor="text1"/>
                <w:lang w:eastAsia="en-AU"/>
              </w:rPr>
            </w:pPr>
            <w:r w:rsidRPr="000E7EED">
              <w:rPr>
                <w:b/>
                <w:color w:val="000000" w:themeColor="text1"/>
              </w:rPr>
              <w:t>20</w:t>
            </w:r>
            <w:r>
              <w:rPr>
                <w:b/>
                <w:color w:val="000000" w:themeColor="text1"/>
              </w:rPr>
              <w:t>21</w:t>
            </w:r>
            <w:r w:rsidR="00CE7798">
              <w:rPr>
                <w:b/>
                <w:color w:val="000000" w:themeColor="text1"/>
              </w:rPr>
              <w:t>–</w:t>
            </w:r>
            <w:r>
              <w:rPr>
                <w:b/>
                <w:color w:val="000000" w:themeColor="text1"/>
              </w:rPr>
              <w:t>22</w:t>
            </w:r>
          </w:p>
        </w:tc>
        <w:tc>
          <w:tcPr>
            <w:tcW w:w="774" w:type="pct"/>
            <w:shd w:val="clear" w:color="auto" w:fill="C4B0CC"/>
          </w:tcPr>
          <w:p w14:paraId="6077FF26" w14:textId="77777777" w:rsidR="008C706B" w:rsidRDefault="008C706B">
            <w:pPr>
              <w:jc w:val="center"/>
              <w:rPr>
                <w:b/>
                <w:color w:val="000000" w:themeColor="text1"/>
              </w:rPr>
            </w:pPr>
            <w:r w:rsidRPr="55245693">
              <w:rPr>
                <w:b/>
                <w:color w:val="000000" w:themeColor="text1"/>
              </w:rPr>
              <w:t>Q</w:t>
            </w:r>
            <w:r>
              <w:rPr>
                <w:b/>
                <w:color w:val="000000" w:themeColor="text1"/>
              </w:rPr>
              <w:t>4</w:t>
            </w:r>
          </w:p>
          <w:p w14:paraId="76843F0D" w14:textId="502EF693" w:rsidR="008C706B" w:rsidRDefault="008C706B">
            <w:pPr>
              <w:jc w:val="center"/>
              <w:rPr>
                <w:b/>
                <w:color w:val="000000" w:themeColor="text1"/>
                <w:lang w:eastAsia="en-AU"/>
              </w:rPr>
            </w:pPr>
            <w:r w:rsidRPr="000E7EED">
              <w:rPr>
                <w:b/>
                <w:color w:val="000000" w:themeColor="text1"/>
              </w:rPr>
              <w:t>20</w:t>
            </w:r>
            <w:r>
              <w:rPr>
                <w:b/>
                <w:color w:val="000000" w:themeColor="text1"/>
              </w:rPr>
              <w:t>21</w:t>
            </w:r>
            <w:r w:rsidR="00CE7798">
              <w:rPr>
                <w:b/>
                <w:color w:val="000000" w:themeColor="text1"/>
              </w:rPr>
              <w:t>–</w:t>
            </w:r>
            <w:r>
              <w:rPr>
                <w:b/>
                <w:color w:val="000000" w:themeColor="text1"/>
              </w:rPr>
              <w:t>22</w:t>
            </w:r>
          </w:p>
        </w:tc>
        <w:tc>
          <w:tcPr>
            <w:tcW w:w="774" w:type="pct"/>
            <w:shd w:val="clear" w:color="auto" w:fill="C4B0CC"/>
          </w:tcPr>
          <w:p w14:paraId="407679C9" w14:textId="79635624" w:rsidR="008C706B" w:rsidRDefault="008C706B">
            <w:pPr>
              <w:jc w:val="center"/>
              <w:rPr>
                <w:b/>
                <w:color w:val="000000" w:themeColor="text1"/>
              </w:rPr>
            </w:pPr>
            <w:r>
              <w:rPr>
                <w:b/>
                <w:color w:val="000000" w:themeColor="text1"/>
              </w:rPr>
              <w:t>Year-end total 2021</w:t>
            </w:r>
            <w:r w:rsidR="00CE7798">
              <w:rPr>
                <w:b/>
                <w:color w:val="000000" w:themeColor="text1"/>
              </w:rPr>
              <w:t>–</w:t>
            </w:r>
            <w:r>
              <w:rPr>
                <w:b/>
                <w:color w:val="000000" w:themeColor="text1"/>
              </w:rPr>
              <w:t>22</w:t>
            </w:r>
          </w:p>
        </w:tc>
        <w:tc>
          <w:tcPr>
            <w:tcW w:w="774" w:type="pct"/>
            <w:shd w:val="clear" w:color="auto" w:fill="C4B0CC"/>
          </w:tcPr>
          <w:p w14:paraId="4A73C54A" w14:textId="741D4556" w:rsidR="008C706B" w:rsidRDefault="008C706B">
            <w:pPr>
              <w:jc w:val="center"/>
              <w:rPr>
                <w:b/>
                <w:bCs/>
                <w:color w:val="000000" w:themeColor="text1"/>
              </w:rPr>
            </w:pPr>
            <w:r>
              <w:rPr>
                <w:b/>
                <w:color w:val="000000" w:themeColor="text1"/>
              </w:rPr>
              <w:t>Q1 2022</w:t>
            </w:r>
            <w:r w:rsidR="00CE7798">
              <w:rPr>
                <w:b/>
                <w:color w:val="000000" w:themeColor="text1"/>
              </w:rPr>
              <w:t>–</w:t>
            </w:r>
            <w:r>
              <w:rPr>
                <w:b/>
                <w:color w:val="000000" w:themeColor="text1"/>
              </w:rPr>
              <w:t>23</w:t>
            </w:r>
          </w:p>
          <w:p w14:paraId="5664938E" w14:textId="77777777" w:rsidR="008C706B" w:rsidRDefault="008C706B">
            <w:pPr>
              <w:jc w:val="center"/>
              <w:rPr>
                <w:b/>
                <w:color w:val="000000" w:themeColor="text1"/>
                <w:lang w:eastAsia="en-AU"/>
              </w:rPr>
            </w:pPr>
            <w:r>
              <w:rPr>
                <w:b/>
                <w:color w:val="000000" w:themeColor="text1"/>
              </w:rPr>
              <w:t>projection</w:t>
            </w:r>
          </w:p>
        </w:tc>
      </w:tr>
      <w:tr w:rsidR="008C706B" w14:paraId="06BDF848" w14:textId="77777777" w:rsidTr="00961AD9">
        <w:trPr>
          <w:trHeight w:val="531"/>
        </w:trPr>
        <w:tc>
          <w:tcPr>
            <w:tcW w:w="1804" w:type="pct"/>
            <w:tcBorders>
              <w:bottom w:val="single" w:sz="4" w:space="0" w:color="7F7F7F" w:themeColor="text1" w:themeTint="80"/>
            </w:tcBorders>
            <w:hideMark/>
          </w:tcPr>
          <w:p w14:paraId="4A016E1B" w14:textId="77777777" w:rsidR="008C706B" w:rsidRDefault="008C706B">
            <w:pPr>
              <w:rPr>
                <w:color w:val="000000" w:themeColor="text1"/>
                <w:lang w:eastAsia="en-AU"/>
              </w:rPr>
            </w:pPr>
            <w:r>
              <w:rPr>
                <w:color w:val="000000" w:themeColor="text1"/>
                <w:lang w:eastAsia="en-AU"/>
              </w:rPr>
              <w:t>IMHA information and referral sessions</w:t>
            </w:r>
          </w:p>
        </w:tc>
        <w:tc>
          <w:tcPr>
            <w:tcW w:w="873" w:type="pct"/>
            <w:tcBorders>
              <w:bottom w:val="single" w:sz="4" w:space="0" w:color="7F7F7F" w:themeColor="text1" w:themeTint="80"/>
            </w:tcBorders>
            <w:shd w:val="clear" w:color="auto" w:fill="auto"/>
            <w:vAlign w:val="center"/>
          </w:tcPr>
          <w:p w14:paraId="33E9DC8C" w14:textId="50BE38ED" w:rsidR="008C706B" w:rsidRDefault="008C706B" w:rsidP="007B4E9F">
            <w:pPr>
              <w:jc w:val="center"/>
              <w:rPr>
                <w:lang w:eastAsia="en-AU"/>
              </w:rPr>
            </w:pPr>
            <w:r>
              <w:rPr>
                <w:rStyle w:val="normaltextrun"/>
                <w:rFonts w:cs="Arial"/>
                <w:szCs w:val="22"/>
              </w:rPr>
              <w:t>6,258</w:t>
            </w:r>
          </w:p>
        </w:tc>
        <w:tc>
          <w:tcPr>
            <w:tcW w:w="774" w:type="pct"/>
            <w:tcBorders>
              <w:bottom w:val="single" w:sz="4" w:space="0" w:color="7F7F7F" w:themeColor="text1" w:themeTint="80"/>
            </w:tcBorders>
            <w:shd w:val="clear" w:color="auto" w:fill="D9D9D9" w:themeFill="background1" w:themeFillShade="D9"/>
            <w:vAlign w:val="center"/>
          </w:tcPr>
          <w:p w14:paraId="2DBEBF6D" w14:textId="0B051FF0" w:rsidR="008C706B" w:rsidRDefault="007B4E9F" w:rsidP="007B4E9F">
            <w:pPr>
              <w:jc w:val="center"/>
              <w:rPr>
                <w:lang w:eastAsia="en-AU"/>
              </w:rPr>
            </w:pPr>
            <w:r>
              <w:rPr>
                <w:lang w:eastAsia="en-AU"/>
              </w:rPr>
              <w:t>5,492</w:t>
            </w:r>
          </w:p>
        </w:tc>
        <w:tc>
          <w:tcPr>
            <w:tcW w:w="774" w:type="pct"/>
            <w:tcBorders>
              <w:bottom w:val="single" w:sz="4" w:space="0" w:color="7F7F7F" w:themeColor="text1" w:themeTint="80"/>
            </w:tcBorders>
            <w:vAlign w:val="center"/>
          </w:tcPr>
          <w:p w14:paraId="0760B582" w14:textId="6FEA623F" w:rsidR="008C706B" w:rsidRDefault="005E2526" w:rsidP="007B4E9F">
            <w:pPr>
              <w:jc w:val="center"/>
              <w:rPr>
                <w:lang w:eastAsia="en-AU"/>
              </w:rPr>
            </w:pPr>
            <w:r>
              <w:rPr>
                <w:lang w:eastAsia="en-AU"/>
              </w:rPr>
              <w:t>25,263</w:t>
            </w:r>
          </w:p>
        </w:tc>
        <w:tc>
          <w:tcPr>
            <w:tcW w:w="774" w:type="pct"/>
            <w:tcBorders>
              <w:bottom w:val="single" w:sz="4" w:space="0" w:color="7F7F7F" w:themeColor="text1" w:themeTint="80"/>
            </w:tcBorders>
            <w:shd w:val="clear" w:color="auto" w:fill="auto"/>
            <w:vAlign w:val="center"/>
          </w:tcPr>
          <w:p w14:paraId="09C286E7" w14:textId="33C2D3DC" w:rsidR="008C706B" w:rsidRDefault="00717459">
            <w:pPr>
              <w:jc w:val="center"/>
              <w:rPr>
                <w:lang w:eastAsia="en-AU"/>
              </w:rPr>
            </w:pPr>
            <w:r>
              <w:rPr>
                <w:lang w:eastAsia="en-AU"/>
              </w:rPr>
              <w:t>6,300</w:t>
            </w:r>
          </w:p>
        </w:tc>
      </w:tr>
      <w:tr w:rsidR="008C706B" w14:paraId="00859D46" w14:textId="77777777" w:rsidTr="00961AD9">
        <w:trPr>
          <w:trHeight w:val="531"/>
        </w:trPr>
        <w:tc>
          <w:tcPr>
            <w:tcW w:w="1804" w:type="pct"/>
            <w:tcBorders>
              <w:bottom w:val="single" w:sz="4" w:space="0" w:color="7F7F7F" w:themeColor="text1" w:themeTint="80"/>
            </w:tcBorders>
          </w:tcPr>
          <w:p w14:paraId="40EA83A6" w14:textId="77777777" w:rsidR="008C706B" w:rsidRDefault="008C706B">
            <w:pPr>
              <w:rPr>
                <w:color w:val="000000" w:themeColor="text1"/>
                <w:lang w:eastAsia="en-AU"/>
              </w:rPr>
            </w:pPr>
            <w:r>
              <w:rPr>
                <w:color w:val="000000" w:themeColor="text1"/>
                <w:lang w:eastAsia="en-AU"/>
              </w:rPr>
              <w:t>IMHA advocacy and self-advocacy</w:t>
            </w:r>
          </w:p>
        </w:tc>
        <w:tc>
          <w:tcPr>
            <w:tcW w:w="873" w:type="pct"/>
            <w:tcBorders>
              <w:bottom w:val="single" w:sz="4" w:space="0" w:color="7F7F7F" w:themeColor="text1" w:themeTint="80"/>
            </w:tcBorders>
            <w:shd w:val="clear" w:color="auto" w:fill="auto"/>
            <w:vAlign w:val="center"/>
          </w:tcPr>
          <w:p w14:paraId="7FC9588F" w14:textId="773C863A" w:rsidR="008C706B" w:rsidRPr="003E5897" w:rsidRDefault="008C706B" w:rsidP="007B4E9F">
            <w:pPr>
              <w:jc w:val="center"/>
              <w:rPr>
                <w:lang w:eastAsia="en-AU"/>
              </w:rPr>
            </w:pPr>
            <w:r>
              <w:rPr>
                <w:rStyle w:val="normaltextrun"/>
                <w:rFonts w:cs="Arial"/>
                <w:szCs w:val="22"/>
              </w:rPr>
              <w:t>3,254</w:t>
            </w:r>
          </w:p>
        </w:tc>
        <w:tc>
          <w:tcPr>
            <w:tcW w:w="774" w:type="pct"/>
            <w:tcBorders>
              <w:bottom w:val="single" w:sz="4" w:space="0" w:color="7F7F7F" w:themeColor="text1" w:themeTint="80"/>
            </w:tcBorders>
            <w:shd w:val="clear" w:color="auto" w:fill="D9D9D9" w:themeFill="background1" w:themeFillShade="D9"/>
            <w:vAlign w:val="center"/>
          </w:tcPr>
          <w:p w14:paraId="6A575D4F" w14:textId="702A8F54" w:rsidR="008C706B" w:rsidRPr="003E5897" w:rsidRDefault="007B4E9F" w:rsidP="007B4E9F">
            <w:pPr>
              <w:jc w:val="center"/>
              <w:rPr>
                <w:lang w:eastAsia="en-AU"/>
              </w:rPr>
            </w:pPr>
            <w:r>
              <w:rPr>
                <w:lang w:eastAsia="en-AU"/>
              </w:rPr>
              <w:t>3,335</w:t>
            </w:r>
          </w:p>
        </w:tc>
        <w:tc>
          <w:tcPr>
            <w:tcW w:w="774" w:type="pct"/>
            <w:tcBorders>
              <w:bottom w:val="single" w:sz="4" w:space="0" w:color="7F7F7F" w:themeColor="text1" w:themeTint="80"/>
            </w:tcBorders>
            <w:vAlign w:val="center"/>
          </w:tcPr>
          <w:p w14:paraId="53C206FC" w14:textId="095835CF" w:rsidR="008C706B" w:rsidRPr="00DB6276" w:rsidRDefault="005E2526" w:rsidP="007B4E9F">
            <w:pPr>
              <w:jc w:val="center"/>
              <w:rPr>
                <w:lang w:eastAsia="en-AU"/>
              </w:rPr>
            </w:pPr>
            <w:r>
              <w:rPr>
                <w:lang w:eastAsia="en-AU"/>
              </w:rPr>
              <w:t>13,247</w:t>
            </w:r>
          </w:p>
        </w:tc>
        <w:tc>
          <w:tcPr>
            <w:tcW w:w="774" w:type="pct"/>
            <w:tcBorders>
              <w:bottom w:val="single" w:sz="4" w:space="0" w:color="7F7F7F" w:themeColor="text1" w:themeTint="80"/>
            </w:tcBorders>
            <w:shd w:val="clear" w:color="auto" w:fill="auto"/>
            <w:vAlign w:val="center"/>
          </w:tcPr>
          <w:p w14:paraId="34A3872D" w14:textId="5EB79007" w:rsidR="008C706B" w:rsidRPr="00DB6276" w:rsidRDefault="00717459">
            <w:pPr>
              <w:jc w:val="center"/>
              <w:rPr>
                <w:lang w:eastAsia="en-AU"/>
              </w:rPr>
            </w:pPr>
            <w:r>
              <w:rPr>
                <w:lang w:eastAsia="en-AU"/>
              </w:rPr>
              <w:t>3,800</w:t>
            </w:r>
          </w:p>
        </w:tc>
      </w:tr>
      <w:tr w:rsidR="008C706B" w14:paraId="5F352116" w14:textId="77777777" w:rsidTr="00961AD9">
        <w:trPr>
          <w:trHeight w:val="194"/>
        </w:trPr>
        <w:tc>
          <w:tcPr>
            <w:tcW w:w="1804" w:type="pct"/>
            <w:tcBorders>
              <w:top w:val="single" w:sz="4" w:space="0" w:color="auto"/>
              <w:bottom w:val="single" w:sz="4" w:space="0" w:color="auto"/>
            </w:tcBorders>
            <w:hideMark/>
          </w:tcPr>
          <w:p w14:paraId="20EF2454" w14:textId="77777777" w:rsidR="008C706B" w:rsidRDefault="008C706B">
            <w:pPr>
              <w:rPr>
                <w:color w:val="000000" w:themeColor="text1"/>
                <w:lang w:eastAsia="en-AU"/>
              </w:rPr>
            </w:pPr>
            <w:r>
              <w:rPr>
                <w:color w:val="000000" w:themeColor="text1"/>
                <w:lang w:eastAsia="en-AU"/>
              </w:rPr>
              <w:t xml:space="preserve">IFAS information and referral sessions </w:t>
            </w:r>
          </w:p>
        </w:tc>
        <w:tc>
          <w:tcPr>
            <w:tcW w:w="873" w:type="pct"/>
            <w:tcBorders>
              <w:top w:val="single" w:sz="4" w:space="0" w:color="auto"/>
              <w:bottom w:val="single" w:sz="4" w:space="0" w:color="auto"/>
            </w:tcBorders>
            <w:shd w:val="clear" w:color="auto" w:fill="auto"/>
            <w:vAlign w:val="center"/>
          </w:tcPr>
          <w:p w14:paraId="11517034" w14:textId="67F64F76" w:rsidR="008C706B" w:rsidRDefault="008C706B" w:rsidP="007B4E9F">
            <w:pPr>
              <w:jc w:val="center"/>
              <w:rPr>
                <w:color w:val="000000" w:themeColor="text1"/>
                <w:lang w:eastAsia="en-AU"/>
              </w:rPr>
            </w:pPr>
            <w:r>
              <w:rPr>
                <w:rStyle w:val="normaltextrun"/>
                <w:rFonts w:cs="Arial"/>
                <w:szCs w:val="22"/>
              </w:rPr>
              <w:t>527</w:t>
            </w:r>
          </w:p>
        </w:tc>
        <w:tc>
          <w:tcPr>
            <w:tcW w:w="774" w:type="pct"/>
            <w:tcBorders>
              <w:top w:val="single" w:sz="4" w:space="0" w:color="auto"/>
              <w:bottom w:val="single" w:sz="4" w:space="0" w:color="auto"/>
            </w:tcBorders>
            <w:shd w:val="clear" w:color="auto" w:fill="D9D9D9" w:themeFill="background1" w:themeFillShade="D9"/>
            <w:vAlign w:val="center"/>
          </w:tcPr>
          <w:p w14:paraId="7C4A3704" w14:textId="3DE5DB15" w:rsidR="008C706B" w:rsidRDefault="00952932" w:rsidP="007B4E9F">
            <w:pPr>
              <w:jc w:val="center"/>
              <w:rPr>
                <w:color w:val="000000" w:themeColor="text1"/>
                <w:lang w:eastAsia="en-AU"/>
              </w:rPr>
            </w:pPr>
            <w:r>
              <w:rPr>
                <w:color w:val="000000" w:themeColor="text1"/>
                <w:lang w:eastAsia="en-AU"/>
              </w:rPr>
              <w:t>545</w:t>
            </w:r>
          </w:p>
        </w:tc>
        <w:tc>
          <w:tcPr>
            <w:tcW w:w="774" w:type="pct"/>
            <w:tcBorders>
              <w:top w:val="single" w:sz="4" w:space="0" w:color="auto"/>
              <w:bottom w:val="single" w:sz="4" w:space="0" w:color="auto"/>
            </w:tcBorders>
            <w:vAlign w:val="center"/>
          </w:tcPr>
          <w:p w14:paraId="02DA25A0" w14:textId="3643D2BD" w:rsidR="008C706B" w:rsidRDefault="00BB1409" w:rsidP="007B4E9F">
            <w:pPr>
              <w:jc w:val="center"/>
              <w:rPr>
                <w:lang w:eastAsia="en-AU"/>
              </w:rPr>
            </w:pPr>
            <w:r>
              <w:rPr>
                <w:lang w:eastAsia="en-AU"/>
              </w:rPr>
              <w:t>1,</w:t>
            </w:r>
            <w:r w:rsidR="005E2526">
              <w:rPr>
                <w:lang w:eastAsia="en-AU"/>
              </w:rPr>
              <w:t>824</w:t>
            </w:r>
          </w:p>
        </w:tc>
        <w:tc>
          <w:tcPr>
            <w:tcW w:w="774" w:type="pct"/>
            <w:tcBorders>
              <w:top w:val="single" w:sz="4" w:space="0" w:color="auto"/>
              <w:bottom w:val="single" w:sz="4" w:space="0" w:color="auto"/>
            </w:tcBorders>
            <w:shd w:val="clear" w:color="auto" w:fill="auto"/>
            <w:vAlign w:val="center"/>
          </w:tcPr>
          <w:p w14:paraId="462D9EE2" w14:textId="02AC70D9" w:rsidR="008C706B" w:rsidRDefault="00645645">
            <w:pPr>
              <w:jc w:val="center"/>
              <w:rPr>
                <w:lang w:eastAsia="en-AU"/>
              </w:rPr>
            </w:pPr>
            <w:r>
              <w:rPr>
                <w:lang w:eastAsia="en-AU"/>
              </w:rPr>
              <w:t>500</w:t>
            </w:r>
          </w:p>
        </w:tc>
      </w:tr>
      <w:tr w:rsidR="008C706B" w14:paraId="6F2062ED" w14:textId="77777777" w:rsidTr="008C706B">
        <w:trPr>
          <w:trHeight w:val="194"/>
        </w:trPr>
        <w:tc>
          <w:tcPr>
            <w:tcW w:w="1804" w:type="pct"/>
            <w:tcBorders>
              <w:top w:val="single" w:sz="4" w:space="0" w:color="auto"/>
              <w:bottom w:val="single" w:sz="4" w:space="0" w:color="auto"/>
            </w:tcBorders>
          </w:tcPr>
          <w:p w14:paraId="144332CB" w14:textId="77777777" w:rsidR="008C706B" w:rsidRDefault="008C706B">
            <w:pPr>
              <w:rPr>
                <w:color w:val="000000" w:themeColor="text1"/>
                <w:lang w:eastAsia="en-AU"/>
              </w:rPr>
            </w:pPr>
            <w:r>
              <w:rPr>
                <w:color w:val="000000" w:themeColor="text1"/>
                <w:lang w:eastAsia="en-AU"/>
              </w:rPr>
              <w:t>IFAS advocacy and self-advocacy</w:t>
            </w:r>
          </w:p>
        </w:tc>
        <w:tc>
          <w:tcPr>
            <w:tcW w:w="873" w:type="pct"/>
            <w:tcBorders>
              <w:top w:val="single" w:sz="4" w:space="0" w:color="auto"/>
              <w:bottom w:val="single" w:sz="4" w:space="0" w:color="auto"/>
            </w:tcBorders>
            <w:shd w:val="clear" w:color="auto" w:fill="auto"/>
          </w:tcPr>
          <w:p w14:paraId="71005B80" w14:textId="77777777" w:rsidR="008C706B" w:rsidRPr="006C14A7" w:rsidRDefault="008C706B">
            <w:pPr>
              <w:jc w:val="center"/>
              <w:rPr>
                <w:lang w:eastAsia="en-AU"/>
              </w:rPr>
            </w:pPr>
            <w:r>
              <w:rPr>
                <w:rStyle w:val="normaltextrun"/>
                <w:rFonts w:cs="Arial"/>
                <w:szCs w:val="22"/>
              </w:rPr>
              <w:t>563</w:t>
            </w:r>
            <w:r>
              <w:rPr>
                <w:rStyle w:val="eop"/>
                <w:szCs w:val="22"/>
              </w:rPr>
              <w:t> </w:t>
            </w:r>
          </w:p>
        </w:tc>
        <w:tc>
          <w:tcPr>
            <w:tcW w:w="774" w:type="pct"/>
            <w:tcBorders>
              <w:top w:val="single" w:sz="4" w:space="0" w:color="auto"/>
              <w:bottom w:val="single" w:sz="4" w:space="0" w:color="auto"/>
            </w:tcBorders>
            <w:shd w:val="clear" w:color="auto" w:fill="D9D9D9" w:themeFill="background1" w:themeFillShade="D9"/>
            <w:vAlign w:val="center"/>
          </w:tcPr>
          <w:p w14:paraId="35C341D3" w14:textId="5E995DBC" w:rsidR="008C706B" w:rsidRPr="006C14A7" w:rsidRDefault="00952932">
            <w:pPr>
              <w:jc w:val="center"/>
              <w:rPr>
                <w:lang w:eastAsia="en-AU"/>
              </w:rPr>
            </w:pPr>
            <w:r>
              <w:rPr>
                <w:lang w:eastAsia="en-AU"/>
              </w:rPr>
              <w:t>1,003</w:t>
            </w:r>
          </w:p>
        </w:tc>
        <w:tc>
          <w:tcPr>
            <w:tcW w:w="774" w:type="pct"/>
            <w:tcBorders>
              <w:top w:val="single" w:sz="4" w:space="0" w:color="auto"/>
              <w:bottom w:val="single" w:sz="4" w:space="0" w:color="auto"/>
            </w:tcBorders>
          </w:tcPr>
          <w:p w14:paraId="19C53181" w14:textId="2B6462E5" w:rsidR="008C706B" w:rsidRDefault="00BB1409">
            <w:pPr>
              <w:jc w:val="center"/>
              <w:rPr>
                <w:lang w:eastAsia="en-AU"/>
              </w:rPr>
            </w:pPr>
            <w:r>
              <w:rPr>
                <w:lang w:eastAsia="en-AU"/>
              </w:rPr>
              <w:t>2,</w:t>
            </w:r>
            <w:r w:rsidR="005E2526">
              <w:rPr>
                <w:lang w:eastAsia="en-AU"/>
              </w:rPr>
              <w:t>35</w:t>
            </w:r>
            <w:r>
              <w:rPr>
                <w:lang w:eastAsia="en-AU"/>
              </w:rPr>
              <w:t>9</w:t>
            </w:r>
          </w:p>
        </w:tc>
        <w:tc>
          <w:tcPr>
            <w:tcW w:w="774" w:type="pct"/>
            <w:tcBorders>
              <w:top w:val="single" w:sz="4" w:space="0" w:color="auto"/>
              <w:bottom w:val="single" w:sz="4" w:space="0" w:color="auto"/>
            </w:tcBorders>
            <w:shd w:val="clear" w:color="auto" w:fill="auto"/>
            <w:vAlign w:val="center"/>
          </w:tcPr>
          <w:p w14:paraId="1EC10D1A" w14:textId="7A092619" w:rsidR="008C706B" w:rsidRDefault="00584EFD">
            <w:pPr>
              <w:jc w:val="center"/>
              <w:rPr>
                <w:lang w:eastAsia="en-AU"/>
              </w:rPr>
            </w:pPr>
            <w:r>
              <w:rPr>
                <w:lang w:eastAsia="en-AU"/>
              </w:rPr>
              <w:t>700</w:t>
            </w:r>
          </w:p>
        </w:tc>
      </w:tr>
    </w:tbl>
    <w:p w14:paraId="45BDACDF" w14:textId="77689854" w:rsidR="00F423AD" w:rsidRDefault="00F423AD" w:rsidP="00844BD8">
      <w:pPr>
        <w:pStyle w:val="Tableheader"/>
        <w:spacing w:before="0"/>
        <w:rPr>
          <w:b w:val="0"/>
          <w:bCs w:val="0"/>
          <w:sz w:val="22"/>
          <w:szCs w:val="22"/>
        </w:rPr>
      </w:pPr>
    </w:p>
    <w:p w14:paraId="5B9C4913" w14:textId="0A90FFD6" w:rsidR="00466058" w:rsidRPr="00EB59BB" w:rsidRDefault="004B4508" w:rsidP="00EB59BB">
      <w:pPr>
        <w:pStyle w:val="FootnoteText"/>
        <w:ind w:left="0" w:firstLine="0"/>
        <w:rPr>
          <w:rFonts w:eastAsiaTheme="minorEastAsia"/>
          <w:sz w:val="22"/>
          <w:szCs w:val="24"/>
          <w:lang w:eastAsia="en-AU"/>
        </w:rPr>
      </w:pPr>
      <w:r w:rsidRPr="005B3D56">
        <w:rPr>
          <w:rFonts w:eastAsiaTheme="minorEastAsia"/>
          <w:sz w:val="22"/>
          <w:szCs w:val="24"/>
          <w:lang w:eastAsia="en-AU"/>
        </w:rPr>
        <w:t xml:space="preserve">There </w:t>
      </w:r>
      <w:r w:rsidR="00D2123D" w:rsidRPr="005B3D56">
        <w:rPr>
          <w:rFonts w:eastAsiaTheme="minorEastAsia"/>
          <w:sz w:val="22"/>
          <w:szCs w:val="24"/>
          <w:lang w:eastAsia="en-AU"/>
        </w:rPr>
        <w:t xml:space="preserve">was a </w:t>
      </w:r>
      <w:r w:rsidR="008F305C" w:rsidRPr="005B3D56">
        <w:rPr>
          <w:rFonts w:eastAsiaTheme="minorEastAsia"/>
          <w:sz w:val="22"/>
          <w:szCs w:val="24"/>
          <w:lang w:eastAsia="en-AU"/>
        </w:rPr>
        <w:t>31 per cent increase</w:t>
      </w:r>
      <w:r w:rsidR="00D2123D" w:rsidRPr="005B3D56">
        <w:rPr>
          <w:rFonts w:eastAsiaTheme="minorEastAsia"/>
          <w:sz w:val="22"/>
          <w:szCs w:val="24"/>
          <w:lang w:eastAsia="en-AU"/>
        </w:rPr>
        <w:t xml:space="preserve"> in duty lawyer services delivered in 2021—22 compared to </w:t>
      </w:r>
      <w:r w:rsidR="008F305C" w:rsidRPr="005B3D56">
        <w:rPr>
          <w:rFonts w:eastAsiaTheme="minorEastAsia"/>
          <w:sz w:val="22"/>
          <w:szCs w:val="24"/>
          <w:lang w:eastAsia="en-AU"/>
        </w:rPr>
        <w:t>2020</w:t>
      </w:r>
      <w:r w:rsidR="00257CF6" w:rsidRPr="005B3D56">
        <w:rPr>
          <w:rFonts w:eastAsiaTheme="minorEastAsia"/>
          <w:sz w:val="22"/>
          <w:szCs w:val="24"/>
          <w:lang w:eastAsia="en-AU"/>
        </w:rPr>
        <w:t>–</w:t>
      </w:r>
      <w:r w:rsidR="008F305C" w:rsidRPr="005B3D56">
        <w:rPr>
          <w:rFonts w:eastAsiaTheme="minorEastAsia"/>
          <w:sz w:val="22"/>
          <w:szCs w:val="24"/>
          <w:lang w:eastAsia="en-AU"/>
        </w:rPr>
        <w:t>21</w:t>
      </w:r>
      <w:r w:rsidR="00D2123D" w:rsidRPr="005B3D56">
        <w:rPr>
          <w:rFonts w:eastAsiaTheme="minorEastAsia"/>
          <w:sz w:val="22"/>
          <w:szCs w:val="24"/>
          <w:lang w:eastAsia="en-AU"/>
        </w:rPr>
        <w:t>. This is a direct result of the courts increasing the number of hearings that have been held. However, they are still below pre-pandemic levels</w:t>
      </w:r>
      <w:r w:rsidR="00D26773" w:rsidRPr="005B3D56">
        <w:rPr>
          <w:rFonts w:eastAsiaTheme="minorEastAsia"/>
          <w:sz w:val="22"/>
          <w:szCs w:val="24"/>
          <w:lang w:eastAsia="en-AU"/>
        </w:rPr>
        <w:t>.</w:t>
      </w:r>
      <w:r w:rsidR="008F305C" w:rsidRPr="005B3D56">
        <w:rPr>
          <w:rFonts w:eastAsiaTheme="minorEastAsia"/>
          <w:sz w:val="22"/>
          <w:szCs w:val="24"/>
          <w:lang w:eastAsia="en-AU"/>
        </w:rPr>
        <w:t xml:space="preserve"> </w:t>
      </w:r>
      <w:r w:rsidR="009D7290" w:rsidRPr="005B3D56">
        <w:rPr>
          <w:rFonts w:eastAsiaTheme="minorEastAsia"/>
          <w:sz w:val="22"/>
          <w:szCs w:val="24"/>
          <w:lang w:eastAsia="en-AU"/>
        </w:rPr>
        <w:t xml:space="preserve">There was </w:t>
      </w:r>
      <w:r w:rsidR="00D26773" w:rsidRPr="005B3D56">
        <w:rPr>
          <w:rFonts w:eastAsiaTheme="minorEastAsia"/>
          <w:sz w:val="22"/>
          <w:szCs w:val="24"/>
          <w:lang w:eastAsia="en-AU"/>
        </w:rPr>
        <w:t>also</w:t>
      </w:r>
      <w:r w:rsidR="0099394C">
        <w:rPr>
          <w:rFonts w:eastAsiaTheme="minorEastAsia"/>
          <w:sz w:val="22"/>
          <w:szCs w:val="24"/>
          <w:lang w:eastAsia="en-AU"/>
        </w:rPr>
        <w:t xml:space="preserve"> a</w:t>
      </w:r>
      <w:r w:rsidR="009D7290" w:rsidRPr="005B3D56">
        <w:rPr>
          <w:rFonts w:eastAsiaTheme="minorEastAsia"/>
          <w:sz w:val="22"/>
          <w:szCs w:val="24"/>
          <w:lang w:eastAsia="en-AU"/>
        </w:rPr>
        <w:t xml:space="preserve"> small increase (</w:t>
      </w:r>
      <w:r w:rsidR="003E4D1B" w:rsidRPr="005B3D56">
        <w:rPr>
          <w:rFonts w:eastAsiaTheme="minorEastAsia"/>
          <w:sz w:val="22"/>
          <w:szCs w:val="24"/>
          <w:lang w:eastAsia="en-AU"/>
        </w:rPr>
        <w:t>4.5 per cent)</w:t>
      </w:r>
      <w:r w:rsidR="009D7290" w:rsidRPr="005B3D56">
        <w:rPr>
          <w:rFonts w:eastAsiaTheme="minorEastAsia"/>
          <w:sz w:val="22"/>
          <w:szCs w:val="24"/>
          <w:lang w:eastAsia="en-AU"/>
        </w:rPr>
        <w:t xml:space="preserve"> in grants of legal assistance in quarter four</w:t>
      </w:r>
      <w:r w:rsidR="003E4D1B" w:rsidRPr="005B3D56">
        <w:rPr>
          <w:rFonts w:eastAsiaTheme="minorEastAsia"/>
          <w:sz w:val="22"/>
          <w:szCs w:val="24"/>
          <w:lang w:eastAsia="en-AU"/>
        </w:rPr>
        <w:t xml:space="preserve">, and </w:t>
      </w:r>
      <w:r w:rsidR="009077C2" w:rsidRPr="005B3D56">
        <w:rPr>
          <w:rFonts w:eastAsiaTheme="minorEastAsia"/>
          <w:sz w:val="22"/>
          <w:szCs w:val="24"/>
          <w:lang w:eastAsia="en-AU"/>
        </w:rPr>
        <w:t xml:space="preserve">a one percent increase from the previous </w:t>
      </w:r>
      <w:r w:rsidR="004C0457" w:rsidRPr="005B3D56">
        <w:rPr>
          <w:rFonts w:eastAsiaTheme="minorEastAsia"/>
          <w:sz w:val="22"/>
          <w:szCs w:val="24"/>
          <w:lang w:eastAsia="en-AU"/>
        </w:rPr>
        <w:t xml:space="preserve">year. </w:t>
      </w:r>
      <w:r w:rsidR="00D337C4" w:rsidRPr="005B3D56">
        <w:rPr>
          <w:rFonts w:eastAsiaTheme="minorEastAsia"/>
          <w:sz w:val="22"/>
          <w:szCs w:val="24"/>
          <w:lang w:eastAsia="en-AU"/>
        </w:rPr>
        <w:t>We have continued to receive and process grants of assistance throughout the pandemic</w:t>
      </w:r>
      <w:r w:rsidR="005275E4" w:rsidRPr="005B3D56">
        <w:rPr>
          <w:rFonts w:eastAsiaTheme="minorEastAsia"/>
          <w:sz w:val="22"/>
          <w:szCs w:val="24"/>
          <w:lang w:eastAsia="en-AU"/>
        </w:rPr>
        <w:t xml:space="preserve"> and</w:t>
      </w:r>
      <w:r w:rsidR="004C0457" w:rsidRPr="005B3D56">
        <w:rPr>
          <w:rFonts w:eastAsiaTheme="minorEastAsia"/>
          <w:sz w:val="22"/>
          <w:szCs w:val="24"/>
          <w:lang w:eastAsia="en-AU"/>
        </w:rPr>
        <w:t xml:space="preserve"> anticipate that as the courts</w:t>
      </w:r>
      <w:r w:rsidR="00D26773" w:rsidRPr="005B3D56">
        <w:rPr>
          <w:rFonts w:eastAsiaTheme="minorEastAsia"/>
          <w:sz w:val="22"/>
          <w:szCs w:val="24"/>
          <w:lang w:eastAsia="en-AU"/>
        </w:rPr>
        <w:t xml:space="preserve"> continue to</w:t>
      </w:r>
      <w:r w:rsidR="004C0457" w:rsidRPr="005B3D56">
        <w:rPr>
          <w:rFonts w:eastAsiaTheme="minorEastAsia"/>
          <w:sz w:val="22"/>
          <w:szCs w:val="24"/>
          <w:lang w:eastAsia="en-AU"/>
        </w:rPr>
        <w:t xml:space="preserve"> ramp up their </w:t>
      </w:r>
      <w:r w:rsidR="00E8511E" w:rsidRPr="005B3D56">
        <w:rPr>
          <w:rFonts w:eastAsiaTheme="minorEastAsia"/>
          <w:sz w:val="22"/>
          <w:szCs w:val="24"/>
          <w:lang w:eastAsia="en-AU"/>
        </w:rPr>
        <w:t>proceedings,</w:t>
      </w:r>
      <w:r w:rsidR="004C0457" w:rsidRPr="005B3D56">
        <w:rPr>
          <w:rFonts w:eastAsiaTheme="minorEastAsia"/>
          <w:sz w:val="22"/>
          <w:szCs w:val="24"/>
          <w:lang w:eastAsia="en-AU"/>
        </w:rPr>
        <w:t xml:space="preserve"> we will see an increase in the number of applications for assistance we receive in 2022</w:t>
      </w:r>
      <w:r w:rsidR="00257CF6" w:rsidRPr="005B3D56">
        <w:rPr>
          <w:rFonts w:eastAsiaTheme="minorEastAsia"/>
          <w:sz w:val="22"/>
          <w:szCs w:val="24"/>
          <w:lang w:eastAsia="en-AU"/>
        </w:rPr>
        <w:t>–</w:t>
      </w:r>
      <w:r w:rsidR="004C0457" w:rsidRPr="005B3D56">
        <w:rPr>
          <w:rFonts w:eastAsiaTheme="minorEastAsia"/>
          <w:sz w:val="22"/>
          <w:szCs w:val="24"/>
          <w:lang w:eastAsia="en-AU"/>
        </w:rPr>
        <w:t xml:space="preserve">23. </w:t>
      </w:r>
      <w:r w:rsidR="00466058" w:rsidRPr="005B3D56">
        <w:rPr>
          <w:rFonts w:eastAsiaTheme="minorEastAsia"/>
          <w:sz w:val="22"/>
          <w:szCs w:val="24"/>
          <w:lang w:eastAsia="en-AU"/>
        </w:rPr>
        <w:t xml:space="preserve"> </w:t>
      </w:r>
    </w:p>
    <w:p w14:paraId="2A1F0837" w14:textId="7D128705" w:rsidR="00495A11" w:rsidRPr="00EB59BB" w:rsidRDefault="003C201C" w:rsidP="00EB59BB">
      <w:pPr>
        <w:pStyle w:val="Tableheader"/>
      </w:pPr>
      <w:r>
        <w:t>T</w:t>
      </w:r>
      <w:r w:rsidR="007C1487" w:rsidRPr="00E46959">
        <w:t>able 1.</w:t>
      </w:r>
      <w:r w:rsidR="00C96991">
        <w:t>5</w:t>
      </w:r>
      <w:r w:rsidR="007C1487" w:rsidRPr="00E46959">
        <w:t xml:space="preserve"> </w:t>
      </w:r>
      <w:r w:rsidR="00B84476">
        <w:t>Court assistance</w:t>
      </w:r>
      <w:r w:rsidR="007C1487" w:rsidRPr="00E46959">
        <w:t xml:space="preserve"> services snapshot</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872"/>
        <w:gridCol w:w="1608"/>
        <w:gridCol w:w="1866"/>
        <w:gridCol w:w="1866"/>
        <w:gridCol w:w="1864"/>
      </w:tblGrid>
      <w:tr w:rsidR="008C706B" w14:paraId="023F7EAE" w14:textId="77777777" w:rsidTr="008C706B">
        <w:trPr>
          <w:cnfStyle w:val="100000000000" w:firstRow="1" w:lastRow="0" w:firstColumn="0" w:lastColumn="0" w:oddVBand="0" w:evenVBand="0" w:oddHBand="0" w:evenHBand="0" w:firstRowFirstColumn="0" w:firstRowLastColumn="0" w:lastRowFirstColumn="0" w:lastRowLastColumn="0"/>
          <w:trHeight w:val="361"/>
        </w:trPr>
        <w:tc>
          <w:tcPr>
            <w:cnfStyle w:val="000010000000" w:firstRow="0" w:lastRow="0" w:firstColumn="0" w:lastColumn="0" w:oddVBand="1" w:evenVBand="0" w:oddHBand="0" w:evenHBand="0" w:firstRowFirstColumn="0" w:firstRowLastColumn="0" w:lastRowFirstColumn="0" w:lastRowLastColumn="0"/>
            <w:tcW w:w="1425" w:type="pct"/>
            <w:shd w:val="clear" w:color="auto" w:fill="C4B0CC"/>
          </w:tcPr>
          <w:p w14:paraId="19CA7266" w14:textId="1867E3E8" w:rsidR="008C706B" w:rsidRPr="00495A11" w:rsidRDefault="008C706B" w:rsidP="00904CEF">
            <w:pPr>
              <w:rPr>
                <w:b/>
                <w:color w:val="000000" w:themeColor="text1"/>
              </w:rPr>
            </w:pPr>
            <w:r>
              <w:rPr>
                <w:b/>
                <w:color w:val="000000" w:themeColor="text1"/>
              </w:rPr>
              <w:t>Court assistance services</w:t>
            </w:r>
          </w:p>
        </w:tc>
        <w:tc>
          <w:tcPr>
            <w:cnfStyle w:val="000001000000" w:firstRow="0" w:lastRow="0" w:firstColumn="0" w:lastColumn="0" w:oddVBand="0" w:evenVBand="1" w:oddHBand="0" w:evenHBand="0" w:firstRowFirstColumn="0" w:firstRowLastColumn="0" w:lastRowFirstColumn="0" w:lastRowLastColumn="0"/>
            <w:tcW w:w="798" w:type="pct"/>
            <w:shd w:val="clear" w:color="auto" w:fill="C4B0CC"/>
          </w:tcPr>
          <w:p w14:paraId="1630A56B" w14:textId="77777777" w:rsidR="008C706B" w:rsidRPr="000E7EED" w:rsidRDefault="008C706B" w:rsidP="00904CEF">
            <w:pPr>
              <w:jc w:val="center"/>
              <w:rPr>
                <w:b/>
                <w:color w:val="000000" w:themeColor="text1"/>
              </w:rPr>
            </w:pPr>
            <w:r>
              <w:rPr>
                <w:b/>
                <w:color w:val="000000" w:themeColor="text1"/>
              </w:rPr>
              <w:t>Q3</w:t>
            </w:r>
          </w:p>
          <w:p w14:paraId="64A6E195" w14:textId="3B17764E" w:rsidR="008C706B" w:rsidRPr="00495A11" w:rsidRDefault="008C706B" w:rsidP="00904CEF">
            <w:pPr>
              <w:jc w:val="center"/>
              <w:rPr>
                <w:b/>
                <w:color w:val="000000" w:themeColor="text1"/>
              </w:rPr>
            </w:pPr>
            <w:r w:rsidRPr="000E7EED">
              <w:rPr>
                <w:b/>
                <w:color w:val="000000" w:themeColor="text1"/>
              </w:rPr>
              <w:t>20</w:t>
            </w:r>
            <w:r>
              <w:rPr>
                <w:b/>
                <w:color w:val="000000" w:themeColor="text1"/>
              </w:rPr>
              <w:t>21</w:t>
            </w:r>
            <w:r w:rsidR="00CA5F2D">
              <w:rPr>
                <w:b/>
                <w:color w:val="000000" w:themeColor="text1"/>
              </w:rPr>
              <w:t>–</w:t>
            </w:r>
            <w:r>
              <w:rPr>
                <w:b/>
                <w:color w:val="000000" w:themeColor="text1"/>
              </w:rPr>
              <w:t>22</w:t>
            </w:r>
          </w:p>
        </w:tc>
        <w:tc>
          <w:tcPr>
            <w:cnfStyle w:val="000010000000" w:firstRow="0" w:lastRow="0" w:firstColumn="0" w:lastColumn="0" w:oddVBand="1" w:evenVBand="0" w:oddHBand="0" w:evenHBand="0" w:firstRowFirstColumn="0" w:firstRowLastColumn="0" w:lastRowFirstColumn="0" w:lastRowLastColumn="0"/>
            <w:tcW w:w="926" w:type="pct"/>
            <w:shd w:val="clear" w:color="auto" w:fill="C4B0CC"/>
          </w:tcPr>
          <w:p w14:paraId="5B4247C9" w14:textId="77777777" w:rsidR="008C706B" w:rsidRDefault="008C706B" w:rsidP="00904CEF">
            <w:pPr>
              <w:jc w:val="center"/>
              <w:rPr>
                <w:b/>
                <w:color w:val="000000" w:themeColor="text1"/>
              </w:rPr>
            </w:pPr>
            <w:r w:rsidRPr="55245693">
              <w:rPr>
                <w:b/>
                <w:color w:val="000000" w:themeColor="text1"/>
              </w:rPr>
              <w:t>Q</w:t>
            </w:r>
            <w:r>
              <w:rPr>
                <w:b/>
                <w:color w:val="000000" w:themeColor="text1"/>
              </w:rPr>
              <w:t>4</w:t>
            </w:r>
          </w:p>
          <w:p w14:paraId="4C9C7D4E" w14:textId="582EC598" w:rsidR="008C706B" w:rsidRPr="00495A11" w:rsidRDefault="008C706B" w:rsidP="00904CEF">
            <w:pPr>
              <w:jc w:val="center"/>
              <w:rPr>
                <w:b/>
                <w:color w:val="000000" w:themeColor="text1"/>
              </w:rPr>
            </w:pPr>
            <w:r w:rsidRPr="000E7EED">
              <w:rPr>
                <w:b/>
                <w:color w:val="000000" w:themeColor="text1"/>
              </w:rPr>
              <w:t>20</w:t>
            </w:r>
            <w:r>
              <w:rPr>
                <w:b/>
                <w:color w:val="000000" w:themeColor="text1"/>
              </w:rPr>
              <w:t>21</w:t>
            </w:r>
            <w:r w:rsidR="00CA5F2D">
              <w:rPr>
                <w:b/>
                <w:color w:val="000000" w:themeColor="text1"/>
              </w:rPr>
              <w:t>–</w:t>
            </w:r>
            <w:r>
              <w:rPr>
                <w:b/>
                <w:color w:val="000000" w:themeColor="text1"/>
              </w:rPr>
              <w:t>22</w:t>
            </w:r>
          </w:p>
        </w:tc>
        <w:tc>
          <w:tcPr>
            <w:cnfStyle w:val="000001000000" w:firstRow="0" w:lastRow="0" w:firstColumn="0" w:lastColumn="0" w:oddVBand="0" w:evenVBand="1" w:oddHBand="0" w:evenHBand="0" w:firstRowFirstColumn="0" w:firstRowLastColumn="0" w:lastRowFirstColumn="0" w:lastRowLastColumn="0"/>
            <w:tcW w:w="926" w:type="pct"/>
            <w:shd w:val="clear" w:color="auto" w:fill="C4B0CC"/>
          </w:tcPr>
          <w:p w14:paraId="4862AAC8" w14:textId="6E872EF5" w:rsidR="008C706B" w:rsidRDefault="008C706B" w:rsidP="00904CEF">
            <w:pPr>
              <w:jc w:val="center"/>
              <w:rPr>
                <w:b/>
                <w:color w:val="000000" w:themeColor="text1"/>
              </w:rPr>
            </w:pPr>
            <w:r>
              <w:rPr>
                <w:b/>
                <w:color w:val="000000" w:themeColor="text1"/>
              </w:rPr>
              <w:t>Year-end total 2021</w:t>
            </w:r>
            <w:r w:rsidR="00CA5F2D">
              <w:rPr>
                <w:b/>
                <w:color w:val="000000" w:themeColor="text1"/>
              </w:rPr>
              <w:t>–</w:t>
            </w:r>
            <w:r>
              <w:rPr>
                <w:b/>
                <w:color w:val="000000" w:themeColor="text1"/>
              </w:rPr>
              <w:t>22</w:t>
            </w:r>
          </w:p>
        </w:tc>
        <w:tc>
          <w:tcPr>
            <w:cnfStyle w:val="000010000000" w:firstRow="0" w:lastRow="0" w:firstColumn="0" w:lastColumn="0" w:oddVBand="1" w:evenVBand="0" w:oddHBand="0" w:evenHBand="0" w:firstRowFirstColumn="0" w:firstRowLastColumn="0" w:lastRowFirstColumn="0" w:lastRowLastColumn="0"/>
            <w:tcW w:w="925" w:type="pct"/>
            <w:shd w:val="clear" w:color="auto" w:fill="C4B0CC"/>
          </w:tcPr>
          <w:p w14:paraId="49573ABA" w14:textId="61A4E136" w:rsidR="008C706B" w:rsidRDefault="008C706B" w:rsidP="00904CEF">
            <w:pPr>
              <w:jc w:val="center"/>
              <w:rPr>
                <w:b/>
                <w:bCs w:val="0"/>
                <w:color w:val="000000" w:themeColor="text1"/>
              </w:rPr>
            </w:pPr>
            <w:r>
              <w:rPr>
                <w:b/>
                <w:color w:val="000000" w:themeColor="text1"/>
              </w:rPr>
              <w:t>Q1 2022</w:t>
            </w:r>
            <w:r w:rsidR="00CA5F2D">
              <w:rPr>
                <w:b/>
                <w:color w:val="000000" w:themeColor="text1"/>
              </w:rPr>
              <w:t>–</w:t>
            </w:r>
            <w:r>
              <w:rPr>
                <w:b/>
                <w:color w:val="000000" w:themeColor="text1"/>
              </w:rPr>
              <w:t>23</w:t>
            </w:r>
          </w:p>
          <w:p w14:paraId="09C91536" w14:textId="3274D29B" w:rsidR="008C706B" w:rsidRPr="55245693" w:rsidRDefault="008C706B" w:rsidP="00904CEF">
            <w:pPr>
              <w:jc w:val="center"/>
              <w:rPr>
                <w:b/>
                <w:color w:val="000000" w:themeColor="text1"/>
              </w:rPr>
            </w:pPr>
            <w:r>
              <w:rPr>
                <w:b/>
                <w:color w:val="000000" w:themeColor="text1"/>
              </w:rPr>
              <w:t>projection</w:t>
            </w:r>
          </w:p>
        </w:tc>
      </w:tr>
      <w:tr w:rsidR="008C706B" w:rsidRPr="0021615C" w14:paraId="64EE6B24" w14:textId="77777777" w:rsidTr="008C706B">
        <w:trPr>
          <w:cnfStyle w:val="000000100000" w:firstRow="0" w:lastRow="0" w:firstColumn="0" w:lastColumn="0" w:oddVBand="0" w:evenVBand="0" w:oddHBand="1" w:evenHBand="0" w:firstRowFirstColumn="0" w:firstRowLastColumn="0" w:lastRowFirstColumn="0" w:lastRowLastColumn="0"/>
          <w:trHeight w:val="531"/>
        </w:trPr>
        <w:tc>
          <w:tcPr>
            <w:cnfStyle w:val="000010000000" w:firstRow="0" w:lastRow="0" w:firstColumn="0" w:lastColumn="0" w:oddVBand="1" w:evenVBand="0" w:oddHBand="0" w:evenHBand="0" w:firstRowFirstColumn="0" w:firstRowLastColumn="0" w:lastRowFirstColumn="0" w:lastRowLastColumn="0"/>
            <w:tcW w:w="1425" w:type="pct"/>
          </w:tcPr>
          <w:p w14:paraId="58EB8651" w14:textId="7C4BF1A2" w:rsidR="008C706B" w:rsidRPr="000E7EED" w:rsidRDefault="008C706B" w:rsidP="009D66BD">
            <w:pPr>
              <w:rPr>
                <w:color w:val="000000" w:themeColor="text1"/>
              </w:rPr>
            </w:pPr>
            <w:r>
              <w:rPr>
                <w:color w:val="000000" w:themeColor="text1"/>
              </w:rPr>
              <w:t>Duty Lawyer Services</w:t>
            </w:r>
          </w:p>
        </w:tc>
        <w:tc>
          <w:tcPr>
            <w:cnfStyle w:val="000001000000" w:firstRow="0" w:lastRow="0" w:firstColumn="0" w:lastColumn="0" w:oddVBand="0" w:evenVBand="1" w:oddHBand="0" w:evenHBand="0" w:firstRowFirstColumn="0" w:firstRowLastColumn="0" w:lastRowFirstColumn="0" w:lastRowLastColumn="0"/>
            <w:tcW w:w="798" w:type="pct"/>
            <w:vAlign w:val="center"/>
          </w:tcPr>
          <w:p w14:paraId="5792E15B" w14:textId="503034DF" w:rsidR="008C706B" w:rsidRPr="000E7EED" w:rsidRDefault="008C706B" w:rsidP="009D66BD">
            <w:pPr>
              <w:jc w:val="center"/>
              <w:rPr>
                <w:color w:val="000000" w:themeColor="text1"/>
              </w:rPr>
            </w:pPr>
            <w:r>
              <w:rPr>
                <w:color w:val="000000" w:themeColor="text1"/>
              </w:rPr>
              <w:t>12,541</w:t>
            </w:r>
          </w:p>
        </w:tc>
        <w:tc>
          <w:tcPr>
            <w:cnfStyle w:val="000010000000" w:firstRow="0" w:lastRow="0" w:firstColumn="0" w:lastColumn="0" w:oddVBand="1" w:evenVBand="0" w:oddHBand="0" w:evenHBand="0" w:firstRowFirstColumn="0" w:firstRowLastColumn="0" w:lastRowFirstColumn="0" w:lastRowLastColumn="0"/>
            <w:tcW w:w="926" w:type="pct"/>
            <w:shd w:val="clear" w:color="auto" w:fill="D9D9D9" w:themeFill="background1" w:themeFillShade="D9"/>
            <w:vAlign w:val="center"/>
          </w:tcPr>
          <w:p w14:paraId="38DC521A" w14:textId="66F8A658" w:rsidR="008C706B" w:rsidRPr="0021615C" w:rsidRDefault="00F51C66" w:rsidP="009D66BD">
            <w:pPr>
              <w:jc w:val="center"/>
            </w:pPr>
            <w:r>
              <w:t>15</w:t>
            </w:r>
            <w:r w:rsidR="00050FC0">
              <w:t>,918</w:t>
            </w:r>
          </w:p>
        </w:tc>
        <w:tc>
          <w:tcPr>
            <w:cnfStyle w:val="000001000000" w:firstRow="0" w:lastRow="0" w:firstColumn="0" w:lastColumn="0" w:oddVBand="0" w:evenVBand="1" w:oddHBand="0" w:evenHBand="0" w:firstRowFirstColumn="0" w:firstRowLastColumn="0" w:lastRowFirstColumn="0" w:lastRowLastColumn="0"/>
            <w:tcW w:w="926" w:type="pct"/>
          </w:tcPr>
          <w:p w14:paraId="25D67F5B" w14:textId="615E2E88" w:rsidR="008C706B" w:rsidRDefault="008128FF" w:rsidP="009D66BD">
            <w:pPr>
              <w:jc w:val="center"/>
            </w:pPr>
            <w:r>
              <w:t>59,</w:t>
            </w:r>
            <w:r w:rsidR="009D78CE">
              <w:t>244</w:t>
            </w:r>
            <w:r w:rsidR="006C25B4">
              <w:rPr>
                <w:rStyle w:val="FootnoteReference"/>
              </w:rPr>
              <w:footnoteReference w:id="4"/>
            </w:r>
          </w:p>
        </w:tc>
        <w:tc>
          <w:tcPr>
            <w:cnfStyle w:val="000010000000" w:firstRow="0" w:lastRow="0" w:firstColumn="0" w:lastColumn="0" w:oddVBand="1" w:evenVBand="0" w:oddHBand="0" w:evenHBand="0" w:firstRowFirstColumn="0" w:firstRowLastColumn="0" w:lastRowFirstColumn="0" w:lastRowLastColumn="0"/>
            <w:tcW w:w="925" w:type="pct"/>
            <w:shd w:val="clear" w:color="auto" w:fill="auto"/>
            <w:vAlign w:val="center"/>
          </w:tcPr>
          <w:p w14:paraId="77467474" w14:textId="297E365D" w:rsidR="008C706B" w:rsidRDefault="005C3094" w:rsidP="009D66BD">
            <w:pPr>
              <w:jc w:val="center"/>
            </w:pPr>
            <w:r>
              <w:t>21,000</w:t>
            </w:r>
          </w:p>
        </w:tc>
      </w:tr>
      <w:tr w:rsidR="008C706B" w14:paraId="39912EC6" w14:textId="77777777" w:rsidTr="008C706B">
        <w:trPr>
          <w:cnfStyle w:val="000000010000" w:firstRow="0" w:lastRow="0" w:firstColumn="0" w:lastColumn="0" w:oddVBand="0" w:evenVBand="0" w:oddHBand="0" w:evenHBand="1"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1425" w:type="pct"/>
          </w:tcPr>
          <w:p w14:paraId="29913E96" w14:textId="3C9F4AE6" w:rsidR="008C706B" w:rsidRPr="000E7EED" w:rsidRDefault="008C706B" w:rsidP="009D66BD">
            <w:pPr>
              <w:rPr>
                <w:color w:val="000000" w:themeColor="text1"/>
              </w:rPr>
            </w:pPr>
            <w:r>
              <w:rPr>
                <w:color w:val="000000" w:themeColor="text1"/>
              </w:rPr>
              <w:t>Grants of Legal Assistance</w:t>
            </w:r>
          </w:p>
        </w:tc>
        <w:tc>
          <w:tcPr>
            <w:cnfStyle w:val="000001000000" w:firstRow="0" w:lastRow="0" w:firstColumn="0" w:lastColumn="0" w:oddVBand="0" w:evenVBand="1" w:oddHBand="0" w:evenHBand="0" w:firstRowFirstColumn="0" w:firstRowLastColumn="0" w:lastRowFirstColumn="0" w:lastRowLastColumn="0"/>
            <w:tcW w:w="798" w:type="pct"/>
            <w:vAlign w:val="center"/>
          </w:tcPr>
          <w:p w14:paraId="551CE1B7" w14:textId="565217A8" w:rsidR="008C706B" w:rsidRPr="000E7EED" w:rsidRDefault="008C706B" w:rsidP="00C96991">
            <w:pPr>
              <w:jc w:val="center"/>
              <w:rPr>
                <w:color w:val="000000" w:themeColor="text1"/>
              </w:rPr>
            </w:pPr>
            <w:r>
              <w:rPr>
                <w:color w:val="000000" w:themeColor="text1"/>
              </w:rPr>
              <w:t>9,969</w:t>
            </w:r>
          </w:p>
        </w:tc>
        <w:tc>
          <w:tcPr>
            <w:cnfStyle w:val="000010000000" w:firstRow="0" w:lastRow="0" w:firstColumn="0" w:lastColumn="0" w:oddVBand="1" w:evenVBand="0" w:oddHBand="0" w:evenHBand="0" w:firstRowFirstColumn="0" w:firstRowLastColumn="0" w:lastRowFirstColumn="0" w:lastRowLastColumn="0"/>
            <w:tcW w:w="926" w:type="pct"/>
            <w:shd w:val="clear" w:color="auto" w:fill="D9D9D9" w:themeFill="background1" w:themeFillShade="D9"/>
            <w:vAlign w:val="center"/>
          </w:tcPr>
          <w:p w14:paraId="500C0198" w14:textId="20CED572" w:rsidR="008C706B" w:rsidRPr="000E7EED" w:rsidRDefault="00663E42" w:rsidP="009D66BD">
            <w:pPr>
              <w:jc w:val="center"/>
              <w:rPr>
                <w:color w:val="000000" w:themeColor="text1"/>
              </w:rPr>
            </w:pPr>
            <w:r>
              <w:rPr>
                <w:color w:val="000000" w:themeColor="text1"/>
              </w:rPr>
              <w:t>10,418</w:t>
            </w:r>
          </w:p>
        </w:tc>
        <w:tc>
          <w:tcPr>
            <w:cnfStyle w:val="000001000000" w:firstRow="0" w:lastRow="0" w:firstColumn="0" w:lastColumn="0" w:oddVBand="0" w:evenVBand="1" w:oddHBand="0" w:evenHBand="0" w:firstRowFirstColumn="0" w:firstRowLastColumn="0" w:lastRowFirstColumn="0" w:lastRowLastColumn="0"/>
            <w:tcW w:w="926" w:type="pct"/>
          </w:tcPr>
          <w:p w14:paraId="60FD1CD3" w14:textId="05D6E8BE" w:rsidR="008C706B" w:rsidRDefault="00EF0C20" w:rsidP="009D66BD">
            <w:pPr>
              <w:jc w:val="center"/>
              <w:rPr>
                <w:color w:val="000000" w:themeColor="text1"/>
              </w:rPr>
            </w:pPr>
            <w:r>
              <w:rPr>
                <w:color w:val="000000" w:themeColor="text1"/>
              </w:rPr>
              <w:t>40,870</w:t>
            </w:r>
          </w:p>
        </w:tc>
        <w:tc>
          <w:tcPr>
            <w:cnfStyle w:val="000010000000" w:firstRow="0" w:lastRow="0" w:firstColumn="0" w:lastColumn="0" w:oddVBand="1" w:evenVBand="0" w:oddHBand="0" w:evenHBand="0" w:firstRowFirstColumn="0" w:firstRowLastColumn="0" w:lastRowFirstColumn="0" w:lastRowLastColumn="0"/>
            <w:tcW w:w="925" w:type="pct"/>
            <w:shd w:val="clear" w:color="auto" w:fill="auto"/>
            <w:vAlign w:val="center"/>
          </w:tcPr>
          <w:p w14:paraId="77A6156F" w14:textId="32468FB9" w:rsidR="008C706B" w:rsidRDefault="00C5590F" w:rsidP="009D66BD">
            <w:pPr>
              <w:jc w:val="center"/>
              <w:rPr>
                <w:color w:val="000000" w:themeColor="text1"/>
              </w:rPr>
            </w:pPr>
            <w:r>
              <w:rPr>
                <w:color w:val="000000" w:themeColor="text1"/>
              </w:rPr>
              <w:t>11,000</w:t>
            </w:r>
          </w:p>
        </w:tc>
      </w:tr>
    </w:tbl>
    <w:p w14:paraId="5680E9DD" w14:textId="77777777" w:rsidR="00EA1B69" w:rsidRDefault="00EA1B69" w:rsidP="00EA1B69">
      <w:pPr>
        <w:rPr>
          <w:rFonts w:cs="Arial"/>
          <w:szCs w:val="22"/>
          <w:lang w:eastAsia="en-AU"/>
        </w:rPr>
      </w:pPr>
    </w:p>
    <w:p w14:paraId="47641D03" w14:textId="77777777" w:rsidR="00130A19" w:rsidRDefault="00130A19" w:rsidP="00871954">
      <w:pPr>
        <w:spacing w:after="0" w:line="240" w:lineRule="auto"/>
      </w:pPr>
    </w:p>
    <w:p w14:paraId="33E7F2BD" w14:textId="34B9FAA8" w:rsidR="000464B3" w:rsidRDefault="000464B3" w:rsidP="00871954">
      <w:pPr>
        <w:spacing w:after="0" w:line="240" w:lineRule="auto"/>
      </w:pPr>
      <w:r>
        <w:br w:type="page"/>
      </w:r>
    </w:p>
    <w:p w14:paraId="6EB8CCDC" w14:textId="2FB97417" w:rsidR="004175B7" w:rsidRDefault="004175B7" w:rsidP="004175B7">
      <w:pPr>
        <w:pStyle w:val="Heading2"/>
      </w:pPr>
      <w:r w:rsidRPr="004175B7">
        <w:lastRenderedPageBreak/>
        <w:t xml:space="preserve">Financial </w:t>
      </w:r>
      <w:r w:rsidR="00B03011">
        <w:t>S</w:t>
      </w:r>
      <w:r w:rsidRPr="004175B7">
        <w:t>ummary</w:t>
      </w:r>
    </w:p>
    <w:p w14:paraId="7D9D7A9F" w14:textId="08094839" w:rsidR="009F080A" w:rsidRPr="00BF39C6" w:rsidRDefault="00EE5903" w:rsidP="00EE5903">
      <w:r>
        <w:t>We ended the year with a net surplus of $</w:t>
      </w:r>
      <w:r w:rsidR="00B20248">
        <w:t>3.</w:t>
      </w:r>
      <w:r w:rsidR="009F080A" w:rsidRPr="009F080A">
        <w:t>8</w:t>
      </w:r>
      <w:r>
        <w:t xml:space="preserve"> million. </w:t>
      </w:r>
      <w:r w:rsidR="009F080A" w:rsidRPr="009F080A">
        <w:t xml:space="preserve">This is primarily due to the impacts of COVID-19 related restrictions on court processes, which </w:t>
      </w:r>
      <w:r w:rsidR="00281AE2">
        <w:t xml:space="preserve">delayed </w:t>
      </w:r>
      <w:r w:rsidR="009F080A" w:rsidRPr="009F080A">
        <w:t>the timing of case-related expenditure originally projected to be incurred this financial year for approved grants of legal aid commitments. This surplus funding is required to ensure VLA can meet the deferred expenditure commitments in 2022-23.</w:t>
      </w:r>
    </w:p>
    <w:p w14:paraId="3235D9E8" w14:textId="0E4B43EC" w:rsidR="004202D3" w:rsidRDefault="004202D3" w:rsidP="004202D3">
      <w:r>
        <w:t>Demand within the courts is expected to continue to grow at historical levels beyond the level of VLA funding. The Board recently approved the 2022–23 Budget with a budgeted deficit of $19m, primarily reflecting the impact of the Public Purpose Fund revenue reduction and the impacts of deferred case expenditure. This will be funded by a managed draw down of cash reserves aligned with the State Budget outcomes.</w:t>
      </w:r>
    </w:p>
    <w:p w14:paraId="0CD8679A" w14:textId="5FC2FDA4" w:rsidR="00946C0D" w:rsidRPr="005B3D56" w:rsidRDefault="00946C0D" w:rsidP="005B3D56">
      <w:r w:rsidRPr="005B3D56">
        <w:t>Our cash reserves have grown considerably over the past two years (approximately $92m) due to</w:t>
      </w:r>
      <w:r w:rsidR="00064EAF">
        <w:t xml:space="preserve"> </w:t>
      </w:r>
      <w:r w:rsidRPr="005B3D56">
        <w:t xml:space="preserve">reduced court capacity caused by pandemic restrictions. </w:t>
      </w:r>
      <w:r w:rsidR="00112FB8">
        <w:t xml:space="preserve">Our </w:t>
      </w:r>
      <w:r w:rsidRPr="005B3D56">
        <w:t xml:space="preserve">cash reserves </w:t>
      </w:r>
      <w:r w:rsidR="002F7874" w:rsidRPr="005B3D56">
        <w:t>are</w:t>
      </w:r>
      <w:r w:rsidRPr="005B3D56">
        <w:t xml:space="preserve"> not all discretionary</w:t>
      </w:r>
      <w:r w:rsidR="00064EAF">
        <w:t xml:space="preserve"> </w:t>
      </w:r>
      <w:r w:rsidRPr="005B3D56">
        <w:t>and need to be carefully managed to ensure we can meet existing commitments and accelerated</w:t>
      </w:r>
      <w:r w:rsidR="00064EAF">
        <w:t xml:space="preserve"> </w:t>
      </w:r>
      <w:r w:rsidRPr="005B3D56">
        <w:t>ramp</w:t>
      </w:r>
      <w:r w:rsidR="001B4A08">
        <w:t>-</w:t>
      </w:r>
      <w:r w:rsidRPr="005B3D56">
        <w:t>up of court activity to address the backlog of matters. This includes grants of legal assistance</w:t>
      </w:r>
      <w:r w:rsidR="00064EAF">
        <w:t xml:space="preserve"> </w:t>
      </w:r>
      <w:r w:rsidRPr="005B3D56">
        <w:t>of up to $40m which have already been approved and committed to but where the work has not</w:t>
      </w:r>
      <w:r w:rsidR="00064EAF">
        <w:t xml:space="preserve"> </w:t>
      </w:r>
      <w:r w:rsidRPr="005B3D56">
        <w:t>been completed. In addition, this balance is also required for the replacement of assets to ensure we</w:t>
      </w:r>
      <w:r w:rsidR="00064EAF">
        <w:t xml:space="preserve"> </w:t>
      </w:r>
      <w:r w:rsidRPr="005B3D56">
        <w:t>can continue to meet service demands and protect the safety and wellbeing of staff.</w:t>
      </w:r>
    </w:p>
    <w:p w14:paraId="26EEA2CA" w14:textId="0CD0DF88" w:rsidR="00EA4408" w:rsidRPr="005B3D56" w:rsidDel="00836ABA" w:rsidRDefault="00946C0D" w:rsidP="00064EAF">
      <w:pPr>
        <w:rPr>
          <w:lang w:eastAsia="en-AU"/>
        </w:rPr>
      </w:pPr>
      <w:r w:rsidRPr="005B3D56">
        <w:rPr>
          <w:rFonts w:eastAsiaTheme="minorHAnsi"/>
        </w:rPr>
        <w:t>Beyond this year, unless additional funding is received, we will need to consider implementation of</w:t>
      </w:r>
      <w:r w:rsidR="00064EAF" w:rsidRPr="00C0213F">
        <w:t xml:space="preserve"> </w:t>
      </w:r>
      <w:r w:rsidRPr="005B3D56">
        <w:rPr>
          <w:rFonts w:eastAsiaTheme="minorHAnsi"/>
        </w:rPr>
        <w:t>further savings initiatives whilst carefully managing down the cash reserves to meet existing grant</w:t>
      </w:r>
      <w:r w:rsidR="00064EAF" w:rsidRPr="00C0213F">
        <w:t xml:space="preserve"> </w:t>
      </w:r>
      <w:r w:rsidRPr="005B3D56">
        <w:rPr>
          <w:rFonts w:eastAsiaTheme="minorHAnsi"/>
        </w:rPr>
        <w:t>commitments aligned with the risk parameters set by the Board. These savings initiatives involve</w:t>
      </w:r>
      <w:r w:rsidR="00064EAF" w:rsidRPr="00C0213F">
        <w:t xml:space="preserve"> </w:t>
      </w:r>
      <w:r w:rsidRPr="005B3D56">
        <w:rPr>
          <w:rFonts w:eastAsiaTheme="minorHAnsi"/>
        </w:rPr>
        <w:t xml:space="preserve">service reductions within the courts </w:t>
      </w:r>
      <w:r w:rsidR="00A61172">
        <w:rPr>
          <w:rFonts w:eastAsiaTheme="minorHAnsi"/>
        </w:rPr>
        <w:t xml:space="preserve">which will require </w:t>
      </w:r>
      <w:r w:rsidRPr="005B3D56">
        <w:rPr>
          <w:rFonts w:eastAsiaTheme="minorHAnsi"/>
        </w:rPr>
        <w:t>consultation with sector partners. We will continue to</w:t>
      </w:r>
      <w:r w:rsidR="00064EAF" w:rsidRPr="00C0213F">
        <w:t xml:space="preserve"> </w:t>
      </w:r>
      <w:r w:rsidRPr="005B3D56">
        <w:rPr>
          <w:rFonts w:eastAsiaTheme="minorHAnsi"/>
        </w:rPr>
        <w:t>work with the Victorian Department of Justice and Community Safety to resolve the ongoing</w:t>
      </w:r>
      <w:r w:rsidR="00064EAF" w:rsidRPr="00C0213F">
        <w:t xml:space="preserve"> </w:t>
      </w:r>
      <w:r w:rsidRPr="005B3D56">
        <w:rPr>
          <w:rFonts w:eastAsiaTheme="minorHAnsi"/>
        </w:rPr>
        <w:t>financial challenges through a demand-based funding model.</w:t>
      </w:r>
    </w:p>
    <w:p w14:paraId="5C7A41B4" w14:textId="28D9E6E2" w:rsidR="004175B7" w:rsidRPr="004175B7" w:rsidRDefault="00351328" w:rsidP="004175B7">
      <w:pPr>
        <w:pStyle w:val="Heading3"/>
      </w:pPr>
      <w:bookmarkStart w:id="3" w:name="_Hlk33006424"/>
      <w:bookmarkStart w:id="4" w:name="_Hlk25835001"/>
      <w:r w:rsidRPr="004175B7">
        <w:rPr>
          <w:rStyle w:val="Heading3Char"/>
          <w:b/>
          <w:bCs/>
        </w:rPr>
        <w:t>Total</w:t>
      </w:r>
      <w:r w:rsidR="004175B7" w:rsidRPr="004175B7">
        <w:rPr>
          <w:rStyle w:val="Heading3Char"/>
          <w:b/>
          <w:bCs/>
        </w:rPr>
        <w:t xml:space="preserve"> revenue breakdown</w:t>
      </w:r>
      <w:r w:rsidR="007F609B">
        <w:rPr>
          <w:rStyle w:val="Heading3Char"/>
          <w:b/>
          <w:bCs/>
        </w:rPr>
        <w:t xml:space="preserve"> </w:t>
      </w:r>
      <w:r w:rsidR="00A6458C" w:rsidRPr="004175B7">
        <w:rPr>
          <w:rStyle w:val="Heading3Char"/>
          <w:b/>
          <w:bCs/>
        </w:rPr>
        <w:t>(</w:t>
      </w:r>
      <w:r w:rsidR="004175B7" w:rsidRPr="004175B7">
        <w:rPr>
          <w:rStyle w:val="Heading3Char"/>
          <w:b/>
          <w:bCs/>
        </w:rPr>
        <w:t>$’000</w:t>
      </w:r>
      <w:r w:rsidR="004175B7" w:rsidRPr="004175B7">
        <w:t>)</w:t>
      </w:r>
      <w:r w:rsidR="007F609B">
        <w:t xml:space="preserve"> </w:t>
      </w:r>
    </w:p>
    <w:tbl>
      <w:tblPr>
        <w:tblStyle w:val="PlainTable2"/>
        <w:tblW w:w="5000" w:type="pct"/>
        <w:tblBorders>
          <w:bottom w:val="none" w:sz="0" w:space="0" w:color="auto"/>
          <w:insideH w:val="none" w:sz="0" w:space="0" w:color="auto"/>
        </w:tblBorders>
        <w:tblLook w:val="0620" w:firstRow="1" w:lastRow="0" w:firstColumn="0" w:lastColumn="0" w:noHBand="1" w:noVBand="1"/>
      </w:tblPr>
      <w:tblGrid>
        <w:gridCol w:w="3470"/>
        <w:gridCol w:w="1646"/>
        <w:gridCol w:w="1368"/>
        <w:gridCol w:w="1801"/>
        <w:gridCol w:w="1801"/>
      </w:tblGrid>
      <w:tr w:rsidR="008C706B" w:rsidRPr="000E7EED" w14:paraId="1C659569" w14:textId="023F5AE8" w:rsidTr="008C706B">
        <w:trPr>
          <w:cnfStyle w:val="100000000000" w:firstRow="1" w:lastRow="0" w:firstColumn="0" w:lastColumn="0" w:oddVBand="0" w:evenVBand="0" w:oddHBand="0" w:evenHBand="0" w:firstRowFirstColumn="0" w:firstRowLastColumn="0" w:lastRowFirstColumn="0" w:lastRowLastColumn="0"/>
        </w:trPr>
        <w:tc>
          <w:tcPr>
            <w:tcW w:w="1720" w:type="pct"/>
            <w:tcBorders>
              <w:top w:val="single" w:sz="4" w:space="0" w:color="auto"/>
              <w:bottom w:val="single" w:sz="4" w:space="0" w:color="auto"/>
            </w:tcBorders>
            <w:shd w:val="clear" w:color="auto" w:fill="C3AFCC"/>
          </w:tcPr>
          <w:p w14:paraId="59377134" w14:textId="77777777" w:rsidR="008C706B" w:rsidRPr="000E7EED" w:rsidRDefault="008C706B" w:rsidP="00904CEF">
            <w:pPr>
              <w:rPr>
                <w:b/>
                <w:color w:val="000000" w:themeColor="text1"/>
              </w:rPr>
            </w:pPr>
            <w:bookmarkStart w:id="5" w:name="_Hlk10632113"/>
            <w:bookmarkEnd w:id="3"/>
            <w:r w:rsidRPr="000E7EED">
              <w:rPr>
                <w:b/>
                <w:color w:val="000000" w:themeColor="text1"/>
              </w:rPr>
              <w:t>Revenue</w:t>
            </w:r>
          </w:p>
        </w:tc>
        <w:tc>
          <w:tcPr>
            <w:tcW w:w="816" w:type="pct"/>
            <w:tcBorders>
              <w:top w:val="single" w:sz="4" w:space="0" w:color="auto"/>
              <w:bottom w:val="single" w:sz="4" w:space="0" w:color="auto"/>
            </w:tcBorders>
            <w:shd w:val="clear" w:color="auto" w:fill="C3AFCC"/>
          </w:tcPr>
          <w:p w14:paraId="05B12DBC" w14:textId="77777777" w:rsidR="008C706B" w:rsidRPr="000E7EED" w:rsidRDefault="008C706B" w:rsidP="00904CEF">
            <w:pPr>
              <w:jc w:val="center"/>
              <w:rPr>
                <w:b/>
                <w:color w:val="000000" w:themeColor="text1"/>
              </w:rPr>
            </w:pPr>
            <w:r>
              <w:rPr>
                <w:b/>
                <w:color w:val="000000" w:themeColor="text1"/>
              </w:rPr>
              <w:t>Q3</w:t>
            </w:r>
          </w:p>
          <w:p w14:paraId="3EFEB76D" w14:textId="78F596F1" w:rsidR="008C706B" w:rsidRPr="000E7EED" w:rsidRDefault="008C706B" w:rsidP="00904CEF">
            <w:pPr>
              <w:jc w:val="center"/>
              <w:rPr>
                <w:b/>
                <w:color w:val="000000" w:themeColor="text1"/>
              </w:rPr>
            </w:pPr>
            <w:r w:rsidRPr="000E7EED">
              <w:rPr>
                <w:b/>
                <w:color w:val="000000" w:themeColor="text1"/>
              </w:rPr>
              <w:t>20</w:t>
            </w:r>
            <w:r>
              <w:rPr>
                <w:b/>
                <w:color w:val="000000" w:themeColor="text1"/>
              </w:rPr>
              <w:t>21</w:t>
            </w:r>
            <w:r w:rsidR="0036075E">
              <w:rPr>
                <w:b/>
                <w:color w:val="000000" w:themeColor="text1"/>
              </w:rPr>
              <w:t>–</w:t>
            </w:r>
            <w:r>
              <w:rPr>
                <w:b/>
                <w:color w:val="000000" w:themeColor="text1"/>
              </w:rPr>
              <w:t>22</w:t>
            </w:r>
          </w:p>
        </w:tc>
        <w:tc>
          <w:tcPr>
            <w:tcW w:w="678" w:type="pct"/>
            <w:tcBorders>
              <w:top w:val="single" w:sz="4" w:space="0" w:color="auto"/>
              <w:bottom w:val="single" w:sz="4" w:space="0" w:color="auto"/>
            </w:tcBorders>
            <w:shd w:val="clear" w:color="auto" w:fill="C3AFCC"/>
          </w:tcPr>
          <w:p w14:paraId="70C043ED" w14:textId="77777777" w:rsidR="008C706B" w:rsidRDefault="008C706B" w:rsidP="00904CEF">
            <w:pPr>
              <w:jc w:val="center"/>
              <w:rPr>
                <w:b/>
                <w:color w:val="000000" w:themeColor="text1"/>
              </w:rPr>
            </w:pPr>
            <w:r w:rsidRPr="55245693">
              <w:rPr>
                <w:b/>
                <w:color w:val="000000" w:themeColor="text1"/>
              </w:rPr>
              <w:t>Q</w:t>
            </w:r>
            <w:r>
              <w:rPr>
                <w:b/>
                <w:color w:val="000000" w:themeColor="text1"/>
              </w:rPr>
              <w:t>4</w:t>
            </w:r>
          </w:p>
          <w:p w14:paraId="4CCF9AC7" w14:textId="6A33879B" w:rsidR="008C706B" w:rsidRPr="000E7EED" w:rsidRDefault="008C706B" w:rsidP="00904CEF">
            <w:pPr>
              <w:jc w:val="center"/>
              <w:rPr>
                <w:b/>
                <w:color w:val="000000" w:themeColor="text1"/>
              </w:rPr>
            </w:pPr>
            <w:r w:rsidRPr="000E7EED">
              <w:rPr>
                <w:b/>
                <w:color w:val="000000" w:themeColor="text1"/>
              </w:rPr>
              <w:t>20</w:t>
            </w:r>
            <w:r>
              <w:rPr>
                <w:b/>
                <w:color w:val="000000" w:themeColor="text1"/>
              </w:rPr>
              <w:t>21</w:t>
            </w:r>
            <w:r w:rsidR="0036075E">
              <w:rPr>
                <w:b/>
                <w:color w:val="000000" w:themeColor="text1"/>
              </w:rPr>
              <w:t>–</w:t>
            </w:r>
            <w:r>
              <w:rPr>
                <w:b/>
                <w:color w:val="000000" w:themeColor="text1"/>
              </w:rPr>
              <w:t>22</w:t>
            </w:r>
          </w:p>
        </w:tc>
        <w:tc>
          <w:tcPr>
            <w:tcW w:w="893" w:type="pct"/>
            <w:tcBorders>
              <w:top w:val="single" w:sz="4" w:space="0" w:color="auto"/>
              <w:bottom w:val="single" w:sz="4" w:space="0" w:color="auto"/>
            </w:tcBorders>
            <w:shd w:val="clear" w:color="auto" w:fill="C3AFCC"/>
          </w:tcPr>
          <w:p w14:paraId="0D6E4FB4" w14:textId="1D022BEB" w:rsidR="008C706B" w:rsidRDefault="008C706B" w:rsidP="00904CEF">
            <w:pPr>
              <w:jc w:val="center"/>
              <w:rPr>
                <w:b/>
                <w:color w:val="000000" w:themeColor="text1"/>
              </w:rPr>
            </w:pPr>
            <w:r>
              <w:rPr>
                <w:b/>
                <w:color w:val="000000" w:themeColor="text1"/>
              </w:rPr>
              <w:t>Year-end total 2021</w:t>
            </w:r>
            <w:r w:rsidR="0036075E">
              <w:rPr>
                <w:b/>
                <w:color w:val="000000" w:themeColor="text1"/>
              </w:rPr>
              <w:t>–</w:t>
            </w:r>
            <w:r>
              <w:rPr>
                <w:b/>
                <w:color w:val="000000" w:themeColor="text1"/>
              </w:rPr>
              <w:t>22</w:t>
            </w:r>
          </w:p>
        </w:tc>
        <w:tc>
          <w:tcPr>
            <w:tcW w:w="893" w:type="pct"/>
            <w:tcBorders>
              <w:top w:val="single" w:sz="4" w:space="0" w:color="auto"/>
              <w:bottom w:val="single" w:sz="4" w:space="0" w:color="auto"/>
            </w:tcBorders>
            <w:shd w:val="clear" w:color="auto" w:fill="C3AFCC"/>
          </w:tcPr>
          <w:p w14:paraId="64ACB36A" w14:textId="3B84742E" w:rsidR="008C706B" w:rsidRDefault="008C706B" w:rsidP="00904CEF">
            <w:pPr>
              <w:jc w:val="center"/>
              <w:rPr>
                <w:b/>
                <w:bCs w:val="0"/>
                <w:color w:val="000000" w:themeColor="text1"/>
              </w:rPr>
            </w:pPr>
            <w:r>
              <w:rPr>
                <w:b/>
                <w:color w:val="000000" w:themeColor="text1"/>
              </w:rPr>
              <w:t>Q1 2022</w:t>
            </w:r>
            <w:r w:rsidR="0036075E">
              <w:rPr>
                <w:b/>
                <w:color w:val="000000" w:themeColor="text1"/>
              </w:rPr>
              <w:t>–</w:t>
            </w:r>
            <w:r>
              <w:rPr>
                <w:b/>
                <w:color w:val="000000" w:themeColor="text1"/>
              </w:rPr>
              <w:t>23</w:t>
            </w:r>
          </w:p>
          <w:p w14:paraId="538F2DBA" w14:textId="506BE510" w:rsidR="008C706B" w:rsidRPr="000E7EED" w:rsidRDefault="008C706B" w:rsidP="00904CEF">
            <w:pPr>
              <w:jc w:val="center"/>
              <w:rPr>
                <w:b/>
                <w:color w:val="000000" w:themeColor="text1"/>
              </w:rPr>
            </w:pPr>
            <w:r>
              <w:rPr>
                <w:b/>
                <w:color w:val="000000" w:themeColor="text1"/>
              </w:rPr>
              <w:t>projection</w:t>
            </w:r>
          </w:p>
        </w:tc>
      </w:tr>
      <w:tr w:rsidR="008C706B" w:rsidRPr="000E7EED" w14:paraId="01E48904" w14:textId="05BDAF70" w:rsidTr="008C706B">
        <w:tc>
          <w:tcPr>
            <w:tcW w:w="1720" w:type="pct"/>
            <w:tcBorders>
              <w:top w:val="single" w:sz="4" w:space="0" w:color="auto"/>
              <w:bottom w:val="single" w:sz="4" w:space="0" w:color="auto"/>
            </w:tcBorders>
          </w:tcPr>
          <w:p w14:paraId="0021B005" w14:textId="43D44795" w:rsidR="008C706B" w:rsidRPr="000E7EED" w:rsidRDefault="008C706B" w:rsidP="00A959CF">
            <w:pPr>
              <w:rPr>
                <w:color w:val="000000" w:themeColor="text1"/>
              </w:rPr>
            </w:pPr>
            <w:r w:rsidRPr="000E7EED">
              <w:rPr>
                <w:color w:val="000000" w:themeColor="text1"/>
              </w:rPr>
              <w:t>Commonwealth – grants</w:t>
            </w:r>
            <w:r>
              <w:rPr>
                <w:color w:val="000000" w:themeColor="text1"/>
              </w:rPr>
              <w:t xml:space="preserve"> </w:t>
            </w:r>
            <w:r w:rsidRPr="005B3D56">
              <w:rPr>
                <w:color w:val="000000" w:themeColor="text1"/>
                <w:vertAlign w:val="superscript"/>
              </w:rPr>
              <w:t>(1)</w:t>
            </w:r>
          </w:p>
        </w:tc>
        <w:tc>
          <w:tcPr>
            <w:tcW w:w="816" w:type="pct"/>
            <w:tcBorders>
              <w:top w:val="single" w:sz="4" w:space="0" w:color="auto"/>
              <w:bottom w:val="single" w:sz="4" w:space="0" w:color="auto"/>
            </w:tcBorders>
            <w:vAlign w:val="center"/>
          </w:tcPr>
          <w:p w14:paraId="276A5F3F" w14:textId="588B6FA5" w:rsidR="008C706B" w:rsidRPr="008E424E" w:rsidRDefault="008C706B" w:rsidP="00A959CF">
            <w:pPr>
              <w:jc w:val="right"/>
            </w:pPr>
            <w:r>
              <w:rPr>
                <w:rStyle w:val="normaltextrun"/>
                <w:rFonts w:cs="Arial"/>
                <w:szCs w:val="22"/>
              </w:rPr>
              <w:t>21,244</w:t>
            </w:r>
            <w:r>
              <w:rPr>
                <w:rStyle w:val="eop"/>
                <w:szCs w:val="22"/>
              </w:rPr>
              <w:t> </w:t>
            </w:r>
          </w:p>
        </w:tc>
        <w:tc>
          <w:tcPr>
            <w:tcW w:w="678" w:type="pct"/>
            <w:tcBorders>
              <w:top w:val="single" w:sz="4" w:space="0" w:color="auto"/>
              <w:bottom w:val="single" w:sz="4" w:space="0" w:color="auto"/>
            </w:tcBorders>
            <w:shd w:val="clear" w:color="auto" w:fill="D9D9D9" w:themeFill="background1" w:themeFillShade="D9"/>
          </w:tcPr>
          <w:p w14:paraId="36D4CCE7" w14:textId="47EFE443" w:rsidR="008C706B" w:rsidRPr="008E424E" w:rsidRDefault="00CC2A32" w:rsidP="00A959CF">
            <w:pPr>
              <w:jc w:val="right"/>
            </w:pPr>
            <w:r>
              <w:t>27,624</w:t>
            </w:r>
          </w:p>
        </w:tc>
        <w:tc>
          <w:tcPr>
            <w:tcW w:w="893" w:type="pct"/>
            <w:tcBorders>
              <w:top w:val="single" w:sz="4" w:space="0" w:color="auto"/>
              <w:bottom w:val="single" w:sz="4" w:space="0" w:color="auto"/>
            </w:tcBorders>
          </w:tcPr>
          <w:p w14:paraId="3D74E749" w14:textId="7FAA63E7" w:rsidR="008C706B" w:rsidRPr="008E424E" w:rsidRDefault="004E6CC5" w:rsidP="00A959CF">
            <w:pPr>
              <w:jc w:val="right"/>
            </w:pPr>
            <w:r>
              <w:t>85,691</w:t>
            </w:r>
          </w:p>
        </w:tc>
        <w:tc>
          <w:tcPr>
            <w:tcW w:w="893" w:type="pct"/>
            <w:tcBorders>
              <w:top w:val="single" w:sz="4" w:space="0" w:color="auto"/>
              <w:bottom w:val="single" w:sz="4" w:space="0" w:color="auto"/>
            </w:tcBorders>
            <w:shd w:val="clear" w:color="auto" w:fill="auto"/>
          </w:tcPr>
          <w:p w14:paraId="59000712" w14:textId="41CB09E7" w:rsidR="008C706B" w:rsidRPr="008E424E" w:rsidRDefault="004E6CC5" w:rsidP="00A959CF">
            <w:pPr>
              <w:jc w:val="right"/>
            </w:pPr>
            <w:r>
              <w:t>23,</w:t>
            </w:r>
            <w:r w:rsidR="007A36CC">
              <w:t>333</w:t>
            </w:r>
          </w:p>
        </w:tc>
      </w:tr>
      <w:tr w:rsidR="008C706B" w:rsidRPr="000E7EED" w14:paraId="0A69F6B4" w14:textId="56A62565" w:rsidTr="008C706B">
        <w:tc>
          <w:tcPr>
            <w:tcW w:w="1720" w:type="pct"/>
            <w:tcBorders>
              <w:top w:val="single" w:sz="4" w:space="0" w:color="auto"/>
              <w:bottom w:val="single" w:sz="4" w:space="0" w:color="auto"/>
            </w:tcBorders>
          </w:tcPr>
          <w:p w14:paraId="3768FF6C" w14:textId="77777777" w:rsidR="008C706B" w:rsidRPr="000E7EED" w:rsidRDefault="008C706B" w:rsidP="00A959CF">
            <w:pPr>
              <w:rPr>
                <w:b/>
                <w:color w:val="000000" w:themeColor="text1"/>
              </w:rPr>
            </w:pPr>
            <w:r w:rsidRPr="000E7EED">
              <w:rPr>
                <w:color w:val="000000" w:themeColor="text1"/>
              </w:rPr>
              <w:t>State – grants</w:t>
            </w:r>
          </w:p>
        </w:tc>
        <w:tc>
          <w:tcPr>
            <w:tcW w:w="816" w:type="pct"/>
            <w:tcBorders>
              <w:top w:val="single" w:sz="4" w:space="0" w:color="auto"/>
              <w:bottom w:val="single" w:sz="4" w:space="0" w:color="auto"/>
            </w:tcBorders>
            <w:vAlign w:val="center"/>
          </w:tcPr>
          <w:p w14:paraId="521BA914" w14:textId="55FBB6B4" w:rsidR="008C706B" w:rsidRPr="008E424E" w:rsidRDefault="008C706B" w:rsidP="00A959CF">
            <w:pPr>
              <w:jc w:val="right"/>
            </w:pPr>
            <w:r>
              <w:rPr>
                <w:rStyle w:val="normaltextrun"/>
                <w:rFonts w:cs="Arial"/>
                <w:szCs w:val="22"/>
              </w:rPr>
              <w:t>45,200</w:t>
            </w:r>
            <w:r>
              <w:rPr>
                <w:rStyle w:val="eop"/>
                <w:szCs w:val="22"/>
              </w:rPr>
              <w:t> </w:t>
            </w:r>
          </w:p>
        </w:tc>
        <w:tc>
          <w:tcPr>
            <w:tcW w:w="678" w:type="pct"/>
            <w:tcBorders>
              <w:top w:val="single" w:sz="4" w:space="0" w:color="auto"/>
              <w:bottom w:val="single" w:sz="4" w:space="0" w:color="auto"/>
            </w:tcBorders>
            <w:shd w:val="clear" w:color="auto" w:fill="D9D9D9" w:themeFill="background1" w:themeFillShade="D9"/>
          </w:tcPr>
          <w:p w14:paraId="0A3242C1" w14:textId="472D16EE" w:rsidR="008C706B" w:rsidRPr="008E424E" w:rsidRDefault="005A43E9" w:rsidP="00A959CF">
            <w:pPr>
              <w:jc w:val="right"/>
            </w:pPr>
            <w:r>
              <w:t>50,876</w:t>
            </w:r>
          </w:p>
        </w:tc>
        <w:tc>
          <w:tcPr>
            <w:tcW w:w="893" w:type="pct"/>
            <w:tcBorders>
              <w:top w:val="single" w:sz="4" w:space="0" w:color="auto"/>
              <w:bottom w:val="single" w:sz="4" w:space="0" w:color="auto"/>
            </w:tcBorders>
          </w:tcPr>
          <w:p w14:paraId="3BB410BA" w14:textId="7B25B52E" w:rsidR="008C706B" w:rsidRPr="008E424E" w:rsidRDefault="005A43E9" w:rsidP="00A959CF">
            <w:pPr>
              <w:jc w:val="right"/>
            </w:pPr>
            <w:r>
              <w:t>183,</w:t>
            </w:r>
            <w:r w:rsidR="0059098C">
              <w:t>640</w:t>
            </w:r>
          </w:p>
        </w:tc>
        <w:tc>
          <w:tcPr>
            <w:tcW w:w="893" w:type="pct"/>
            <w:tcBorders>
              <w:top w:val="single" w:sz="4" w:space="0" w:color="auto"/>
              <w:bottom w:val="single" w:sz="4" w:space="0" w:color="auto"/>
            </w:tcBorders>
            <w:shd w:val="clear" w:color="auto" w:fill="auto"/>
          </w:tcPr>
          <w:p w14:paraId="3EF57878" w14:textId="31C4C377" w:rsidR="008C706B" w:rsidRPr="008E424E" w:rsidRDefault="005A43E9" w:rsidP="00A959CF">
            <w:pPr>
              <w:jc w:val="right"/>
            </w:pPr>
            <w:r>
              <w:t>42,497</w:t>
            </w:r>
          </w:p>
        </w:tc>
      </w:tr>
      <w:tr w:rsidR="008C706B" w:rsidRPr="000E7EED" w14:paraId="1FBF8D6C" w14:textId="57285CDC" w:rsidTr="008C706B">
        <w:tc>
          <w:tcPr>
            <w:tcW w:w="1720" w:type="pct"/>
            <w:tcBorders>
              <w:top w:val="single" w:sz="4" w:space="0" w:color="auto"/>
              <w:bottom w:val="single" w:sz="4" w:space="0" w:color="auto"/>
            </w:tcBorders>
          </w:tcPr>
          <w:p w14:paraId="1E2A089F" w14:textId="77777777" w:rsidR="008C706B" w:rsidRPr="000E7EED" w:rsidRDefault="008C706B" w:rsidP="00A959CF">
            <w:pPr>
              <w:rPr>
                <w:b/>
                <w:color w:val="000000" w:themeColor="text1"/>
              </w:rPr>
            </w:pPr>
            <w:r w:rsidRPr="000E7EED">
              <w:rPr>
                <w:color w:val="000000" w:themeColor="text1"/>
              </w:rPr>
              <w:t>Public Purpose Fund</w:t>
            </w:r>
          </w:p>
        </w:tc>
        <w:tc>
          <w:tcPr>
            <w:tcW w:w="816" w:type="pct"/>
            <w:tcBorders>
              <w:top w:val="single" w:sz="4" w:space="0" w:color="auto"/>
              <w:bottom w:val="single" w:sz="4" w:space="0" w:color="auto"/>
            </w:tcBorders>
            <w:vAlign w:val="center"/>
          </w:tcPr>
          <w:p w14:paraId="4D9987B3" w14:textId="349CF3A1" w:rsidR="008C706B" w:rsidRPr="008E424E" w:rsidRDefault="008C706B" w:rsidP="00A959CF">
            <w:pPr>
              <w:jc w:val="right"/>
            </w:pPr>
            <w:r>
              <w:rPr>
                <w:rStyle w:val="normaltextrun"/>
                <w:rFonts w:cs="Arial"/>
                <w:szCs w:val="22"/>
              </w:rPr>
              <w:t>4,264</w:t>
            </w:r>
            <w:r>
              <w:rPr>
                <w:rStyle w:val="eop"/>
                <w:szCs w:val="22"/>
              </w:rPr>
              <w:t> </w:t>
            </w:r>
          </w:p>
        </w:tc>
        <w:tc>
          <w:tcPr>
            <w:tcW w:w="678" w:type="pct"/>
            <w:tcBorders>
              <w:top w:val="single" w:sz="4" w:space="0" w:color="auto"/>
              <w:bottom w:val="single" w:sz="4" w:space="0" w:color="auto"/>
            </w:tcBorders>
            <w:shd w:val="clear" w:color="auto" w:fill="D9D9D9" w:themeFill="background1" w:themeFillShade="D9"/>
          </w:tcPr>
          <w:p w14:paraId="15F7CE9C" w14:textId="6105718D" w:rsidR="008C706B" w:rsidRPr="008E424E" w:rsidRDefault="005A43E9" w:rsidP="00A959CF">
            <w:pPr>
              <w:jc w:val="right"/>
            </w:pPr>
            <w:r>
              <w:t>6,014</w:t>
            </w:r>
          </w:p>
        </w:tc>
        <w:tc>
          <w:tcPr>
            <w:tcW w:w="893" w:type="pct"/>
            <w:tcBorders>
              <w:top w:val="single" w:sz="4" w:space="0" w:color="auto"/>
              <w:bottom w:val="single" w:sz="4" w:space="0" w:color="auto"/>
            </w:tcBorders>
          </w:tcPr>
          <w:p w14:paraId="4C66FDF8" w14:textId="70A4AA68" w:rsidR="008C706B" w:rsidRPr="008E424E" w:rsidRDefault="005A43E9" w:rsidP="00A959CF">
            <w:pPr>
              <w:jc w:val="right"/>
            </w:pPr>
            <w:r>
              <w:t>22,</w:t>
            </w:r>
            <w:r w:rsidR="00BF18A0">
              <w:t>994</w:t>
            </w:r>
          </w:p>
        </w:tc>
        <w:tc>
          <w:tcPr>
            <w:tcW w:w="893" w:type="pct"/>
            <w:tcBorders>
              <w:top w:val="single" w:sz="4" w:space="0" w:color="auto"/>
              <w:bottom w:val="single" w:sz="4" w:space="0" w:color="auto"/>
            </w:tcBorders>
            <w:shd w:val="clear" w:color="auto" w:fill="auto"/>
          </w:tcPr>
          <w:p w14:paraId="427F469A" w14:textId="37701EB2" w:rsidR="008C706B" w:rsidRPr="008E424E" w:rsidRDefault="00161B9B" w:rsidP="00A959CF">
            <w:pPr>
              <w:jc w:val="right"/>
            </w:pPr>
            <w:r>
              <w:t>5,772</w:t>
            </w:r>
          </w:p>
        </w:tc>
      </w:tr>
      <w:tr w:rsidR="008C706B" w:rsidRPr="000E7EED" w14:paraId="078C4944" w14:textId="1BCFC056" w:rsidTr="008C706B">
        <w:tc>
          <w:tcPr>
            <w:tcW w:w="1720" w:type="pct"/>
            <w:tcBorders>
              <w:top w:val="single" w:sz="4" w:space="0" w:color="auto"/>
              <w:bottom w:val="single" w:sz="4" w:space="0" w:color="auto"/>
            </w:tcBorders>
          </w:tcPr>
          <w:p w14:paraId="12A13989" w14:textId="782A4BFE" w:rsidR="008C706B" w:rsidRPr="000E7EED" w:rsidRDefault="008C706B" w:rsidP="00A959CF">
            <w:pPr>
              <w:rPr>
                <w:b/>
                <w:color w:val="000000" w:themeColor="text1"/>
              </w:rPr>
            </w:pPr>
            <w:r w:rsidRPr="000E7EED">
              <w:rPr>
                <w:color w:val="000000" w:themeColor="text1"/>
              </w:rPr>
              <w:t>Case revenue</w:t>
            </w:r>
            <w:r>
              <w:rPr>
                <w:color w:val="000000" w:themeColor="text1"/>
              </w:rPr>
              <w:t xml:space="preserve"> </w:t>
            </w:r>
          </w:p>
        </w:tc>
        <w:tc>
          <w:tcPr>
            <w:tcW w:w="816" w:type="pct"/>
            <w:tcBorders>
              <w:top w:val="single" w:sz="4" w:space="0" w:color="auto"/>
              <w:bottom w:val="single" w:sz="4" w:space="0" w:color="auto"/>
            </w:tcBorders>
            <w:vAlign w:val="center"/>
          </w:tcPr>
          <w:p w14:paraId="4E28F351" w14:textId="043B31F9" w:rsidR="008C706B" w:rsidRPr="008E424E" w:rsidRDefault="008C706B" w:rsidP="00A959CF">
            <w:pPr>
              <w:jc w:val="right"/>
            </w:pPr>
            <w:r>
              <w:rPr>
                <w:rStyle w:val="normaltextrun"/>
                <w:rFonts w:cs="Arial"/>
                <w:szCs w:val="22"/>
              </w:rPr>
              <w:t>1,890</w:t>
            </w:r>
            <w:r>
              <w:rPr>
                <w:rStyle w:val="eop"/>
                <w:szCs w:val="22"/>
              </w:rPr>
              <w:t> </w:t>
            </w:r>
          </w:p>
        </w:tc>
        <w:tc>
          <w:tcPr>
            <w:tcW w:w="678" w:type="pct"/>
            <w:tcBorders>
              <w:top w:val="single" w:sz="4" w:space="0" w:color="auto"/>
              <w:bottom w:val="single" w:sz="4" w:space="0" w:color="auto"/>
            </w:tcBorders>
            <w:shd w:val="clear" w:color="auto" w:fill="D9D9D9" w:themeFill="background1" w:themeFillShade="D9"/>
          </w:tcPr>
          <w:p w14:paraId="140B4D42" w14:textId="0E38621D" w:rsidR="008C706B" w:rsidRPr="008E424E" w:rsidRDefault="00161B9B" w:rsidP="00A959CF">
            <w:pPr>
              <w:jc w:val="right"/>
            </w:pPr>
            <w:r>
              <w:t>2,853</w:t>
            </w:r>
          </w:p>
        </w:tc>
        <w:tc>
          <w:tcPr>
            <w:tcW w:w="893" w:type="pct"/>
            <w:tcBorders>
              <w:top w:val="single" w:sz="4" w:space="0" w:color="auto"/>
              <w:bottom w:val="single" w:sz="4" w:space="0" w:color="auto"/>
            </w:tcBorders>
          </w:tcPr>
          <w:p w14:paraId="4C7DF3DD" w14:textId="09B244FD" w:rsidR="008C706B" w:rsidRPr="008E424E" w:rsidRDefault="00161B9B" w:rsidP="00A959CF">
            <w:pPr>
              <w:jc w:val="right"/>
            </w:pPr>
            <w:r>
              <w:t>7,</w:t>
            </w:r>
            <w:r w:rsidR="00195E7F">
              <w:t>772</w:t>
            </w:r>
          </w:p>
        </w:tc>
        <w:tc>
          <w:tcPr>
            <w:tcW w:w="893" w:type="pct"/>
            <w:tcBorders>
              <w:top w:val="single" w:sz="4" w:space="0" w:color="auto"/>
              <w:bottom w:val="single" w:sz="4" w:space="0" w:color="auto"/>
            </w:tcBorders>
            <w:shd w:val="clear" w:color="auto" w:fill="auto"/>
          </w:tcPr>
          <w:p w14:paraId="0C127571" w14:textId="499320BE" w:rsidR="008C706B" w:rsidRPr="008E424E" w:rsidRDefault="00161B9B" w:rsidP="00A959CF">
            <w:pPr>
              <w:jc w:val="right"/>
            </w:pPr>
            <w:r>
              <w:t>1,380</w:t>
            </w:r>
          </w:p>
        </w:tc>
      </w:tr>
      <w:tr w:rsidR="008C706B" w:rsidRPr="000E7EED" w14:paraId="3D1AE2EE" w14:textId="48292054" w:rsidTr="008C706B">
        <w:tc>
          <w:tcPr>
            <w:tcW w:w="1720" w:type="pct"/>
            <w:tcBorders>
              <w:top w:val="single" w:sz="4" w:space="0" w:color="auto"/>
              <w:bottom w:val="single" w:sz="4" w:space="0" w:color="auto"/>
            </w:tcBorders>
          </w:tcPr>
          <w:p w14:paraId="2BE35A7F" w14:textId="77777777" w:rsidR="008C706B" w:rsidRPr="000E7EED" w:rsidRDefault="008C706B" w:rsidP="00A959CF">
            <w:pPr>
              <w:rPr>
                <w:b/>
                <w:color w:val="000000" w:themeColor="text1"/>
              </w:rPr>
            </w:pPr>
            <w:r w:rsidRPr="000E7EED">
              <w:rPr>
                <w:color w:val="000000" w:themeColor="text1"/>
              </w:rPr>
              <w:t>Other income</w:t>
            </w:r>
          </w:p>
        </w:tc>
        <w:tc>
          <w:tcPr>
            <w:tcW w:w="816" w:type="pct"/>
            <w:tcBorders>
              <w:top w:val="single" w:sz="4" w:space="0" w:color="auto"/>
              <w:bottom w:val="single" w:sz="4" w:space="0" w:color="auto"/>
            </w:tcBorders>
            <w:vAlign w:val="center"/>
          </w:tcPr>
          <w:p w14:paraId="4C1374BB" w14:textId="6DF8BFB2" w:rsidR="008C706B" w:rsidRPr="008E424E" w:rsidRDefault="008C706B" w:rsidP="00A959CF">
            <w:pPr>
              <w:jc w:val="right"/>
            </w:pPr>
            <w:r>
              <w:rPr>
                <w:rStyle w:val="normaltextrun"/>
                <w:rFonts w:cs="Arial"/>
                <w:szCs w:val="22"/>
              </w:rPr>
              <w:t>99</w:t>
            </w:r>
            <w:r>
              <w:rPr>
                <w:rStyle w:val="eop"/>
                <w:szCs w:val="22"/>
              </w:rPr>
              <w:t> </w:t>
            </w:r>
          </w:p>
        </w:tc>
        <w:tc>
          <w:tcPr>
            <w:tcW w:w="678" w:type="pct"/>
            <w:tcBorders>
              <w:top w:val="single" w:sz="4" w:space="0" w:color="auto"/>
              <w:bottom w:val="single" w:sz="4" w:space="0" w:color="auto"/>
            </w:tcBorders>
            <w:shd w:val="clear" w:color="auto" w:fill="D9D9D9" w:themeFill="background1" w:themeFillShade="D9"/>
          </w:tcPr>
          <w:p w14:paraId="2172056C" w14:textId="1EDDB46E" w:rsidR="008C706B" w:rsidRPr="008E424E" w:rsidRDefault="00EE0E41" w:rsidP="00A959CF">
            <w:pPr>
              <w:jc w:val="right"/>
            </w:pPr>
            <w:r>
              <w:t>155</w:t>
            </w:r>
          </w:p>
        </w:tc>
        <w:tc>
          <w:tcPr>
            <w:tcW w:w="893" w:type="pct"/>
            <w:tcBorders>
              <w:top w:val="single" w:sz="4" w:space="0" w:color="auto"/>
              <w:bottom w:val="single" w:sz="4" w:space="0" w:color="auto"/>
            </w:tcBorders>
          </w:tcPr>
          <w:p w14:paraId="13DF042B" w14:textId="0044AFD2" w:rsidR="008C706B" w:rsidRPr="008E424E" w:rsidRDefault="00EE0E41" w:rsidP="00A959CF">
            <w:pPr>
              <w:jc w:val="right"/>
            </w:pPr>
            <w:r>
              <w:t>403</w:t>
            </w:r>
          </w:p>
        </w:tc>
        <w:tc>
          <w:tcPr>
            <w:tcW w:w="893" w:type="pct"/>
            <w:tcBorders>
              <w:top w:val="single" w:sz="4" w:space="0" w:color="auto"/>
              <w:bottom w:val="single" w:sz="4" w:space="0" w:color="auto"/>
            </w:tcBorders>
            <w:shd w:val="clear" w:color="auto" w:fill="auto"/>
          </w:tcPr>
          <w:p w14:paraId="6CCA1034" w14:textId="79F18E1C" w:rsidR="008C706B" w:rsidRPr="008E424E" w:rsidRDefault="00EE0E41" w:rsidP="00A959CF">
            <w:pPr>
              <w:jc w:val="right"/>
            </w:pPr>
            <w:r>
              <w:t>57</w:t>
            </w:r>
          </w:p>
        </w:tc>
      </w:tr>
      <w:tr w:rsidR="008C706B" w:rsidRPr="000E7EED" w14:paraId="6EB9D4A0" w14:textId="0B4F04FA" w:rsidTr="008C706B">
        <w:tc>
          <w:tcPr>
            <w:tcW w:w="1720" w:type="pct"/>
            <w:tcBorders>
              <w:top w:val="single" w:sz="4" w:space="0" w:color="auto"/>
              <w:bottom w:val="single" w:sz="4" w:space="0" w:color="auto"/>
            </w:tcBorders>
            <w:shd w:val="clear" w:color="auto" w:fill="D9D9D9" w:themeFill="background1" w:themeFillShade="D9"/>
          </w:tcPr>
          <w:p w14:paraId="4B808F9D" w14:textId="31011D7A" w:rsidR="008C706B" w:rsidRPr="00B136D3" w:rsidRDefault="008C706B" w:rsidP="00A959CF">
            <w:pPr>
              <w:rPr>
                <w:b/>
                <w:color w:val="000000" w:themeColor="text1"/>
              </w:rPr>
            </w:pPr>
            <w:r>
              <w:rPr>
                <w:b/>
                <w:color w:val="000000" w:themeColor="text1"/>
              </w:rPr>
              <w:t xml:space="preserve">Total </w:t>
            </w:r>
            <w:r w:rsidRPr="00B136D3">
              <w:rPr>
                <w:b/>
                <w:color w:val="000000" w:themeColor="text1"/>
              </w:rPr>
              <w:t>revenu</w:t>
            </w:r>
            <w:r>
              <w:rPr>
                <w:b/>
                <w:color w:val="000000" w:themeColor="text1"/>
              </w:rPr>
              <w:t>e</w:t>
            </w:r>
          </w:p>
        </w:tc>
        <w:tc>
          <w:tcPr>
            <w:tcW w:w="816" w:type="pct"/>
            <w:tcBorders>
              <w:top w:val="single" w:sz="4" w:space="0" w:color="auto"/>
              <w:bottom w:val="single" w:sz="4" w:space="0" w:color="auto"/>
            </w:tcBorders>
            <w:shd w:val="clear" w:color="auto" w:fill="D9D9D9" w:themeFill="background1" w:themeFillShade="D9"/>
            <w:vAlign w:val="center"/>
          </w:tcPr>
          <w:p w14:paraId="1E125AFF" w14:textId="7ADF103D" w:rsidR="008C706B" w:rsidRPr="00B136D3" w:rsidRDefault="008C706B" w:rsidP="00A959CF">
            <w:pPr>
              <w:jc w:val="right"/>
              <w:rPr>
                <w:b/>
                <w:bCs/>
              </w:rPr>
            </w:pPr>
            <w:r>
              <w:rPr>
                <w:rStyle w:val="normaltextrun"/>
                <w:rFonts w:cs="Arial"/>
                <w:b/>
                <w:bCs/>
                <w:szCs w:val="22"/>
              </w:rPr>
              <w:t>72,698</w:t>
            </w:r>
            <w:r>
              <w:rPr>
                <w:rStyle w:val="eop"/>
                <w:szCs w:val="22"/>
              </w:rPr>
              <w:t> </w:t>
            </w:r>
          </w:p>
        </w:tc>
        <w:tc>
          <w:tcPr>
            <w:tcW w:w="678" w:type="pct"/>
            <w:tcBorders>
              <w:top w:val="single" w:sz="4" w:space="0" w:color="auto"/>
              <w:bottom w:val="single" w:sz="4" w:space="0" w:color="auto"/>
            </w:tcBorders>
            <w:shd w:val="clear" w:color="auto" w:fill="D9D9D9" w:themeFill="background1" w:themeFillShade="D9"/>
          </w:tcPr>
          <w:p w14:paraId="41399DC3" w14:textId="2C00F2F3" w:rsidR="008C706B" w:rsidRPr="00B136D3" w:rsidRDefault="00EE0E41" w:rsidP="00A959CF">
            <w:pPr>
              <w:jc w:val="right"/>
              <w:rPr>
                <w:b/>
                <w:bCs/>
              </w:rPr>
            </w:pPr>
            <w:r>
              <w:rPr>
                <w:b/>
                <w:bCs/>
              </w:rPr>
              <w:t>87,521</w:t>
            </w:r>
          </w:p>
        </w:tc>
        <w:tc>
          <w:tcPr>
            <w:tcW w:w="893" w:type="pct"/>
            <w:tcBorders>
              <w:top w:val="single" w:sz="4" w:space="0" w:color="auto"/>
              <w:bottom w:val="single" w:sz="4" w:space="0" w:color="auto"/>
            </w:tcBorders>
            <w:shd w:val="clear" w:color="auto" w:fill="D9D9D9" w:themeFill="background1" w:themeFillShade="D9"/>
          </w:tcPr>
          <w:p w14:paraId="3FC3BC42" w14:textId="2ED8A67D" w:rsidR="008C706B" w:rsidRPr="00B136D3" w:rsidRDefault="003247D8" w:rsidP="00A959CF">
            <w:pPr>
              <w:jc w:val="right"/>
              <w:rPr>
                <w:b/>
                <w:bCs/>
              </w:rPr>
            </w:pPr>
            <w:r>
              <w:rPr>
                <w:b/>
                <w:bCs/>
              </w:rPr>
              <w:t>300,500</w:t>
            </w:r>
          </w:p>
        </w:tc>
        <w:tc>
          <w:tcPr>
            <w:tcW w:w="893" w:type="pct"/>
            <w:tcBorders>
              <w:top w:val="single" w:sz="4" w:space="0" w:color="auto"/>
              <w:bottom w:val="single" w:sz="4" w:space="0" w:color="auto"/>
            </w:tcBorders>
            <w:shd w:val="clear" w:color="auto" w:fill="D9D9D9" w:themeFill="background1" w:themeFillShade="D9"/>
          </w:tcPr>
          <w:p w14:paraId="717E9740" w14:textId="23C90170" w:rsidR="008C706B" w:rsidRPr="00B136D3" w:rsidRDefault="00CA0A4E" w:rsidP="00A959CF">
            <w:pPr>
              <w:jc w:val="right"/>
              <w:rPr>
                <w:b/>
                <w:bCs/>
              </w:rPr>
            </w:pPr>
            <w:r>
              <w:rPr>
                <w:b/>
                <w:bCs/>
              </w:rPr>
              <w:t>73,040</w:t>
            </w:r>
          </w:p>
        </w:tc>
      </w:tr>
    </w:tbl>
    <w:p w14:paraId="1FE53F15" w14:textId="560832DA" w:rsidR="00961AD9" w:rsidRPr="005B3D56" w:rsidRDefault="00347AFC" w:rsidP="005B3D56">
      <w:pPr>
        <w:pStyle w:val="Heading3"/>
        <w:numPr>
          <w:ilvl w:val="0"/>
          <w:numId w:val="42"/>
        </w:numPr>
        <w:spacing w:before="0"/>
        <w:rPr>
          <w:b w:val="0"/>
          <w:sz w:val="18"/>
          <w:szCs w:val="18"/>
        </w:rPr>
      </w:pPr>
      <w:bookmarkStart w:id="6" w:name="_Hlk33006441"/>
      <w:r w:rsidRPr="005B3D56">
        <w:rPr>
          <w:b w:val="0"/>
          <w:bCs w:val="0"/>
          <w:sz w:val="18"/>
          <w:szCs w:val="18"/>
        </w:rPr>
        <w:t>Commonwealth Grants include funding for Community Legal Centres, which is considered Administered funding in the Annual Report</w:t>
      </w:r>
    </w:p>
    <w:p w14:paraId="4A1857D4" w14:textId="77777777" w:rsidR="00961AD9" w:rsidRDefault="00961AD9">
      <w:pPr>
        <w:spacing w:after="0" w:line="240" w:lineRule="auto"/>
        <w:rPr>
          <w:rFonts w:cs="Arial"/>
          <w:b/>
          <w:bCs/>
          <w:sz w:val="26"/>
          <w:szCs w:val="26"/>
          <w:lang w:eastAsia="en-AU"/>
        </w:rPr>
      </w:pPr>
      <w:r>
        <w:br w:type="page"/>
      </w:r>
    </w:p>
    <w:p w14:paraId="4982F0A4" w14:textId="4A6F037A" w:rsidR="004175B7" w:rsidRPr="000E7EED" w:rsidRDefault="004175B7" w:rsidP="004175B7">
      <w:pPr>
        <w:pStyle w:val="Heading3"/>
      </w:pPr>
      <w:r w:rsidRPr="000E7EED">
        <w:lastRenderedPageBreak/>
        <w:t>Total expenditure breakdown</w:t>
      </w:r>
      <w:r>
        <w:t xml:space="preserve"> </w:t>
      </w:r>
      <w:r w:rsidRPr="00A64A96">
        <w:t>($,000)</w:t>
      </w:r>
    </w:p>
    <w:tbl>
      <w:tblPr>
        <w:tblStyle w:val="PlainTable2"/>
        <w:tblW w:w="5000" w:type="pct"/>
        <w:tblBorders>
          <w:bottom w:val="none" w:sz="0" w:space="0" w:color="auto"/>
          <w:insideH w:val="none" w:sz="0" w:space="0" w:color="auto"/>
        </w:tblBorders>
        <w:tblLook w:val="0620" w:firstRow="1" w:lastRow="0" w:firstColumn="0" w:lastColumn="0" w:noHBand="1" w:noVBand="1"/>
      </w:tblPr>
      <w:tblGrid>
        <w:gridCol w:w="5515"/>
        <w:gridCol w:w="1097"/>
        <w:gridCol w:w="1036"/>
        <w:gridCol w:w="1158"/>
        <w:gridCol w:w="1280"/>
      </w:tblGrid>
      <w:tr w:rsidR="008C706B" w:rsidRPr="000E7EED" w14:paraId="1A26A49B" w14:textId="2A4B91C6" w:rsidTr="00785145">
        <w:trPr>
          <w:cnfStyle w:val="100000000000" w:firstRow="1" w:lastRow="0" w:firstColumn="0" w:lastColumn="0" w:oddVBand="0" w:evenVBand="0" w:oddHBand="0" w:evenHBand="0" w:firstRowFirstColumn="0" w:firstRowLastColumn="0" w:lastRowFirstColumn="0" w:lastRowLastColumn="0"/>
        </w:trPr>
        <w:tc>
          <w:tcPr>
            <w:tcW w:w="1898" w:type="pct"/>
            <w:tcBorders>
              <w:top w:val="single" w:sz="4" w:space="0" w:color="auto"/>
              <w:bottom w:val="single" w:sz="4" w:space="0" w:color="auto"/>
            </w:tcBorders>
            <w:shd w:val="clear" w:color="auto" w:fill="C3AFCC"/>
          </w:tcPr>
          <w:p w14:paraId="3F56AEBA" w14:textId="77777777" w:rsidR="008C706B" w:rsidRPr="000E7EED" w:rsidRDefault="008C706B" w:rsidP="00904CEF">
            <w:pPr>
              <w:rPr>
                <w:b/>
                <w:color w:val="000000" w:themeColor="text1"/>
              </w:rPr>
            </w:pPr>
            <w:bookmarkStart w:id="7" w:name="_Hlk33006456"/>
            <w:bookmarkEnd w:id="6"/>
            <w:r w:rsidRPr="000E7EED">
              <w:rPr>
                <w:b/>
                <w:color w:val="000000" w:themeColor="text1"/>
              </w:rPr>
              <w:t>Expenditure</w:t>
            </w:r>
          </w:p>
        </w:tc>
        <w:tc>
          <w:tcPr>
            <w:tcW w:w="653" w:type="pct"/>
            <w:tcBorders>
              <w:top w:val="single" w:sz="4" w:space="0" w:color="auto"/>
              <w:bottom w:val="single" w:sz="4" w:space="0" w:color="auto"/>
            </w:tcBorders>
            <w:shd w:val="clear" w:color="auto" w:fill="C3AFCC"/>
          </w:tcPr>
          <w:p w14:paraId="37C4996F" w14:textId="77777777" w:rsidR="008C706B" w:rsidRPr="000E7EED" w:rsidRDefault="008C706B" w:rsidP="00904CEF">
            <w:pPr>
              <w:jc w:val="center"/>
              <w:rPr>
                <w:b/>
                <w:color w:val="000000" w:themeColor="text1"/>
              </w:rPr>
            </w:pPr>
            <w:r>
              <w:rPr>
                <w:b/>
                <w:color w:val="000000" w:themeColor="text1"/>
              </w:rPr>
              <w:t>Q3</w:t>
            </w:r>
          </w:p>
          <w:p w14:paraId="7B79E5AA" w14:textId="22729276" w:rsidR="008C706B" w:rsidRPr="000E7EED" w:rsidRDefault="008C706B" w:rsidP="00904CEF">
            <w:pPr>
              <w:jc w:val="center"/>
              <w:rPr>
                <w:b/>
                <w:color w:val="000000" w:themeColor="text1"/>
              </w:rPr>
            </w:pPr>
            <w:r w:rsidRPr="000E7EED">
              <w:rPr>
                <w:b/>
                <w:color w:val="000000" w:themeColor="text1"/>
              </w:rPr>
              <w:t>20</w:t>
            </w:r>
            <w:r>
              <w:rPr>
                <w:b/>
                <w:color w:val="000000" w:themeColor="text1"/>
              </w:rPr>
              <w:t>21</w:t>
            </w:r>
            <w:r w:rsidR="00BE698D">
              <w:rPr>
                <w:b/>
                <w:color w:val="000000" w:themeColor="text1"/>
              </w:rPr>
              <w:t>–</w:t>
            </w:r>
            <w:r>
              <w:rPr>
                <w:b/>
                <w:color w:val="000000" w:themeColor="text1"/>
              </w:rPr>
              <w:t>22</w:t>
            </w:r>
          </w:p>
        </w:tc>
        <w:tc>
          <w:tcPr>
            <w:tcW w:w="0" w:type="pct"/>
            <w:tcBorders>
              <w:top w:val="single" w:sz="4" w:space="0" w:color="auto"/>
              <w:bottom w:val="single" w:sz="4" w:space="0" w:color="auto"/>
            </w:tcBorders>
            <w:shd w:val="clear" w:color="auto" w:fill="C3AFCC"/>
          </w:tcPr>
          <w:p w14:paraId="4950AAAB" w14:textId="77777777" w:rsidR="008C706B" w:rsidRDefault="008C706B" w:rsidP="00904CEF">
            <w:pPr>
              <w:jc w:val="center"/>
              <w:rPr>
                <w:b/>
                <w:color w:val="000000" w:themeColor="text1"/>
              </w:rPr>
            </w:pPr>
            <w:r w:rsidRPr="55245693">
              <w:rPr>
                <w:b/>
                <w:color w:val="000000" w:themeColor="text1"/>
              </w:rPr>
              <w:t>Q</w:t>
            </w:r>
            <w:r>
              <w:rPr>
                <w:b/>
                <w:color w:val="000000" w:themeColor="text1"/>
              </w:rPr>
              <w:t>4</w:t>
            </w:r>
          </w:p>
          <w:p w14:paraId="0E6CB1A2" w14:textId="4DC6AE36" w:rsidR="008C706B" w:rsidRPr="000E7EED" w:rsidRDefault="008C706B" w:rsidP="00904CEF">
            <w:pPr>
              <w:jc w:val="center"/>
              <w:rPr>
                <w:b/>
                <w:color w:val="000000" w:themeColor="text1"/>
              </w:rPr>
            </w:pPr>
            <w:r w:rsidRPr="000E7EED">
              <w:rPr>
                <w:b/>
                <w:color w:val="000000" w:themeColor="text1"/>
              </w:rPr>
              <w:t>20</w:t>
            </w:r>
            <w:r>
              <w:rPr>
                <w:b/>
                <w:color w:val="000000" w:themeColor="text1"/>
              </w:rPr>
              <w:t>21</w:t>
            </w:r>
            <w:r w:rsidR="00BE698D">
              <w:rPr>
                <w:b/>
                <w:color w:val="000000" w:themeColor="text1"/>
              </w:rPr>
              <w:t>–</w:t>
            </w:r>
            <w:r>
              <w:rPr>
                <w:b/>
                <w:color w:val="000000" w:themeColor="text1"/>
              </w:rPr>
              <w:t>22</w:t>
            </w:r>
          </w:p>
        </w:tc>
        <w:tc>
          <w:tcPr>
            <w:tcW w:w="0" w:type="pct"/>
            <w:tcBorders>
              <w:top w:val="single" w:sz="4" w:space="0" w:color="auto"/>
              <w:bottom w:val="single" w:sz="4" w:space="0" w:color="auto"/>
            </w:tcBorders>
            <w:shd w:val="clear" w:color="auto" w:fill="C3AFCC"/>
          </w:tcPr>
          <w:p w14:paraId="1D4E913D" w14:textId="28C49B91" w:rsidR="008C706B" w:rsidRDefault="008C706B" w:rsidP="00904CEF">
            <w:pPr>
              <w:jc w:val="center"/>
              <w:rPr>
                <w:b/>
                <w:color w:val="000000" w:themeColor="text1"/>
              </w:rPr>
            </w:pPr>
            <w:r>
              <w:rPr>
                <w:b/>
                <w:color w:val="000000" w:themeColor="text1"/>
              </w:rPr>
              <w:t>Year-end total 2021</w:t>
            </w:r>
            <w:r w:rsidR="00BE698D">
              <w:rPr>
                <w:b/>
                <w:color w:val="000000" w:themeColor="text1"/>
              </w:rPr>
              <w:t>–</w:t>
            </w:r>
            <w:r>
              <w:rPr>
                <w:b/>
                <w:color w:val="000000" w:themeColor="text1"/>
              </w:rPr>
              <w:t>22</w:t>
            </w:r>
          </w:p>
        </w:tc>
        <w:tc>
          <w:tcPr>
            <w:tcW w:w="0" w:type="pct"/>
            <w:tcBorders>
              <w:top w:val="single" w:sz="4" w:space="0" w:color="auto"/>
              <w:bottom w:val="single" w:sz="4" w:space="0" w:color="auto"/>
            </w:tcBorders>
            <w:shd w:val="clear" w:color="auto" w:fill="C3AFCC"/>
          </w:tcPr>
          <w:p w14:paraId="0CA7A31E" w14:textId="0FF3514D" w:rsidR="008C706B" w:rsidRDefault="008C706B" w:rsidP="00904CEF">
            <w:pPr>
              <w:jc w:val="center"/>
              <w:rPr>
                <w:b/>
                <w:bCs w:val="0"/>
                <w:color w:val="000000" w:themeColor="text1"/>
              </w:rPr>
            </w:pPr>
            <w:r>
              <w:rPr>
                <w:b/>
                <w:color w:val="000000" w:themeColor="text1"/>
              </w:rPr>
              <w:t>Q1 2022</w:t>
            </w:r>
            <w:r w:rsidR="00BE698D">
              <w:rPr>
                <w:b/>
                <w:color w:val="000000" w:themeColor="text1"/>
              </w:rPr>
              <w:t>–</w:t>
            </w:r>
            <w:r>
              <w:rPr>
                <w:b/>
                <w:color w:val="000000" w:themeColor="text1"/>
              </w:rPr>
              <w:t>23</w:t>
            </w:r>
          </w:p>
          <w:p w14:paraId="30241B51" w14:textId="16296867" w:rsidR="008C706B" w:rsidRPr="000E7EED" w:rsidRDefault="008C706B" w:rsidP="00904CEF">
            <w:pPr>
              <w:jc w:val="center"/>
              <w:rPr>
                <w:b/>
                <w:color w:val="000000" w:themeColor="text1"/>
              </w:rPr>
            </w:pPr>
            <w:r>
              <w:rPr>
                <w:b/>
                <w:color w:val="000000" w:themeColor="text1"/>
              </w:rPr>
              <w:t>projection</w:t>
            </w:r>
          </w:p>
        </w:tc>
      </w:tr>
      <w:tr w:rsidR="008C706B" w:rsidRPr="000E7EED" w14:paraId="0355756B" w14:textId="1A9D11FC" w:rsidTr="00785145">
        <w:tc>
          <w:tcPr>
            <w:tcW w:w="1898" w:type="pct"/>
            <w:tcBorders>
              <w:top w:val="single" w:sz="4" w:space="0" w:color="auto"/>
              <w:bottom w:val="single" w:sz="4" w:space="0" w:color="auto"/>
            </w:tcBorders>
          </w:tcPr>
          <w:p w14:paraId="57857B1D" w14:textId="4877CFEB" w:rsidR="008C706B" w:rsidRPr="000E7EED" w:rsidRDefault="008C706B" w:rsidP="00A959CF">
            <w:pPr>
              <w:rPr>
                <w:color w:val="000000" w:themeColor="text1"/>
              </w:rPr>
            </w:pPr>
            <w:r w:rsidRPr="000E7EED">
              <w:rPr>
                <w:color w:val="000000" w:themeColor="text1"/>
              </w:rPr>
              <w:t>Case expenditure</w:t>
            </w:r>
            <w:r>
              <w:rPr>
                <w:color w:val="000000" w:themeColor="text1"/>
              </w:rPr>
              <w:t xml:space="preserve"> </w:t>
            </w:r>
          </w:p>
        </w:tc>
        <w:tc>
          <w:tcPr>
            <w:tcW w:w="653" w:type="pct"/>
            <w:tcBorders>
              <w:top w:val="single" w:sz="4" w:space="0" w:color="auto"/>
              <w:bottom w:val="single" w:sz="4" w:space="0" w:color="auto"/>
            </w:tcBorders>
            <w:vAlign w:val="center"/>
          </w:tcPr>
          <w:p w14:paraId="36D0F934" w14:textId="7640124A" w:rsidR="008C706B" w:rsidRPr="008E424E" w:rsidRDefault="008C706B" w:rsidP="00A959CF">
            <w:pPr>
              <w:jc w:val="right"/>
            </w:pPr>
            <w:r>
              <w:rPr>
                <w:rStyle w:val="normaltextrun"/>
                <w:rFonts w:cs="Arial"/>
                <w:szCs w:val="22"/>
              </w:rPr>
              <w:t>(27,507)</w:t>
            </w:r>
            <w:r>
              <w:rPr>
                <w:rStyle w:val="eop"/>
                <w:szCs w:val="22"/>
              </w:rPr>
              <w:t> </w:t>
            </w:r>
          </w:p>
        </w:tc>
        <w:tc>
          <w:tcPr>
            <w:tcW w:w="0" w:type="pct"/>
            <w:tcBorders>
              <w:top w:val="single" w:sz="4" w:space="0" w:color="auto"/>
              <w:bottom w:val="single" w:sz="4" w:space="0" w:color="auto"/>
            </w:tcBorders>
            <w:shd w:val="clear" w:color="auto" w:fill="D9D9D9" w:themeFill="background1" w:themeFillShade="D9"/>
          </w:tcPr>
          <w:p w14:paraId="09F5086D" w14:textId="1994B6A7" w:rsidR="008C706B" w:rsidRPr="008E424E" w:rsidRDefault="0067020E" w:rsidP="00A959CF">
            <w:pPr>
              <w:jc w:val="right"/>
            </w:pPr>
            <w:r>
              <w:t>(29,705)</w:t>
            </w:r>
          </w:p>
        </w:tc>
        <w:tc>
          <w:tcPr>
            <w:tcW w:w="0" w:type="pct"/>
            <w:tcBorders>
              <w:top w:val="single" w:sz="4" w:space="0" w:color="auto"/>
              <w:bottom w:val="single" w:sz="4" w:space="0" w:color="auto"/>
            </w:tcBorders>
          </w:tcPr>
          <w:p w14:paraId="460DAFA6" w14:textId="30E7CD9B" w:rsidR="008C706B" w:rsidRPr="008E424E" w:rsidRDefault="0067020E" w:rsidP="00A959CF">
            <w:pPr>
              <w:jc w:val="right"/>
            </w:pPr>
            <w:r>
              <w:t>(115,352)</w:t>
            </w:r>
          </w:p>
        </w:tc>
        <w:tc>
          <w:tcPr>
            <w:tcW w:w="0" w:type="pct"/>
            <w:tcBorders>
              <w:top w:val="single" w:sz="4" w:space="0" w:color="auto"/>
              <w:bottom w:val="single" w:sz="4" w:space="0" w:color="auto"/>
            </w:tcBorders>
            <w:shd w:val="clear" w:color="auto" w:fill="auto"/>
          </w:tcPr>
          <w:p w14:paraId="16C7B209" w14:textId="73FAB957" w:rsidR="008C706B" w:rsidRPr="008E424E" w:rsidRDefault="0067020E" w:rsidP="00A959CF">
            <w:pPr>
              <w:jc w:val="right"/>
            </w:pPr>
            <w:r>
              <w:t>(29,077)</w:t>
            </w:r>
          </w:p>
        </w:tc>
      </w:tr>
      <w:tr w:rsidR="008C706B" w:rsidRPr="000E7EED" w14:paraId="7181F757" w14:textId="21E8B5A3" w:rsidTr="00785145">
        <w:tc>
          <w:tcPr>
            <w:tcW w:w="1898" w:type="pct"/>
            <w:tcBorders>
              <w:top w:val="single" w:sz="4" w:space="0" w:color="auto"/>
              <w:bottom w:val="single" w:sz="4" w:space="0" w:color="auto"/>
            </w:tcBorders>
          </w:tcPr>
          <w:p w14:paraId="00863735" w14:textId="3770414A" w:rsidR="008C706B" w:rsidRPr="000E7EED" w:rsidRDefault="008C706B" w:rsidP="00A959CF">
            <w:pPr>
              <w:rPr>
                <w:b/>
                <w:color w:val="000000" w:themeColor="text1"/>
              </w:rPr>
            </w:pPr>
            <w:r w:rsidRPr="000E7EED">
              <w:rPr>
                <w:color w:val="000000" w:themeColor="text1"/>
              </w:rPr>
              <w:t>Community legal centre payments</w:t>
            </w:r>
            <w:r>
              <w:rPr>
                <w:color w:val="000000" w:themeColor="text1"/>
              </w:rPr>
              <w:t xml:space="preserve"> </w:t>
            </w:r>
            <w:r w:rsidRPr="005B3D56">
              <w:rPr>
                <w:color w:val="000000" w:themeColor="text1"/>
                <w:vertAlign w:val="superscript"/>
              </w:rPr>
              <w:t>(1)</w:t>
            </w:r>
          </w:p>
        </w:tc>
        <w:tc>
          <w:tcPr>
            <w:tcW w:w="653" w:type="pct"/>
            <w:tcBorders>
              <w:top w:val="single" w:sz="4" w:space="0" w:color="auto"/>
              <w:bottom w:val="single" w:sz="4" w:space="0" w:color="auto"/>
            </w:tcBorders>
            <w:vAlign w:val="center"/>
          </w:tcPr>
          <w:p w14:paraId="38009B9C" w14:textId="130A8D28" w:rsidR="008C706B" w:rsidRPr="008E424E" w:rsidRDefault="008C706B" w:rsidP="00A959CF">
            <w:pPr>
              <w:jc w:val="right"/>
            </w:pPr>
            <w:r>
              <w:rPr>
                <w:rStyle w:val="normaltextrun"/>
                <w:rFonts w:cs="Arial"/>
                <w:szCs w:val="22"/>
              </w:rPr>
              <w:t>(13,969)</w:t>
            </w:r>
            <w:r>
              <w:rPr>
                <w:rStyle w:val="eop"/>
                <w:szCs w:val="22"/>
              </w:rPr>
              <w:t> </w:t>
            </w:r>
          </w:p>
        </w:tc>
        <w:tc>
          <w:tcPr>
            <w:tcW w:w="0" w:type="pct"/>
            <w:tcBorders>
              <w:top w:val="single" w:sz="4" w:space="0" w:color="auto"/>
              <w:bottom w:val="single" w:sz="4" w:space="0" w:color="auto"/>
            </w:tcBorders>
            <w:shd w:val="clear" w:color="auto" w:fill="D9D9D9" w:themeFill="background1" w:themeFillShade="D9"/>
          </w:tcPr>
          <w:p w14:paraId="0A5E81B9" w14:textId="36B96271" w:rsidR="008C706B" w:rsidRPr="008E424E" w:rsidRDefault="00CB050C" w:rsidP="00A959CF">
            <w:pPr>
              <w:jc w:val="right"/>
            </w:pPr>
            <w:r>
              <w:t>(21,068)</w:t>
            </w:r>
          </w:p>
        </w:tc>
        <w:tc>
          <w:tcPr>
            <w:tcW w:w="0" w:type="pct"/>
            <w:tcBorders>
              <w:top w:val="single" w:sz="4" w:space="0" w:color="auto"/>
              <w:bottom w:val="single" w:sz="4" w:space="0" w:color="auto"/>
            </w:tcBorders>
          </w:tcPr>
          <w:p w14:paraId="67FF91EE" w14:textId="38253B93" w:rsidR="008C706B" w:rsidRPr="008E424E" w:rsidRDefault="00CB050C" w:rsidP="00A959CF">
            <w:pPr>
              <w:jc w:val="right"/>
            </w:pPr>
            <w:r>
              <w:t>(56,098)</w:t>
            </w:r>
          </w:p>
        </w:tc>
        <w:tc>
          <w:tcPr>
            <w:tcW w:w="0" w:type="pct"/>
            <w:tcBorders>
              <w:top w:val="single" w:sz="4" w:space="0" w:color="auto"/>
              <w:bottom w:val="single" w:sz="4" w:space="0" w:color="auto"/>
            </w:tcBorders>
            <w:shd w:val="clear" w:color="auto" w:fill="auto"/>
          </w:tcPr>
          <w:p w14:paraId="778CF398" w14:textId="71BA9825" w:rsidR="008C706B" w:rsidRPr="008E424E" w:rsidRDefault="000479BF" w:rsidP="00A959CF">
            <w:pPr>
              <w:jc w:val="right"/>
            </w:pPr>
            <w:r>
              <w:t>(14,340)</w:t>
            </w:r>
          </w:p>
        </w:tc>
      </w:tr>
      <w:tr w:rsidR="008C706B" w:rsidRPr="000E7EED" w14:paraId="14088745" w14:textId="2164AC77" w:rsidTr="00785145">
        <w:tc>
          <w:tcPr>
            <w:tcW w:w="1898" w:type="pct"/>
            <w:tcBorders>
              <w:top w:val="single" w:sz="4" w:space="0" w:color="auto"/>
              <w:bottom w:val="single" w:sz="4" w:space="0" w:color="auto"/>
            </w:tcBorders>
          </w:tcPr>
          <w:p w14:paraId="21FAB84C" w14:textId="4E509FAD" w:rsidR="008C706B" w:rsidRPr="000E7EED" w:rsidRDefault="008C706B" w:rsidP="00A959CF">
            <w:pPr>
              <w:rPr>
                <w:b/>
                <w:color w:val="000000" w:themeColor="text1"/>
              </w:rPr>
            </w:pPr>
            <w:r w:rsidRPr="000E7EED">
              <w:rPr>
                <w:color w:val="000000" w:themeColor="text1"/>
              </w:rPr>
              <w:t xml:space="preserve">Staff </w:t>
            </w:r>
            <w:proofErr w:type="gramStart"/>
            <w:r w:rsidRPr="000E7EED">
              <w:rPr>
                <w:color w:val="000000" w:themeColor="text1"/>
              </w:rPr>
              <w:t>costs</w:t>
            </w:r>
            <w:r w:rsidR="00C9632A" w:rsidRPr="005B3D56">
              <w:rPr>
                <w:color w:val="000000" w:themeColor="text1"/>
                <w:vertAlign w:val="superscript"/>
              </w:rPr>
              <w:t>(</w:t>
            </w:r>
            <w:proofErr w:type="gramEnd"/>
            <w:r w:rsidR="00C9632A" w:rsidRPr="005B3D56">
              <w:rPr>
                <w:color w:val="000000" w:themeColor="text1"/>
                <w:vertAlign w:val="superscript"/>
              </w:rPr>
              <w:t>2)</w:t>
            </w:r>
          </w:p>
        </w:tc>
        <w:tc>
          <w:tcPr>
            <w:tcW w:w="653" w:type="pct"/>
            <w:tcBorders>
              <w:top w:val="single" w:sz="4" w:space="0" w:color="auto"/>
              <w:bottom w:val="single" w:sz="4" w:space="0" w:color="auto"/>
            </w:tcBorders>
            <w:vAlign w:val="center"/>
          </w:tcPr>
          <w:p w14:paraId="2A7D0078" w14:textId="16D5FD24" w:rsidR="008C706B" w:rsidRPr="008E424E" w:rsidRDefault="008C706B" w:rsidP="00A959CF">
            <w:pPr>
              <w:jc w:val="right"/>
            </w:pPr>
            <w:r>
              <w:rPr>
                <w:rStyle w:val="normaltextrun"/>
                <w:rFonts w:cs="Arial"/>
                <w:szCs w:val="22"/>
              </w:rPr>
              <w:t>(22,085)</w:t>
            </w:r>
            <w:r>
              <w:rPr>
                <w:rStyle w:val="eop"/>
                <w:szCs w:val="22"/>
              </w:rPr>
              <w:t> </w:t>
            </w:r>
          </w:p>
        </w:tc>
        <w:tc>
          <w:tcPr>
            <w:tcW w:w="0" w:type="pct"/>
            <w:tcBorders>
              <w:top w:val="single" w:sz="4" w:space="0" w:color="auto"/>
              <w:bottom w:val="single" w:sz="4" w:space="0" w:color="auto"/>
            </w:tcBorders>
            <w:shd w:val="clear" w:color="auto" w:fill="D9D9D9" w:themeFill="background1" w:themeFillShade="D9"/>
          </w:tcPr>
          <w:p w14:paraId="1887D2AA" w14:textId="38CE365C" w:rsidR="008C706B" w:rsidRPr="008E424E" w:rsidRDefault="000479BF" w:rsidP="00A959CF">
            <w:pPr>
              <w:jc w:val="right"/>
            </w:pPr>
            <w:r>
              <w:t>(25,548)</w:t>
            </w:r>
          </w:p>
        </w:tc>
        <w:tc>
          <w:tcPr>
            <w:tcW w:w="0" w:type="pct"/>
            <w:tcBorders>
              <w:top w:val="single" w:sz="4" w:space="0" w:color="auto"/>
              <w:bottom w:val="single" w:sz="4" w:space="0" w:color="auto"/>
            </w:tcBorders>
          </w:tcPr>
          <w:p w14:paraId="2AB58786" w14:textId="6442210F" w:rsidR="008C706B" w:rsidRPr="008E424E" w:rsidRDefault="000479BF" w:rsidP="00A959CF">
            <w:pPr>
              <w:jc w:val="right"/>
            </w:pPr>
            <w:r>
              <w:t>(95,</w:t>
            </w:r>
            <w:r w:rsidR="00811A99">
              <w:t>895)</w:t>
            </w:r>
          </w:p>
        </w:tc>
        <w:tc>
          <w:tcPr>
            <w:tcW w:w="0" w:type="pct"/>
            <w:tcBorders>
              <w:top w:val="single" w:sz="4" w:space="0" w:color="auto"/>
              <w:bottom w:val="single" w:sz="4" w:space="0" w:color="auto"/>
            </w:tcBorders>
            <w:shd w:val="clear" w:color="auto" w:fill="auto"/>
          </w:tcPr>
          <w:p w14:paraId="2E392228" w14:textId="62CE4DED" w:rsidR="008C706B" w:rsidRPr="008E424E" w:rsidRDefault="00811A99" w:rsidP="00A959CF">
            <w:pPr>
              <w:jc w:val="right"/>
            </w:pPr>
            <w:r>
              <w:t>(27,752)</w:t>
            </w:r>
          </w:p>
        </w:tc>
      </w:tr>
      <w:tr w:rsidR="008C706B" w:rsidRPr="000E7EED" w14:paraId="166EC63C" w14:textId="74BED741" w:rsidTr="00785145">
        <w:tc>
          <w:tcPr>
            <w:tcW w:w="1898" w:type="pct"/>
            <w:tcBorders>
              <w:top w:val="single" w:sz="4" w:space="0" w:color="auto"/>
              <w:bottom w:val="single" w:sz="4" w:space="0" w:color="auto"/>
            </w:tcBorders>
          </w:tcPr>
          <w:p w14:paraId="263A16AB" w14:textId="68858255" w:rsidR="008C706B" w:rsidRPr="000E7EED" w:rsidRDefault="008C706B" w:rsidP="00A959CF">
            <w:pPr>
              <w:rPr>
                <w:b/>
                <w:color w:val="000000" w:themeColor="text1"/>
              </w:rPr>
            </w:pPr>
            <w:r w:rsidRPr="000E7EED">
              <w:rPr>
                <w:color w:val="000000" w:themeColor="text1"/>
              </w:rPr>
              <w:t>Administration</w:t>
            </w:r>
            <w:r>
              <w:rPr>
                <w:color w:val="000000" w:themeColor="text1"/>
              </w:rPr>
              <w:t xml:space="preserve"> </w:t>
            </w:r>
            <w:r w:rsidRPr="005B3D56">
              <w:rPr>
                <w:color w:val="000000" w:themeColor="text1"/>
                <w:vertAlign w:val="superscript"/>
              </w:rPr>
              <w:t>(</w:t>
            </w:r>
            <w:r w:rsidR="00053FAE" w:rsidRPr="005B3D56">
              <w:rPr>
                <w:color w:val="000000" w:themeColor="text1"/>
                <w:vertAlign w:val="superscript"/>
              </w:rPr>
              <w:t>3</w:t>
            </w:r>
            <w:r w:rsidRPr="005B3D56">
              <w:rPr>
                <w:color w:val="000000" w:themeColor="text1"/>
                <w:vertAlign w:val="superscript"/>
              </w:rPr>
              <w:t>)</w:t>
            </w:r>
          </w:p>
        </w:tc>
        <w:tc>
          <w:tcPr>
            <w:tcW w:w="653" w:type="pct"/>
            <w:tcBorders>
              <w:top w:val="single" w:sz="4" w:space="0" w:color="auto"/>
              <w:bottom w:val="single" w:sz="4" w:space="0" w:color="auto"/>
            </w:tcBorders>
            <w:vAlign w:val="center"/>
          </w:tcPr>
          <w:p w14:paraId="1D84653B" w14:textId="2A5D1E1A" w:rsidR="008C706B" w:rsidRPr="008E424E" w:rsidRDefault="008C706B" w:rsidP="00A959CF">
            <w:pPr>
              <w:jc w:val="right"/>
            </w:pPr>
            <w:r>
              <w:rPr>
                <w:rStyle w:val="normaltextrun"/>
                <w:rFonts w:cs="Arial"/>
                <w:szCs w:val="22"/>
              </w:rPr>
              <w:t>(5,657)</w:t>
            </w:r>
            <w:r>
              <w:rPr>
                <w:rStyle w:val="eop"/>
                <w:szCs w:val="22"/>
              </w:rPr>
              <w:t> </w:t>
            </w:r>
          </w:p>
        </w:tc>
        <w:tc>
          <w:tcPr>
            <w:tcW w:w="0" w:type="pct"/>
            <w:tcBorders>
              <w:top w:val="single" w:sz="4" w:space="0" w:color="auto"/>
              <w:bottom w:val="single" w:sz="4" w:space="0" w:color="auto"/>
            </w:tcBorders>
            <w:shd w:val="clear" w:color="auto" w:fill="D9D9D9" w:themeFill="background1" w:themeFillShade="D9"/>
          </w:tcPr>
          <w:p w14:paraId="7B2C4A5E" w14:textId="09A87D5F" w:rsidR="008C706B" w:rsidRPr="008E424E" w:rsidRDefault="00AD7919" w:rsidP="00A959CF">
            <w:pPr>
              <w:jc w:val="right"/>
            </w:pPr>
            <w:r>
              <w:t>(8,296)</w:t>
            </w:r>
          </w:p>
        </w:tc>
        <w:tc>
          <w:tcPr>
            <w:tcW w:w="0" w:type="pct"/>
            <w:tcBorders>
              <w:top w:val="single" w:sz="4" w:space="0" w:color="auto"/>
              <w:bottom w:val="single" w:sz="4" w:space="0" w:color="auto"/>
            </w:tcBorders>
          </w:tcPr>
          <w:p w14:paraId="2A084A80" w14:textId="608A88BF" w:rsidR="008C706B" w:rsidRPr="008E424E" w:rsidRDefault="00AD7919" w:rsidP="00A959CF">
            <w:pPr>
              <w:jc w:val="right"/>
            </w:pPr>
            <w:r>
              <w:t>(2</w:t>
            </w:r>
            <w:r w:rsidR="00406C1E">
              <w:t>4,342</w:t>
            </w:r>
            <w:r w:rsidR="00A903AA">
              <w:t>)</w:t>
            </w:r>
          </w:p>
        </w:tc>
        <w:tc>
          <w:tcPr>
            <w:tcW w:w="0" w:type="pct"/>
            <w:tcBorders>
              <w:top w:val="single" w:sz="4" w:space="0" w:color="auto"/>
              <w:bottom w:val="single" w:sz="4" w:space="0" w:color="auto"/>
            </w:tcBorders>
            <w:shd w:val="clear" w:color="auto" w:fill="auto"/>
          </w:tcPr>
          <w:p w14:paraId="5854C7BB" w14:textId="5A83A36F" w:rsidR="008C706B" w:rsidRPr="008E424E" w:rsidRDefault="00A903AA" w:rsidP="00A959CF">
            <w:pPr>
              <w:jc w:val="right"/>
            </w:pPr>
            <w:r>
              <w:t>(5,396)</w:t>
            </w:r>
          </w:p>
        </w:tc>
      </w:tr>
      <w:tr w:rsidR="008C706B" w:rsidRPr="000E7EED" w14:paraId="50872415" w14:textId="4DB98384" w:rsidTr="00785145">
        <w:tc>
          <w:tcPr>
            <w:tcW w:w="1898" w:type="pct"/>
            <w:tcBorders>
              <w:top w:val="single" w:sz="4" w:space="0" w:color="auto"/>
              <w:bottom w:val="single" w:sz="4" w:space="0" w:color="auto"/>
            </w:tcBorders>
            <w:shd w:val="clear" w:color="auto" w:fill="D9D9D9" w:themeFill="background1" w:themeFillShade="D9"/>
          </w:tcPr>
          <w:p w14:paraId="7120B54E" w14:textId="7293B026" w:rsidR="008C706B" w:rsidRPr="000E7EED" w:rsidRDefault="008C706B" w:rsidP="00A959CF">
            <w:pPr>
              <w:rPr>
                <w:b/>
                <w:color w:val="000000" w:themeColor="text1"/>
              </w:rPr>
            </w:pPr>
            <w:r w:rsidRPr="000E7EED">
              <w:rPr>
                <w:b/>
                <w:color w:val="000000" w:themeColor="text1"/>
              </w:rPr>
              <w:t>Total expenditure</w:t>
            </w:r>
            <w:r>
              <w:rPr>
                <w:b/>
                <w:color w:val="000000" w:themeColor="text1"/>
              </w:rPr>
              <w:t xml:space="preserve"> </w:t>
            </w:r>
            <w:r>
              <w:rPr>
                <w:color w:val="000000" w:themeColor="text1"/>
              </w:rPr>
              <w:t>before Depreciation and revaluation</w:t>
            </w:r>
            <w:r>
              <w:rPr>
                <w:b/>
                <w:color w:val="000000" w:themeColor="text1"/>
              </w:rPr>
              <w:t xml:space="preserve"> </w:t>
            </w:r>
          </w:p>
        </w:tc>
        <w:tc>
          <w:tcPr>
            <w:tcW w:w="653" w:type="pct"/>
            <w:tcBorders>
              <w:top w:val="single" w:sz="4" w:space="0" w:color="auto"/>
              <w:bottom w:val="single" w:sz="4" w:space="0" w:color="auto"/>
            </w:tcBorders>
            <w:shd w:val="clear" w:color="auto" w:fill="D9D9D9" w:themeFill="background1" w:themeFillShade="D9"/>
            <w:vAlign w:val="center"/>
          </w:tcPr>
          <w:p w14:paraId="0ED87789" w14:textId="5158A4FC" w:rsidR="008C706B" w:rsidRPr="00894561" w:rsidRDefault="008C706B" w:rsidP="00A959CF">
            <w:pPr>
              <w:jc w:val="right"/>
              <w:rPr>
                <w:b/>
                <w:bCs/>
              </w:rPr>
            </w:pPr>
            <w:r>
              <w:rPr>
                <w:rStyle w:val="normaltextrun"/>
                <w:rFonts w:cs="Arial"/>
                <w:b/>
                <w:bCs/>
                <w:szCs w:val="22"/>
              </w:rPr>
              <w:t>(69,218)</w:t>
            </w:r>
            <w:r>
              <w:rPr>
                <w:rStyle w:val="eop"/>
                <w:szCs w:val="22"/>
              </w:rPr>
              <w:t> </w:t>
            </w:r>
          </w:p>
        </w:tc>
        <w:tc>
          <w:tcPr>
            <w:tcW w:w="0" w:type="pct"/>
            <w:tcBorders>
              <w:top w:val="single" w:sz="4" w:space="0" w:color="auto"/>
              <w:bottom w:val="single" w:sz="4" w:space="0" w:color="auto"/>
            </w:tcBorders>
            <w:shd w:val="clear" w:color="auto" w:fill="D9D9D9" w:themeFill="background1" w:themeFillShade="D9"/>
          </w:tcPr>
          <w:p w14:paraId="216E8289" w14:textId="6B10D1CC" w:rsidR="008C706B" w:rsidRPr="00894561" w:rsidRDefault="00B23477" w:rsidP="00A959CF">
            <w:pPr>
              <w:jc w:val="right"/>
              <w:rPr>
                <w:b/>
                <w:bCs/>
              </w:rPr>
            </w:pPr>
            <w:r>
              <w:rPr>
                <w:b/>
                <w:bCs/>
              </w:rPr>
              <w:t>(84,617)</w:t>
            </w:r>
          </w:p>
        </w:tc>
        <w:tc>
          <w:tcPr>
            <w:tcW w:w="0" w:type="pct"/>
            <w:tcBorders>
              <w:top w:val="single" w:sz="4" w:space="0" w:color="auto"/>
              <w:bottom w:val="single" w:sz="4" w:space="0" w:color="auto"/>
            </w:tcBorders>
            <w:shd w:val="clear" w:color="auto" w:fill="D9D9D9" w:themeFill="background1" w:themeFillShade="D9"/>
          </w:tcPr>
          <w:p w14:paraId="5005018C" w14:textId="3DACE965" w:rsidR="008C706B" w:rsidRPr="00894561" w:rsidRDefault="00B23477" w:rsidP="00A959CF">
            <w:pPr>
              <w:jc w:val="right"/>
              <w:rPr>
                <w:b/>
                <w:bCs/>
              </w:rPr>
            </w:pPr>
            <w:r>
              <w:rPr>
                <w:b/>
                <w:bCs/>
              </w:rPr>
              <w:t>(291,</w:t>
            </w:r>
            <w:r w:rsidR="00DD3839">
              <w:rPr>
                <w:b/>
                <w:bCs/>
              </w:rPr>
              <w:t>687</w:t>
            </w:r>
            <w:r>
              <w:rPr>
                <w:b/>
                <w:bCs/>
              </w:rPr>
              <w:t>)</w:t>
            </w:r>
          </w:p>
        </w:tc>
        <w:tc>
          <w:tcPr>
            <w:tcW w:w="0" w:type="pct"/>
            <w:tcBorders>
              <w:top w:val="single" w:sz="4" w:space="0" w:color="auto"/>
              <w:bottom w:val="single" w:sz="4" w:space="0" w:color="auto"/>
            </w:tcBorders>
            <w:shd w:val="clear" w:color="auto" w:fill="D9D9D9" w:themeFill="background1" w:themeFillShade="D9"/>
          </w:tcPr>
          <w:p w14:paraId="60F7321F" w14:textId="77F0DC4C" w:rsidR="008C706B" w:rsidRPr="00894561" w:rsidRDefault="00B23477" w:rsidP="00A959CF">
            <w:pPr>
              <w:jc w:val="right"/>
              <w:rPr>
                <w:b/>
                <w:bCs/>
              </w:rPr>
            </w:pPr>
            <w:r>
              <w:rPr>
                <w:b/>
                <w:bCs/>
              </w:rPr>
              <w:t>(76,56</w:t>
            </w:r>
            <w:r w:rsidR="00D445E0">
              <w:rPr>
                <w:b/>
                <w:bCs/>
              </w:rPr>
              <w:t>5)</w:t>
            </w:r>
          </w:p>
        </w:tc>
      </w:tr>
      <w:tr w:rsidR="008C706B" w:rsidRPr="000E7EED" w14:paraId="07F54B9E" w14:textId="0D290D86" w:rsidTr="00785145">
        <w:tc>
          <w:tcPr>
            <w:tcW w:w="1898" w:type="pct"/>
            <w:tcBorders>
              <w:top w:val="single" w:sz="4" w:space="0" w:color="auto"/>
              <w:bottom w:val="single" w:sz="4" w:space="0" w:color="auto"/>
            </w:tcBorders>
            <w:shd w:val="clear" w:color="auto" w:fill="auto"/>
          </w:tcPr>
          <w:p w14:paraId="3C82F621" w14:textId="2D8291A6" w:rsidR="008C706B" w:rsidRDefault="008C706B" w:rsidP="00A959CF">
            <w:pPr>
              <w:rPr>
                <w:bCs/>
                <w:color w:val="000000" w:themeColor="text1"/>
              </w:rPr>
            </w:pPr>
            <w:r>
              <w:rPr>
                <w:bCs/>
                <w:color w:val="000000" w:themeColor="text1"/>
              </w:rPr>
              <w:t xml:space="preserve">Depreciation and Revaluation </w:t>
            </w:r>
            <w:r w:rsidRPr="00FF477C">
              <w:rPr>
                <w:color w:val="000000" w:themeColor="text1"/>
                <w:vertAlign w:val="superscript"/>
              </w:rPr>
              <w:t>(3)</w:t>
            </w:r>
            <w:r w:rsidR="00053FAE">
              <w:rPr>
                <w:bCs/>
                <w:color w:val="000000" w:themeColor="text1"/>
              </w:rPr>
              <w:t xml:space="preserve"> </w:t>
            </w:r>
          </w:p>
        </w:tc>
        <w:tc>
          <w:tcPr>
            <w:tcW w:w="653" w:type="pct"/>
            <w:tcBorders>
              <w:top w:val="single" w:sz="4" w:space="0" w:color="auto"/>
              <w:bottom w:val="single" w:sz="4" w:space="0" w:color="auto"/>
            </w:tcBorders>
            <w:shd w:val="clear" w:color="auto" w:fill="auto"/>
            <w:vAlign w:val="center"/>
          </w:tcPr>
          <w:p w14:paraId="072936CB" w14:textId="50BE33B5" w:rsidR="008C706B" w:rsidRPr="00B13EF6" w:rsidRDefault="008C706B" w:rsidP="00A959CF">
            <w:pPr>
              <w:jc w:val="right"/>
            </w:pPr>
            <w:r>
              <w:rPr>
                <w:rStyle w:val="normaltextrun"/>
                <w:rFonts w:cs="Arial"/>
                <w:szCs w:val="22"/>
              </w:rPr>
              <w:t>(511)</w:t>
            </w:r>
            <w:r>
              <w:rPr>
                <w:rStyle w:val="eop"/>
                <w:szCs w:val="22"/>
              </w:rPr>
              <w:t> </w:t>
            </w:r>
          </w:p>
        </w:tc>
        <w:tc>
          <w:tcPr>
            <w:tcW w:w="0" w:type="pct"/>
            <w:tcBorders>
              <w:top w:val="single" w:sz="4" w:space="0" w:color="auto"/>
              <w:bottom w:val="single" w:sz="4" w:space="0" w:color="auto"/>
            </w:tcBorders>
            <w:shd w:val="clear" w:color="auto" w:fill="D9D9D9" w:themeFill="background1" w:themeFillShade="D9"/>
          </w:tcPr>
          <w:p w14:paraId="5327C550" w14:textId="793FA8AB" w:rsidR="008C706B" w:rsidRPr="000A1E6F" w:rsidRDefault="00D445E0" w:rsidP="00A959CF">
            <w:pPr>
              <w:jc w:val="right"/>
            </w:pPr>
            <w:r>
              <w:t>(3,449)</w:t>
            </w:r>
          </w:p>
        </w:tc>
        <w:tc>
          <w:tcPr>
            <w:tcW w:w="0" w:type="pct"/>
            <w:tcBorders>
              <w:top w:val="single" w:sz="4" w:space="0" w:color="auto"/>
              <w:bottom w:val="single" w:sz="4" w:space="0" w:color="auto"/>
            </w:tcBorders>
          </w:tcPr>
          <w:p w14:paraId="5B3FA1BC" w14:textId="3C5D3444" w:rsidR="008C706B" w:rsidRPr="000A1E6F" w:rsidRDefault="00D445E0" w:rsidP="00A959CF">
            <w:pPr>
              <w:jc w:val="right"/>
            </w:pPr>
            <w:r>
              <w:t>(5,018)</w:t>
            </w:r>
          </w:p>
        </w:tc>
        <w:tc>
          <w:tcPr>
            <w:tcW w:w="0" w:type="pct"/>
            <w:tcBorders>
              <w:top w:val="single" w:sz="4" w:space="0" w:color="auto"/>
              <w:bottom w:val="single" w:sz="4" w:space="0" w:color="auto"/>
            </w:tcBorders>
            <w:shd w:val="clear" w:color="auto" w:fill="auto"/>
          </w:tcPr>
          <w:p w14:paraId="7AF879A9" w14:textId="5DDEE85B" w:rsidR="008C706B" w:rsidRPr="000A1E6F" w:rsidRDefault="00B05AB0" w:rsidP="00A959CF">
            <w:pPr>
              <w:jc w:val="right"/>
            </w:pPr>
            <w:r>
              <w:t>(710)</w:t>
            </w:r>
          </w:p>
        </w:tc>
      </w:tr>
      <w:tr w:rsidR="008C706B" w:rsidRPr="000E7EED" w14:paraId="1CE8541B" w14:textId="7F17E55A" w:rsidTr="00785145">
        <w:tc>
          <w:tcPr>
            <w:tcW w:w="1898" w:type="pct"/>
            <w:tcBorders>
              <w:top w:val="single" w:sz="4" w:space="0" w:color="auto"/>
              <w:bottom w:val="single" w:sz="4" w:space="0" w:color="auto"/>
            </w:tcBorders>
            <w:shd w:val="clear" w:color="auto" w:fill="D9D9D9" w:themeFill="background1" w:themeFillShade="D9"/>
          </w:tcPr>
          <w:p w14:paraId="18FB2D06" w14:textId="1EACFAC2" w:rsidR="008C706B" w:rsidRPr="00E5707B" w:rsidRDefault="008C706B" w:rsidP="00A959CF">
            <w:pPr>
              <w:rPr>
                <w:b/>
                <w:color w:val="000000" w:themeColor="text1"/>
              </w:rPr>
            </w:pPr>
            <w:r w:rsidRPr="00E5707B">
              <w:rPr>
                <w:b/>
                <w:color w:val="000000" w:themeColor="text1"/>
              </w:rPr>
              <w:t>Total Expenditure</w:t>
            </w:r>
          </w:p>
        </w:tc>
        <w:tc>
          <w:tcPr>
            <w:tcW w:w="653" w:type="pct"/>
            <w:tcBorders>
              <w:top w:val="single" w:sz="4" w:space="0" w:color="auto"/>
              <w:bottom w:val="single" w:sz="4" w:space="0" w:color="auto"/>
            </w:tcBorders>
            <w:shd w:val="clear" w:color="auto" w:fill="D9D9D9" w:themeFill="background1" w:themeFillShade="D9"/>
            <w:vAlign w:val="center"/>
          </w:tcPr>
          <w:p w14:paraId="76FB0562" w14:textId="2BD290A1" w:rsidR="008C706B" w:rsidRPr="00C97F8C" w:rsidRDefault="008C706B" w:rsidP="00A959CF">
            <w:pPr>
              <w:jc w:val="right"/>
              <w:rPr>
                <w:b/>
                <w:bCs/>
              </w:rPr>
            </w:pPr>
            <w:r>
              <w:rPr>
                <w:rStyle w:val="normaltextrun"/>
                <w:rFonts w:cs="Arial"/>
                <w:b/>
                <w:bCs/>
                <w:szCs w:val="22"/>
              </w:rPr>
              <w:t>(69,728)</w:t>
            </w:r>
            <w:r>
              <w:rPr>
                <w:rStyle w:val="eop"/>
                <w:szCs w:val="22"/>
              </w:rPr>
              <w:t> </w:t>
            </w:r>
          </w:p>
        </w:tc>
        <w:tc>
          <w:tcPr>
            <w:tcW w:w="0" w:type="pct"/>
            <w:tcBorders>
              <w:top w:val="single" w:sz="4" w:space="0" w:color="auto"/>
              <w:bottom w:val="single" w:sz="4" w:space="0" w:color="auto"/>
            </w:tcBorders>
            <w:shd w:val="clear" w:color="auto" w:fill="D9D9D9" w:themeFill="background1" w:themeFillShade="D9"/>
          </w:tcPr>
          <w:p w14:paraId="170A8860" w14:textId="58C0E419" w:rsidR="008C706B" w:rsidRPr="00C97F8C" w:rsidRDefault="00BA5DA0" w:rsidP="00A959CF">
            <w:pPr>
              <w:jc w:val="right"/>
              <w:rPr>
                <w:b/>
                <w:bCs/>
              </w:rPr>
            </w:pPr>
            <w:r>
              <w:rPr>
                <w:b/>
                <w:bCs/>
              </w:rPr>
              <w:t>(88,</w:t>
            </w:r>
            <w:r w:rsidR="006B16AC">
              <w:rPr>
                <w:b/>
                <w:bCs/>
              </w:rPr>
              <w:t>066)</w:t>
            </w:r>
          </w:p>
        </w:tc>
        <w:tc>
          <w:tcPr>
            <w:tcW w:w="0" w:type="pct"/>
            <w:tcBorders>
              <w:top w:val="single" w:sz="4" w:space="0" w:color="auto"/>
              <w:bottom w:val="single" w:sz="4" w:space="0" w:color="auto"/>
            </w:tcBorders>
            <w:shd w:val="clear" w:color="auto" w:fill="D9D9D9" w:themeFill="background1" w:themeFillShade="D9"/>
          </w:tcPr>
          <w:p w14:paraId="2940F799" w14:textId="051A4B80" w:rsidR="008C706B" w:rsidRPr="00C97F8C" w:rsidRDefault="006B16AC" w:rsidP="00A959CF">
            <w:pPr>
              <w:jc w:val="right"/>
              <w:rPr>
                <w:b/>
                <w:bCs/>
              </w:rPr>
            </w:pPr>
            <w:r>
              <w:rPr>
                <w:b/>
                <w:bCs/>
              </w:rPr>
              <w:t>(296,</w:t>
            </w:r>
            <w:r w:rsidR="00D623FF">
              <w:rPr>
                <w:b/>
                <w:bCs/>
              </w:rPr>
              <w:t>705</w:t>
            </w:r>
            <w:r>
              <w:rPr>
                <w:b/>
                <w:bCs/>
              </w:rPr>
              <w:t>)</w:t>
            </w:r>
          </w:p>
        </w:tc>
        <w:tc>
          <w:tcPr>
            <w:tcW w:w="0" w:type="pct"/>
            <w:tcBorders>
              <w:top w:val="single" w:sz="4" w:space="0" w:color="auto"/>
              <w:bottom w:val="single" w:sz="4" w:space="0" w:color="auto"/>
            </w:tcBorders>
            <w:shd w:val="clear" w:color="auto" w:fill="D9D9D9" w:themeFill="background1" w:themeFillShade="D9"/>
          </w:tcPr>
          <w:p w14:paraId="52C6B8C3" w14:textId="532EA008" w:rsidR="008C706B" w:rsidRPr="00C97F8C" w:rsidRDefault="006B16AC" w:rsidP="00A959CF">
            <w:pPr>
              <w:jc w:val="right"/>
              <w:rPr>
                <w:b/>
                <w:bCs/>
              </w:rPr>
            </w:pPr>
            <w:r>
              <w:rPr>
                <w:b/>
                <w:bCs/>
              </w:rPr>
              <w:t>(77,275)</w:t>
            </w:r>
          </w:p>
        </w:tc>
      </w:tr>
    </w:tbl>
    <w:bookmarkEnd w:id="4"/>
    <w:bookmarkEnd w:id="5"/>
    <w:bookmarkEnd w:id="7"/>
    <w:p w14:paraId="57C92439" w14:textId="3B952D19" w:rsidR="00DF7EE3" w:rsidRDefault="00DF7EE3" w:rsidP="00DF7EE3">
      <w:pPr>
        <w:pStyle w:val="Heading3"/>
        <w:numPr>
          <w:ilvl w:val="0"/>
          <w:numId w:val="43"/>
        </w:numPr>
        <w:spacing w:before="0"/>
        <w:rPr>
          <w:b w:val="0"/>
          <w:bCs w:val="0"/>
          <w:sz w:val="18"/>
          <w:szCs w:val="18"/>
        </w:rPr>
      </w:pPr>
      <w:r>
        <w:rPr>
          <w:b w:val="0"/>
          <w:bCs w:val="0"/>
          <w:sz w:val="18"/>
          <w:szCs w:val="18"/>
        </w:rPr>
        <w:t>Community Legal Centre payments</w:t>
      </w:r>
      <w:r w:rsidRPr="00FF477C">
        <w:rPr>
          <w:b w:val="0"/>
          <w:bCs w:val="0"/>
          <w:sz w:val="18"/>
          <w:szCs w:val="18"/>
        </w:rPr>
        <w:t xml:space="preserve"> include funding f</w:t>
      </w:r>
      <w:r>
        <w:rPr>
          <w:b w:val="0"/>
          <w:bCs w:val="0"/>
          <w:sz w:val="18"/>
          <w:szCs w:val="18"/>
        </w:rPr>
        <w:t>rom the Commonwealth</w:t>
      </w:r>
      <w:r w:rsidRPr="00FF477C">
        <w:rPr>
          <w:b w:val="0"/>
          <w:bCs w:val="0"/>
          <w:sz w:val="18"/>
          <w:szCs w:val="18"/>
        </w:rPr>
        <w:t>, which is considered Administered funding in the Annual Report</w:t>
      </w:r>
    </w:p>
    <w:p w14:paraId="70A2E793" w14:textId="3593DC91" w:rsidR="00C9632A" w:rsidRDefault="00C9632A" w:rsidP="00053FAE">
      <w:pPr>
        <w:pStyle w:val="Heading3"/>
        <w:numPr>
          <w:ilvl w:val="0"/>
          <w:numId w:val="43"/>
        </w:numPr>
        <w:spacing w:before="0"/>
        <w:rPr>
          <w:b w:val="0"/>
          <w:bCs w:val="0"/>
          <w:sz w:val="18"/>
          <w:szCs w:val="18"/>
        </w:rPr>
      </w:pPr>
      <w:r w:rsidRPr="005B3D56">
        <w:rPr>
          <w:b w:val="0"/>
          <w:bCs w:val="0"/>
          <w:sz w:val="18"/>
          <w:szCs w:val="18"/>
        </w:rPr>
        <w:t xml:space="preserve">Staff costs include </w:t>
      </w:r>
      <w:r w:rsidR="00E303F8" w:rsidRPr="005B3D56">
        <w:rPr>
          <w:b w:val="0"/>
          <w:bCs w:val="0"/>
          <w:sz w:val="18"/>
          <w:szCs w:val="18"/>
        </w:rPr>
        <w:t xml:space="preserve">some </w:t>
      </w:r>
      <w:r w:rsidR="00053FAE" w:rsidRPr="005B3D56">
        <w:rPr>
          <w:b w:val="0"/>
          <w:bCs w:val="0"/>
          <w:sz w:val="18"/>
          <w:szCs w:val="18"/>
        </w:rPr>
        <w:t>payments that are considered Other operating expenses in the Annual Report</w:t>
      </w:r>
    </w:p>
    <w:p w14:paraId="28599111" w14:textId="0D4B0B53" w:rsidR="00053FAE" w:rsidRPr="005B3D56" w:rsidRDefault="001F265D" w:rsidP="005B3D56">
      <w:pPr>
        <w:pStyle w:val="Heading3"/>
        <w:numPr>
          <w:ilvl w:val="0"/>
          <w:numId w:val="43"/>
        </w:numPr>
        <w:spacing w:before="0"/>
        <w:rPr>
          <w:b w:val="0"/>
          <w:sz w:val="18"/>
          <w:szCs w:val="18"/>
        </w:rPr>
      </w:pPr>
      <w:r w:rsidRPr="005B3D56">
        <w:rPr>
          <w:b w:val="0"/>
          <w:bCs w:val="0"/>
          <w:sz w:val="18"/>
          <w:szCs w:val="18"/>
        </w:rPr>
        <w:t xml:space="preserve">Lease expenses are included in Administration above to better reflect the nature of the expenditure, </w:t>
      </w:r>
      <w:r w:rsidR="00584B0F" w:rsidRPr="00584B0F">
        <w:rPr>
          <w:b w:val="0"/>
          <w:bCs w:val="0"/>
          <w:sz w:val="18"/>
          <w:szCs w:val="18"/>
        </w:rPr>
        <w:t>however,</w:t>
      </w:r>
      <w:r w:rsidRPr="005B3D56">
        <w:rPr>
          <w:b w:val="0"/>
          <w:bCs w:val="0"/>
          <w:sz w:val="18"/>
          <w:szCs w:val="18"/>
        </w:rPr>
        <w:t xml:space="preserve"> are included under Depreciation and Amortisation in the Annual Report in line with accounting standards</w:t>
      </w:r>
    </w:p>
    <w:p w14:paraId="57E0E1FC" w14:textId="36EAD9B4" w:rsidR="001F265D" w:rsidRPr="00584B0F" w:rsidRDefault="001F265D" w:rsidP="00584B0F">
      <w:pPr>
        <w:pStyle w:val="Heading3"/>
        <w:numPr>
          <w:ilvl w:val="0"/>
          <w:numId w:val="43"/>
        </w:numPr>
        <w:spacing w:before="0"/>
        <w:rPr>
          <w:b w:val="0"/>
          <w:bCs w:val="0"/>
          <w:sz w:val="18"/>
          <w:szCs w:val="18"/>
        </w:rPr>
      </w:pPr>
      <w:r w:rsidRPr="005B3D56">
        <w:rPr>
          <w:b w:val="0"/>
          <w:bCs w:val="0"/>
          <w:sz w:val="18"/>
          <w:szCs w:val="18"/>
        </w:rPr>
        <w:t xml:space="preserve">Includes </w:t>
      </w:r>
      <w:r w:rsidR="00826B9D" w:rsidRPr="005B3D56">
        <w:rPr>
          <w:b w:val="0"/>
          <w:bCs w:val="0"/>
          <w:sz w:val="18"/>
          <w:szCs w:val="18"/>
        </w:rPr>
        <w:t xml:space="preserve">the revaluation of </w:t>
      </w:r>
      <w:r w:rsidR="00584B0F" w:rsidRPr="005B3D56">
        <w:rPr>
          <w:b w:val="0"/>
          <w:bCs w:val="0"/>
          <w:sz w:val="18"/>
          <w:szCs w:val="18"/>
        </w:rPr>
        <w:t>client</w:t>
      </w:r>
      <w:r w:rsidR="00E1713A" w:rsidRPr="005B3D56">
        <w:rPr>
          <w:b w:val="0"/>
          <w:bCs w:val="0"/>
          <w:sz w:val="18"/>
          <w:szCs w:val="18"/>
        </w:rPr>
        <w:t xml:space="preserve"> contributions, which are </w:t>
      </w:r>
      <w:r w:rsidR="00584B0F" w:rsidRPr="005B3D56">
        <w:rPr>
          <w:b w:val="0"/>
          <w:bCs w:val="0"/>
          <w:sz w:val="18"/>
          <w:szCs w:val="18"/>
        </w:rPr>
        <w:t>recorded as a net loss on non-financial assets in the Annual Report</w:t>
      </w:r>
    </w:p>
    <w:p w14:paraId="7AEF38E3" w14:textId="1DC7C9B9" w:rsidR="00461300" w:rsidRPr="00123404" w:rsidRDefault="00461300" w:rsidP="007B58EB">
      <w:pPr>
        <w:spacing w:after="0" w:line="240" w:lineRule="auto"/>
        <w:rPr>
          <w:rFonts w:cs="Arial"/>
          <w:b/>
          <w:color w:val="000000" w:themeColor="text1"/>
          <w:sz w:val="28"/>
          <w:szCs w:val="28"/>
          <w:lang w:eastAsia="en-AU"/>
        </w:rPr>
      </w:pPr>
    </w:p>
    <w:sectPr w:rsidR="00461300" w:rsidRPr="00123404" w:rsidSect="0039260E">
      <w:headerReference w:type="even" r:id="rId17"/>
      <w:headerReference w:type="default" r:id="rId18"/>
      <w:footerReference w:type="even" r:id="rId19"/>
      <w:footerReference w:type="default" r:id="rId20"/>
      <w:headerReference w:type="first" r:id="rId21"/>
      <w:footerReference w:type="first" r:id="rId22"/>
      <w:pgSz w:w="11900" w:h="1682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216D4" w14:textId="77777777" w:rsidR="002C25DB" w:rsidRDefault="002C25DB">
      <w:pPr>
        <w:spacing w:after="0" w:line="240" w:lineRule="auto"/>
      </w:pPr>
      <w:r>
        <w:separator/>
      </w:r>
    </w:p>
  </w:endnote>
  <w:endnote w:type="continuationSeparator" w:id="0">
    <w:p w14:paraId="3C94CBCC" w14:textId="77777777" w:rsidR="002C25DB" w:rsidRDefault="002C25DB">
      <w:pPr>
        <w:spacing w:after="0" w:line="240" w:lineRule="auto"/>
      </w:pPr>
      <w:r>
        <w:continuationSeparator/>
      </w:r>
    </w:p>
  </w:endnote>
  <w:endnote w:type="continuationNotice" w:id="1">
    <w:p w14:paraId="4C18579D" w14:textId="77777777" w:rsidR="002C25DB" w:rsidRDefault="002C25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Bold">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EA587" w14:textId="77777777" w:rsidR="0095574A" w:rsidRDefault="0095574A" w:rsidP="003926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EC0D602" w14:textId="77777777" w:rsidR="0095574A" w:rsidRDefault="0095574A" w:rsidP="0039260E">
    <w:pPr>
      <w:pStyle w:val="Footer"/>
      <w:ind w:right="360" w:firstLine="360"/>
    </w:pPr>
  </w:p>
  <w:p w14:paraId="16DEB36A" w14:textId="77777777" w:rsidR="0095574A" w:rsidRDefault="0095574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4B773" w14:textId="77777777" w:rsidR="0095574A" w:rsidRDefault="0095574A" w:rsidP="0039260E">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58241" behindDoc="0" locked="1" layoutInCell="1" allowOverlap="1" wp14:anchorId="07A85DE2" wp14:editId="61266657">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7BE37D07">
            <v:line id="Line 3"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alt=" " o:spid="_x0000_s1026" strokecolor="#b1005d" strokeweight=".5pt" from="14.2pt,805.95pt" to="581.15pt,805.95pt" w14:anchorId="3CE4BE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A45FC" w14:textId="77777777" w:rsidR="0095574A" w:rsidRPr="008636E1" w:rsidRDefault="0095574A" w:rsidP="0039260E">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58242" behindDoc="0" locked="1" layoutInCell="1" allowOverlap="1" wp14:anchorId="5079D053" wp14:editId="6C39E275">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0DA3BE84">
            <v:line id="Line 3"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alt=" " o:spid="_x0000_s1026" strokecolor="#b1005d" strokeweight=".5pt" from="14.2pt,805.95pt" to="581.15pt,805.95pt" w14:anchorId="602702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2C633" w14:textId="77777777" w:rsidR="002C25DB" w:rsidRDefault="002C25DB">
      <w:pPr>
        <w:spacing w:after="0" w:line="240" w:lineRule="auto"/>
      </w:pPr>
      <w:r>
        <w:separator/>
      </w:r>
    </w:p>
  </w:footnote>
  <w:footnote w:type="continuationSeparator" w:id="0">
    <w:p w14:paraId="2BDED3EE" w14:textId="77777777" w:rsidR="002C25DB" w:rsidRDefault="002C25DB">
      <w:pPr>
        <w:spacing w:after="0" w:line="240" w:lineRule="auto"/>
      </w:pPr>
      <w:r>
        <w:continuationSeparator/>
      </w:r>
    </w:p>
  </w:footnote>
  <w:footnote w:type="continuationNotice" w:id="1">
    <w:p w14:paraId="0FC03E03" w14:textId="77777777" w:rsidR="002C25DB" w:rsidRDefault="002C25DB">
      <w:pPr>
        <w:spacing w:after="0" w:line="240" w:lineRule="auto"/>
      </w:pPr>
    </w:p>
  </w:footnote>
  <w:footnote w:id="2">
    <w:p w14:paraId="393D1CF4" w14:textId="77777777" w:rsidR="00D5126E" w:rsidRDefault="00D5126E" w:rsidP="004175B7">
      <w:pPr>
        <w:pStyle w:val="FootnoteText"/>
      </w:pPr>
      <w:r>
        <w:rPr>
          <w:rStyle w:val="FootnoteReference"/>
        </w:rPr>
        <w:footnoteRef/>
      </w:r>
      <w:r>
        <w:t xml:space="preserve">A unique client is an individual who has accessed one or more of our legal services and a client lawyer relationship was formed. We count our unique clients the first time we see them in the year. This definition does not include those clients who received information over the phone or via our online web chat (Legal Help), from our website, in person at a court counter or those who attended one of our community legal education sessions. </w:t>
      </w:r>
    </w:p>
  </w:footnote>
  <w:footnote w:id="3">
    <w:p w14:paraId="5806F87A" w14:textId="35AE3ECB" w:rsidR="0080678C" w:rsidRDefault="0080678C">
      <w:pPr>
        <w:pStyle w:val="FootnoteText"/>
      </w:pPr>
      <w:r>
        <w:rPr>
          <w:rStyle w:val="FootnoteReference"/>
        </w:rPr>
        <w:footnoteRef/>
      </w:r>
      <w:r>
        <w:t xml:space="preserve"> The year-end total </w:t>
      </w:r>
      <w:r w:rsidR="00115696">
        <w:t>for Legal Advice in 2021-22 will appear different to the figure included in the annual report. Pre-court</w:t>
      </w:r>
      <w:r w:rsidR="004451C9">
        <w:t xml:space="preserve"> advice has been included </w:t>
      </w:r>
      <w:r w:rsidR="00217617">
        <w:t>in the quarterly reports</w:t>
      </w:r>
      <w:r w:rsidR="006C25B4">
        <w:t xml:space="preserve"> where it has not been included in the annual report.</w:t>
      </w:r>
    </w:p>
  </w:footnote>
  <w:footnote w:id="4">
    <w:p w14:paraId="752BF97C" w14:textId="4283D3C0" w:rsidR="006C25B4" w:rsidRDefault="006C25B4">
      <w:pPr>
        <w:pStyle w:val="FootnoteText"/>
      </w:pPr>
      <w:r>
        <w:rPr>
          <w:rStyle w:val="FootnoteReference"/>
        </w:rPr>
        <w:footnoteRef/>
      </w:r>
      <w:r>
        <w:t xml:space="preserve"> The year-end total for Duty Lawyer Services in 2021-22 will appear different to the figure included in the annual report.</w:t>
      </w:r>
      <w:r w:rsidR="00E573ED">
        <w:t xml:space="preserve"> This report does not include duty lawyer services delivered by community legal centres.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F47CB" w14:textId="77777777" w:rsidR="0095574A" w:rsidRDefault="0095574A" w:rsidP="0039260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F42141A" w14:textId="77777777" w:rsidR="0095574A" w:rsidRDefault="0095574A" w:rsidP="0039260E">
    <w:pPr>
      <w:pStyle w:val="Header"/>
      <w:ind w:right="360"/>
    </w:pPr>
  </w:p>
  <w:p w14:paraId="250A3616" w14:textId="77777777" w:rsidR="0095574A" w:rsidRDefault="009557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457EE" w14:textId="18C07793" w:rsidR="0095574A" w:rsidRPr="006A6FC6" w:rsidRDefault="00151254" w:rsidP="0039260E">
    <w:pPr>
      <w:tabs>
        <w:tab w:val="left" w:pos="6893"/>
      </w:tabs>
      <w:spacing w:after="80" w:line="240" w:lineRule="auto"/>
      <w:ind w:left="-330"/>
      <w:rPr>
        <w:rFonts w:cs="Arial"/>
        <w:color w:val="B1005D"/>
        <w:sz w:val="18"/>
        <w:szCs w:val="18"/>
      </w:rPr>
    </w:pPr>
    <w:r>
      <w:rPr>
        <w:rFonts w:cs="Arial"/>
        <w:noProof/>
        <w:color w:val="B1005D"/>
        <w:sz w:val="18"/>
        <w:szCs w:val="18"/>
      </w:rPr>
      <mc:AlternateContent>
        <mc:Choice Requires="wps">
          <w:drawing>
            <wp:anchor distT="0" distB="0" distL="114300" distR="114300" simplePos="0" relativeHeight="251658243" behindDoc="0" locked="0" layoutInCell="0" allowOverlap="1" wp14:anchorId="2AB80AB6" wp14:editId="5BC63D3B">
              <wp:simplePos x="0" y="0"/>
              <wp:positionH relativeFrom="page">
                <wp:posOffset>0</wp:posOffset>
              </wp:positionH>
              <wp:positionV relativeFrom="page">
                <wp:posOffset>190500</wp:posOffset>
              </wp:positionV>
              <wp:extent cx="7556500" cy="273050"/>
              <wp:effectExtent l="0" t="0" r="0" b="12700"/>
              <wp:wrapNone/>
              <wp:docPr id="1" name="MSIPCM25c7498e9d09d37ea7937414" descr="{&quot;HashCode&quot;:183827267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BE52D6" w14:textId="29C3F6C7" w:rsidR="00151254" w:rsidRPr="00151254" w:rsidRDefault="00151254" w:rsidP="00151254">
                          <w:pPr>
                            <w:spacing w:after="0"/>
                            <w:jc w:val="center"/>
                            <w:rPr>
                              <w:rFonts w:ascii="Calibri" w:hAnsi="Calibri" w:cs="Calibri"/>
                              <w:color w:val="000000"/>
                            </w:rPr>
                          </w:pPr>
                          <w:r w:rsidRPr="00151254">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672D024A">
            <v:shapetype id="_x0000_t202" coordsize="21600,21600" o:spt="202" path="m,l,21600r21600,l21600,xe" w14:anchorId="2AB80AB6">
              <v:stroke joinstyle="miter"/>
              <v:path gradientshapeok="t" o:connecttype="rect"/>
            </v:shapetype>
            <v:shape id="MSIPCM25c7498e9d09d37ea7937414" style="position:absolute;left:0;text-align:left;margin-left:0;margin-top:1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top" alt="{&quot;HashCode&quot;:1838272672,&quot;Height&quot;:841.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M0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">
              <v:textbox inset=",0,,0">
                <w:txbxContent>
                  <w:p w:rsidRPr="00151254" w:rsidR="00151254" w:rsidP="00151254" w:rsidRDefault="00151254" w14:paraId="08CE8BEA" w14:textId="29C3F6C7">
                    <w:pPr>
                      <w:spacing w:after="0"/>
                      <w:jc w:val="center"/>
                      <w:rPr>
                        <w:rFonts w:ascii="Calibri" w:hAnsi="Calibri" w:cs="Calibri"/>
                        <w:color w:val="000000"/>
                      </w:rPr>
                    </w:pPr>
                    <w:r w:rsidRPr="00151254">
                      <w:rPr>
                        <w:rFonts w:ascii="Calibri" w:hAnsi="Calibri" w:cs="Calibri"/>
                        <w:color w:val="000000"/>
                      </w:rPr>
                      <w:t>OFFICIAL</w:t>
                    </w:r>
                  </w:p>
                </w:txbxContent>
              </v:textbox>
              <w10:wrap anchorx="page" anchory="page"/>
            </v:shape>
          </w:pict>
        </mc:Fallback>
      </mc:AlternateContent>
    </w:r>
    <w:r w:rsidR="0095574A" w:rsidRPr="006A6FC6">
      <w:rPr>
        <w:rFonts w:cs="Arial"/>
        <w:color w:val="B1005D"/>
        <w:sz w:val="18"/>
        <w:szCs w:val="18"/>
      </w:rPr>
      <w:t>Victoria Legal Aid</w:t>
    </w:r>
    <w:r w:rsidR="0095574A">
      <w:rPr>
        <w:rFonts w:cs="Arial"/>
        <w:color w:val="B1005D"/>
        <w:sz w:val="18"/>
        <w:szCs w:val="18"/>
      </w:rPr>
      <w:tab/>
    </w:r>
  </w:p>
  <w:p w14:paraId="2D7E2765" w14:textId="481D5A9A" w:rsidR="0095574A" w:rsidRPr="00B42FDE" w:rsidRDefault="0095574A" w:rsidP="00904CEF">
    <w:pPr>
      <w:spacing w:line="240" w:lineRule="auto"/>
      <w:ind w:left="-330"/>
      <w:rPr>
        <w:rFonts w:ascii="Arial Bold" w:hAnsi="Arial Bold" w:cs="Arial"/>
        <w:b/>
        <w:color w:val="B1005D"/>
        <w:sz w:val="18"/>
        <w:szCs w:val="18"/>
      </w:rPr>
    </w:pPr>
    <w:r>
      <w:rPr>
        <w:rFonts w:ascii="Arial Bold" w:hAnsi="Arial Bold" w:cs="Arial"/>
        <w:b/>
        <w:noProof/>
        <w:color w:val="B1005D"/>
        <w:sz w:val="18"/>
        <w:szCs w:val="18"/>
        <w:lang w:val="en-US"/>
      </w:rPr>
      <mc:AlternateContent>
        <mc:Choice Requires="wps">
          <w:drawing>
            <wp:anchor distT="0" distB="0" distL="114300" distR="114300" simplePos="0" relativeHeight="251658240" behindDoc="1" locked="1" layoutInCell="1" allowOverlap="1" wp14:anchorId="0C391D93" wp14:editId="063057E3">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5F75A2B3">
            <v:line id="Straight Connector 3"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alt=" " o:spid="_x0000_s1026" strokecolor="#b1005d" strokeweight=".5pt" from="14.2pt,53.9pt" to="581.15pt,53.9pt" w14:anchorId="5E1D1F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">
              <w10:wrap anchorx="page" anchory="page"/>
              <w10:anchorlock/>
            </v:line>
          </w:pict>
        </mc:Fallback>
      </mc:AlternateContent>
    </w:r>
    <w:r>
      <w:rPr>
        <w:rFonts w:ascii="Arial Bold" w:hAnsi="Arial Bold" w:cs="Arial"/>
        <w:b/>
        <w:color w:val="B1005D"/>
        <w:sz w:val="18"/>
        <w:szCs w:val="18"/>
      </w:rPr>
      <w:t>20</w:t>
    </w:r>
    <w:r w:rsidR="006B488D">
      <w:rPr>
        <w:rFonts w:ascii="Arial Bold" w:hAnsi="Arial Bold" w:cs="Arial"/>
        <w:b/>
        <w:color w:val="B1005D"/>
        <w:sz w:val="18"/>
        <w:szCs w:val="18"/>
      </w:rPr>
      <w:t>21</w:t>
    </w:r>
    <w:r>
      <w:rPr>
        <w:rFonts w:ascii="Arial Bold" w:hAnsi="Arial Bold" w:cs="Arial"/>
        <w:b/>
        <w:color w:val="B1005D"/>
        <w:sz w:val="18"/>
        <w:szCs w:val="18"/>
      </w:rPr>
      <w:t>–2</w:t>
    </w:r>
    <w:r w:rsidR="006B488D">
      <w:rPr>
        <w:rFonts w:ascii="Arial Bold" w:hAnsi="Arial Bold" w:cs="Arial"/>
        <w:b/>
        <w:color w:val="B1005D"/>
        <w:sz w:val="18"/>
        <w:szCs w:val="18"/>
      </w:rPr>
      <w:t>2</w:t>
    </w:r>
    <w:r>
      <w:rPr>
        <w:rFonts w:ascii="Arial Bold" w:hAnsi="Arial Bold" w:cs="Arial"/>
        <w:b/>
        <w:color w:val="B1005D"/>
        <w:sz w:val="18"/>
        <w:szCs w:val="18"/>
      </w:rPr>
      <w:t xml:space="preserve"> quarter </w:t>
    </w:r>
    <w:r w:rsidR="00904CEF">
      <w:rPr>
        <w:rFonts w:ascii="Arial Bold" w:hAnsi="Arial Bold" w:cs="Arial"/>
        <w:b/>
        <w:color w:val="B1005D"/>
        <w:sz w:val="18"/>
        <w:szCs w:val="18"/>
      </w:rPr>
      <w:t>four</w:t>
    </w:r>
    <w:r>
      <w:rPr>
        <w:rFonts w:ascii="Arial Bold" w:hAnsi="Arial Bold" w:cs="Arial"/>
        <w:b/>
        <w:color w:val="B1005D"/>
        <w:sz w:val="18"/>
        <w:szCs w:val="18"/>
      </w:rPr>
      <w:t xml:space="preserve"> report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E3DE2" w14:textId="1A8277D9" w:rsidR="0095574A" w:rsidRPr="00833658" w:rsidRDefault="00151254" w:rsidP="0039260E">
    <w:pPr>
      <w:pStyle w:val="VLAProgram"/>
      <w:pBdr>
        <w:bottom w:val="none" w:sz="0" w:space="0" w:color="auto"/>
      </w:pBdr>
      <w:rPr>
        <w:color w:val="FFFFFF" w:themeColor="background1"/>
      </w:rPr>
    </w:pPr>
    <w:r>
      <w:rPr>
        <w:noProof/>
        <w:lang w:val="en-US"/>
      </w:rPr>
      <mc:AlternateContent>
        <mc:Choice Requires="wps">
          <w:drawing>
            <wp:anchor distT="0" distB="0" distL="114300" distR="114300" simplePos="0" relativeHeight="251658244" behindDoc="0" locked="0" layoutInCell="0" allowOverlap="1" wp14:anchorId="1A3C8EF5" wp14:editId="700A73ED">
              <wp:simplePos x="0" y="0"/>
              <wp:positionH relativeFrom="page">
                <wp:posOffset>0</wp:posOffset>
              </wp:positionH>
              <wp:positionV relativeFrom="page">
                <wp:posOffset>190500</wp:posOffset>
              </wp:positionV>
              <wp:extent cx="7556500" cy="273050"/>
              <wp:effectExtent l="0" t="0" r="0" b="12700"/>
              <wp:wrapNone/>
              <wp:docPr id="4" name="MSIPCM01504b9ca15ffbf270aa1716" descr="{&quot;HashCode&quot;:1838272672,&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8DCEF8" w14:textId="71CDDE81" w:rsidR="00151254" w:rsidRPr="00151254" w:rsidRDefault="00151254" w:rsidP="00151254">
                          <w:pPr>
                            <w:spacing w:after="0"/>
                            <w:jc w:val="center"/>
                            <w:rPr>
                              <w:rFonts w:ascii="Calibri" w:hAnsi="Calibri" w:cs="Calibri"/>
                              <w:color w:val="000000"/>
                            </w:rPr>
                          </w:pPr>
                          <w:r w:rsidRPr="00151254">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xmlns:ma14="http://schemas.microsoft.com/office/mac/drawingml/2011/main">
          <w:pict w14:anchorId="5B747731">
            <v:shapetype id="_x0000_t202" coordsize="21600,21600" o:spt="202" path="m,l,21600r21600,l21600,xe" w14:anchorId="1A3C8EF5">
              <v:stroke joinstyle="miter"/>
              <v:path gradientshapeok="t" o:connecttype="rect"/>
            </v:shapetype>
            <v:shape id="MSIPCM01504b9ca15ffbf270aa1716" style="position:absolute;left:0;text-align:left;margin-left:0;margin-top:1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top" alt="{&quot;HashCode&quot;:1838272672,&quot;Height&quot;:841.0,&quot;Width&quot;:595.0,&quot;Placement&quot;:&quot;Head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O9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NBzN+9ALGV8HF/N5SkJVWRaWZmV5LB0xi8i+dG/M&#10;2QP8AYl7hKO4WPGOhT63R3u+DSBVoiji26N5gB0VmZg7vJ4o+cv/lHV+47PfAA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PAj&#10;M70VAgAAKwQAAA4AAAAAAAAAAAAAAAAALgIAAGRycy9lMm9Eb2MueG1sUEsBAi0AFAAGAAgAAAAh&#10;AIx/UFrbAAAABwEAAA8AAAAAAAAAAAAAAAAAbwQAAGRycy9kb3ducmV2LnhtbFBLBQYAAAAABAAE&#10;APMAAAB3BQAAAAA=&#10;">
              <v:textbox inset=",0,,0">
                <w:txbxContent>
                  <w:p w:rsidRPr="00151254" w:rsidR="00151254" w:rsidP="00151254" w:rsidRDefault="00151254" w14:paraId="09E77742" w14:textId="71CDDE81">
                    <w:pPr>
                      <w:spacing w:after="0"/>
                      <w:jc w:val="center"/>
                      <w:rPr>
                        <w:rFonts w:ascii="Calibri" w:hAnsi="Calibri" w:cs="Calibri"/>
                        <w:color w:val="000000"/>
                      </w:rPr>
                    </w:pPr>
                    <w:r w:rsidRPr="00151254">
                      <w:rPr>
                        <w:rFonts w:ascii="Calibri" w:hAnsi="Calibri" w:cs="Calibri"/>
                        <w:color w:val="000000"/>
                      </w:rPr>
                      <w:t>OFFICIAL</w:t>
                    </w:r>
                  </w:p>
                </w:txbxContent>
              </v:textbox>
              <w10:wrap anchorx="page" anchory="page"/>
            </v:shape>
          </w:pict>
        </mc:Fallback>
      </mc:AlternateContent>
    </w:r>
    <w:r w:rsidR="0095574A">
      <w:rPr>
        <w:noProof/>
        <w:lang w:val="en-US"/>
      </w:rPr>
      <w:drawing>
        <wp:anchor distT="0" distB="0" distL="114300" distR="114300" simplePos="0" relativeHeight="251658245" behindDoc="1" locked="0" layoutInCell="1" allowOverlap="1" wp14:anchorId="1930FD23" wp14:editId="076BDFEA">
          <wp:simplePos x="0" y="0"/>
          <wp:positionH relativeFrom="column">
            <wp:posOffset>-389129</wp:posOffset>
          </wp:positionH>
          <wp:positionV relativeFrom="paragraph">
            <wp:posOffset>-3359</wp:posOffset>
          </wp:positionV>
          <wp:extent cx="7199983" cy="1257140"/>
          <wp:effectExtent l="0" t="0" r="127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stretch>
                    <a:fillRect/>
                  </a:stretch>
                </pic:blipFill>
                <pic:spPr>
                  <a:xfrm>
                    <a:off x="0" y="0"/>
                    <a:ext cx="7199983" cy="125714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590282" w14:textId="77777777" w:rsidR="0095574A" w:rsidRPr="00D82005" w:rsidRDefault="0095574A" w:rsidP="0039260E">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hybridMultilevel"/>
    <w:tmpl w:val="E4E4B7D8"/>
    <w:lvl w:ilvl="0" w:tplc="73E46E96">
      <w:start w:val="1"/>
      <w:numFmt w:val="decimal"/>
      <w:pStyle w:val="ListNumber4"/>
      <w:lvlText w:val="%1."/>
      <w:lvlJc w:val="left"/>
      <w:pPr>
        <w:tabs>
          <w:tab w:val="num" w:pos="1209"/>
        </w:tabs>
        <w:ind w:left="1209" w:hanging="360"/>
      </w:pPr>
    </w:lvl>
    <w:lvl w:ilvl="1" w:tplc="F4FCF986">
      <w:numFmt w:val="decimal"/>
      <w:lvlText w:val=""/>
      <w:lvlJc w:val="left"/>
    </w:lvl>
    <w:lvl w:ilvl="2" w:tplc="48A43150">
      <w:numFmt w:val="decimal"/>
      <w:lvlText w:val=""/>
      <w:lvlJc w:val="left"/>
    </w:lvl>
    <w:lvl w:ilvl="3" w:tplc="35883310">
      <w:numFmt w:val="decimal"/>
      <w:lvlText w:val=""/>
      <w:lvlJc w:val="left"/>
    </w:lvl>
    <w:lvl w:ilvl="4" w:tplc="6A023E80">
      <w:numFmt w:val="decimal"/>
      <w:lvlText w:val=""/>
      <w:lvlJc w:val="left"/>
    </w:lvl>
    <w:lvl w:ilvl="5" w:tplc="418629C2">
      <w:numFmt w:val="decimal"/>
      <w:lvlText w:val=""/>
      <w:lvlJc w:val="left"/>
    </w:lvl>
    <w:lvl w:ilvl="6" w:tplc="6D3AEB9C">
      <w:numFmt w:val="decimal"/>
      <w:lvlText w:val=""/>
      <w:lvlJc w:val="left"/>
    </w:lvl>
    <w:lvl w:ilvl="7" w:tplc="602E60F6">
      <w:numFmt w:val="decimal"/>
      <w:lvlText w:val=""/>
      <w:lvlJc w:val="left"/>
    </w:lvl>
    <w:lvl w:ilvl="8" w:tplc="374E3D58">
      <w:numFmt w:val="decimal"/>
      <w:lvlText w:val=""/>
      <w:lvlJc w:val="left"/>
    </w:lvl>
  </w:abstractNum>
  <w:abstractNum w:abstractNumId="2" w15:restartNumberingAfterBreak="0">
    <w:nsid w:val="FFFFFF7E"/>
    <w:multiLevelType w:val="hybridMultilevel"/>
    <w:tmpl w:val="17E2918E"/>
    <w:lvl w:ilvl="0" w:tplc="D0723CC8">
      <w:start w:val="1"/>
      <w:numFmt w:val="decimal"/>
      <w:pStyle w:val="ListNumber3"/>
      <w:lvlText w:val="%1."/>
      <w:lvlJc w:val="left"/>
      <w:pPr>
        <w:tabs>
          <w:tab w:val="num" w:pos="926"/>
        </w:tabs>
        <w:ind w:left="926" w:hanging="360"/>
      </w:pPr>
    </w:lvl>
    <w:lvl w:ilvl="1" w:tplc="5992BFA0">
      <w:numFmt w:val="decimal"/>
      <w:lvlText w:val=""/>
      <w:lvlJc w:val="left"/>
    </w:lvl>
    <w:lvl w:ilvl="2" w:tplc="DA9E63D0">
      <w:numFmt w:val="decimal"/>
      <w:lvlText w:val=""/>
      <w:lvlJc w:val="left"/>
    </w:lvl>
    <w:lvl w:ilvl="3" w:tplc="BEC2D02C">
      <w:numFmt w:val="decimal"/>
      <w:lvlText w:val=""/>
      <w:lvlJc w:val="left"/>
    </w:lvl>
    <w:lvl w:ilvl="4" w:tplc="DBF296A6">
      <w:numFmt w:val="decimal"/>
      <w:lvlText w:val=""/>
      <w:lvlJc w:val="left"/>
    </w:lvl>
    <w:lvl w:ilvl="5" w:tplc="C5AAB8A0">
      <w:numFmt w:val="decimal"/>
      <w:lvlText w:val=""/>
      <w:lvlJc w:val="left"/>
    </w:lvl>
    <w:lvl w:ilvl="6" w:tplc="56567B98">
      <w:numFmt w:val="decimal"/>
      <w:lvlText w:val=""/>
      <w:lvlJc w:val="left"/>
    </w:lvl>
    <w:lvl w:ilvl="7" w:tplc="D6389F8E">
      <w:numFmt w:val="decimal"/>
      <w:lvlText w:val=""/>
      <w:lvlJc w:val="left"/>
    </w:lvl>
    <w:lvl w:ilvl="8" w:tplc="B3C666DA">
      <w:numFmt w:val="decimal"/>
      <w:lvlText w:val=""/>
      <w:lvlJc w:val="left"/>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multilevel"/>
    <w:tmpl w:val="90208B5E"/>
    <w:lvl w:ilvl="0">
      <w:start w:val="1"/>
      <w:numFmt w:val="bullet"/>
      <w:pStyle w:val="ListBullet5"/>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multilevel"/>
    <w:tmpl w:val="CC242A42"/>
    <w:lvl w:ilvl="0">
      <w:start w:val="1"/>
      <w:numFmt w:val="bullet"/>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multilevel"/>
    <w:tmpl w:val="992489BC"/>
    <w:lvl w:ilvl="0">
      <w:start w:val="1"/>
      <w:numFmt w:val="bullet"/>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multilevel"/>
    <w:tmpl w:val="E4B47836"/>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multilevel"/>
    <w:tmpl w:val="C3A653EC"/>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D692B"/>
    <w:multiLevelType w:val="hybridMultilevel"/>
    <w:tmpl w:val="D940F92A"/>
    <w:lvl w:ilvl="0" w:tplc="0C090001">
      <w:start w:val="1"/>
      <w:numFmt w:val="bullet"/>
      <w:lvlText w:val=""/>
      <w:lvlJc w:val="left"/>
      <w:pPr>
        <w:ind w:left="9360" w:hanging="360"/>
      </w:pPr>
      <w:rPr>
        <w:rFonts w:ascii="Symbol" w:hAnsi="Symbol" w:hint="default"/>
      </w:rPr>
    </w:lvl>
    <w:lvl w:ilvl="1" w:tplc="0C090003" w:tentative="1">
      <w:start w:val="1"/>
      <w:numFmt w:val="bullet"/>
      <w:lvlText w:val="o"/>
      <w:lvlJc w:val="left"/>
      <w:pPr>
        <w:ind w:left="10080" w:hanging="360"/>
      </w:pPr>
      <w:rPr>
        <w:rFonts w:ascii="Courier New" w:hAnsi="Courier New" w:cs="Courier New" w:hint="default"/>
      </w:rPr>
    </w:lvl>
    <w:lvl w:ilvl="2" w:tplc="0C090005" w:tentative="1">
      <w:start w:val="1"/>
      <w:numFmt w:val="bullet"/>
      <w:lvlText w:val=""/>
      <w:lvlJc w:val="left"/>
      <w:pPr>
        <w:ind w:left="10800" w:hanging="360"/>
      </w:pPr>
      <w:rPr>
        <w:rFonts w:ascii="Wingdings" w:hAnsi="Wingdings" w:hint="default"/>
      </w:rPr>
    </w:lvl>
    <w:lvl w:ilvl="3" w:tplc="0C090001" w:tentative="1">
      <w:start w:val="1"/>
      <w:numFmt w:val="bullet"/>
      <w:lvlText w:val=""/>
      <w:lvlJc w:val="left"/>
      <w:pPr>
        <w:ind w:left="11520" w:hanging="360"/>
      </w:pPr>
      <w:rPr>
        <w:rFonts w:ascii="Symbol" w:hAnsi="Symbol" w:hint="default"/>
      </w:rPr>
    </w:lvl>
    <w:lvl w:ilvl="4" w:tplc="0C090003" w:tentative="1">
      <w:start w:val="1"/>
      <w:numFmt w:val="bullet"/>
      <w:lvlText w:val="o"/>
      <w:lvlJc w:val="left"/>
      <w:pPr>
        <w:ind w:left="12240" w:hanging="360"/>
      </w:pPr>
      <w:rPr>
        <w:rFonts w:ascii="Courier New" w:hAnsi="Courier New" w:cs="Courier New" w:hint="default"/>
      </w:rPr>
    </w:lvl>
    <w:lvl w:ilvl="5" w:tplc="0C090005" w:tentative="1">
      <w:start w:val="1"/>
      <w:numFmt w:val="bullet"/>
      <w:lvlText w:val=""/>
      <w:lvlJc w:val="left"/>
      <w:pPr>
        <w:ind w:left="12960" w:hanging="360"/>
      </w:pPr>
      <w:rPr>
        <w:rFonts w:ascii="Wingdings" w:hAnsi="Wingdings" w:hint="default"/>
      </w:rPr>
    </w:lvl>
    <w:lvl w:ilvl="6" w:tplc="0C090001" w:tentative="1">
      <w:start w:val="1"/>
      <w:numFmt w:val="bullet"/>
      <w:lvlText w:val=""/>
      <w:lvlJc w:val="left"/>
      <w:pPr>
        <w:ind w:left="13680" w:hanging="360"/>
      </w:pPr>
      <w:rPr>
        <w:rFonts w:ascii="Symbol" w:hAnsi="Symbol" w:hint="default"/>
      </w:rPr>
    </w:lvl>
    <w:lvl w:ilvl="7" w:tplc="0C090003" w:tentative="1">
      <w:start w:val="1"/>
      <w:numFmt w:val="bullet"/>
      <w:lvlText w:val="o"/>
      <w:lvlJc w:val="left"/>
      <w:pPr>
        <w:ind w:left="14400" w:hanging="360"/>
      </w:pPr>
      <w:rPr>
        <w:rFonts w:ascii="Courier New" w:hAnsi="Courier New" w:cs="Courier New" w:hint="default"/>
      </w:rPr>
    </w:lvl>
    <w:lvl w:ilvl="8" w:tplc="0C090005" w:tentative="1">
      <w:start w:val="1"/>
      <w:numFmt w:val="bullet"/>
      <w:lvlText w:val=""/>
      <w:lvlJc w:val="left"/>
      <w:pPr>
        <w:ind w:left="15120" w:hanging="360"/>
      </w:pPr>
      <w:rPr>
        <w:rFonts w:ascii="Wingdings" w:hAnsi="Wingdings" w:hint="default"/>
      </w:rPr>
    </w:lvl>
  </w:abstractNum>
  <w:abstractNum w:abstractNumId="11" w15:restartNumberingAfterBreak="0">
    <w:nsid w:val="03AF6DD1"/>
    <w:multiLevelType w:val="hybridMultilevel"/>
    <w:tmpl w:val="5944E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5F24DA6"/>
    <w:multiLevelType w:val="hybridMultilevel"/>
    <w:tmpl w:val="26A284FC"/>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3" w15:restartNumberingAfterBreak="0">
    <w:nsid w:val="14C80172"/>
    <w:multiLevelType w:val="hybridMultilevel"/>
    <w:tmpl w:val="6BB464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6893E72"/>
    <w:multiLevelType w:val="hybridMultilevel"/>
    <w:tmpl w:val="968C0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C029DB"/>
    <w:multiLevelType w:val="hybridMultilevel"/>
    <w:tmpl w:val="E812C0F0"/>
    <w:lvl w:ilvl="0" w:tplc="0C09000F">
      <w:start w:val="1"/>
      <w:numFmt w:val="decimal"/>
      <w:lvlText w:val="%1."/>
      <w:lvlJc w:val="left"/>
      <w:pPr>
        <w:ind w:left="785" w:hanging="360"/>
      </w:p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6" w15:restartNumberingAfterBreak="0">
    <w:nsid w:val="2DFD0248"/>
    <w:multiLevelType w:val="hybridMultilevel"/>
    <w:tmpl w:val="577C9F40"/>
    <w:lvl w:ilvl="0" w:tplc="0C090001">
      <w:start w:val="1"/>
      <w:numFmt w:val="bullet"/>
      <w:lvlText w:val=""/>
      <w:lvlJc w:val="left"/>
      <w:pPr>
        <w:ind w:left="6480" w:hanging="360"/>
      </w:pPr>
      <w:rPr>
        <w:rFonts w:ascii="Symbol" w:hAnsi="Symbol" w:hint="default"/>
      </w:rPr>
    </w:lvl>
    <w:lvl w:ilvl="1" w:tplc="0C090003" w:tentative="1">
      <w:start w:val="1"/>
      <w:numFmt w:val="bullet"/>
      <w:lvlText w:val="o"/>
      <w:lvlJc w:val="left"/>
      <w:pPr>
        <w:ind w:left="7200" w:hanging="360"/>
      </w:pPr>
      <w:rPr>
        <w:rFonts w:ascii="Courier New" w:hAnsi="Courier New" w:cs="Courier New" w:hint="default"/>
      </w:rPr>
    </w:lvl>
    <w:lvl w:ilvl="2" w:tplc="0C090005" w:tentative="1">
      <w:start w:val="1"/>
      <w:numFmt w:val="bullet"/>
      <w:lvlText w:val=""/>
      <w:lvlJc w:val="left"/>
      <w:pPr>
        <w:ind w:left="7920" w:hanging="360"/>
      </w:pPr>
      <w:rPr>
        <w:rFonts w:ascii="Wingdings" w:hAnsi="Wingdings" w:hint="default"/>
      </w:rPr>
    </w:lvl>
    <w:lvl w:ilvl="3" w:tplc="0C090001" w:tentative="1">
      <w:start w:val="1"/>
      <w:numFmt w:val="bullet"/>
      <w:lvlText w:val=""/>
      <w:lvlJc w:val="left"/>
      <w:pPr>
        <w:ind w:left="8640" w:hanging="360"/>
      </w:pPr>
      <w:rPr>
        <w:rFonts w:ascii="Symbol" w:hAnsi="Symbol" w:hint="default"/>
      </w:rPr>
    </w:lvl>
    <w:lvl w:ilvl="4" w:tplc="0C090003" w:tentative="1">
      <w:start w:val="1"/>
      <w:numFmt w:val="bullet"/>
      <w:lvlText w:val="o"/>
      <w:lvlJc w:val="left"/>
      <w:pPr>
        <w:ind w:left="9360" w:hanging="360"/>
      </w:pPr>
      <w:rPr>
        <w:rFonts w:ascii="Courier New" w:hAnsi="Courier New" w:cs="Courier New" w:hint="default"/>
      </w:rPr>
    </w:lvl>
    <w:lvl w:ilvl="5" w:tplc="0C090005" w:tentative="1">
      <w:start w:val="1"/>
      <w:numFmt w:val="bullet"/>
      <w:lvlText w:val=""/>
      <w:lvlJc w:val="left"/>
      <w:pPr>
        <w:ind w:left="10080" w:hanging="360"/>
      </w:pPr>
      <w:rPr>
        <w:rFonts w:ascii="Wingdings" w:hAnsi="Wingdings" w:hint="default"/>
      </w:rPr>
    </w:lvl>
    <w:lvl w:ilvl="6" w:tplc="0C090001" w:tentative="1">
      <w:start w:val="1"/>
      <w:numFmt w:val="bullet"/>
      <w:lvlText w:val=""/>
      <w:lvlJc w:val="left"/>
      <w:pPr>
        <w:ind w:left="10800" w:hanging="360"/>
      </w:pPr>
      <w:rPr>
        <w:rFonts w:ascii="Symbol" w:hAnsi="Symbol" w:hint="default"/>
      </w:rPr>
    </w:lvl>
    <w:lvl w:ilvl="7" w:tplc="0C090003" w:tentative="1">
      <w:start w:val="1"/>
      <w:numFmt w:val="bullet"/>
      <w:lvlText w:val="o"/>
      <w:lvlJc w:val="left"/>
      <w:pPr>
        <w:ind w:left="11520" w:hanging="360"/>
      </w:pPr>
      <w:rPr>
        <w:rFonts w:ascii="Courier New" w:hAnsi="Courier New" w:cs="Courier New" w:hint="default"/>
      </w:rPr>
    </w:lvl>
    <w:lvl w:ilvl="8" w:tplc="0C090005" w:tentative="1">
      <w:start w:val="1"/>
      <w:numFmt w:val="bullet"/>
      <w:lvlText w:val=""/>
      <w:lvlJc w:val="left"/>
      <w:pPr>
        <w:ind w:left="12240" w:hanging="360"/>
      </w:pPr>
      <w:rPr>
        <w:rFonts w:ascii="Wingdings" w:hAnsi="Wingdings" w:hint="default"/>
      </w:rPr>
    </w:lvl>
  </w:abstractNum>
  <w:abstractNum w:abstractNumId="17"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8"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CE295D"/>
    <w:multiLevelType w:val="hybridMultilevel"/>
    <w:tmpl w:val="045C9124"/>
    <w:lvl w:ilvl="0" w:tplc="145098B6">
      <w:start w:val="1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8333E08"/>
    <w:multiLevelType w:val="hybridMultilevel"/>
    <w:tmpl w:val="6BB46436"/>
    <w:lvl w:ilvl="0" w:tplc="882C6DF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A242923"/>
    <w:multiLevelType w:val="multilevel"/>
    <w:tmpl w:val="D752E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C444B02"/>
    <w:multiLevelType w:val="hybridMultilevel"/>
    <w:tmpl w:val="FFFFFFFF"/>
    <w:lvl w:ilvl="0" w:tplc="94E8FCC0">
      <w:start w:val="1"/>
      <w:numFmt w:val="bullet"/>
      <w:lvlText w:val=""/>
      <w:lvlJc w:val="left"/>
      <w:pPr>
        <w:ind w:left="720" w:hanging="360"/>
      </w:pPr>
      <w:rPr>
        <w:rFonts w:ascii="Symbol" w:hAnsi="Symbol" w:hint="default"/>
      </w:rPr>
    </w:lvl>
    <w:lvl w:ilvl="1" w:tplc="F6AA9DA6">
      <w:start w:val="1"/>
      <w:numFmt w:val="bullet"/>
      <w:lvlText w:val="o"/>
      <w:lvlJc w:val="left"/>
      <w:pPr>
        <w:ind w:left="1440" w:hanging="360"/>
      </w:pPr>
      <w:rPr>
        <w:rFonts w:ascii="Courier New" w:hAnsi="Courier New" w:hint="default"/>
      </w:rPr>
    </w:lvl>
    <w:lvl w:ilvl="2" w:tplc="87CE8542">
      <w:start w:val="1"/>
      <w:numFmt w:val="bullet"/>
      <w:lvlText w:val=""/>
      <w:lvlJc w:val="left"/>
      <w:pPr>
        <w:ind w:left="2160" w:hanging="360"/>
      </w:pPr>
      <w:rPr>
        <w:rFonts w:ascii="Wingdings" w:hAnsi="Wingdings" w:hint="default"/>
      </w:rPr>
    </w:lvl>
    <w:lvl w:ilvl="3" w:tplc="D3445782">
      <w:start w:val="1"/>
      <w:numFmt w:val="bullet"/>
      <w:lvlText w:val=""/>
      <w:lvlJc w:val="left"/>
      <w:pPr>
        <w:ind w:left="2880" w:hanging="360"/>
      </w:pPr>
      <w:rPr>
        <w:rFonts w:ascii="Symbol" w:hAnsi="Symbol" w:hint="default"/>
      </w:rPr>
    </w:lvl>
    <w:lvl w:ilvl="4" w:tplc="B2749A82">
      <w:start w:val="1"/>
      <w:numFmt w:val="bullet"/>
      <w:lvlText w:val="o"/>
      <w:lvlJc w:val="left"/>
      <w:pPr>
        <w:ind w:left="3600" w:hanging="360"/>
      </w:pPr>
      <w:rPr>
        <w:rFonts w:ascii="Courier New" w:hAnsi="Courier New" w:hint="default"/>
      </w:rPr>
    </w:lvl>
    <w:lvl w:ilvl="5" w:tplc="0FFEDF98">
      <w:start w:val="1"/>
      <w:numFmt w:val="bullet"/>
      <w:lvlText w:val=""/>
      <w:lvlJc w:val="left"/>
      <w:pPr>
        <w:ind w:left="4320" w:hanging="360"/>
      </w:pPr>
      <w:rPr>
        <w:rFonts w:ascii="Wingdings" w:hAnsi="Wingdings" w:hint="default"/>
      </w:rPr>
    </w:lvl>
    <w:lvl w:ilvl="6" w:tplc="7DB02CF4">
      <w:start w:val="1"/>
      <w:numFmt w:val="bullet"/>
      <w:lvlText w:val=""/>
      <w:lvlJc w:val="left"/>
      <w:pPr>
        <w:ind w:left="5040" w:hanging="360"/>
      </w:pPr>
      <w:rPr>
        <w:rFonts w:ascii="Symbol" w:hAnsi="Symbol" w:hint="default"/>
      </w:rPr>
    </w:lvl>
    <w:lvl w:ilvl="7" w:tplc="1206B228">
      <w:start w:val="1"/>
      <w:numFmt w:val="bullet"/>
      <w:lvlText w:val="o"/>
      <w:lvlJc w:val="left"/>
      <w:pPr>
        <w:ind w:left="5760" w:hanging="360"/>
      </w:pPr>
      <w:rPr>
        <w:rFonts w:ascii="Courier New" w:hAnsi="Courier New" w:hint="default"/>
      </w:rPr>
    </w:lvl>
    <w:lvl w:ilvl="8" w:tplc="57167492">
      <w:start w:val="1"/>
      <w:numFmt w:val="bullet"/>
      <w:lvlText w:val=""/>
      <w:lvlJc w:val="left"/>
      <w:pPr>
        <w:ind w:left="6480" w:hanging="360"/>
      </w:pPr>
      <w:rPr>
        <w:rFonts w:ascii="Wingdings" w:hAnsi="Wingdings" w:hint="default"/>
      </w:rPr>
    </w:lvl>
  </w:abstractNum>
  <w:abstractNum w:abstractNumId="23" w15:restartNumberingAfterBreak="0">
    <w:nsid w:val="43E72683"/>
    <w:multiLevelType w:val="hybridMultilevel"/>
    <w:tmpl w:val="30127892"/>
    <w:lvl w:ilvl="0" w:tplc="E558ED6A">
      <w:start w:val="1"/>
      <w:numFmt w:val="bullet"/>
      <w:lvlText w:val="•"/>
      <w:lvlJc w:val="left"/>
      <w:pPr>
        <w:tabs>
          <w:tab w:val="num" w:pos="720"/>
        </w:tabs>
        <w:ind w:left="720" w:hanging="360"/>
      </w:pPr>
      <w:rPr>
        <w:rFonts w:ascii="Arial" w:hAnsi="Arial" w:hint="default"/>
      </w:rPr>
    </w:lvl>
    <w:lvl w:ilvl="1" w:tplc="B52ABB78" w:tentative="1">
      <w:start w:val="1"/>
      <w:numFmt w:val="bullet"/>
      <w:lvlText w:val="•"/>
      <w:lvlJc w:val="left"/>
      <w:pPr>
        <w:tabs>
          <w:tab w:val="num" w:pos="1440"/>
        </w:tabs>
        <w:ind w:left="1440" w:hanging="360"/>
      </w:pPr>
      <w:rPr>
        <w:rFonts w:ascii="Arial" w:hAnsi="Arial" w:hint="default"/>
      </w:rPr>
    </w:lvl>
    <w:lvl w:ilvl="2" w:tplc="8888445E" w:tentative="1">
      <w:start w:val="1"/>
      <w:numFmt w:val="bullet"/>
      <w:lvlText w:val="•"/>
      <w:lvlJc w:val="left"/>
      <w:pPr>
        <w:tabs>
          <w:tab w:val="num" w:pos="2160"/>
        </w:tabs>
        <w:ind w:left="2160" w:hanging="360"/>
      </w:pPr>
      <w:rPr>
        <w:rFonts w:ascii="Arial" w:hAnsi="Arial" w:hint="default"/>
      </w:rPr>
    </w:lvl>
    <w:lvl w:ilvl="3" w:tplc="2576843A" w:tentative="1">
      <w:start w:val="1"/>
      <w:numFmt w:val="bullet"/>
      <w:lvlText w:val="•"/>
      <w:lvlJc w:val="left"/>
      <w:pPr>
        <w:tabs>
          <w:tab w:val="num" w:pos="2880"/>
        </w:tabs>
        <w:ind w:left="2880" w:hanging="360"/>
      </w:pPr>
      <w:rPr>
        <w:rFonts w:ascii="Arial" w:hAnsi="Arial" w:hint="default"/>
      </w:rPr>
    </w:lvl>
    <w:lvl w:ilvl="4" w:tplc="2A4E5F3E" w:tentative="1">
      <w:start w:val="1"/>
      <w:numFmt w:val="bullet"/>
      <w:lvlText w:val="•"/>
      <w:lvlJc w:val="left"/>
      <w:pPr>
        <w:tabs>
          <w:tab w:val="num" w:pos="3600"/>
        </w:tabs>
        <w:ind w:left="3600" w:hanging="360"/>
      </w:pPr>
      <w:rPr>
        <w:rFonts w:ascii="Arial" w:hAnsi="Arial" w:hint="default"/>
      </w:rPr>
    </w:lvl>
    <w:lvl w:ilvl="5" w:tplc="488C7BE2" w:tentative="1">
      <w:start w:val="1"/>
      <w:numFmt w:val="bullet"/>
      <w:lvlText w:val="•"/>
      <w:lvlJc w:val="left"/>
      <w:pPr>
        <w:tabs>
          <w:tab w:val="num" w:pos="4320"/>
        </w:tabs>
        <w:ind w:left="4320" w:hanging="360"/>
      </w:pPr>
      <w:rPr>
        <w:rFonts w:ascii="Arial" w:hAnsi="Arial" w:hint="default"/>
      </w:rPr>
    </w:lvl>
    <w:lvl w:ilvl="6" w:tplc="0DBC53F2" w:tentative="1">
      <w:start w:val="1"/>
      <w:numFmt w:val="bullet"/>
      <w:lvlText w:val="•"/>
      <w:lvlJc w:val="left"/>
      <w:pPr>
        <w:tabs>
          <w:tab w:val="num" w:pos="5040"/>
        </w:tabs>
        <w:ind w:left="5040" w:hanging="360"/>
      </w:pPr>
      <w:rPr>
        <w:rFonts w:ascii="Arial" w:hAnsi="Arial" w:hint="default"/>
      </w:rPr>
    </w:lvl>
    <w:lvl w:ilvl="7" w:tplc="EB768B9E" w:tentative="1">
      <w:start w:val="1"/>
      <w:numFmt w:val="bullet"/>
      <w:lvlText w:val="•"/>
      <w:lvlJc w:val="left"/>
      <w:pPr>
        <w:tabs>
          <w:tab w:val="num" w:pos="5760"/>
        </w:tabs>
        <w:ind w:left="5760" w:hanging="360"/>
      </w:pPr>
      <w:rPr>
        <w:rFonts w:ascii="Arial" w:hAnsi="Arial" w:hint="default"/>
      </w:rPr>
    </w:lvl>
    <w:lvl w:ilvl="8" w:tplc="CB56570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3F542E8"/>
    <w:multiLevelType w:val="hybridMultilevel"/>
    <w:tmpl w:val="8AD0B962"/>
    <w:lvl w:ilvl="0" w:tplc="99362B76">
      <w:start w:val="1"/>
      <w:numFmt w:val="bullet"/>
      <w:pStyle w:val="Bullet1"/>
      <w:lvlText w:val=""/>
      <w:lvlJc w:val="left"/>
      <w:pPr>
        <w:ind w:left="720" w:hanging="360"/>
      </w:pPr>
      <w:rPr>
        <w:rFonts w:ascii="Symbol" w:hAnsi="Symbol" w:hint="default"/>
        <w:color w:val="auto"/>
        <w:sz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A642531"/>
    <w:multiLevelType w:val="hybridMultilevel"/>
    <w:tmpl w:val="2914302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7"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8" w15:restartNumberingAfterBreak="0">
    <w:nsid w:val="5292798C"/>
    <w:multiLevelType w:val="hybridMultilevel"/>
    <w:tmpl w:val="79DEA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30" w15:restartNumberingAfterBreak="0">
    <w:nsid w:val="639E6D05"/>
    <w:multiLevelType w:val="hybridMultilevel"/>
    <w:tmpl w:val="6490857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6B5492F"/>
    <w:multiLevelType w:val="hybridMultilevel"/>
    <w:tmpl w:val="3A4A7F5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3" w15:restartNumberingAfterBreak="0">
    <w:nsid w:val="7B472774"/>
    <w:multiLevelType w:val="hybridMultilevel"/>
    <w:tmpl w:val="97F06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F76201C"/>
    <w:multiLevelType w:val="hybridMultilevel"/>
    <w:tmpl w:val="1E54F8FE"/>
    <w:lvl w:ilvl="0" w:tplc="C66CD07C">
      <w:start w:val="1"/>
      <w:numFmt w:val="bullet"/>
      <w:lvlText w:val=""/>
      <w:lvlJc w:val="left"/>
      <w:pPr>
        <w:ind w:left="720" w:hanging="360"/>
      </w:pPr>
      <w:rPr>
        <w:rFonts w:ascii="Symbol" w:hAnsi="Symbol" w:hint="default"/>
      </w:rPr>
    </w:lvl>
    <w:lvl w:ilvl="1" w:tplc="BA7003E2">
      <w:start w:val="1"/>
      <w:numFmt w:val="bullet"/>
      <w:lvlText w:val="o"/>
      <w:lvlJc w:val="left"/>
      <w:pPr>
        <w:ind w:left="1440" w:hanging="360"/>
      </w:pPr>
      <w:rPr>
        <w:rFonts w:ascii="Courier New" w:hAnsi="Courier New" w:hint="default"/>
      </w:rPr>
    </w:lvl>
    <w:lvl w:ilvl="2" w:tplc="4C7CB3F2">
      <w:start w:val="1"/>
      <w:numFmt w:val="bullet"/>
      <w:lvlText w:val=""/>
      <w:lvlJc w:val="left"/>
      <w:pPr>
        <w:ind w:left="2160" w:hanging="360"/>
      </w:pPr>
      <w:rPr>
        <w:rFonts w:ascii="Wingdings" w:hAnsi="Wingdings" w:hint="default"/>
      </w:rPr>
    </w:lvl>
    <w:lvl w:ilvl="3" w:tplc="E274105C">
      <w:start w:val="1"/>
      <w:numFmt w:val="bullet"/>
      <w:lvlText w:val=""/>
      <w:lvlJc w:val="left"/>
      <w:pPr>
        <w:ind w:left="2880" w:hanging="360"/>
      </w:pPr>
      <w:rPr>
        <w:rFonts w:ascii="Symbol" w:hAnsi="Symbol" w:hint="default"/>
      </w:rPr>
    </w:lvl>
    <w:lvl w:ilvl="4" w:tplc="ECD404E0">
      <w:start w:val="1"/>
      <w:numFmt w:val="bullet"/>
      <w:lvlText w:val="o"/>
      <w:lvlJc w:val="left"/>
      <w:pPr>
        <w:ind w:left="3600" w:hanging="360"/>
      </w:pPr>
      <w:rPr>
        <w:rFonts w:ascii="Courier New" w:hAnsi="Courier New" w:hint="default"/>
      </w:rPr>
    </w:lvl>
    <w:lvl w:ilvl="5" w:tplc="6DBC5D52">
      <w:start w:val="1"/>
      <w:numFmt w:val="bullet"/>
      <w:lvlText w:val=""/>
      <w:lvlJc w:val="left"/>
      <w:pPr>
        <w:ind w:left="4320" w:hanging="360"/>
      </w:pPr>
      <w:rPr>
        <w:rFonts w:ascii="Wingdings" w:hAnsi="Wingdings" w:hint="default"/>
      </w:rPr>
    </w:lvl>
    <w:lvl w:ilvl="6" w:tplc="758C0DDA">
      <w:start w:val="1"/>
      <w:numFmt w:val="bullet"/>
      <w:lvlText w:val=""/>
      <w:lvlJc w:val="left"/>
      <w:pPr>
        <w:ind w:left="5040" w:hanging="360"/>
      </w:pPr>
      <w:rPr>
        <w:rFonts w:ascii="Symbol" w:hAnsi="Symbol" w:hint="default"/>
      </w:rPr>
    </w:lvl>
    <w:lvl w:ilvl="7" w:tplc="CABC2D36">
      <w:start w:val="1"/>
      <w:numFmt w:val="bullet"/>
      <w:lvlText w:val="o"/>
      <w:lvlJc w:val="left"/>
      <w:pPr>
        <w:ind w:left="5760" w:hanging="360"/>
      </w:pPr>
      <w:rPr>
        <w:rFonts w:ascii="Courier New" w:hAnsi="Courier New" w:hint="default"/>
      </w:rPr>
    </w:lvl>
    <w:lvl w:ilvl="8" w:tplc="DD1C0C44">
      <w:start w:val="1"/>
      <w:numFmt w:val="bullet"/>
      <w:lvlText w:val=""/>
      <w:lvlJc w:val="left"/>
      <w:pPr>
        <w:ind w:left="6480" w:hanging="360"/>
      </w:pPr>
      <w:rPr>
        <w:rFonts w:ascii="Wingdings" w:hAnsi="Wingdings" w:hint="default"/>
      </w:rPr>
    </w:lvl>
  </w:abstractNum>
  <w:num w:numId="1" w16cid:durableId="1516575831">
    <w:abstractNumId w:val="34"/>
  </w:num>
  <w:num w:numId="2" w16cid:durableId="1040205984">
    <w:abstractNumId w:val="25"/>
  </w:num>
  <w:num w:numId="3" w16cid:durableId="1124956744">
    <w:abstractNumId w:val="9"/>
  </w:num>
  <w:num w:numId="4" w16cid:durableId="1716928417">
    <w:abstractNumId w:val="17"/>
  </w:num>
  <w:num w:numId="5" w16cid:durableId="902059371">
    <w:abstractNumId w:val="7"/>
  </w:num>
  <w:num w:numId="6" w16cid:durableId="757094624">
    <w:abstractNumId w:val="29"/>
  </w:num>
  <w:num w:numId="7" w16cid:durableId="858662819">
    <w:abstractNumId w:val="6"/>
  </w:num>
  <w:num w:numId="8" w16cid:durableId="622006684">
    <w:abstractNumId w:val="29"/>
  </w:num>
  <w:num w:numId="9" w16cid:durableId="771824535">
    <w:abstractNumId w:val="5"/>
  </w:num>
  <w:num w:numId="10" w16cid:durableId="2065063287">
    <w:abstractNumId w:val="4"/>
  </w:num>
  <w:num w:numId="11" w16cid:durableId="656223501">
    <w:abstractNumId w:val="4"/>
  </w:num>
  <w:num w:numId="12" w16cid:durableId="797914895">
    <w:abstractNumId w:val="8"/>
  </w:num>
  <w:num w:numId="13" w16cid:durableId="1104378126">
    <w:abstractNumId w:val="8"/>
  </w:num>
  <w:num w:numId="14" w16cid:durableId="299262150">
    <w:abstractNumId w:val="3"/>
  </w:num>
  <w:num w:numId="15" w16cid:durableId="1008677006">
    <w:abstractNumId w:val="3"/>
  </w:num>
  <w:num w:numId="16" w16cid:durableId="416947287">
    <w:abstractNumId w:val="2"/>
  </w:num>
  <w:num w:numId="17" w16cid:durableId="695812286">
    <w:abstractNumId w:val="2"/>
  </w:num>
  <w:num w:numId="18" w16cid:durableId="943154768">
    <w:abstractNumId w:val="1"/>
  </w:num>
  <w:num w:numId="19" w16cid:durableId="2123303856">
    <w:abstractNumId w:val="1"/>
  </w:num>
  <w:num w:numId="20" w16cid:durableId="1575243152">
    <w:abstractNumId w:val="0"/>
  </w:num>
  <w:num w:numId="21" w16cid:durableId="828403015">
    <w:abstractNumId w:val="0"/>
  </w:num>
  <w:num w:numId="22" w16cid:durableId="226692891">
    <w:abstractNumId w:val="27"/>
  </w:num>
  <w:num w:numId="23" w16cid:durableId="1126119352">
    <w:abstractNumId w:val="27"/>
  </w:num>
  <w:num w:numId="24" w16cid:durableId="37973946">
    <w:abstractNumId w:val="18"/>
  </w:num>
  <w:num w:numId="25" w16cid:durableId="284124021">
    <w:abstractNumId w:val="32"/>
  </w:num>
  <w:num w:numId="26" w16cid:durableId="1467889089">
    <w:abstractNumId w:val="24"/>
  </w:num>
  <w:num w:numId="27" w16cid:durableId="2029061988">
    <w:abstractNumId w:val="28"/>
  </w:num>
  <w:num w:numId="28" w16cid:durableId="3866748">
    <w:abstractNumId w:val="33"/>
  </w:num>
  <w:num w:numId="29" w16cid:durableId="691882436">
    <w:abstractNumId w:val="26"/>
  </w:num>
  <w:num w:numId="30" w16cid:durableId="1948348241">
    <w:abstractNumId w:val="15"/>
  </w:num>
  <w:num w:numId="31" w16cid:durableId="259216981">
    <w:abstractNumId w:val="22"/>
  </w:num>
  <w:num w:numId="32" w16cid:durableId="1532185312">
    <w:abstractNumId w:val="31"/>
  </w:num>
  <w:num w:numId="33" w16cid:durableId="1868562534">
    <w:abstractNumId w:val="19"/>
  </w:num>
  <w:num w:numId="34" w16cid:durableId="530262055">
    <w:abstractNumId w:val="23"/>
  </w:num>
  <w:num w:numId="35" w16cid:durableId="1752265096">
    <w:abstractNumId w:val="30"/>
  </w:num>
  <w:num w:numId="36" w16cid:durableId="302463551">
    <w:abstractNumId w:val="21"/>
  </w:num>
  <w:num w:numId="37" w16cid:durableId="510681380">
    <w:abstractNumId w:val="14"/>
  </w:num>
  <w:num w:numId="38" w16cid:durableId="708920230">
    <w:abstractNumId w:val="12"/>
  </w:num>
  <w:num w:numId="39" w16cid:durableId="297607547">
    <w:abstractNumId w:val="16"/>
  </w:num>
  <w:num w:numId="40" w16cid:durableId="1565413858">
    <w:abstractNumId w:val="10"/>
  </w:num>
  <w:num w:numId="41" w16cid:durableId="1390805648">
    <w:abstractNumId w:val="11"/>
  </w:num>
  <w:num w:numId="42" w16cid:durableId="520894408">
    <w:abstractNumId w:val="20"/>
  </w:num>
  <w:num w:numId="43" w16cid:durableId="6073928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1MTcztTQ2MjAwNzNQ0lEKTi0uzszPAykwqQUApNmpaCwAAAA="/>
  </w:docVars>
  <w:rsids>
    <w:rsidRoot w:val="004175B7"/>
    <w:rsid w:val="0000020D"/>
    <w:rsid w:val="000006EC"/>
    <w:rsid w:val="00000BAF"/>
    <w:rsid w:val="000014B8"/>
    <w:rsid w:val="00001AA9"/>
    <w:rsid w:val="000027B7"/>
    <w:rsid w:val="00002950"/>
    <w:rsid w:val="000036A6"/>
    <w:rsid w:val="0000378A"/>
    <w:rsid w:val="000038D1"/>
    <w:rsid w:val="0000441F"/>
    <w:rsid w:val="000044DC"/>
    <w:rsid w:val="00004CE9"/>
    <w:rsid w:val="00004D17"/>
    <w:rsid w:val="00004F3D"/>
    <w:rsid w:val="000055D7"/>
    <w:rsid w:val="00005AE6"/>
    <w:rsid w:val="00005D79"/>
    <w:rsid w:val="00006274"/>
    <w:rsid w:val="000063FE"/>
    <w:rsid w:val="00006CCF"/>
    <w:rsid w:val="00007FD6"/>
    <w:rsid w:val="00010B52"/>
    <w:rsid w:val="00010B80"/>
    <w:rsid w:val="0001213B"/>
    <w:rsid w:val="000138CA"/>
    <w:rsid w:val="000141D8"/>
    <w:rsid w:val="00015B02"/>
    <w:rsid w:val="000161A6"/>
    <w:rsid w:val="000169C8"/>
    <w:rsid w:val="000170AE"/>
    <w:rsid w:val="0001721A"/>
    <w:rsid w:val="00017518"/>
    <w:rsid w:val="000175F6"/>
    <w:rsid w:val="00017EC1"/>
    <w:rsid w:val="00020766"/>
    <w:rsid w:val="00020994"/>
    <w:rsid w:val="00020C6D"/>
    <w:rsid w:val="00020D22"/>
    <w:rsid w:val="00021091"/>
    <w:rsid w:val="00021293"/>
    <w:rsid w:val="00021580"/>
    <w:rsid w:val="00021B97"/>
    <w:rsid w:val="0002258B"/>
    <w:rsid w:val="00022C58"/>
    <w:rsid w:val="0002304F"/>
    <w:rsid w:val="00023379"/>
    <w:rsid w:val="000236FD"/>
    <w:rsid w:val="00023F89"/>
    <w:rsid w:val="000242B6"/>
    <w:rsid w:val="00024FD4"/>
    <w:rsid w:val="00025EB0"/>
    <w:rsid w:val="00026D4A"/>
    <w:rsid w:val="0002736E"/>
    <w:rsid w:val="00027BEB"/>
    <w:rsid w:val="00030651"/>
    <w:rsid w:val="00030DA1"/>
    <w:rsid w:val="00031F8B"/>
    <w:rsid w:val="00033AE9"/>
    <w:rsid w:val="00033B72"/>
    <w:rsid w:val="00034264"/>
    <w:rsid w:val="0003486A"/>
    <w:rsid w:val="00036024"/>
    <w:rsid w:val="000401FE"/>
    <w:rsid w:val="00040A28"/>
    <w:rsid w:val="000410CD"/>
    <w:rsid w:val="00043D3D"/>
    <w:rsid w:val="00043F34"/>
    <w:rsid w:val="00045921"/>
    <w:rsid w:val="00045B31"/>
    <w:rsid w:val="00045D7C"/>
    <w:rsid w:val="00045DA3"/>
    <w:rsid w:val="00045DA5"/>
    <w:rsid w:val="0004612D"/>
    <w:rsid w:val="000464B3"/>
    <w:rsid w:val="00046677"/>
    <w:rsid w:val="000474AE"/>
    <w:rsid w:val="000479BF"/>
    <w:rsid w:val="0005014C"/>
    <w:rsid w:val="00050188"/>
    <w:rsid w:val="00050C7A"/>
    <w:rsid w:val="00050FC0"/>
    <w:rsid w:val="00051DEF"/>
    <w:rsid w:val="00053FAE"/>
    <w:rsid w:val="00053FE2"/>
    <w:rsid w:val="00055CFB"/>
    <w:rsid w:val="00055DBF"/>
    <w:rsid w:val="0005677C"/>
    <w:rsid w:val="00056A93"/>
    <w:rsid w:val="00056E86"/>
    <w:rsid w:val="00057F46"/>
    <w:rsid w:val="0006012E"/>
    <w:rsid w:val="000604A2"/>
    <w:rsid w:val="000605FF"/>
    <w:rsid w:val="00060C67"/>
    <w:rsid w:val="000618DE"/>
    <w:rsid w:val="00061D65"/>
    <w:rsid w:val="00062825"/>
    <w:rsid w:val="000631DD"/>
    <w:rsid w:val="00063EF9"/>
    <w:rsid w:val="00064C8E"/>
    <w:rsid w:val="00064EAF"/>
    <w:rsid w:val="00064FCF"/>
    <w:rsid w:val="00065A6F"/>
    <w:rsid w:val="000660BF"/>
    <w:rsid w:val="00066F07"/>
    <w:rsid w:val="000672A7"/>
    <w:rsid w:val="000679DF"/>
    <w:rsid w:val="00067EE4"/>
    <w:rsid w:val="00070A47"/>
    <w:rsid w:val="00070CAD"/>
    <w:rsid w:val="00071CFF"/>
    <w:rsid w:val="00072094"/>
    <w:rsid w:val="000726E5"/>
    <w:rsid w:val="000731E7"/>
    <w:rsid w:val="00073503"/>
    <w:rsid w:val="00074B57"/>
    <w:rsid w:val="000763E8"/>
    <w:rsid w:val="000776A9"/>
    <w:rsid w:val="00081319"/>
    <w:rsid w:val="000819A5"/>
    <w:rsid w:val="00082185"/>
    <w:rsid w:val="0008244C"/>
    <w:rsid w:val="00082BB4"/>
    <w:rsid w:val="00082E40"/>
    <w:rsid w:val="00083758"/>
    <w:rsid w:val="00084405"/>
    <w:rsid w:val="000845CE"/>
    <w:rsid w:val="0008503F"/>
    <w:rsid w:val="00086683"/>
    <w:rsid w:val="00086744"/>
    <w:rsid w:val="000873C5"/>
    <w:rsid w:val="00087B2F"/>
    <w:rsid w:val="0009039D"/>
    <w:rsid w:val="00093A74"/>
    <w:rsid w:val="0009511F"/>
    <w:rsid w:val="00096559"/>
    <w:rsid w:val="00096D8A"/>
    <w:rsid w:val="0009711B"/>
    <w:rsid w:val="000A020B"/>
    <w:rsid w:val="000A0339"/>
    <w:rsid w:val="000A0349"/>
    <w:rsid w:val="000A0A68"/>
    <w:rsid w:val="000A18FB"/>
    <w:rsid w:val="000A1E6F"/>
    <w:rsid w:val="000A2081"/>
    <w:rsid w:val="000A20E1"/>
    <w:rsid w:val="000A25B1"/>
    <w:rsid w:val="000A28EE"/>
    <w:rsid w:val="000A2FBE"/>
    <w:rsid w:val="000A31A6"/>
    <w:rsid w:val="000A3C2D"/>
    <w:rsid w:val="000A3DA5"/>
    <w:rsid w:val="000A41F2"/>
    <w:rsid w:val="000A4416"/>
    <w:rsid w:val="000A4EA9"/>
    <w:rsid w:val="000A5781"/>
    <w:rsid w:val="000A5DB4"/>
    <w:rsid w:val="000A662D"/>
    <w:rsid w:val="000A68E1"/>
    <w:rsid w:val="000A6EDC"/>
    <w:rsid w:val="000A7E07"/>
    <w:rsid w:val="000B0034"/>
    <w:rsid w:val="000B00CD"/>
    <w:rsid w:val="000B1465"/>
    <w:rsid w:val="000B185D"/>
    <w:rsid w:val="000B1E78"/>
    <w:rsid w:val="000B20DD"/>
    <w:rsid w:val="000B241B"/>
    <w:rsid w:val="000B2F09"/>
    <w:rsid w:val="000B2F2F"/>
    <w:rsid w:val="000B2F4B"/>
    <w:rsid w:val="000B330D"/>
    <w:rsid w:val="000B40B2"/>
    <w:rsid w:val="000B40B7"/>
    <w:rsid w:val="000B43AC"/>
    <w:rsid w:val="000B4B6A"/>
    <w:rsid w:val="000B6313"/>
    <w:rsid w:val="000B6A75"/>
    <w:rsid w:val="000C08C0"/>
    <w:rsid w:val="000C14B8"/>
    <w:rsid w:val="000C19D5"/>
    <w:rsid w:val="000C1C61"/>
    <w:rsid w:val="000C2C51"/>
    <w:rsid w:val="000C3B89"/>
    <w:rsid w:val="000C59E6"/>
    <w:rsid w:val="000C5E2B"/>
    <w:rsid w:val="000C6B7B"/>
    <w:rsid w:val="000C7FB4"/>
    <w:rsid w:val="000D1243"/>
    <w:rsid w:val="000D32DA"/>
    <w:rsid w:val="000D469D"/>
    <w:rsid w:val="000D5AF1"/>
    <w:rsid w:val="000D5FAB"/>
    <w:rsid w:val="000D6156"/>
    <w:rsid w:val="000D61AB"/>
    <w:rsid w:val="000D64E6"/>
    <w:rsid w:val="000D7215"/>
    <w:rsid w:val="000D73DB"/>
    <w:rsid w:val="000E065B"/>
    <w:rsid w:val="000E0EF9"/>
    <w:rsid w:val="000E11BA"/>
    <w:rsid w:val="000E169E"/>
    <w:rsid w:val="000E2347"/>
    <w:rsid w:val="000E3D37"/>
    <w:rsid w:val="000E4249"/>
    <w:rsid w:val="000E5111"/>
    <w:rsid w:val="000E5121"/>
    <w:rsid w:val="000E57E5"/>
    <w:rsid w:val="000E63B6"/>
    <w:rsid w:val="000E6B10"/>
    <w:rsid w:val="000E766F"/>
    <w:rsid w:val="000E76E4"/>
    <w:rsid w:val="000E7883"/>
    <w:rsid w:val="000E79DC"/>
    <w:rsid w:val="000E7F25"/>
    <w:rsid w:val="000F0145"/>
    <w:rsid w:val="000F03C4"/>
    <w:rsid w:val="000F07A7"/>
    <w:rsid w:val="000F122E"/>
    <w:rsid w:val="000F1368"/>
    <w:rsid w:val="000F184E"/>
    <w:rsid w:val="000F2125"/>
    <w:rsid w:val="000F2939"/>
    <w:rsid w:val="000F3295"/>
    <w:rsid w:val="000F45D3"/>
    <w:rsid w:val="000F4900"/>
    <w:rsid w:val="000F5800"/>
    <w:rsid w:val="000F595D"/>
    <w:rsid w:val="000F6131"/>
    <w:rsid w:val="000F6E2D"/>
    <w:rsid w:val="000F7653"/>
    <w:rsid w:val="000F7B6D"/>
    <w:rsid w:val="000F7D49"/>
    <w:rsid w:val="000F7F7C"/>
    <w:rsid w:val="001006C7"/>
    <w:rsid w:val="00100875"/>
    <w:rsid w:val="00100BB7"/>
    <w:rsid w:val="0010110A"/>
    <w:rsid w:val="00101249"/>
    <w:rsid w:val="00101963"/>
    <w:rsid w:val="001023C8"/>
    <w:rsid w:val="0010438C"/>
    <w:rsid w:val="00105ECF"/>
    <w:rsid w:val="001063E7"/>
    <w:rsid w:val="0010672F"/>
    <w:rsid w:val="001072B0"/>
    <w:rsid w:val="00107759"/>
    <w:rsid w:val="00111862"/>
    <w:rsid w:val="00111980"/>
    <w:rsid w:val="00112C54"/>
    <w:rsid w:val="00112CA5"/>
    <w:rsid w:val="00112FB8"/>
    <w:rsid w:val="00113124"/>
    <w:rsid w:val="001153BD"/>
    <w:rsid w:val="0011562F"/>
    <w:rsid w:val="00115696"/>
    <w:rsid w:val="001161AF"/>
    <w:rsid w:val="00116DD2"/>
    <w:rsid w:val="001177BE"/>
    <w:rsid w:val="001202C1"/>
    <w:rsid w:val="0012036F"/>
    <w:rsid w:val="00120D4C"/>
    <w:rsid w:val="00121D4C"/>
    <w:rsid w:val="0012305E"/>
    <w:rsid w:val="00123404"/>
    <w:rsid w:val="00123514"/>
    <w:rsid w:val="00124253"/>
    <w:rsid w:val="00125593"/>
    <w:rsid w:val="00126421"/>
    <w:rsid w:val="00126A75"/>
    <w:rsid w:val="00130A19"/>
    <w:rsid w:val="00130C44"/>
    <w:rsid w:val="001326CD"/>
    <w:rsid w:val="00134311"/>
    <w:rsid w:val="00134FFB"/>
    <w:rsid w:val="00135929"/>
    <w:rsid w:val="00135A8A"/>
    <w:rsid w:val="00135AFA"/>
    <w:rsid w:val="00135B43"/>
    <w:rsid w:val="00135E75"/>
    <w:rsid w:val="001366D4"/>
    <w:rsid w:val="00136B3F"/>
    <w:rsid w:val="00137F32"/>
    <w:rsid w:val="00140CB0"/>
    <w:rsid w:val="00142198"/>
    <w:rsid w:val="001423CC"/>
    <w:rsid w:val="001428BB"/>
    <w:rsid w:val="00143387"/>
    <w:rsid w:val="0014474C"/>
    <w:rsid w:val="00144D90"/>
    <w:rsid w:val="001450F0"/>
    <w:rsid w:val="00145BD9"/>
    <w:rsid w:val="001465E4"/>
    <w:rsid w:val="00146657"/>
    <w:rsid w:val="00147E4F"/>
    <w:rsid w:val="001503BB"/>
    <w:rsid w:val="00150A9A"/>
    <w:rsid w:val="00151254"/>
    <w:rsid w:val="0015159B"/>
    <w:rsid w:val="0015174B"/>
    <w:rsid w:val="0015181C"/>
    <w:rsid w:val="00151834"/>
    <w:rsid w:val="0015223B"/>
    <w:rsid w:val="00153D0E"/>
    <w:rsid w:val="0015466E"/>
    <w:rsid w:val="00154C5A"/>
    <w:rsid w:val="00155264"/>
    <w:rsid w:val="00155591"/>
    <w:rsid w:val="00155A08"/>
    <w:rsid w:val="001575EE"/>
    <w:rsid w:val="00157C3D"/>
    <w:rsid w:val="0016044B"/>
    <w:rsid w:val="0016078D"/>
    <w:rsid w:val="001616E6"/>
    <w:rsid w:val="00161A71"/>
    <w:rsid w:val="00161B9B"/>
    <w:rsid w:val="00162471"/>
    <w:rsid w:val="001624FD"/>
    <w:rsid w:val="00162934"/>
    <w:rsid w:val="00163488"/>
    <w:rsid w:val="001634DE"/>
    <w:rsid w:val="00163592"/>
    <w:rsid w:val="0016379A"/>
    <w:rsid w:val="00163C00"/>
    <w:rsid w:val="001658A2"/>
    <w:rsid w:val="00166EBD"/>
    <w:rsid w:val="00166FF4"/>
    <w:rsid w:val="00167103"/>
    <w:rsid w:val="001677FB"/>
    <w:rsid w:val="001700CB"/>
    <w:rsid w:val="001704A6"/>
    <w:rsid w:val="00170CDA"/>
    <w:rsid w:val="00171921"/>
    <w:rsid w:val="00171F24"/>
    <w:rsid w:val="001728AA"/>
    <w:rsid w:val="00172A38"/>
    <w:rsid w:val="00173B2F"/>
    <w:rsid w:val="001741E5"/>
    <w:rsid w:val="00174E39"/>
    <w:rsid w:val="00175277"/>
    <w:rsid w:val="00176182"/>
    <w:rsid w:val="001765E9"/>
    <w:rsid w:val="00176B8B"/>
    <w:rsid w:val="001770F6"/>
    <w:rsid w:val="00177331"/>
    <w:rsid w:val="00177528"/>
    <w:rsid w:val="00177673"/>
    <w:rsid w:val="00177814"/>
    <w:rsid w:val="0017798A"/>
    <w:rsid w:val="00177CA1"/>
    <w:rsid w:val="00180675"/>
    <w:rsid w:val="00181099"/>
    <w:rsid w:val="0018149D"/>
    <w:rsid w:val="001815CF"/>
    <w:rsid w:val="00181D1A"/>
    <w:rsid w:val="00182EF2"/>
    <w:rsid w:val="00183C63"/>
    <w:rsid w:val="00184398"/>
    <w:rsid w:val="00184938"/>
    <w:rsid w:val="001851E8"/>
    <w:rsid w:val="00185425"/>
    <w:rsid w:val="00185C10"/>
    <w:rsid w:val="00190038"/>
    <w:rsid w:val="00190A92"/>
    <w:rsid w:val="00191722"/>
    <w:rsid w:val="00192C46"/>
    <w:rsid w:val="00192F61"/>
    <w:rsid w:val="00195BEA"/>
    <w:rsid w:val="00195E7F"/>
    <w:rsid w:val="0019660E"/>
    <w:rsid w:val="00196F8E"/>
    <w:rsid w:val="001A0D32"/>
    <w:rsid w:val="001A1DBD"/>
    <w:rsid w:val="001A27AB"/>
    <w:rsid w:val="001A32E2"/>
    <w:rsid w:val="001A42A9"/>
    <w:rsid w:val="001A7527"/>
    <w:rsid w:val="001A752C"/>
    <w:rsid w:val="001A76F6"/>
    <w:rsid w:val="001B0812"/>
    <w:rsid w:val="001B0F4B"/>
    <w:rsid w:val="001B1CE3"/>
    <w:rsid w:val="001B2039"/>
    <w:rsid w:val="001B2B1F"/>
    <w:rsid w:val="001B3FB6"/>
    <w:rsid w:val="001B4434"/>
    <w:rsid w:val="001B4A08"/>
    <w:rsid w:val="001B4CED"/>
    <w:rsid w:val="001B6034"/>
    <w:rsid w:val="001B71AC"/>
    <w:rsid w:val="001B724E"/>
    <w:rsid w:val="001B7F0E"/>
    <w:rsid w:val="001C13AF"/>
    <w:rsid w:val="001C1875"/>
    <w:rsid w:val="001C238C"/>
    <w:rsid w:val="001C26CE"/>
    <w:rsid w:val="001C28ED"/>
    <w:rsid w:val="001C37F7"/>
    <w:rsid w:val="001C3838"/>
    <w:rsid w:val="001C4735"/>
    <w:rsid w:val="001C4ECB"/>
    <w:rsid w:val="001C6F1A"/>
    <w:rsid w:val="001C7169"/>
    <w:rsid w:val="001C78D4"/>
    <w:rsid w:val="001C7CB5"/>
    <w:rsid w:val="001D05AA"/>
    <w:rsid w:val="001D0FA7"/>
    <w:rsid w:val="001D18F4"/>
    <w:rsid w:val="001D1BDD"/>
    <w:rsid w:val="001D277E"/>
    <w:rsid w:val="001D42FF"/>
    <w:rsid w:val="001D4391"/>
    <w:rsid w:val="001D4FDD"/>
    <w:rsid w:val="001D6BD7"/>
    <w:rsid w:val="001D6FA4"/>
    <w:rsid w:val="001D79EF"/>
    <w:rsid w:val="001E1907"/>
    <w:rsid w:val="001E1C65"/>
    <w:rsid w:val="001E1EB8"/>
    <w:rsid w:val="001E2009"/>
    <w:rsid w:val="001E36DF"/>
    <w:rsid w:val="001E3A98"/>
    <w:rsid w:val="001E4157"/>
    <w:rsid w:val="001E5773"/>
    <w:rsid w:val="001E5AF9"/>
    <w:rsid w:val="001E5EEA"/>
    <w:rsid w:val="001E6F29"/>
    <w:rsid w:val="001E705F"/>
    <w:rsid w:val="001E7312"/>
    <w:rsid w:val="001E7B75"/>
    <w:rsid w:val="001F0CF5"/>
    <w:rsid w:val="001F1CD9"/>
    <w:rsid w:val="001F1D54"/>
    <w:rsid w:val="001F2008"/>
    <w:rsid w:val="001F2625"/>
    <w:rsid w:val="001F265D"/>
    <w:rsid w:val="001F2EFD"/>
    <w:rsid w:val="001F30AB"/>
    <w:rsid w:val="001F3E36"/>
    <w:rsid w:val="001F44EE"/>
    <w:rsid w:val="001F4865"/>
    <w:rsid w:val="001F5011"/>
    <w:rsid w:val="001F5598"/>
    <w:rsid w:val="001F575A"/>
    <w:rsid w:val="001F73D2"/>
    <w:rsid w:val="002002A6"/>
    <w:rsid w:val="00200366"/>
    <w:rsid w:val="00200CDD"/>
    <w:rsid w:val="00200FEB"/>
    <w:rsid w:val="002024CA"/>
    <w:rsid w:val="0020340C"/>
    <w:rsid w:val="002044B7"/>
    <w:rsid w:val="00204ABA"/>
    <w:rsid w:val="00204CCE"/>
    <w:rsid w:val="00205062"/>
    <w:rsid w:val="002050D9"/>
    <w:rsid w:val="00205D8F"/>
    <w:rsid w:val="00206DFC"/>
    <w:rsid w:val="00207A64"/>
    <w:rsid w:val="00207C62"/>
    <w:rsid w:val="002101E6"/>
    <w:rsid w:val="00210EC2"/>
    <w:rsid w:val="00210F02"/>
    <w:rsid w:val="00212C25"/>
    <w:rsid w:val="00213A3C"/>
    <w:rsid w:val="002141AC"/>
    <w:rsid w:val="002141DD"/>
    <w:rsid w:val="002143D0"/>
    <w:rsid w:val="002143DC"/>
    <w:rsid w:val="00214DAC"/>
    <w:rsid w:val="00214F4D"/>
    <w:rsid w:val="00215D0D"/>
    <w:rsid w:val="002161DE"/>
    <w:rsid w:val="002171D4"/>
    <w:rsid w:val="00217617"/>
    <w:rsid w:val="00217775"/>
    <w:rsid w:val="0022016A"/>
    <w:rsid w:val="00220889"/>
    <w:rsid w:val="002208BE"/>
    <w:rsid w:val="0022248F"/>
    <w:rsid w:val="00224C80"/>
    <w:rsid w:val="00224EDF"/>
    <w:rsid w:val="0022503C"/>
    <w:rsid w:val="00225146"/>
    <w:rsid w:val="002253CE"/>
    <w:rsid w:val="00225EEA"/>
    <w:rsid w:val="002303B4"/>
    <w:rsid w:val="002310BB"/>
    <w:rsid w:val="00231769"/>
    <w:rsid w:val="00231AA1"/>
    <w:rsid w:val="00232748"/>
    <w:rsid w:val="00232963"/>
    <w:rsid w:val="00233B59"/>
    <w:rsid w:val="00233C99"/>
    <w:rsid w:val="00235197"/>
    <w:rsid w:val="002351A0"/>
    <w:rsid w:val="00235822"/>
    <w:rsid w:val="0023599B"/>
    <w:rsid w:val="002362DC"/>
    <w:rsid w:val="00236475"/>
    <w:rsid w:val="002372AE"/>
    <w:rsid w:val="0023759D"/>
    <w:rsid w:val="00237B26"/>
    <w:rsid w:val="0024063C"/>
    <w:rsid w:val="00240B40"/>
    <w:rsid w:val="00241319"/>
    <w:rsid w:val="0024137A"/>
    <w:rsid w:val="00242819"/>
    <w:rsid w:val="002430C6"/>
    <w:rsid w:val="002434EF"/>
    <w:rsid w:val="002439F5"/>
    <w:rsid w:val="00244E32"/>
    <w:rsid w:val="00245207"/>
    <w:rsid w:val="00245A16"/>
    <w:rsid w:val="00246649"/>
    <w:rsid w:val="002469D2"/>
    <w:rsid w:val="00246DAF"/>
    <w:rsid w:val="0024760C"/>
    <w:rsid w:val="002513FF"/>
    <w:rsid w:val="00251FD0"/>
    <w:rsid w:val="002522DD"/>
    <w:rsid w:val="002538F1"/>
    <w:rsid w:val="00253DED"/>
    <w:rsid w:val="00255BCF"/>
    <w:rsid w:val="00256348"/>
    <w:rsid w:val="002571EE"/>
    <w:rsid w:val="00257CAE"/>
    <w:rsid w:val="00257CF6"/>
    <w:rsid w:val="00260EDC"/>
    <w:rsid w:val="002611E0"/>
    <w:rsid w:val="0026169E"/>
    <w:rsid w:val="00261836"/>
    <w:rsid w:val="00263AC9"/>
    <w:rsid w:val="00264FA5"/>
    <w:rsid w:val="002653A5"/>
    <w:rsid w:val="002655CD"/>
    <w:rsid w:val="002707F6"/>
    <w:rsid w:val="0027091D"/>
    <w:rsid w:val="00273DD0"/>
    <w:rsid w:val="0027473D"/>
    <w:rsid w:val="00276463"/>
    <w:rsid w:val="0027648C"/>
    <w:rsid w:val="002800C6"/>
    <w:rsid w:val="002816FA"/>
    <w:rsid w:val="00281AE2"/>
    <w:rsid w:val="00283123"/>
    <w:rsid w:val="00283164"/>
    <w:rsid w:val="00283968"/>
    <w:rsid w:val="0028479C"/>
    <w:rsid w:val="002848A7"/>
    <w:rsid w:val="00284A9A"/>
    <w:rsid w:val="00284C2E"/>
    <w:rsid w:val="002864C4"/>
    <w:rsid w:val="00287D90"/>
    <w:rsid w:val="00291025"/>
    <w:rsid w:val="002915FB"/>
    <w:rsid w:val="00291777"/>
    <w:rsid w:val="00293955"/>
    <w:rsid w:val="00293F63"/>
    <w:rsid w:val="00294D79"/>
    <w:rsid w:val="002A1610"/>
    <w:rsid w:val="002A1CD5"/>
    <w:rsid w:val="002A3444"/>
    <w:rsid w:val="002A4595"/>
    <w:rsid w:val="002A4D73"/>
    <w:rsid w:val="002A5A39"/>
    <w:rsid w:val="002A604A"/>
    <w:rsid w:val="002A713F"/>
    <w:rsid w:val="002A7FC0"/>
    <w:rsid w:val="002B01F7"/>
    <w:rsid w:val="002B0B94"/>
    <w:rsid w:val="002B0DCB"/>
    <w:rsid w:val="002B1A23"/>
    <w:rsid w:val="002B2359"/>
    <w:rsid w:val="002B255E"/>
    <w:rsid w:val="002B359D"/>
    <w:rsid w:val="002B3E79"/>
    <w:rsid w:val="002B4CD2"/>
    <w:rsid w:val="002B4DE8"/>
    <w:rsid w:val="002B575F"/>
    <w:rsid w:val="002B5877"/>
    <w:rsid w:val="002B59B3"/>
    <w:rsid w:val="002B59EC"/>
    <w:rsid w:val="002B5EE3"/>
    <w:rsid w:val="002B63DF"/>
    <w:rsid w:val="002B6FD2"/>
    <w:rsid w:val="002B7915"/>
    <w:rsid w:val="002B7D3F"/>
    <w:rsid w:val="002C0C17"/>
    <w:rsid w:val="002C1325"/>
    <w:rsid w:val="002C1C38"/>
    <w:rsid w:val="002C25DB"/>
    <w:rsid w:val="002C2AF5"/>
    <w:rsid w:val="002C3253"/>
    <w:rsid w:val="002C32DE"/>
    <w:rsid w:val="002C3387"/>
    <w:rsid w:val="002C3623"/>
    <w:rsid w:val="002C3749"/>
    <w:rsid w:val="002C3EA5"/>
    <w:rsid w:val="002C3F7D"/>
    <w:rsid w:val="002C4C15"/>
    <w:rsid w:val="002C4EF6"/>
    <w:rsid w:val="002C53EA"/>
    <w:rsid w:val="002C5A71"/>
    <w:rsid w:val="002C60D8"/>
    <w:rsid w:val="002C79AA"/>
    <w:rsid w:val="002C7FCF"/>
    <w:rsid w:val="002D0223"/>
    <w:rsid w:val="002D0C27"/>
    <w:rsid w:val="002D1206"/>
    <w:rsid w:val="002D1419"/>
    <w:rsid w:val="002D1528"/>
    <w:rsid w:val="002D1A7F"/>
    <w:rsid w:val="002D2718"/>
    <w:rsid w:val="002D29D0"/>
    <w:rsid w:val="002D32FD"/>
    <w:rsid w:val="002D3848"/>
    <w:rsid w:val="002D5177"/>
    <w:rsid w:val="002D5426"/>
    <w:rsid w:val="002D5D03"/>
    <w:rsid w:val="002D7D1A"/>
    <w:rsid w:val="002E042D"/>
    <w:rsid w:val="002E1DE8"/>
    <w:rsid w:val="002E2F1D"/>
    <w:rsid w:val="002E3ECB"/>
    <w:rsid w:val="002E47E3"/>
    <w:rsid w:val="002E54E1"/>
    <w:rsid w:val="002E65E7"/>
    <w:rsid w:val="002E6C79"/>
    <w:rsid w:val="002E73F7"/>
    <w:rsid w:val="002E796F"/>
    <w:rsid w:val="002F09CB"/>
    <w:rsid w:val="002F0E9A"/>
    <w:rsid w:val="002F1296"/>
    <w:rsid w:val="002F1BF5"/>
    <w:rsid w:val="002F2D0D"/>
    <w:rsid w:val="002F2EE9"/>
    <w:rsid w:val="002F45F0"/>
    <w:rsid w:val="002F4FA1"/>
    <w:rsid w:val="002F5880"/>
    <w:rsid w:val="002F6F44"/>
    <w:rsid w:val="002F7874"/>
    <w:rsid w:val="002F7E98"/>
    <w:rsid w:val="00300639"/>
    <w:rsid w:val="0030160F"/>
    <w:rsid w:val="0030167A"/>
    <w:rsid w:val="003020FD"/>
    <w:rsid w:val="00302CDA"/>
    <w:rsid w:val="00304024"/>
    <w:rsid w:val="0030444E"/>
    <w:rsid w:val="00304CAC"/>
    <w:rsid w:val="00305573"/>
    <w:rsid w:val="00305DA2"/>
    <w:rsid w:val="003076A1"/>
    <w:rsid w:val="00310C74"/>
    <w:rsid w:val="0031392C"/>
    <w:rsid w:val="00313DD1"/>
    <w:rsid w:val="0031443C"/>
    <w:rsid w:val="0031469B"/>
    <w:rsid w:val="00314842"/>
    <w:rsid w:val="0031670E"/>
    <w:rsid w:val="00316A23"/>
    <w:rsid w:val="00316C23"/>
    <w:rsid w:val="00317085"/>
    <w:rsid w:val="003172A2"/>
    <w:rsid w:val="003179F5"/>
    <w:rsid w:val="00317B03"/>
    <w:rsid w:val="0032193B"/>
    <w:rsid w:val="00321E12"/>
    <w:rsid w:val="00322A9C"/>
    <w:rsid w:val="00323AF3"/>
    <w:rsid w:val="003247D8"/>
    <w:rsid w:val="0032480C"/>
    <w:rsid w:val="00324C66"/>
    <w:rsid w:val="00324F76"/>
    <w:rsid w:val="00325290"/>
    <w:rsid w:val="003252CE"/>
    <w:rsid w:val="0032594C"/>
    <w:rsid w:val="00325B95"/>
    <w:rsid w:val="00326DF4"/>
    <w:rsid w:val="00327F07"/>
    <w:rsid w:val="0032A553"/>
    <w:rsid w:val="00330C70"/>
    <w:rsid w:val="00331568"/>
    <w:rsid w:val="00332C80"/>
    <w:rsid w:val="00333320"/>
    <w:rsid w:val="00333EE0"/>
    <w:rsid w:val="00334883"/>
    <w:rsid w:val="00334E27"/>
    <w:rsid w:val="0033630B"/>
    <w:rsid w:val="00336372"/>
    <w:rsid w:val="0034037D"/>
    <w:rsid w:val="0034059D"/>
    <w:rsid w:val="00341964"/>
    <w:rsid w:val="00341D74"/>
    <w:rsid w:val="0034201C"/>
    <w:rsid w:val="00342B2F"/>
    <w:rsid w:val="0034336E"/>
    <w:rsid w:val="00343B76"/>
    <w:rsid w:val="00343B91"/>
    <w:rsid w:val="003459DF"/>
    <w:rsid w:val="0034666E"/>
    <w:rsid w:val="00346C2A"/>
    <w:rsid w:val="0034706B"/>
    <w:rsid w:val="003471EF"/>
    <w:rsid w:val="0034726A"/>
    <w:rsid w:val="0034756C"/>
    <w:rsid w:val="00347A34"/>
    <w:rsid w:val="00347AFC"/>
    <w:rsid w:val="00347C6E"/>
    <w:rsid w:val="003501C7"/>
    <w:rsid w:val="003509A2"/>
    <w:rsid w:val="00350B37"/>
    <w:rsid w:val="00351211"/>
    <w:rsid w:val="00351328"/>
    <w:rsid w:val="0035357E"/>
    <w:rsid w:val="00353F15"/>
    <w:rsid w:val="003551D9"/>
    <w:rsid w:val="00355319"/>
    <w:rsid w:val="00355D8F"/>
    <w:rsid w:val="00355F8B"/>
    <w:rsid w:val="00356572"/>
    <w:rsid w:val="00356953"/>
    <w:rsid w:val="00357A25"/>
    <w:rsid w:val="00357B66"/>
    <w:rsid w:val="00360731"/>
    <w:rsid w:val="0036075E"/>
    <w:rsid w:val="00360981"/>
    <w:rsid w:val="00360C3E"/>
    <w:rsid w:val="0036105F"/>
    <w:rsid w:val="0036202F"/>
    <w:rsid w:val="00363062"/>
    <w:rsid w:val="00364495"/>
    <w:rsid w:val="00364F03"/>
    <w:rsid w:val="003655A7"/>
    <w:rsid w:val="003657F9"/>
    <w:rsid w:val="003664EB"/>
    <w:rsid w:val="00366EB5"/>
    <w:rsid w:val="00367893"/>
    <w:rsid w:val="00367925"/>
    <w:rsid w:val="0037087D"/>
    <w:rsid w:val="00370B7D"/>
    <w:rsid w:val="00370E8E"/>
    <w:rsid w:val="00371C8A"/>
    <w:rsid w:val="0037231C"/>
    <w:rsid w:val="00373791"/>
    <w:rsid w:val="00374835"/>
    <w:rsid w:val="00375324"/>
    <w:rsid w:val="00375A49"/>
    <w:rsid w:val="00376511"/>
    <w:rsid w:val="00376E6F"/>
    <w:rsid w:val="003770D2"/>
    <w:rsid w:val="00381E65"/>
    <w:rsid w:val="00383A07"/>
    <w:rsid w:val="00385D2C"/>
    <w:rsid w:val="00386FAD"/>
    <w:rsid w:val="00391D6C"/>
    <w:rsid w:val="00391DA5"/>
    <w:rsid w:val="0039260E"/>
    <w:rsid w:val="00392A89"/>
    <w:rsid w:val="00393CD9"/>
    <w:rsid w:val="00394A75"/>
    <w:rsid w:val="00394BFD"/>
    <w:rsid w:val="00395989"/>
    <w:rsid w:val="00396011"/>
    <w:rsid w:val="00396280"/>
    <w:rsid w:val="003966B2"/>
    <w:rsid w:val="00396DB5"/>
    <w:rsid w:val="003A003E"/>
    <w:rsid w:val="003A0263"/>
    <w:rsid w:val="003A05AC"/>
    <w:rsid w:val="003A1249"/>
    <w:rsid w:val="003A1661"/>
    <w:rsid w:val="003A2641"/>
    <w:rsid w:val="003A3E81"/>
    <w:rsid w:val="003A4647"/>
    <w:rsid w:val="003A4813"/>
    <w:rsid w:val="003A4859"/>
    <w:rsid w:val="003A5C29"/>
    <w:rsid w:val="003A660A"/>
    <w:rsid w:val="003A6F17"/>
    <w:rsid w:val="003A7EAB"/>
    <w:rsid w:val="003B02FC"/>
    <w:rsid w:val="003B03ED"/>
    <w:rsid w:val="003B0615"/>
    <w:rsid w:val="003B0DC7"/>
    <w:rsid w:val="003B22F5"/>
    <w:rsid w:val="003B33FB"/>
    <w:rsid w:val="003B344F"/>
    <w:rsid w:val="003B3F49"/>
    <w:rsid w:val="003B400F"/>
    <w:rsid w:val="003B41D1"/>
    <w:rsid w:val="003B440E"/>
    <w:rsid w:val="003B530D"/>
    <w:rsid w:val="003B5EFA"/>
    <w:rsid w:val="003B60D1"/>
    <w:rsid w:val="003B659A"/>
    <w:rsid w:val="003B7B73"/>
    <w:rsid w:val="003B7E9B"/>
    <w:rsid w:val="003C09C8"/>
    <w:rsid w:val="003C10AA"/>
    <w:rsid w:val="003C1576"/>
    <w:rsid w:val="003C1811"/>
    <w:rsid w:val="003C1C21"/>
    <w:rsid w:val="003C1E85"/>
    <w:rsid w:val="003C201C"/>
    <w:rsid w:val="003C2CE0"/>
    <w:rsid w:val="003C3902"/>
    <w:rsid w:val="003C394B"/>
    <w:rsid w:val="003C3B66"/>
    <w:rsid w:val="003C54CE"/>
    <w:rsid w:val="003C5B7B"/>
    <w:rsid w:val="003C648A"/>
    <w:rsid w:val="003C7251"/>
    <w:rsid w:val="003D0530"/>
    <w:rsid w:val="003D1743"/>
    <w:rsid w:val="003D34AA"/>
    <w:rsid w:val="003D3588"/>
    <w:rsid w:val="003D3F45"/>
    <w:rsid w:val="003D5CB8"/>
    <w:rsid w:val="003D6401"/>
    <w:rsid w:val="003D73C1"/>
    <w:rsid w:val="003E0108"/>
    <w:rsid w:val="003E03D5"/>
    <w:rsid w:val="003E05D6"/>
    <w:rsid w:val="003E0D64"/>
    <w:rsid w:val="003E1AF0"/>
    <w:rsid w:val="003E2154"/>
    <w:rsid w:val="003E2BBD"/>
    <w:rsid w:val="003E39CD"/>
    <w:rsid w:val="003E4004"/>
    <w:rsid w:val="003E4AB2"/>
    <w:rsid w:val="003E4D1B"/>
    <w:rsid w:val="003E51EA"/>
    <w:rsid w:val="003E520F"/>
    <w:rsid w:val="003E55C8"/>
    <w:rsid w:val="003E5897"/>
    <w:rsid w:val="003E6754"/>
    <w:rsid w:val="003E6C61"/>
    <w:rsid w:val="003E70AF"/>
    <w:rsid w:val="003E78AC"/>
    <w:rsid w:val="003F084E"/>
    <w:rsid w:val="003F1000"/>
    <w:rsid w:val="003F231E"/>
    <w:rsid w:val="003F240A"/>
    <w:rsid w:val="003F26A1"/>
    <w:rsid w:val="003F37EE"/>
    <w:rsid w:val="003F3A33"/>
    <w:rsid w:val="003F47FD"/>
    <w:rsid w:val="003F4B0E"/>
    <w:rsid w:val="003F5C19"/>
    <w:rsid w:val="003FDE0D"/>
    <w:rsid w:val="00400678"/>
    <w:rsid w:val="00402039"/>
    <w:rsid w:val="0040240D"/>
    <w:rsid w:val="00402C43"/>
    <w:rsid w:val="00403947"/>
    <w:rsid w:val="00406C1E"/>
    <w:rsid w:val="00407166"/>
    <w:rsid w:val="00407F25"/>
    <w:rsid w:val="0041254B"/>
    <w:rsid w:val="00412710"/>
    <w:rsid w:val="00412A99"/>
    <w:rsid w:val="00412C70"/>
    <w:rsid w:val="00412D5C"/>
    <w:rsid w:val="0041403A"/>
    <w:rsid w:val="004147CD"/>
    <w:rsid w:val="00414B89"/>
    <w:rsid w:val="00416290"/>
    <w:rsid w:val="00416C00"/>
    <w:rsid w:val="00416C26"/>
    <w:rsid w:val="004175B7"/>
    <w:rsid w:val="004202D3"/>
    <w:rsid w:val="00420535"/>
    <w:rsid w:val="004209EA"/>
    <w:rsid w:val="00421702"/>
    <w:rsid w:val="00421AF8"/>
    <w:rsid w:val="00421C83"/>
    <w:rsid w:val="00423762"/>
    <w:rsid w:val="00423ECA"/>
    <w:rsid w:val="00424204"/>
    <w:rsid w:val="00424745"/>
    <w:rsid w:val="004257D8"/>
    <w:rsid w:val="0042666D"/>
    <w:rsid w:val="00426741"/>
    <w:rsid w:val="00427A48"/>
    <w:rsid w:val="00430270"/>
    <w:rsid w:val="00431923"/>
    <w:rsid w:val="00432BE9"/>
    <w:rsid w:val="00432FFE"/>
    <w:rsid w:val="004337A3"/>
    <w:rsid w:val="00434142"/>
    <w:rsid w:val="004356AE"/>
    <w:rsid w:val="004359F5"/>
    <w:rsid w:val="0043635B"/>
    <w:rsid w:val="00436C5F"/>
    <w:rsid w:val="00437071"/>
    <w:rsid w:val="004405C1"/>
    <w:rsid w:val="00440606"/>
    <w:rsid w:val="00440A28"/>
    <w:rsid w:val="00440B64"/>
    <w:rsid w:val="00442C02"/>
    <w:rsid w:val="0044340F"/>
    <w:rsid w:val="0044409A"/>
    <w:rsid w:val="004449B7"/>
    <w:rsid w:val="00444D35"/>
    <w:rsid w:val="004451C9"/>
    <w:rsid w:val="0044616F"/>
    <w:rsid w:val="00446445"/>
    <w:rsid w:val="0044644A"/>
    <w:rsid w:val="0044726F"/>
    <w:rsid w:val="00450761"/>
    <w:rsid w:val="00450A59"/>
    <w:rsid w:val="00450B0F"/>
    <w:rsid w:val="00452060"/>
    <w:rsid w:val="004523C7"/>
    <w:rsid w:val="0045298D"/>
    <w:rsid w:val="00454D77"/>
    <w:rsid w:val="00455E0A"/>
    <w:rsid w:val="00456C63"/>
    <w:rsid w:val="00457523"/>
    <w:rsid w:val="00457AA5"/>
    <w:rsid w:val="00457D0F"/>
    <w:rsid w:val="00457D3D"/>
    <w:rsid w:val="00461300"/>
    <w:rsid w:val="00461367"/>
    <w:rsid w:val="00461773"/>
    <w:rsid w:val="0046281E"/>
    <w:rsid w:val="00463A3D"/>
    <w:rsid w:val="00463DB0"/>
    <w:rsid w:val="004642B0"/>
    <w:rsid w:val="00465CAA"/>
    <w:rsid w:val="00466058"/>
    <w:rsid w:val="00466119"/>
    <w:rsid w:val="00466393"/>
    <w:rsid w:val="00466AEE"/>
    <w:rsid w:val="00466E5B"/>
    <w:rsid w:val="004702A6"/>
    <w:rsid w:val="0047057B"/>
    <w:rsid w:val="00471EB1"/>
    <w:rsid w:val="00472066"/>
    <w:rsid w:val="00472193"/>
    <w:rsid w:val="0047277D"/>
    <w:rsid w:val="0047374C"/>
    <w:rsid w:val="00473D9F"/>
    <w:rsid w:val="00473E11"/>
    <w:rsid w:val="00473F45"/>
    <w:rsid w:val="00473F97"/>
    <w:rsid w:val="00475247"/>
    <w:rsid w:val="004754DB"/>
    <w:rsid w:val="00475B5A"/>
    <w:rsid w:val="00476BCB"/>
    <w:rsid w:val="00477A8B"/>
    <w:rsid w:val="0048057D"/>
    <w:rsid w:val="00481056"/>
    <w:rsid w:val="00481FC3"/>
    <w:rsid w:val="0048219A"/>
    <w:rsid w:val="0048272A"/>
    <w:rsid w:val="00482964"/>
    <w:rsid w:val="00482AAC"/>
    <w:rsid w:val="004840B8"/>
    <w:rsid w:val="004850D3"/>
    <w:rsid w:val="00485D05"/>
    <w:rsid w:val="0048605D"/>
    <w:rsid w:val="00486435"/>
    <w:rsid w:val="00486866"/>
    <w:rsid w:val="00487172"/>
    <w:rsid w:val="0048741E"/>
    <w:rsid w:val="004877EB"/>
    <w:rsid w:val="00487C30"/>
    <w:rsid w:val="00487EBA"/>
    <w:rsid w:val="0049062A"/>
    <w:rsid w:val="00490B94"/>
    <w:rsid w:val="00490D52"/>
    <w:rsid w:val="00490DE6"/>
    <w:rsid w:val="00491598"/>
    <w:rsid w:val="00491E6D"/>
    <w:rsid w:val="00493360"/>
    <w:rsid w:val="004935BA"/>
    <w:rsid w:val="00494610"/>
    <w:rsid w:val="00494884"/>
    <w:rsid w:val="004950EE"/>
    <w:rsid w:val="00495517"/>
    <w:rsid w:val="00495A11"/>
    <w:rsid w:val="0049672D"/>
    <w:rsid w:val="00497571"/>
    <w:rsid w:val="00497BEA"/>
    <w:rsid w:val="00497FF5"/>
    <w:rsid w:val="004A004C"/>
    <w:rsid w:val="004A0120"/>
    <w:rsid w:val="004A04B3"/>
    <w:rsid w:val="004A04EB"/>
    <w:rsid w:val="004A0815"/>
    <w:rsid w:val="004A1593"/>
    <w:rsid w:val="004A2273"/>
    <w:rsid w:val="004A239D"/>
    <w:rsid w:val="004A38B9"/>
    <w:rsid w:val="004A3A88"/>
    <w:rsid w:val="004A49BE"/>
    <w:rsid w:val="004A5DEF"/>
    <w:rsid w:val="004A6631"/>
    <w:rsid w:val="004A7464"/>
    <w:rsid w:val="004A797A"/>
    <w:rsid w:val="004A7A57"/>
    <w:rsid w:val="004B0854"/>
    <w:rsid w:val="004B0D92"/>
    <w:rsid w:val="004B0F3E"/>
    <w:rsid w:val="004B0FA9"/>
    <w:rsid w:val="004B1346"/>
    <w:rsid w:val="004B1FDA"/>
    <w:rsid w:val="004B210F"/>
    <w:rsid w:val="004B3329"/>
    <w:rsid w:val="004B427E"/>
    <w:rsid w:val="004B4508"/>
    <w:rsid w:val="004B4628"/>
    <w:rsid w:val="004B4A1D"/>
    <w:rsid w:val="004B4C38"/>
    <w:rsid w:val="004B5BE9"/>
    <w:rsid w:val="004B5E81"/>
    <w:rsid w:val="004B5FFD"/>
    <w:rsid w:val="004B6243"/>
    <w:rsid w:val="004B673C"/>
    <w:rsid w:val="004C0457"/>
    <w:rsid w:val="004C0D38"/>
    <w:rsid w:val="004C0DBD"/>
    <w:rsid w:val="004C0DF6"/>
    <w:rsid w:val="004C1114"/>
    <w:rsid w:val="004C2F49"/>
    <w:rsid w:val="004C4EE8"/>
    <w:rsid w:val="004C5114"/>
    <w:rsid w:val="004C6480"/>
    <w:rsid w:val="004C7225"/>
    <w:rsid w:val="004C7C08"/>
    <w:rsid w:val="004C7EB5"/>
    <w:rsid w:val="004D0E80"/>
    <w:rsid w:val="004D0EAC"/>
    <w:rsid w:val="004D3373"/>
    <w:rsid w:val="004D4BCF"/>
    <w:rsid w:val="004D7764"/>
    <w:rsid w:val="004D78C4"/>
    <w:rsid w:val="004D79BC"/>
    <w:rsid w:val="004D7BE2"/>
    <w:rsid w:val="004E0089"/>
    <w:rsid w:val="004E01A9"/>
    <w:rsid w:val="004E01FF"/>
    <w:rsid w:val="004E0666"/>
    <w:rsid w:val="004E0CCB"/>
    <w:rsid w:val="004E0FE5"/>
    <w:rsid w:val="004E1300"/>
    <w:rsid w:val="004E183C"/>
    <w:rsid w:val="004E2AE3"/>
    <w:rsid w:val="004E2CB8"/>
    <w:rsid w:val="004E2D0A"/>
    <w:rsid w:val="004E2FFB"/>
    <w:rsid w:val="004E3157"/>
    <w:rsid w:val="004E3234"/>
    <w:rsid w:val="004E35F9"/>
    <w:rsid w:val="004E385D"/>
    <w:rsid w:val="004E485E"/>
    <w:rsid w:val="004E499D"/>
    <w:rsid w:val="004E4DA9"/>
    <w:rsid w:val="004E4DF2"/>
    <w:rsid w:val="004E501F"/>
    <w:rsid w:val="004E6CC5"/>
    <w:rsid w:val="004E6FC9"/>
    <w:rsid w:val="004E779F"/>
    <w:rsid w:val="004F16F6"/>
    <w:rsid w:val="004F1802"/>
    <w:rsid w:val="004F19BF"/>
    <w:rsid w:val="004F1D9E"/>
    <w:rsid w:val="004F2C60"/>
    <w:rsid w:val="004F2DE2"/>
    <w:rsid w:val="004F373B"/>
    <w:rsid w:val="004F5C8B"/>
    <w:rsid w:val="004F5CC1"/>
    <w:rsid w:val="004F5EC7"/>
    <w:rsid w:val="004F62C5"/>
    <w:rsid w:val="004F7DE5"/>
    <w:rsid w:val="005007BD"/>
    <w:rsid w:val="005007C0"/>
    <w:rsid w:val="00503320"/>
    <w:rsid w:val="00503494"/>
    <w:rsid w:val="005049E4"/>
    <w:rsid w:val="00504E1C"/>
    <w:rsid w:val="00506B44"/>
    <w:rsid w:val="00506EC4"/>
    <w:rsid w:val="0050726B"/>
    <w:rsid w:val="00511963"/>
    <w:rsid w:val="00511D69"/>
    <w:rsid w:val="00512743"/>
    <w:rsid w:val="005128D9"/>
    <w:rsid w:val="005129FA"/>
    <w:rsid w:val="005144B2"/>
    <w:rsid w:val="005147F9"/>
    <w:rsid w:val="005153FB"/>
    <w:rsid w:val="00515D96"/>
    <w:rsid w:val="0051656E"/>
    <w:rsid w:val="00517B84"/>
    <w:rsid w:val="005205C9"/>
    <w:rsid w:val="00521C01"/>
    <w:rsid w:val="00522105"/>
    <w:rsid w:val="00522BF9"/>
    <w:rsid w:val="0052319F"/>
    <w:rsid w:val="005235EA"/>
    <w:rsid w:val="00523B7C"/>
    <w:rsid w:val="005247C8"/>
    <w:rsid w:val="00524A43"/>
    <w:rsid w:val="00525332"/>
    <w:rsid w:val="0052581E"/>
    <w:rsid w:val="00525FFB"/>
    <w:rsid w:val="00526A3B"/>
    <w:rsid w:val="0052719A"/>
    <w:rsid w:val="00527221"/>
    <w:rsid w:val="005275E4"/>
    <w:rsid w:val="005276A4"/>
    <w:rsid w:val="00527918"/>
    <w:rsid w:val="00530665"/>
    <w:rsid w:val="00531966"/>
    <w:rsid w:val="00535524"/>
    <w:rsid w:val="00536214"/>
    <w:rsid w:val="00537A5A"/>
    <w:rsid w:val="00537E43"/>
    <w:rsid w:val="00540862"/>
    <w:rsid w:val="00542AD7"/>
    <w:rsid w:val="00542C0A"/>
    <w:rsid w:val="00543732"/>
    <w:rsid w:val="00543746"/>
    <w:rsid w:val="005447F0"/>
    <w:rsid w:val="00544E69"/>
    <w:rsid w:val="005456AD"/>
    <w:rsid w:val="0054726E"/>
    <w:rsid w:val="0054765F"/>
    <w:rsid w:val="00547822"/>
    <w:rsid w:val="00547AE4"/>
    <w:rsid w:val="00547AF0"/>
    <w:rsid w:val="00547F69"/>
    <w:rsid w:val="00550382"/>
    <w:rsid w:val="00551718"/>
    <w:rsid w:val="00551836"/>
    <w:rsid w:val="0055229D"/>
    <w:rsid w:val="005525D2"/>
    <w:rsid w:val="00552BF4"/>
    <w:rsid w:val="00552D48"/>
    <w:rsid w:val="00553070"/>
    <w:rsid w:val="005541E1"/>
    <w:rsid w:val="00555BCB"/>
    <w:rsid w:val="005565D8"/>
    <w:rsid w:val="0055788A"/>
    <w:rsid w:val="00560221"/>
    <w:rsid w:val="005613DD"/>
    <w:rsid w:val="00561977"/>
    <w:rsid w:val="00562019"/>
    <w:rsid w:val="00562207"/>
    <w:rsid w:val="005622C8"/>
    <w:rsid w:val="00563426"/>
    <w:rsid w:val="00563590"/>
    <w:rsid w:val="0056475D"/>
    <w:rsid w:val="00564B37"/>
    <w:rsid w:val="00565159"/>
    <w:rsid w:val="00565B7E"/>
    <w:rsid w:val="00565D82"/>
    <w:rsid w:val="00566CF6"/>
    <w:rsid w:val="00566E73"/>
    <w:rsid w:val="005706EE"/>
    <w:rsid w:val="00570B70"/>
    <w:rsid w:val="005724B5"/>
    <w:rsid w:val="00572622"/>
    <w:rsid w:val="005730C6"/>
    <w:rsid w:val="005740EB"/>
    <w:rsid w:val="00574958"/>
    <w:rsid w:val="00576246"/>
    <w:rsid w:val="00576772"/>
    <w:rsid w:val="00576A5C"/>
    <w:rsid w:val="00576B7D"/>
    <w:rsid w:val="00577361"/>
    <w:rsid w:val="00580223"/>
    <w:rsid w:val="0058112E"/>
    <w:rsid w:val="00583556"/>
    <w:rsid w:val="00583E04"/>
    <w:rsid w:val="00583EB7"/>
    <w:rsid w:val="005849FE"/>
    <w:rsid w:val="00584B0F"/>
    <w:rsid w:val="00584EFD"/>
    <w:rsid w:val="00587177"/>
    <w:rsid w:val="005878A7"/>
    <w:rsid w:val="0059052A"/>
    <w:rsid w:val="0059098C"/>
    <w:rsid w:val="0059100F"/>
    <w:rsid w:val="00591530"/>
    <w:rsid w:val="005917B2"/>
    <w:rsid w:val="00591ACE"/>
    <w:rsid w:val="00591ECC"/>
    <w:rsid w:val="00591FCA"/>
    <w:rsid w:val="00592B1E"/>
    <w:rsid w:val="005934D9"/>
    <w:rsid w:val="005944AA"/>
    <w:rsid w:val="00594C7B"/>
    <w:rsid w:val="0059543C"/>
    <w:rsid w:val="00595F36"/>
    <w:rsid w:val="00595F3E"/>
    <w:rsid w:val="00596166"/>
    <w:rsid w:val="005961A3"/>
    <w:rsid w:val="00596BD2"/>
    <w:rsid w:val="00596D01"/>
    <w:rsid w:val="00597600"/>
    <w:rsid w:val="005A016D"/>
    <w:rsid w:val="005A2DDE"/>
    <w:rsid w:val="005A32F9"/>
    <w:rsid w:val="005A3E94"/>
    <w:rsid w:val="005A43E9"/>
    <w:rsid w:val="005A5774"/>
    <w:rsid w:val="005A5E23"/>
    <w:rsid w:val="005A62C6"/>
    <w:rsid w:val="005A68DC"/>
    <w:rsid w:val="005A6A8C"/>
    <w:rsid w:val="005A6D17"/>
    <w:rsid w:val="005A703E"/>
    <w:rsid w:val="005A7FE6"/>
    <w:rsid w:val="005B0981"/>
    <w:rsid w:val="005B09FF"/>
    <w:rsid w:val="005B0CF5"/>
    <w:rsid w:val="005B3D56"/>
    <w:rsid w:val="005B42C8"/>
    <w:rsid w:val="005B44C6"/>
    <w:rsid w:val="005B468A"/>
    <w:rsid w:val="005B47A0"/>
    <w:rsid w:val="005B50D9"/>
    <w:rsid w:val="005B5406"/>
    <w:rsid w:val="005B5568"/>
    <w:rsid w:val="005B5EE7"/>
    <w:rsid w:val="005B6218"/>
    <w:rsid w:val="005B6FBA"/>
    <w:rsid w:val="005C1248"/>
    <w:rsid w:val="005C143C"/>
    <w:rsid w:val="005C164A"/>
    <w:rsid w:val="005C3094"/>
    <w:rsid w:val="005C4E6A"/>
    <w:rsid w:val="005C56DF"/>
    <w:rsid w:val="005C5AFF"/>
    <w:rsid w:val="005C6E39"/>
    <w:rsid w:val="005C73C2"/>
    <w:rsid w:val="005C7CDD"/>
    <w:rsid w:val="005D0231"/>
    <w:rsid w:val="005D0381"/>
    <w:rsid w:val="005D0F34"/>
    <w:rsid w:val="005D1DB3"/>
    <w:rsid w:val="005D2691"/>
    <w:rsid w:val="005D287F"/>
    <w:rsid w:val="005D2BA2"/>
    <w:rsid w:val="005D2CB0"/>
    <w:rsid w:val="005D32ED"/>
    <w:rsid w:val="005D3563"/>
    <w:rsid w:val="005D3B29"/>
    <w:rsid w:val="005D41CB"/>
    <w:rsid w:val="005D43CC"/>
    <w:rsid w:val="005D4922"/>
    <w:rsid w:val="005D4A48"/>
    <w:rsid w:val="005D66F7"/>
    <w:rsid w:val="005D7755"/>
    <w:rsid w:val="005E050F"/>
    <w:rsid w:val="005E0A41"/>
    <w:rsid w:val="005E0E4E"/>
    <w:rsid w:val="005E0EBE"/>
    <w:rsid w:val="005E179E"/>
    <w:rsid w:val="005E1C59"/>
    <w:rsid w:val="005E2471"/>
    <w:rsid w:val="005E2526"/>
    <w:rsid w:val="005E2574"/>
    <w:rsid w:val="005E3A11"/>
    <w:rsid w:val="005E41D9"/>
    <w:rsid w:val="005E4FB9"/>
    <w:rsid w:val="005E566B"/>
    <w:rsid w:val="005E6284"/>
    <w:rsid w:val="005E7EC0"/>
    <w:rsid w:val="005F0386"/>
    <w:rsid w:val="005F2806"/>
    <w:rsid w:val="005F2DDF"/>
    <w:rsid w:val="005F338B"/>
    <w:rsid w:val="005F358E"/>
    <w:rsid w:val="005F3B1B"/>
    <w:rsid w:val="005F4665"/>
    <w:rsid w:val="005F51A0"/>
    <w:rsid w:val="005F7DB1"/>
    <w:rsid w:val="0060149C"/>
    <w:rsid w:val="006021F7"/>
    <w:rsid w:val="0060234B"/>
    <w:rsid w:val="0060283D"/>
    <w:rsid w:val="00602F3C"/>
    <w:rsid w:val="00603B58"/>
    <w:rsid w:val="00604EC1"/>
    <w:rsid w:val="00606C71"/>
    <w:rsid w:val="006078E4"/>
    <w:rsid w:val="006109C4"/>
    <w:rsid w:val="00610D53"/>
    <w:rsid w:val="0061237D"/>
    <w:rsid w:val="00612CE2"/>
    <w:rsid w:val="0061304E"/>
    <w:rsid w:val="00613D6F"/>
    <w:rsid w:val="006157E5"/>
    <w:rsid w:val="00615B52"/>
    <w:rsid w:val="00616D94"/>
    <w:rsid w:val="006204A6"/>
    <w:rsid w:val="006222D2"/>
    <w:rsid w:val="00622A45"/>
    <w:rsid w:val="006236C8"/>
    <w:rsid w:val="00623B4A"/>
    <w:rsid w:val="00624561"/>
    <w:rsid w:val="006253E9"/>
    <w:rsid w:val="006256DD"/>
    <w:rsid w:val="006265F6"/>
    <w:rsid w:val="00627BED"/>
    <w:rsid w:val="006306CB"/>
    <w:rsid w:val="00631042"/>
    <w:rsid w:val="00631612"/>
    <w:rsid w:val="00632817"/>
    <w:rsid w:val="00632EA2"/>
    <w:rsid w:val="00632FD2"/>
    <w:rsid w:val="0063300D"/>
    <w:rsid w:val="006338B1"/>
    <w:rsid w:val="00633D45"/>
    <w:rsid w:val="00636C14"/>
    <w:rsid w:val="00636F1C"/>
    <w:rsid w:val="0063789E"/>
    <w:rsid w:val="006404C6"/>
    <w:rsid w:val="00640D5F"/>
    <w:rsid w:val="00642961"/>
    <w:rsid w:val="006433B5"/>
    <w:rsid w:val="00644D5F"/>
    <w:rsid w:val="006453C0"/>
    <w:rsid w:val="00645645"/>
    <w:rsid w:val="0064690D"/>
    <w:rsid w:val="00646AF4"/>
    <w:rsid w:val="0064714F"/>
    <w:rsid w:val="006472AA"/>
    <w:rsid w:val="006477FC"/>
    <w:rsid w:val="00647BAB"/>
    <w:rsid w:val="006516A2"/>
    <w:rsid w:val="00651960"/>
    <w:rsid w:val="006532B7"/>
    <w:rsid w:val="00654575"/>
    <w:rsid w:val="00654809"/>
    <w:rsid w:val="00654EC2"/>
    <w:rsid w:val="00656900"/>
    <w:rsid w:val="00656A30"/>
    <w:rsid w:val="00657170"/>
    <w:rsid w:val="00657456"/>
    <w:rsid w:val="00657758"/>
    <w:rsid w:val="006577FC"/>
    <w:rsid w:val="00660A67"/>
    <w:rsid w:val="00660FE5"/>
    <w:rsid w:val="006638E2"/>
    <w:rsid w:val="00663E42"/>
    <w:rsid w:val="006646EA"/>
    <w:rsid w:val="00664865"/>
    <w:rsid w:val="00665B3A"/>
    <w:rsid w:val="00665C78"/>
    <w:rsid w:val="006663E8"/>
    <w:rsid w:val="00666887"/>
    <w:rsid w:val="00667719"/>
    <w:rsid w:val="006678EA"/>
    <w:rsid w:val="00667A62"/>
    <w:rsid w:val="00667C76"/>
    <w:rsid w:val="00667CB6"/>
    <w:rsid w:val="00667FB6"/>
    <w:rsid w:val="00667FDF"/>
    <w:rsid w:val="0067020E"/>
    <w:rsid w:val="006702EF"/>
    <w:rsid w:val="00672CF7"/>
    <w:rsid w:val="006737BD"/>
    <w:rsid w:val="00673FB0"/>
    <w:rsid w:val="006767FC"/>
    <w:rsid w:val="00676B67"/>
    <w:rsid w:val="00676C1C"/>
    <w:rsid w:val="00677684"/>
    <w:rsid w:val="00680423"/>
    <w:rsid w:val="006830ED"/>
    <w:rsid w:val="00683403"/>
    <w:rsid w:val="00683E9E"/>
    <w:rsid w:val="006852D7"/>
    <w:rsid w:val="006856EE"/>
    <w:rsid w:val="00685F12"/>
    <w:rsid w:val="00686B6C"/>
    <w:rsid w:val="00687195"/>
    <w:rsid w:val="00687B48"/>
    <w:rsid w:val="00690CBC"/>
    <w:rsid w:val="00690DEC"/>
    <w:rsid w:val="006915AB"/>
    <w:rsid w:val="00692601"/>
    <w:rsid w:val="00692CAE"/>
    <w:rsid w:val="00693917"/>
    <w:rsid w:val="00694844"/>
    <w:rsid w:val="00694EDB"/>
    <w:rsid w:val="006957F3"/>
    <w:rsid w:val="00695B03"/>
    <w:rsid w:val="0069674E"/>
    <w:rsid w:val="00696BAB"/>
    <w:rsid w:val="00696CE1"/>
    <w:rsid w:val="00696FF4"/>
    <w:rsid w:val="006A0CFF"/>
    <w:rsid w:val="006A1076"/>
    <w:rsid w:val="006A1103"/>
    <w:rsid w:val="006A18ED"/>
    <w:rsid w:val="006A1EEE"/>
    <w:rsid w:val="006A3080"/>
    <w:rsid w:val="006A39F8"/>
    <w:rsid w:val="006A4CEA"/>
    <w:rsid w:val="006A5279"/>
    <w:rsid w:val="006A6490"/>
    <w:rsid w:val="006A6F87"/>
    <w:rsid w:val="006A701D"/>
    <w:rsid w:val="006A7F43"/>
    <w:rsid w:val="006B0101"/>
    <w:rsid w:val="006B16AC"/>
    <w:rsid w:val="006B1DFD"/>
    <w:rsid w:val="006B287D"/>
    <w:rsid w:val="006B29F7"/>
    <w:rsid w:val="006B3816"/>
    <w:rsid w:val="006B39DF"/>
    <w:rsid w:val="006B4565"/>
    <w:rsid w:val="006B46EA"/>
    <w:rsid w:val="006B488D"/>
    <w:rsid w:val="006B69F9"/>
    <w:rsid w:val="006B7B40"/>
    <w:rsid w:val="006C01BA"/>
    <w:rsid w:val="006C09E2"/>
    <w:rsid w:val="006C14A7"/>
    <w:rsid w:val="006C1C29"/>
    <w:rsid w:val="006C1C77"/>
    <w:rsid w:val="006C25B4"/>
    <w:rsid w:val="006C2B3D"/>
    <w:rsid w:val="006C2FA1"/>
    <w:rsid w:val="006C497C"/>
    <w:rsid w:val="006C515A"/>
    <w:rsid w:val="006C566E"/>
    <w:rsid w:val="006C63C0"/>
    <w:rsid w:val="006C66A0"/>
    <w:rsid w:val="006C6A0C"/>
    <w:rsid w:val="006D11F8"/>
    <w:rsid w:val="006D1B06"/>
    <w:rsid w:val="006D217B"/>
    <w:rsid w:val="006D2FD5"/>
    <w:rsid w:val="006D3BE8"/>
    <w:rsid w:val="006D4FB4"/>
    <w:rsid w:val="006D50A3"/>
    <w:rsid w:val="006D532B"/>
    <w:rsid w:val="006D54ED"/>
    <w:rsid w:val="006D5E15"/>
    <w:rsid w:val="006D5F6F"/>
    <w:rsid w:val="006D6468"/>
    <w:rsid w:val="006D690A"/>
    <w:rsid w:val="006D6ABA"/>
    <w:rsid w:val="006D6BE4"/>
    <w:rsid w:val="006D7493"/>
    <w:rsid w:val="006E0913"/>
    <w:rsid w:val="006E0929"/>
    <w:rsid w:val="006E0BFF"/>
    <w:rsid w:val="006E182A"/>
    <w:rsid w:val="006E2A5E"/>
    <w:rsid w:val="006E5416"/>
    <w:rsid w:val="006E6392"/>
    <w:rsid w:val="006E64D0"/>
    <w:rsid w:val="006E6AF9"/>
    <w:rsid w:val="006E77F8"/>
    <w:rsid w:val="006E7D0A"/>
    <w:rsid w:val="006F084B"/>
    <w:rsid w:val="006F099B"/>
    <w:rsid w:val="006F13AE"/>
    <w:rsid w:val="006F13D1"/>
    <w:rsid w:val="006F2909"/>
    <w:rsid w:val="006F3368"/>
    <w:rsid w:val="006F490B"/>
    <w:rsid w:val="006F5102"/>
    <w:rsid w:val="006F5159"/>
    <w:rsid w:val="006F52AF"/>
    <w:rsid w:val="006F63E1"/>
    <w:rsid w:val="006F7785"/>
    <w:rsid w:val="0070035E"/>
    <w:rsid w:val="00700ABD"/>
    <w:rsid w:val="00700B51"/>
    <w:rsid w:val="007013A5"/>
    <w:rsid w:val="00702A3E"/>
    <w:rsid w:val="00702FBA"/>
    <w:rsid w:val="007041AD"/>
    <w:rsid w:val="00704249"/>
    <w:rsid w:val="00704FA2"/>
    <w:rsid w:val="00705E62"/>
    <w:rsid w:val="00706075"/>
    <w:rsid w:val="0070660C"/>
    <w:rsid w:val="00707413"/>
    <w:rsid w:val="00707468"/>
    <w:rsid w:val="0071075A"/>
    <w:rsid w:val="0071090E"/>
    <w:rsid w:val="00710C6F"/>
    <w:rsid w:val="00711094"/>
    <w:rsid w:val="007117D8"/>
    <w:rsid w:val="00711925"/>
    <w:rsid w:val="007125C9"/>
    <w:rsid w:val="00712C8A"/>
    <w:rsid w:val="00712F1E"/>
    <w:rsid w:val="0071445C"/>
    <w:rsid w:val="00714A9C"/>
    <w:rsid w:val="00715857"/>
    <w:rsid w:val="00715C9D"/>
    <w:rsid w:val="00715CA4"/>
    <w:rsid w:val="007162F5"/>
    <w:rsid w:val="00716AE1"/>
    <w:rsid w:val="007171D9"/>
    <w:rsid w:val="00717213"/>
    <w:rsid w:val="00717459"/>
    <w:rsid w:val="00717A11"/>
    <w:rsid w:val="0072148B"/>
    <w:rsid w:val="00721864"/>
    <w:rsid w:val="00721936"/>
    <w:rsid w:val="007220DA"/>
    <w:rsid w:val="0072230A"/>
    <w:rsid w:val="00722469"/>
    <w:rsid w:val="00723283"/>
    <w:rsid w:val="007237D6"/>
    <w:rsid w:val="00723C8D"/>
    <w:rsid w:val="007242C4"/>
    <w:rsid w:val="007266ED"/>
    <w:rsid w:val="00726B97"/>
    <w:rsid w:val="007308F0"/>
    <w:rsid w:val="00730FAB"/>
    <w:rsid w:val="007314AC"/>
    <w:rsid w:val="00731CF8"/>
    <w:rsid w:val="007323B4"/>
    <w:rsid w:val="00732589"/>
    <w:rsid w:val="00732DC3"/>
    <w:rsid w:val="007334BA"/>
    <w:rsid w:val="007334BB"/>
    <w:rsid w:val="00734F35"/>
    <w:rsid w:val="00735080"/>
    <w:rsid w:val="00735246"/>
    <w:rsid w:val="007362F5"/>
    <w:rsid w:val="00741167"/>
    <w:rsid w:val="00741FE3"/>
    <w:rsid w:val="007424A3"/>
    <w:rsid w:val="00744F6D"/>
    <w:rsid w:val="00745EA3"/>
    <w:rsid w:val="007460C1"/>
    <w:rsid w:val="00746AFE"/>
    <w:rsid w:val="00747477"/>
    <w:rsid w:val="007505DC"/>
    <w:rsid w:val="00750D8C"/>
    <w:rsid w:val="00751B97"/>
    <w:rsid w:val="0075283E"/>
    <w:rsid w:val="00753878"/>
    <w:rsid w:val="00753D5C"/>
    <w:rsid w:val="00754AE7"/>
    <w:rsid w:val="00755C4F"/>
    <w:rsid w:val="00756101"/>
    <w:rsid w:val="00756921"/>
    <w:rsid w:val="00756B61"/>
    <w:rsid w:val="00757654"/>
    <w:rsid w:val="00757B9F"/>
    <w:rsid w:val="00757F74"/>
    <w:rsid w:val="00760423"/>
    <w:rsid w:val="00760F3A"/>
    <w:rsid w:val="0076183F"/>
    <w:rsid w:val="00762544"/>
    <w:rsid w:val="007626A0"/>
    <w:rsid w:val="00763D1D"/>
    <w:rsid w:val="007645ED"/>
    <w:rsid w:val="007646C5"/>
    <w:rsid w:val="00764C66"/>
    <w:rsid w:val="00764F86"/>
    <w:rsid w:val="0076557D"/>
    <w:rsid w:val="0076709F"/>
    <w:rsid w:val="00767A97"/>
    <w:rsid w:val="0077023F"/>
    <w:rsid w:val="00770ECE"/>
    <w:rsid w:val="007729F9"/>
    <w:rsid w:val="00773FDE"/>
    <w:rsid w:val="00774940"/>
    <w:rsid w:val="00774A51"/>
    <w:rsid w:val="00775380"/>
    <w:rsid w:val="00775FCB"/>
    <w:rsid w:val="007764EB"/>
    <w:rsid w:val="00776D2E"/>
    <w:rsid w:val="007772AD"/>
    <w:rsid w:val="007772B5"/>
    <w:rsid w:val="00780683"/>
    <w:rsid w:val="0078080F"/>
    <w:rsid w:val="007808FE"/>
    <w:rsid w:val="00780E57"/>
    <w:rsid w:val="00781C0D"/>
    <w:rsid w:val="00781C94"/>
    <w:rsid w:val="0078389E"/>
    <w:rsid w:val="00783C07"/>
    <w:rsid w:val="00784D9D"/>
    <w:rsid w:val="00785145"/>
    <w:rsid w:val="00785644"/>
    <w:rsid w:val="007858BF"/>
    <w:rsid w:val="0078637B"/>
    <w:rsid w:val="007878A5"/>
    <w:rsid w:val="00791D14"/>
    <w:rsid w:val="0079266F"/>
    <w:rsid w:val="00792729"/>
    <w:rsid w:val="00793377"/>
    <w:rsid w:val="00793CFB"/>
    <w:rsid w:val="007942DC"/>
    <w:rsid w:val="007945AD"/>
    <w:rsid w:val="007947B3"/>
    <w:rsid w:val="00795F13"/>
    <w:rsid w:val="00796829"/>
    <w:rsid w:val="00797BE3"/>
    <w:rsid w:val="007A0473"/>
    <w:rsid w:val="007A1268"/>
    <w:rsid w:val="007A14A0"/>
    <w:rsid w:val="007A26A9"/>
    <w:rsid w:val="007A3036"/>
    <w:rsid w:val="007A35DB"/>
    <w:rsid w:val="007A36CC"/>
    <w:rsid w:val="007A3F28"/>
    <w:rsid w:val="007A5DD8"/>
    <w:rsid w:val="007A647E"/>
    <w:rsid w:val="007A68DF"/>
    <w:rsid w:val="007A6A53"/>
    <w:rsid w:val="007A700E"/>
    <w:rsid w:val="007A74B0"/>
    <w:rsid w:val="007A7607"/>
    <w:rsid w:val="007A7C7F"/>
    <w:rsid w:val="007B0C16"/>
    <w:rsid w:val="007B1F86"/>
    <w:rsid w:val="007B212C"/>
    <w:rsid w:val="007B2429"/>
    <w:rsid w:val="007B2A35"/>
    <w:rsid w:val="007B2D88"/>
    <w:rsid w:val="007B4B5C"/>
    <w:rsid w:val="007B4E9F"/>
    <w:rsid w:val="007B52E6"/>
    <w:rsid w:val="007B58EB"/>
    <w:rsid w:val="007B5D72"/>
    <w:rsid w:val="007B6802"/>
    <w:rsid w:val="007B7571"/>
    <w:rsid w:val="007B75EB"/>
    <w:rsid w:val="007C0170"/>
    <w:rsid w:val="007C072A"/>
    <w:rsid w:val="007C1487"/>
    <w:rsid w:val="007C15E1"/>
    <w:rsid w:val="007C1BE2"/>
    <w:rsid w:val="007C34BB"/>
    <w:rsid w:val="007C459B"/>
    <w:rsid w:val="007C4F2E"/>
    <w:rsid w:val="007C6423"/>
    <w:rsid w:val="007C67D7"/>
    <w:rsid w:val="007D08F4"/>
    <w:rsid w:val="007D0BBF"/>
    <w:rsid w:val="007D113A"/>
    <w:rsid w:val="007D15CC"/>
    <w:rsid w:val="007D25AC"/>
    <w:rsid w:val="007D2723"/>
    <w:rsid w:val="007D4A53"/>
    <w:rsid w:val="007D5151"/>
    <w:rsid w:val="007D54C8"/>
    <w:rsid w:val="007D5815"/>
    <w:rsid w:val="007D5A52"/>
    <w:rsid w:val="007D654C"/>
    <w:rsid w:val="007D6975"/>
    <w:rsid w:val="007D69C0"/>
    <w:rsid w:val="007D72ED"/>
    <w:rsid w:val="007D7D76"/>
    <w:rsid w:val="007E0093"/>
    <w:rsid w:val="007E010B"/>
    <w:rsid w:val="007E1213"/>
    <w:rsid w:val="007E19FF"/>
    <w:rsid w:val="007E1A90"/>
    <w:rsid w:val="007E2520"/>
    <w:rsid w:val="007E3698"/>
    <w:rsid w:val="007E4486"/>
    <w:rsid w:val="007E454A"/>
    <w:rsid w:val="007E5505"/>
    <w:rsid w:val="007E5DB7"/>
    <w:rsid w:val="007E5E2A"/>
    <w:rsid w:val="007E6139"/>
    <w:rsid w:val="007E64A3"/>
    <w:rsid w:val="007E6815"/>
    <w:rsid w:val="007E6CD5"/>
    <w:rsid w:val="007E7526"/>
    <w:rsid w:val="007E7F8C"/>
    <w:rsid w:val="007F045E"/>
    <w:rsid w:val="007F2529"/>
    <w:rsid w:val="007F2808"/>
    <w:rsid w:val="007F2B63"/>
    <w:rsid w:val="007F2BE9"/>
    <w:rsid w:val="007F3064"/>
    <w:rsid w:val="007F33FD"/>
    <w:rsid w:val="007F3FBD"/>
    <w:rsid w:val="007F5EA2"/>
    <w:rsid w:val="007F609B"/>
    <w:rsid w:val="007F72B8"/>
    <w:rsid w:val="007F7E77"/>
    <w:rsid w:val="00800885"/>
    <w:rsid w:val="008009CE"/>
    <w:rsid w:val="00800CAE"/>
    <w:rsid w:val="00801396"/>
    <w:rsid w:val="008013DD"/>
    <w:rsid w:val="00802262"/>
    <w:rsid w:val="0080319C"/>
    <w:rsid w:val="0080435C"/>
    <w:rsid w:val="00804E26"/>
    <w:rsid w:val="0080678C"/>
    <w:rsid w:val="008067DA"/>
    <w:rsid w:val="00806A68"/>
    <w:rsid w:val="0080753F"/>
    <w:rsid w:val="00810938"/>
    <w:rsid w:val="008116E9"/>
    <w:rsid w:val="00811A99"/>
    <w:rsid w:val="00811F36"/>
    <w:rsid w:val="008124E5"/>
    <w:rsid w:val="008128FF"/>
    <w:rsid w:val="0081451B"/>
    <w:rsid w:val="00815F0C"/>
    <w:rsid w:val="008179E8"/>
    <w:rsid w:val="0082079D"/>
    <w:rsid w:val="008207F7"/>
    <w:rsid w:val="008209E9"/>
    <w:rsid w:val="0082142A"/>
    <w:rsid w:val="00821FD5"/>
    <w:rsid w:val="00822806"/>
    <w:rsid w:val="00822B40"/>
    <w:rsid w:val="0082311A"/>
    <w:rsid w:val="0082325D"/>
    <w:rsid w:val="00823E30"/>
    <w:rsid w:val="00824A14"/>
    <w:rsid w:val="0082500D"/>
    <w:rsid w:val="0082604E"/>
    <w:rsid w:val="00826B9D"/>
    <w:rsid w:val="00827674"/>
    <w:rsid w:val="008276FE"/>
    <w:rsid w:val="00827E5E"/>
    <w:rsid w:val="00830051"/>
    <w:rsid w:val="008302C5"/>
    <w:rsid w:val="00830327"/>
    <w:rsid w:val="0083082A"/>
    <w:rsid w:val="00830C7B"/>
    <w:rsid w:val="00830E43"/>
    <w:rsid w:val="00831165"/>
    <w:rsid w:val="008325D0"/>
    <w:rsid w:val="008327B6"/>
    <w:rsid w:val="00833076"/>
    <w:rsid w:val="00833FFB"/>
    <w:rsid w:val="0083442E"/>
    <w:rsid w:val="008346F4"/>
    <w:rsid w:val="008348FC"/>
    <w:rsid w:val="00834B59"/>
    <w:rsid w:val="00835FD2"/>
    <w:rsid w:val="0083685A"/>
    <w:rsid w:val="00836906"/>
    <w:rsid w:val="00836ABA"/>
    <w:rsid w:val="00836CC5"/>
    <w:rsid w:val="008400B5"/>
    <w:rsid w:val="00842198"/>
    <w:rsid w:val="00842639"/>
    <w:rsid w:val="00842682"/>
    <w:rsid w:val="00843EF7"/>
    <w:rsid w:val="008448F7"/>
    <w:rsid w:val="00844B56"/>
    <w:rsid w:val="00844BD8"/>
    <w:rsid w:val="00844D97"/>
    <w:rsid w:val="00845793"/>
    <w:rsid w:val="008463CC"/>
    <w:rsid w:val="0084671A"/>
    <w:rsid w:val="0084696D"/>
    <w:rsid w:val="00846D8F"/>
    <w:rsid w:val="00846F80"/>
    <w:rsid w:val="00847563"/>
    <w:rsid w:val="008502C8"/>
    <w:rsid w:val="008507D3"/>
    <w:rsid w:val="00850911"/>
    <w:rsid w:val="008510F7"/>
    <w:rsid w:val="00851227"/>
    <w:rsid w:val="00852EA0"/>
    <w:rsid w:val="00852F8D"/>
    <w:rsid w:val="00853BE7"/>
    <w:rsid w:val="008540B8"/>
    <w:rsid w:val="0085420E"/>
    <w:rsid w:val="00854CB2"/>
    <w:rsid w:val="00855771"/>
    <w:rsid w:val="00855E03"/>
    <w:rsid w:val="00856825"/>
    <w:rsid w:val="00856CC9"/>
    <w:rsid w:val="008570B8"/>
    <w:rsid w:val="0085729D"/>
    <w:rsid w:val="008572B2"/>
    <w:rsid w:val="00857534"/>
    <w:rsid w:val="0085783B"/>
    <w:rsid w:val="00860738"/>
    <w:rsid w:val="00860B69"/>
    <w:rsid w:val="00861191"/>
    <w:rsid w:val="00861729"/>
    <w:rsid w:val="00861BA5"/>
    <w:rsid w:val="00862576"/>
    <w:rsid w:val="00863117"/>
    <w:rsid w:val="00863C18"/>
    <w:rsid w:val="00863E11"/>
    <w:rsid w:val="00864FE8"/>
    <w:rsid w:val="00866F14"/>
    <w:rsid w:val="00867566"/>
    <w:rsid w:val="008676DC"/>
    <w:rsid w:val="00867C1D"/>
    <w:rsid w:val="00867E6A"/>
    <w:rsid w:val="00871223"/>
    <w:rsid w:val="00871954"/>
    <w:rsid w:val="00871D98"/>
    <w:rsid w:val="0087240D"/>
    <w:rsid w:val="008734F3"/>
    <w:rsid w:val="008737D6"/>
    <w:rsid w:val="00873A29"/>
    <w:rsid w:val="00873F84"/>
    <w:rsid w:val="00873FF7"/>
    <w:rsid w:val="0087445C"/>
    <w:rsid w:val="0087507C"/>
    <w:rsid w:val="00876B5E"/>
    <w:rsid w:val="00876C1A"/>
    <w:rsid w:val="00877B6A"/>
    <w:rsid w:val="008805FE"/>
    <w:rsid w:val="00880C8B"/>
    <w:rsid w:val="00880D4D"/>
    <w:rsid w:val="0088116C"/>
    <w:rsid w:val="00881695"/>
    <w:rsid w:val="00881F72"/>
    <w:rsid w:val="00882115"/>
    <w:rsid w:val="00882C68"/>
    <w:rsid w:val="00883444"/>
    <w:rsid w:val="0088348B"/>
    <w:rsid w:val="00883643"/>
    <w:rsid w:val="00883FB1"/>
    <w:rsid w:val="00887E9F"/>
    <w:rsid w:val="0089016E"/>
    <w:rsid w:val="008912B8"/>
    <w:rsid w:val="008913D1"/>
    <w:rsid w:val="0089161C"/>
    <w:rsid w:val="00891904"/>
    <w:rsid w:val="00892206"/>
    <w:rsid w:val="008944C3"/>
    <w:rsid w:val="008954AA"/>
    <w:rsid w:val="008954F3"/>
    <w:rsid w:val="00895D08"/>
    <w:rsid w:val="00895E8F"/>
    <w:rsid w:val="00895FE8"/>
    <w:rsid w:val="00896412"/>
    <w:rsid w:val="0089674D"/>
    <w:rsid w:val="00896DCF"/>
    <w:rsid w:val="00897A78"/>
    <w:rsid w:val="00897E62"/>
    <w:rsid w:val="008A0838"/>
    <w:rsid w:val="008A109B"/>
    <w:rsid w:val="008A1A12"/>
    <w:rsid w:val="008A1D09"/>
    <w:rsid w:val="008A2EA3"/>
    <w:rsid w:val="008A2EC1"/>
    <w:rsid w:val="008A473F"/>
    <w:rsid w:val="008A4872"/>
    <w:rsid w:val="008A4958"/>
    <w:rsid w:val="008A4971"/>
    <w:rsid w:val="008A6156"/>
    <w:rsid w:val="008A659E"/>
    <w:rsid w:val="008A761C"/>
    <w:rsid w:val="008A7803"/>
    <w:rsid w:val="008A7CD8"/>
    <w:rsid w:val="008B0C21"/>
    <w:rsid w:val="008B4D21"/>
    <w:rsid w:val="008B51FC"/>
    <w:rsid w:val="008B5F84"/>
    <w:rsid w:val="008B68D9"/>
    <w:rsid w:val="008C00E5"/>
    <w:rsid w:val="008C0DFB"/>
    <w:rsid w:val="008C13C0"/>
    <w:rsid w:val="008C18D2"/>
    <w:rsid w:val="008C25E5"/>
    <w:rsid w:val="008C2E45"/>
    <w:rsid w:val="008C2F98"/>
    <w:rsid w:val="008C3CBC"/>
    <w:rsid w:val="008C3CDC"/>
    <w:rsid w:val="008C3F0F"/>
    <w:rsid w:val="008C4051"/>
    <w:rsid w:val="008C5CA3"/>
    <w:rsid w:val="008C644E"/>
    <w:rsid w:val="008C6582"/>
    <w:rsid w:val="008C706B"/>
    <w:rsid w:val="008D225E"/>
    <w:rsid w:val="008D2FEB"/>
    <w:rsid w:val="008D3BDC"/>
    <w:rsid w:val="008D47F1"/>
    <w:rsid w:val="008D48ED"/>
    <w:rsid w:val="008D4BA9"/>
    <w:rsid w:val="008D4D28"/>
    <w:rsid w:val="008D658E"/>
    <w:rsid w:val="008D6822"/>
    <w:rsid w:val="008D7135"/>
    <w:rsid w:val="008D7B9F"/>
    <w:rsid w:val="008E145A"/>
    <w:rsid w:val="008E20CB"/>
    <w:rsid w:val="008E4A41"/>
    <w:rsid w:val="008E4D42"/>
    <w:rsid w:val="008E5068"/>
    <w:rsid w:val="008E54C8"/>
    <w:rsid w:val="008E5945"/>
    <w:rsid w:val="008E59C3"/>
    <w:rsid w:val="008E6FDB"/>
    <w:rsid w:val="008E713C"/>
    <w:rsid w:val="008E7E1E"/>
    <w:rsid w:val="008F01B4"/>
    <w:rsid w:val="008F02EB"/>
    <w:rsid w:val="008F1298"/>
    <w:rsid w:val="008F1B38"/>
    <w:rsid w:val="008F2E0B"/>
    <w:rsid w:val="008F305C"/>
    <w:rsid w:val="008F36EC"/>
    <w:rsid w:val="008F38EA"/>
    <w:rsid w:val="008F3942"/>
    <w:rsid w:val="008F3ABE"/>
    <w:rsid w:val="008F3CA9"/>
    <w:rsid w:val="008F68A4"/>
    <w:rsid w:val="008F6A87"/>
    <w:rsid w:val="009006C1"/>
    <w:rsid w:val="00901299"/>
    <w:rsid w:val="00901C25"/>
    <w:rsid w:val="009036FA"/>
    <w:rsid w:val="00903721"/>
    <w:rsid w:val="00904079"/>
    <w:rsid w:val="00904855"/>
    <w:rsid w:val="00904CEF"/>
    <w:rsid w:val="0090542B"/>
    <w:rsid w:val="00906B50"/>
    <w:rsid w:val="00906C12"/>
    <w:rsid w:val="00906FB2"/>
    <w:rsid w:val="009077C2"/>
    <w:rsid w:val="00910740"/>
    <w:rsid w:val="0091106D"/>
    <w:rsid w:val="009116DC"/>
    <w:rsid w:val="00911A74"/>
    <w:rsid w:val="00914063"/>
    <w:rsid w:val="0091426E"/>
    <w:rsid w:val="00914E5D"/>
    <w:rsid w:val="00914F38"/>
    <w:rsid w:val="00914FA6"/>
    <w:rsid w:val="00916F98"/>
    <w:rsid w:val="00920FB5"/>
    <w:rsid w:val="009226ED"/>
    <w:rsid w:val="00923CA6"/>
    <w:rsid w:val="00923DED"/>
    <w:rsid w:val="009243EA"/>
    <w:rsid w:val="00924636"/>
    <w:rsid w:val="00925006"/>
    <w:rsid w:val="00927B8C"/>
    <w:rsid w:val="0093011B"/>
    <w:rsid w:val="0093062D"/>
    <w:rsid w:val="00930942"/>
    <w:rsid w:val="009309B4"/>
    <w:rsid w:val="00931257"/>
    <w:rsid w:val="009314C8"/>
    <w:rsid w:val="00931712"/>
    <w:rsid w:val="00932047"/>
    <w:rsid w:val="00932422"/>
    <w:rsid w:val="0093276F"/>
    <w:rsid w:val="00933B6E"/>
    <w:rsid w:val="009340FD"/>
    <w:rsid w:val="009347FC"/>
    <w:rsid w:val="00936A17"/>
    <w:rsid w:val="00936B63"/>
    <w:rsid w:val="00936C2A"/>
    <w:rsid w:val="00936D89"/>
    <w:rsid w:val="00937566"/>
    <w:rsid w:val="00937739"/>
    <w:rsid w:val="009402D9"/>
    <w:rsid w:val="0094105F"/>
    <w:rsid w:val="00941F8D"/>
    <w:rsid w:val="0094208C"/>
    <w:rsid w:val="00943D93"/>
    <w:rsid w:val="0094550E"/>
    <w:rsid w:val="00945A77"/>
    <w:rsid w:val="00945E28"/>
    <w:rsid w:val="00946C0D"/>
    <w:rsid w:val="00946F17"/>
    <w:rsid w:val="00947AD9"/>
    <w:rsid w:val="00950B63"/>
    <w:rsid w:val="00950DBF"/>
    <w:rsid w:val="00952407"/>
    <w:rsid w:val="00952591"/>
    <w:rsid w:val="00952932"/>
    <w:rsid w:val="00955321"/>
    <w:rsid w:val="0095574A"/>
    <w:rsid w:val="00956DD6"/>
    <w:rsid w:val="00956FC1"/>
    <w:rsid w:val="00957739"/>
    <w:rsid w:val="0096035A"/>
    <w:rsid w:val="00961AD9"/>
    <w:rsid w:val="00961B68"/>
    <w:rsid w:val="00961F70"/>
    <w:rsid w:val="0096228B"/>
    <w:rsid w:val="0096249C"/>
    <w:rsid w:val="00962CBC"/>
    <w:rsid w:val="009644D2"/>
    <w:rsid w:val="00964BC6"/>
    <w:rsid w:val="00965C14"/>
    <w:rsid w:val="00966A7C"/>
    <w:rsid w:val="00966A85"/>
    <w:rsid w:val="00966C76"/>
    <w:rsid w:val="0096755F"/>
    <w:rsid w:val="0096773F"/>
    <w:rsid w:val="0096789B"/>
    <w:rsid w:val="00967EF9"/>
    <w:rsid w:val="0097154A"/>
    <w:rsid w:val="009721CD"/>
    <w:rsid w:val="00972CF0"/>
    <w:rsid w:val="00972E3F"/>
    <w:rsid w:val="0097416B"/>
    <w:rsid w:val="00974742"/>
    <w:rsid w:val="009749F0"/>
    <w:rsid w:val="009751E8"/>
    <w:rsid w:val="00975F90"/>
    <w:rsid w:val="00975FFA"/>
    <w:rsid w:val="00977647"/>
    <w:rsid w:val="00977ED9"/>
    <w:rsid w:val="0098002D"/>
    <w:rsid w:val="0098254B"/>
    <w:rsid w:val="0098484F"/>
    <w:rsid w:val="00985285"/>
    <w:rsid w:val="00985345"/>
    <w:rsid w:val="009854E2"/>
    <w:rsid w:val="0098552A"/>
    <w:rsid w:val="00985B4E"/>
    <w:rsid w:val="00986F10"/>
    <w:rsid w:val="00987F20"/>
    <w:rsid w:val="00990086"/>
    <w:rsid w:val="00990F07"/>
    <w:rsid w:val="00992140"/>
    <w:rsid w:val="0099394C"/>
    <w:rsid w:val="0099400E"/>
    <w:rsid w:val="00994500"/>
    <w:rsid w:val="009959A8"/>
    <w:rsid w:val="00995B61"/>
    <w:rsid w:val="0099692C"/>
    <w:rsid w:val="009A0608"/>
    <w:rsid w:val="009A2380"/>
    <w:rsid w:val="009A413A"/>
    <w:rsid w:val="009A57B7"/>
    <w:rsid w:val="009A5AFD"/>
    <w:rsid w:val="009A5E76"/>
    <w:rsid w:val="009A6FC5"/>
    <w:rsid w:val="009A75B7"/>
    <w:rsid w:val="009A7877"/>
    <w:rsid w:val="009A7DB6"/>
    <w:rsid w:val="009B03DC"/>
    <w:rsid w:val="009B121F"/>
    <w:rsid w:val="009B1280"/>
    <w:rsid w:val="009B15A1"/>
    <w:rsid w:val="009B163A"/>
    <w:rsid w:val="009B171E"/>
    <w:rsid w:val="009B2CE3"/>
    <w:rsid w:val="009B353A"/>
    <w:rsid w:val="009B35DA"/>
    <w:rsid w:val="009B4769"/>
    <w:rsid w:val="009B4A96"/>
    <w:rsid w:val="009B4DA4"/>
    <w:rsid w:val="009B51B2"/>
    <w:rsid w:val="009B5B5C"/>
    <w:rsid w:val="009B6176"/>
    <w:rsid w:val="009B6C04"/>
    <w:rsid w:val="009B6CEA"/>
    <w:rsid w:val="009B70BB"/>
    <w:rsid w:val="009B769A"/>
    <w:rsid w:val="009C0072"/>
    <w:rsid w:val="009C2FF1"/>
    <w:rsid w:val="009C37A3"/>
    <w:rsid w:val="009C3A9C"/>
    <w:rsid w:val="009C4499"/>
    <w:rsid w:val="009C49F3"/>
    <w:rsid w:val="009C4AE6"/>
    <w:rsid w:val="009C52A3"/>
    <w:rsid w:val="009C5843"/>
    <w:rsid w:val="009C61A2"/>
    <w:rsid w:val="009C695D"/>
    <w:rsid w:val="009D17AE"/>
    <w:rsid w:val="009D195F"/>
    <w:rsid w:val="009D1CF7"/>
    <w:rsid w:val="009D1DE6"/>
    <w:rsid w:val="009D2ED7"/>
    <w:rsid w:val="009D3C85"/>
    <w:rsid w:val="009D412E"/>
    <w:rsid w:val="009D557F"/>
    <w:rsid w:val="009D5662"/>
    <w:rsid w:val="009D5D17"/>
    <w:rsid w:val="009D66BD"/>
    <w:rsid w:val="009D6AEB"/>
    <w:rsid w:val="009D6B4F"/>
    <w:rsid w:val="009D6F02"/>
    <w:rsid w:val="009D7290"/>
    <w:rsid w:val="009D78CE"/>
    <w:rsid w:val="009E00AD"/>
    <w:rsid w:val="009E0D7C"/>
    <w:rsid w:val="009E1143"/>
    <w:rsid w:val="009E157B"/>
    <w:rsid w:val="009E1819"/>
    <w:rsid w:val="009E2509"/>
    <w:rsid w:val="009E361D"/>
    <w:rsid w:val="009E363F"/>
    <w:rsid w:val="009E3A4C"/>
    <w:rsid w:val="009E41B3"/>
    <w:rsid w:val="009E4666"/>
    <w:rsid w:val="009E5B50"/>
    <w:rsid w:val="009E5C83"/>
    <w:rsid w:val="009E62E0"/>
    <w:rsid w:val="009E65CF"/>
    <w:rsid w:val="009E7A0C"/>
    <w:rsid w:val="009F0163"/>
    <w:rsid w:val="009F080A"/>
    <w:rsid w:val="009F0DFB"/>
    <w:rsid w:val="009F1357"/>
    <w:rsid w:val="009F1F0F"/>
    <w:rsid w:val="009F236F"/>
    <w:rsid w:val="009F3CE0"/>
    <w:rsid w:val="009F3EBE"/>
    <w:rsid w:val="009F4267"/>
    <w:rsid w:val="009F4A2E"/>
    <w:rsid w:val="009F4CBB"/>
    <w:rsid w:val="009F4EA3"/>
    <w:rsid w:val="009F5D11"/>
    <w:rsid w:val="009F7440"/>
    <w:rsid w:val="00A00587"/>
    <w:rsid w:val="00A0163B"/>
    <w:rsid w:val="00A0182C"/>
    <w:rsid w:val="00A0186B"/>
    <w:rsid w:val="00A01918"/>
    <w:rsid w:val="00A05A1A"/>
    <w:rsid w:val="00A05C65"/>
    <w:rsid w:val="00A06AC2"/>
    <w:rsid w:val="00A070B4"/>
    <w:rsid w:val="00A072EB"/>
    <w:rsid w:val="00A07D04"/>
    <w:rsid w:val="00A10087"/>
    <w:rsid w:val="00A105DF"/>
    <w:rsid w:val="00A10F62"/>
    <w:rsid w:val="00A11066"/>
    <w:rsid w:val="00A11218"/>
    <w:rsid w:val="00A12091"/>
    <w:rsid w:val="00A1247C"/>
    <w:rsid w:val="00A12AA4"/>
    <w:rsid w:val="00A12F56"/>
    <w:rsid w:val="00A133B7"/>
    <w:rsid w:val="00A14C88"/>
    <w:rsid w:val="00A14F75"/>
    <w:rsid w:val="00A167DB"/>
    <w:rsid w:val="00A17560"/>
    <w:rsid w:val="00A17CBF"/>
    <w:rsid w:val="00A2243E"/>
    <w:rsid w:val="00A22671"/>
    <w:rsid w:val="00A22DA6"/>
    <w:rsid w:val="00A2370C"/>
    <w:rsid w:val="00A2406E"/>
    <w:rsid w:val="00A24AA6"/>
    <w:rsid w:val="00A25AC5"/>
    <w:rsid w:val="00A26782"/>
    <w:rsid w:val="00A26CE0"/>
    <w:rsid w:val="00A274F0"/>
    <w:rsid w:val="00A275C5"/>
    <w:rsid w:val="00A27A6A"/>
    <w:rsid w:val="00A31512"/>
    <w:rsid w:val="00A31C97"/>
    <w:rsid w:val="00A31E1A"/>
    <w:rsid w:val="00A32050"/>
    <w:rsid w:val="00A3208E"/>
    <w:rsid w:val="00A32BF5"/>
    <w:rsid w:val="00A32C13"/>
    <w:rsid w:val="00A34293"/>
    <w:rsid w:val="00A346BC"/>
    <w:rsid w:val="00A353A4"/>
    <w:rsid w:val="00A356A8"/>
    <w:rsid w:val="00A35B76"/>
    <w:rsid w:val="00A361F6"/>
    <w:rsid w:val="00A36737"/>
    <w:rsid w:val="00A3679E"/>
    <w:rsid w:val="00A371B0"/>
    <w:rsid w:val="00A378C2"/>
    <w:rsid w:val="00A37B91"/>
    <w:rsid w:val="00A41A71"/>
    <w:rsid w:val="00A450DC"/>
    <w:rsid w:val="00A45423"/>
    <w:rsid w:val="00A45518"/>
    <w:rsid w:val="00A46EAF"/>
    <w:rsid w:val="00A5099F"/>
    <w:rsid w:val="00A50FD6"/>
    <w:rsid w:val="00A50FEF"/>
    <w:rsid w:val="00A51593"/>
    <w:rsid w:val="00A51B94"/>
    <w:rsid w:val="00A52393"/>
    <w:rsid w:val="00A53A76"/>
    <w:rsid w:val="00A53CD9"/>
    <w:rsid w:val="00A53D87"/>
    <w:rsid w:val="00A53F04"/>
    <w:rsid w:val="00A553D4"/>
    <w:rsid w:val="00A55A26"/>
    <w:rsid w:val="00A55BFB"/>
    <w:rsid w:val="00A55DDC"/>
    <w:rsid w:val="00A5602B"/>
    <w:rsid w:val="00A563AD"/>
    <w:rsid w:val="00A567C6"/>
    <w:rsid w:val="00A57F78"/>
    <w:rsid w:val="00A61172"/>
    <w:rsid w:val="00A611A0"/>
    <w:rsid w:val="00A611ED"/>
    <w:rsid w:val="00A6131C"/>
    <w:rsid w:val="00A61AC1"/>
    <w:rsid w:val="00A61E1C"/>
    <w:rsid w:val="00A625D7"/>
    <w:rsid w:val="00A62D07"/>
    <w:rsid w:val="00A62F07"/>
    <w:rsid w:val="00A637E4"/>
    <w:rsid w:val="00A6458C"/>
    <w:rsid w:val="00A64FA4"/>
    <w:rsid w:val="00A650BE"/>
    <w:rsid w:val="00A653F5"/>
    <w:rsid w:val="00A65922"/>
    <w:rsid w:val="00A66D14"/>
    <w:rsid w:val="00A67666"/>
    <w:rsid w:val="00A7122A"/>
    <w:rsid w:val="00A71DE7"/>
    <w:rsid w:val="00A7262B"/>
    <w:rsid w:val="00A7312D"/>
    <w:rsid w:val="00A735B0"/>
    <w:rsid w:val="00A74543"/>
    <w:rsid w:val="00A74E1F"/>
    <w:rsid w:val="00A75538"/>
    <w:rsid w:val="00A75AE2"/>
    <w:rsid w:val="00A75D82"/>
    <w:rsid w:val="00A779B5"/>
    <w:rsid w:val="00A81769"/>
    <w:rsid w:val="00A82677"/>
    <w:rsid w:val="00A82EE1"/>
    <w:rsid w:val="00A83045"/>
    <w:rsid w:val="00A83942"/>
    <w:rsid w:val="00A83C9A"/>
    <w:rsid w:val="00A83D84"/>
    <w:rsid w:val="00A83F41"/>
    <w:rsid w:val="00A85D11"/>
    <w:rsid w:val="00A86293"/>
    <w:rsid w:val="00A863C0"/>
    <w:rsid w:val="00A866A3"/>
    <w:rsid w:val="00A903AA"/>
    <w:rsid w:val="00A90B53"/>
    <w:rsid w:val="00A91A6E"/>
    <w:rsid w:val="00A92969"/>
    <w:rsid w:val="00A92AB2"/>
    <w:rsid w:val="00A93727"/>
    <w:rsid w:val="00A937FA"/>
    <w:rsid w:val="00A9428A"/>
    <w:rsid w:val="00A95890"/>
    <w:rsid w:val="00A959CF"/>
    <w:rsid w:val="00A96A3B"/>
    <w:rsid w:val="00A96EA4"/>
    <w:rsid w:val="00AA0021"/>
    <w:rsid w:val="00AA1387"/>
    <w:rsid w:val="00AA1F64"/>
    <w:rsid w:val="00AA2562"/>
    <w:rsid w:val="00AA2B4A"/>
    <w:rsid w:val="00AA394B"/>
    <w:rsid w:val="00AA3C8D"/>
    <w:rsid w:val="00AA3D04"/>
    <w:rsid w:val="00AA4B3D"/>
    <w:rsid w:val="00AA539A"/>
    <w:rsid w:val="00AA59FD"/>
    <w:rsid w:val="00AA6039"/>
    <w:rsid w:val="00AA675E"/>
    <w:rsid w:val="00AA6BC2"/>
    <w:rsid w:val="00AA70C4"/>
    <w:rsid w:val="00AB0613"/>
    <w:rsid w:val="00AB08BE"/>
    <w:rsid w:val="00AB1951"/>
    <w:rsid w:val="00AB2B4E"/>
    <w:rsid w:val="00AB2F0C"/>
    <w:rsid w:val="00AB37BC"/>
    <w:rsid w:val="00AB380F"/>
    <w:rsid w:val="00AB3956"/>
    <w:rsid w:val="00AB3CC4"/>
    <w:rsid w:val="00AB3E64"/>
    <w:rsid w:val="00AB4000"/>
    <w:rsid w:val="00AB4652"/>
    <w:rsid w:val="00AB4E26"/>
    <w:rsid w:val="00AB591B"/>
    <w:rsid w:val="00AB643C"/>
    <w:rsid w:val="00AB6617"/>
    <w:rsid w:val="00AB67BE"/>
    <w:rsid w:val="00AB6B24"/>
    <w:rsid w:val="00AB7203"/>
    <w:rsid w:val="00AB7C4E"/>
    <w:rsid w:val="00AC015B"/>
    <w:rsid w:val="00AC0711"/>
    <w:rsid w:val="00AC0AD6"/>
    <w:rsid w:val="00AC2C2D"/>
    <w:rsid w:val="00AC4057"/>
    <w:rsid w:val="00AC577B"/>
    <w:rsid w:val="00AC5807"/>
    <w:rsid w:val="00AC5CCF"/>
    <w:rsid w:val="00AC5E1A"/>
    <w:rsid w:val="00AC6E86"/>
    <w:rsid w:val="00AD0AEC"/>
    <w:rsid w:val="00AD1E53"/>
    <w:rsid w:val="00AD35EF"/>
    <w:rsid w:val="00AD4491"/>
    <w:rsid w:val="00AD5DFC"/>
    <w:rsid w:val="00AD6DFC"/>
    <w:rsid w:val="00AD7919"/>
    <w:rsid w:val="00AE0DBE"/>
    <w:rsid w:val="00AE10D6"/>
    <w:rsid w:val="00AE308C"/>
    <w:rsid w:val="00AE3495"/>
    <w:rsid w:val="00AE353B"/>
    <w:rsid w:val="00AE3592"/>
    <w:rsid w:val="00AE38CF"/>
    <w:rsid w:val="00AE5B76"/>
    <w:rsid w:val="00AE6617"/>
    <w:rsid w:val="00AE67E5"/>
    <w:rsid w:val="00AE6900"/>
    <w:rsid w:val="00AE6A80"/>
    <w:rsid w:val="00AF04DB"/>
    <w:rsid w:val="00AF0F2B"/>
    <w:rsid w:val="00AF254C"/>
    <w:rsid w:val="00AF27BA"/>
    <w:rsid w:val="00AF32C1"/>
    <w:rsid w:val="00AF3B4D"/>
    <w:rsid w:val="00AF4537"/>
    <w:rsid w:val="00AF51C1"/>
    <w:rsid w:val="00AF5478"/>
    <w:rsid w:val="00AF6AB0"/>
    <w:rsid w:val="00AF6F99"/>
    <w:rsid w:val="00AF76C7"/>
    <w:rsid w:val="00AF7DFE"/>
    <w:rsid w:val="00B002F2"/>
    <w:rsid w:val="00B00C0E"/>
    <w:rsid w:val="00B02491"/>
    <w:rsid w:val="00B029FD"/>
    <w:rsid w:val="00B03011"/>
    <w:rsid w:val="00B03470"/>
    <w:rsid w:val="00B034D4"/>
    <w:rsid w:val="00B04C50"/>
    <w:rsid w:val="00B05AB0"/>
    <w:rsid w:val="00B05C66"/>
    <w:rsid w:val="00B06F73"/>
    <w:rsid w:val="00B0791A"/>
    <w:rsid w:val="00B10C94"/>
    <w:rsid w:val="00B11DE4"/>
    <w:rsid w:val="00B122BF"/>
    <w:rsid w:val="00B13EF6"/>
    <w:rsid w:val="00B1443B"/>
    <w:rsid w:val="00B1561B"/>
    <w:rsid w:val="00B15BE5"/>
    <w:rsid w:val="00B16A95"/>
    <w:rsid w:val="00B16C95"/>
    <w:rsid w:val="00B20012"/>
    <w:rsid w:val="00B20248"/>
    <w:rsid w:val="00B208CC"/>
    <w:rsid w:val="00B20CBC"/>
    <w:rsid w:val="00B21B07"/>
    <w:rsid w:val="00B22399"/>
    <w:rsid w:val="00B228CD"/>
    <w:rsid w:val="00B23477"/>
    <w:rsid w:val="00B2379E"/>
    <w:rsid w:val="00B24351"/>
    <w:rsid w:val="00B24460"/>
    <w:rsid w:val="00B24C51"/>
    <w:rsid w:val="00B25075"/>
    <w:rsid w:val="00B250C4"/>
    <w:rsid w:val="00B25312"/>
    <w:rsid w:val="00B25E37"/>
    <w:rsid w:val="00B25F62"/>
    <w:rsid w:val="00B26633"/>
    <w:rsid w:val="00B269C3"/>
    <w:rsid w:val="00B31486"/>
    <w:rsid w:val="00B31D4F"/>
    <w:rsid w:val="00B32722"/>
    <w:rsid w:val="00B34B88"/>
    <w:rsid w:val="00B350CD"/>
    <w:rsid w:val="00B355E6"/>
    <w:rsid w:val="00B364AF"/>
    <w:rsid w:val="00B37242"/>
    <w:rsid w:val="00B378B6"/>
    <w:rsid w:val="00B40B98"/>
    <w:rsid w:val="00B415C3"/>
    <w:rsid w:val="00B4180C"/>
    <w:rsid w:val="00B42776"/>
    <w:rsid w:val="00B42B9B"/>
    <w:rsid w:val="00B42FDE"/>
    <w:rsid w:val="00B43115"/>
    <w:rsid w:val="00B43ADD"/>
    <w:rsid w:val="00B4449E"/>
    <w:rsid w:val="00B457A7"/>
    <w:rsid w:val="00B46100"/>
    <w:rsid w:val="00B465A7"/>
    <w:rsid w:val="00B478A6"/>
    <w:rsid w:val="00B51B98"/>
    <w:rsid w:val="00B52496"/>
    <w:rsid w:val="00B527E8"/>
    <w:rsid w:val="00B52F7D"/>
    <w:rsid w:val="00B53606"/>
    <w:rsid w:val="00B53761"/>
    <w:rsid w:val="00B53ED7"/>
    <w:rsid w:val="00B55008"/>
    <w:rsid w:val="00B5543D"/>
    <w:rsid w:val="00B55BEB"/>
    <w:rsid w:val="00B5603F"/>
    <w:rsid w:val="00B56055"/>
    <w:rsid w:val="00B567FC"/>
    <w:rsid w:val="00B56C5A"/>
    <w:rsid w:val="00B60BD8"/>
    <w:rsid w:val="00B61DBA"/>
    <w:rsid w:val="00B62835"/>
    <w:rsid w:val="00B6283F"/>
    <w:rsid w:val="00B6290D"/>
    <w:rsid w:val="00B62DF0"/>
    <w:rsid w:val="00B63711"/>
    <w:rsid w:val="00B64B54"/>
    <w:rsid w:val="00B65B03"/>
    <w:rsid w:val="00B66335"/>
    <w:rsid w:val="00B66871"/>
    <w:rsid w:val="00B67115"/>
    <w:rsid w:val="00B70898"/>
    <w:rsid w:val="00B70E08"/>
    <w:rsid w:val="00B714C4"/>
    <w:rsid w:val="00B715FB"/>
    <w:rsid w:val="00B72129"/>
    <w:rsid w:val="00B735D5"/>
    <w:rsid w:val="00B73E6B"/>
    <w:rsid w:val="00B749ED"/>
    <w:rsid w:val="00B74DAC"/>
    <w:rsid w:val="00B75A8B"/>
    <w:rsid w:val="00B7629C"/>
    <w:rsid w:val="00B770DD"/>
    <w:rsid w:val="00B7710A"/>
    <w:rsid w:val="00B77129"/>
    <w:rsid w:val="00B77476"/>
    <w:rsid w:val="00B8034A"/>
    <w:rsid w:val="00B80535"/>
    <w:rsid w:val="00B8080C"/>
    <w:rsid w:val="00B80F22"/>
    <w:rsid w:val="00B81A18"/>
    <w:rsid w:val="00B81DE1"/>
    <w:rsid w:val="00B82BBC"/>
    <w:rsid w:val="00B82BDE"/>
    <w:rsid w:val="00B833E3"/>
    <w:rsid w:val="00B83649"/>
    <w:rsid w:val="00B83A54"/>
    <w:rsid w:val="00B83C97"/>
    <w:rsid w:val="00B83CB5"/>
    <w:rsid w:val="00B83CE2"/>
    <w:rsid w:val="00B83E61"/>
    <w:rsid w:val="00B83E78"/>
    <w:rsid w:val="00B84476"/>
    <w:rsid w:val="00B84A97"/>
    <w:rsid w:val="00B853BF"/>
    <w:rsid w:val="00B85892"/>
    <w:rsid w:val="00B85C26"/>
    <w:rsid w:val="00B868C7"/>
    <w:rsid w:val="00B87D8D"/>
    <w:rsid w:val="00B90B99"/>
    <w:rsid w:val="00B91D15"/>
    <w:rsid w:val="00B925F5"/>
    <w:rsid w:val="00B92BF0"/>
    <w:rsid w:val="00B937A3"/>
    <w:rsid w:val="00B940BA"/>
    <w:rsid w:val="00B9428E"/>
    <w:rsid w:val="00B94BB9"/>
    <w:rsid w:val="00B957C1"/>
    <w:rsid w:val="00B9606E"/>
    <w:rsid w:val="00B9773F"/>
    <w:rsid w:val="00BA04E2"/>
    <w:rsid w:val="00BA08AA"/>
    <w:rsid w:val="00BA112E"/>
    <w:rsid w:val="00BA165E"/>
    <w:rsid w:val="00BA2214"/>
    <w:rsid w:val="00BA315E"/>
    <w:rsid w:val="00BA3808"/>
    <w:rsid w:val="00BA474C"/>
    <w:rsid w:val="00BA52B6"/>
    <w:rsid w:val="00BA58EF"/>
    <w:rsid w:val="00BA5DA0"/>
    <w:rsid w:val="00BA64EF"/>
    <w:rsid w:val="00BA6713"/>
    <w:rsid w:val="00BA73F2"/>
    <w:rsid w:val="00BA75B6"/>
    <w:rsid w:val="00BA7677"/>
    <w:rsid w:val="00BB122C"/>
    <w:rsid w:val="00BB1409"/>
    <w:rsid w:val="00BB27A1"/>
    <w:rsid w:val="00BB38D3"/>
    <w:rsid w:val="00BB48A7"/>
    <w:rsid w:val="00BB52B2"/>
    <w:rsid w:val="00BB53D1"/>
    <w:rsid w:val="00BB5A52"/>
    <w:rsid w:val="00BB6333"/>
    <w:rsid w:val="00BB63DC"/>
    <w:rsid w:val="00BB6462"/>
    <w:rsid w:val="00BB6512"/>
    <w:rsid w:val="00BB6A74"/>
    <w:rsid w:val="00BB6D9B"/>
    <w:rsid w:val="00BC10E5"/>
    <w:rsid w:val="00BC14A2"/>
    <w:rsid w:val="00BC1939"/>
    <w:rsid w:val="00BC1A2F"/>
    <w:rsid w:val="00BC23E2"/>
    <w:rsid w:val="00BC2D1B"/>
    <w:rsid w:val="00BC3A2F"/>
    <w:rsid w:val="00BC4DE4"/>
    <w:rsid w:val="00BC5346"/>
    <w:rsid w:val="00BC55A8"/>
    <w:rsid w:val="00BC593D"/>
    <w:rsid w:val="00BC6D1A"/>
    <w:rsid w:val="00BC7280"/>
    <w:rsid w:val="00BD0566"/>
    <w:rsid w:val="00BD11FA"/>
    <w:rsid w:val="00BD2D84"/>
    <w:rsid w:val="00BD3E37"/>
    <w:rsid w:val="00BD400C"/>
    <w:rsid w:val="00BD529B"/>
    <w:rsid w:val="00BD5A3C"/>
    <w:rsid w:val="00BD6245"/>
    <w:rsid w:val="00BD72C0"/>
    <w:rsid w:val="00BD7C94"/>
    <w:rsid w:val="00BE091B"/>
    <w:rsid w:val="00BE0E64"/>
    <w:rsid w:val="00BE18AB"/>
    <w:rsid w:val="00BE1D02"/>
    <w:rsid w:val="00BE2594"/>
    <w:rsid w:val="00BE327E"/>
    <w:rsid w:val="00BE335C"/>
    <w:rsid w:val="00BE390D"/>
    <w:rsid w:val="00BE3D0F"/>
    <w:rsid w:val="00BE52BA"/>
    <w:rsid w:val="00BE698D"/>
    <w:rsid w:val="00BE73E3"/>
    <w:rsid w:val="00BE7B36"/>
    <w:rsid w:val="00BF18A0"/>
    <w:rsid w:val="00BF1E92"/>
    <w:rsid w:val="00BF35E0"/>
    <w:rsid w:val="00BF37B8"/>
    <w:rsid w:val="00BF4FC3"/>
    <w:rsid w:val="00BF5FF0"/>
    <w:rsid w:val="00BF6285"/>
    <w:rsid w:val="00BF62D5"/>
    <w:rsid w:val="00BF6B21"/>
    <w:rsid w:val="00BF7CF4"/>
    <w:rsid w:val="00C008BB"/>
    <w:rsid w:val="00C00904"/>
    <w:rsid w:val="00C015FC"/>
    <w:rsid w:val="00C0213F"/>
    <w:rsid w:val="00C023D0"/>
    <w:rsid w:val="00C024F0"/>
    <w:rsid w:val="00C02BDE"/>
    <w:rsid w:val="00C02D5B"/>
    <w:rsid w:val="00C033AD"/>
    <w:rsid w:val="00C03C96"/>
    <w:rsid w:val="00C03CC7"/>
    <w:rsid w:val="00C040D2"/>
    <w:rsid w:val="00C05B13"/>
    <w:rsid w:val="00C05B62"/>
    <w:rsid w:val="00C05FA4"/>
    <w:rsid w:val="00C06717"/>
    <w:rsid w:val="00C07407"/>
    <w:rsid w:val="00C11059"/>
    <w:rsid w:val="00C1308D"/>
    <w:rsid w:val="00C134E6"/>
    <w:rsid w:val="00C1360B"/>
    <w:rsid w:val="00C145C0"/>
    <w:rsid w:val="00C1463D"/>
    <w:rsid w:val="00C14ABB"/>
    <w:rsid w:val="00C14E34"/>
    <w:rsid w:val="00C14F4F"/>
    <w:rsid w:val="00C1550B"/>
    <w:rsid w:val="00C15842"/>
    <w:rsid w:val="00C15C07"/>
    <w:rsid w:val="00C162FA"/>
    <w:rsid w:val="00C1715C"/>
    <w:rsid w:val="00C1763E"/>
    <w:rsid w:val="00C20093"/>
    <w:rsid w:val="00C205FE"/>
    <w:rsid w:val="00C20DD4"/>
    <w:rsid w:val="00C213CA"/>
    <w:rsid w:val="00C21640"/>
    <w:rsid w:val="00C21CBE"/>
    <w:rsid w:val="00C22D6B"/>
    <w:rsid w:val="00C23E56"/>
    <w:rsid w:val="00C2432A"/>
    <w:rsid w:val="00C24343"/>
    <w:rsid w:val="00C2531D"/>
    <w:rsid w:val="00C25E75"/>
    <w:rsid w:val="00C26273"/>
    <w:rsid w:val="00C27358"/>
    <w:rsid w:val="00C2782A"/>
    <w:rsid w:val="00C30D4A"/>
    <w:rsid w:val="00C33118"/>
    <w:rsid w:val="00C33317"/>
    <w:rsid w:val="00C3346C"/>
    <w:rsid w:val="00C3436B"/>
    <w:rsid w:val="00C37268"/>
    <w:rsid w:val="00C405B5"/>
    <w:rsid w:val="00C40FBA"/>
    <w:rsid w:val="00C4132A"/>
    <w:rsid w:val="00C438BA"/>
    <w:rsid w:val="00C43924"/>
    <w:rsid w:val="00C43C3C"/>
    <w:rsid w:val="00C4402A"/>
    <w:rsid w:val="00C45858"/>
    <w:rsid w:val="00C47DFD"/>
    <w:rsid w:val="00C50344"/>
    <w:rsid w:val="00C5080F"/>
    <w:rsid w:val="00C50D42"/>
    <w:rsid w:val="00C514C3"/>
    <w:rsid w:val="00C51F2B"/>
    <w:rsid w:val="00C52050"/>
    <w:rsid w:val="00C524C1"/>
    <w:rsid w:val="00C5333D"/>
    <w:rsid w:val="00C5402C"/>
    <w:rsid w:val="00C55665"/>
    <w:rsid w:val="00C5590F"/>
    <w:rsid w:val="00C55CA2"/>
    <w:rsid w:val="00C565F4"/>
    <w:rsid w:val="00C56A2B"/>
    <w:rsid w:val="00C56A87"/>
    <w:rsid w:val="00C57788"/>
    <w:rsid w:val="00C57B42"/>
    <w:rsid w:val="00C60C95"/>
    <w:rsid w:val="00C61003"/>
    <w:rsid w:val="00C6136D"/>
    <w:rsid w:val="00C61552"/>
    <w:rsid w:val="00C621F3"/>
    <w:rsid w:val="00C629BC"/>
    <w:rsid w:val="00C629D4"/>
    <w:rsid w:val="00C629E0"/>
    <w:rsid w:val="00C62C70"/>
    <w:rsid w:val="00C6315A"/>
    <w:rsid w:val="00C64A92"/>
    <w:rsid w:val="00C711DA"/>
    <w:rsid w:val="00C72857"/>
    <w:rsid w:val="00C72EAE"/>
    <w:rsid w:val="00C734CA"/>
    <w:rsid w:val="00C74F13"/>
    <w:rsid w:val="00C760FA"/>
    <w:rsid w:val="00C77D6C"/>
    <w:rsid w:val="00C800FB"/>
    <w:rsid w:val="00C80531"/>
    <w:rsid w:val="00C80B2E"/>
    <w:rsid w:val="00C80E0F"/>
    <w:rsid w:val="00C81BAD"/>
    <w:rsid w:val="00C83ED9"/>
    <w:rsid w:val="00C86ADB"/>
    <w:rsid w:val="00C87043"/>
    <w:rsid w:val="00C871A4"/>
    <w:rsid w:val="00C8737B"/>
    <w:rsid w:val="00C90767"/>
    <w:rsid w:val="00C90AC8"/>
    <w:rsid w:val="00C911C2"/>
    <w:rsid w:val="00C91612"/>
    <w:rsid w:val="00C91CD1"/>
    <w:rsid w:val="00C92FB0"/>
    <w:rsid w:val="00C9390D"/>
    <w:rsid w:val="00C94A44"/>
    <w:rsid w:val="00C9632A"/>
    <w:rsid w:val="00C9670D"/>
    <w:rsid w:val="00C96764"/>
    <w:rsid w:val="00C96991"/>
    <w:rsid w:val="00C97F8C"/>
    <w:rsid w:val="00CA0A4E"/>
    <w:rsid w:val="00CA0AB6"/>
    <w:rsid w:val="00CA0E0C"/>
    <w:rsid w:val="00CA1291"/>
    <w:rsid w:val="00CA1D1A"/>
    <w:rsid w:val="00CA2B34"/>
    <w:rsid w:val="00CA3874"/>
    <w:rsid w:val="00CA4717"/>
    <w:rsid w:val="00CA517F"/>
    <w:rsid w:val="00CA54A5"/>
    <w:rsid w:val="00CA5F2D"/>
    <w:rsid w:val="00CA6540"/>
    <w:rsid w:val="00CA71CC"/>
    <w:rsid w:val="00CB050C"/>
    <w:rsid w:val="00CB2A50"/>
    <w:rsid w:val="00CB389C"/>
    <w:rsid w:val="00CB46D3"/>
    <w:rsid w:val="00CB6A08"/>
    <w:rsid w:val="00CB75C3"/>
    <w:rsid w:val="00CB7F5A"/>
    <w:rsid w:val="00CC015D"/>
    <w:rsid w:val="00CC0B65"/>
    <w:rsid w:val="00CC2A32"/>
    <w:rsid w:val="00CC366D"/>
    <w:rsid w:val="00CC4582"/>
    <w:rsid w:val="00CC4CA2"/>
    <w:rsid w:val="00CC521C"/>
    <w:rsid w:val="00CC529D"/>
    <w:rsid w:val="00CC5BCD"/>
    <w:rsid w:val="00CC6303"/>
    <w:rsid w:val="00CC65B3"/>
    <w:rsid w:val="00CC7E7B"/>
    <w:rsid w:val="00CD1669"/>
    <w:rsid w:val="00CD1D1F"/>
    <w:rsid w:val="00CD2635"/>
    <w:rsid w:val="00CD49F5"/>
    <w:rsid w:val="00CD572D"/>
    <w:rsid w:val="00CD5C6D"/>
    <w:rsid w:val="00CD6DAA"/>
    <w:rsid w:val="00CD75DA"/>
    <w:rsid w:val="00CE0B67"/>
    <w:rsid w:val="00CE11BF"/>
    <w:rsid w:val="00CE31F4"/>
    <w:rsid w:val="00CE3392"/>
    <w:rsid w:val="00CE4085"/>
    <w:rsid w:val="00CE51F6"/>
    <w:rsid w:val="00CE6738"/>
    <w:rsid w:val="00CE7798"/>
    <w:rsid w:val="00CF0E63"/>
    <w:rsid w:val="00CF1E1A"/>
    <w:rsid w:val="00CF1FE4"/>
    <w:rsid w:val="00CF29BE"/>
    <w:rsid w:val="00CF3026"/>
    <w:rsid w:val="00CF3CCE"/>
    <w:rsid w:val="00CF41CB"/>
    <w:rsid w:val="00CF53EB"/>
    <w:rsid w:val="00CF68CF"/>
    <w:rsid w:val="00CF727F"/>
    <w:rsid w:val="00CF786D"/>
    <w:rsid w:val="00CF79A4"/>
    <w:rsid w:val="00CF7AB9"/>
    <w:rsid w:val="00D01E72"/>
    <w:rsid w:val="00D02AF2"/>
    <w:rsid w:val="00D03070"/>
    <w:rsid w:val="00D034BA"/>
    <w:rsid w:val="00D037E7"/>
    <w:rsid w:val="00D03BCB"/>
    <w:rsid w:val="00D03DFA"/>
    <w:rsid w:val="00D0584F"/>
    <w:rsid w:val="00D05FE6"/>
    <w:rsid w:val="00D062F0"/>
    <w:rsid w:val="00D06345"/>
    <w:rsid w:val="00D070E6"/>
    <w:rsid w:val="00D11366"/>
    <w:rsid w:val="00D1209D"/>
    <w:rsid w:val="00D12472"/>
    <w:rsid w:val="00D12AC8"/>
    <w:rsid w:val="00D12FF0"/>
    <w:rsid w:val="00D13592"/>
    <w:rsid w:val="00D13A90"/>
    <w:rsid w:val="00D14550"/>
    <w:rsid w:val="00D14A33"/>
    <w:rsid w:val="00D14BC0"/>
    <w:rsid w:val="00D14CF7"/>
    <w:rsid w:val="00D15BB5"/>
    <w:rsid w:val="00D162CB"/>
    <w:rsid w:val="00D20017"/>
    <w:rsid w:val="00D203BB"/>
    <w:rsid w:val="00D2123D"/>
    <w:rsid w:val="00D21C96"/>
    <w:rsid w:val="00D228CC"/>
    <w:rsid w:val="00D2316B"/>
    <w:rsid w:val="00D25582"/>
    <w:rsid w:val="00D26023"/>
    <w:rsid w:val="00D26364"/>
    <w:rsid w:val="00D26743"/>
    <w:rsid w:val="00D26759"/>
    <w:rsid w:val="00D26773"/>
    <w:rsid w:val="00D268FF"/>
    <w:rsid w:val="00D2775C"/>
    <w:rsid w:val="00D27DFD"/>
    <w:rsid w:val="00D3030D"/>
    <w:rsid w:val="00D30E79"/>
    <w:rsid w:val="00D30EA7"/>
    <w:rsid w:val="00D337C4"/>
    <w:rsid w:val="00D33B73"/>
    <w:rsid w:val="00D33BB2"/>
    <w:rsid w:val="00D33CA2"/>
    <w:rsid w:val="00D340F1"/>
    <w:rsid w:val="00D3462F"/>
    <w:rsid w:val="00D346AC"/>
    <w:rsid w:val="00D37F7B"/>
    <w:rsid w:val="00D41298"/>
    <w:rsid w:val="00D414EB"/>
    <w:rsid w:val="00D444A9"/>
    <w:rsid w:val="00D445E0"/>
    <w:rsid w:val="00D446A9"/>
    <w:rsid w:val="00D447C4"/>
    <w:rsid w:val="00D44A70"/>
    <w:rsid w:val="00D473DF"/>
    <w:rsid w:val="00D47FB1"/>
    <w:rsid w:val="00D51194"/>
    <w:rsid w:val="00D5126E"/>
    <w:rsid w:val="00D51F47"/>
    <w:rsid w:val="00D52563"/>
    <w:rsid w:val="00D528BA"/>
    <w:rsid w:val="00D53016"/>
    <w:rsid w:val="00D5307C"/>
    <w:rsid w:val="00D53451"/>
    <w:rsid w:val="00D53753"/>
    <w:rsid w:val="00D5488A"/>
    <w:rsid w:val="00D552A5"/>
    <w:rsid w:val="00D55531"/>
    <w:rsid w:val="00D56EB5"/>
    <w:rsid w:val="00D578C1"/>
    <w:rsid w:val="00D57D56"/>
    <w:rsid w:val="00D60A4B"/>
    <w:rsid w:val="00D60D33"/>
    <w:rsid w:val="00D618E3"/>
    <w:rsid w:val="00D623FF"/>
    <w:rsid w:val="00D62585"/>
    <w:rsid w:val="00D62934"/>
    <w:rsid w:val="00D62CF1"/>
    <w:rsid w:val="00D637D4"/>
    <w:rsid w:val="00D641CE"/>
    <w:rsid w:val="00D64BA2"/>
    <w:rsid w:val="00D6508F"/>
    <w:rsid w:val="00D657BC"/>
    <w:rsid w:val="00D66354"/>
    <w:rsid w:val="00D6641F"/>
    <w:rsid w:val="00D66AE3"/>
    <w:rsid w:val="00D66C7B"/>
    <w:rsid w:val="00D700D9"/>
    <w:rsid w:val="00D70B4E"/>
    <w:rsid w:val="00D717F9"/>
    <w:rsid w:val="00D72404"/>
    <w:rsid w:val="00D72D65"/>
    <w:rsid w:val="00D7399D"/>
    <w:rsid w:val="00D7492E"/>
    <w:rsid w:val="00D749AE"/>
    <w:rsid w:val="00D75C94"/>
    <w:rsid w:val="00D80175"/>
    <w:rsid w:val="00D808AE"/>
    <w:rsid w:val="00D80A3B"/>
    <w:rsid w:val="00D80F18"/>
    <w:rsid w:val="00D81348"/>
    <w:rsid w:val="00D81478"/>
    <w:rsid w:val="00D814B4"/>
    <w:rsid w:val="00D82ACF"/>
    <w:rsid w:val="00D831D0"/>
    <w:rsid w:val="00D83854"/>
    <w:rsid w:val="00D83D47"/>
    <w:rsid w:val="00D85523"/>
    <w:rsid w:val="00D85AF6"/>
    <w:rsid w:val="00D86194"/>
    <w:rsid w:val="00D86F8A"/>
    <w:rsid w:val="00D87CD5"/>
    <w:rsid w:val="00D87F87"/>
    <w:rsid w:val="00D91004"/>
    <w:rsid w:val="00D9209F"/>
    <w:rsid w:val="00D930FE"/>
    <w:rsid w:val="00D95A98"/>
    <w:rsid w:val="00D95AFC"/>
    <w:rsid w:val="00D96436"/>
    <w:rsid w:val="00D96A4A"/>
    <w:rsid w:val="00D977B6"/>
    <w:rsid w:val="00DA040A"/>
    <w:rsid w:val="00DA070B"/>
    <w:rsid w:val="00DA1ABA"/>
    <w:rsid w:val="00DA1B6B"/>
    <w:rsid w:val="00DA2859"/>
    <w:rsid w:val="00DA287B"/>
    <w:rsid w:val="00DA326B"/>
    <w:rsid w:val="00DA36CA"/>
    <w:rsid w:val="00DA56EC"/>
    <w:rsid w:val="00DA5A4C"/>
    <w:rsid w:val="00DA5C7F"/>
    <w:rsid w:val="00DA6F48"/>
    <w:rsid w:val="00DA6FCA"/>
    <w:rsid w:val="00DA74F0"/>
    <w:rsid w:val="00DA7664"/>
    <w:rsid w:val="00DB07D1"/>
    <w:rsid w:val="00DB0EB5"/>
    <w:rsid w:val="00DB176F"/>
    <w:rsid w:val="00DB1852"/>
    <w:rsid w:val="00DB1A42"/>
    <w:rsid w:val="00DB1E19"/>
    <w:rsid w:val="00DB2ED0"/>
    <w:rsid w:val="00DB36A3"/>
    <w:rsid w:val="00DB431B"/>
    <w:rsid w:val="00DB4A7B"/>
    <w:rsid w:val="00DB7ADC"/>
    <w:rsid w:val="00DB7F0E"/>
    <w:rsid w:val="00DC078C"/>
    <w:rsid w:val="00DC0E4E"/>
    <w:rsid w:val="00DC1425"/>
    <w:rsid w:val="00DC2143"/>
    <w:rsid w:val="00DC2B5E"/>
    <w:rsid w:val="00DC3741"/>
    <w:rsid w:val="00DC3766"/>
    <w:rsid w:val="00DC4815"/>
    <w:rsid w:val="00DC4B6D"/>
    <w:rsid w:val="00DC5F2E"/>
    <w:rsid w:val="00DC6C12"/>
    <w:rsid w:val="00DD0C24"/>
    <w:rsid w:val="00DD1159"/>
    <w:rsid w:val="00DD1C23"/>
    <w:rsid w:val="00DD3839"/>
    <w:rsid w:val="00DD3B75"/>
    <w:rsid w:val="00DD401E"/>
    <w:rsid w:val="00DD5383"/>
    <w:rsid w:val="00DD649C"/>
    <w:rsid w:val="00DD6A5A"/>
    <w:rsid w:val="00DD6C35"/>
    <w:rsid w:val="00DD6F97"/>
    <w:rsid w:val="00DD7876"/>
    <w:rsid w:val="00DD7E02"/>
    <w:rsid w:val="00DE0029"/>
    <w:rsid w:val="00DE081A"/>
    <w:rsid w:val="00DE0E90"/>
    <w:rsid w:val="00DE1393"/>
    <w:rsid w:val="00DE169E"/>
    <w:rsid w:val="00DE1A91"/>
    <w:rsid w:val="00DE2449"/>
    <w:rsid w:val="00DE27FE"/>
    <w:rsid w:val="00DE33E5"/>
    <w:rsid w:val="00DE36E1"/>
    <w:rsid w:val="00DE3F34"/>
    <w:rsid w:val="00DE4222"/>
    <w:rsid w:val="00DE4EC7"/>
    <w:rsid w:val="00DE60B1"/>
    <w:rsid w:val="00DE6B00"/>
    <w:rsid w:val="00DE6C81"/>
    <w:rsid w:val="00DE6D45"/>
    <w:rsid w:val="00DE6E7A"/>
    <w:rsid w:val="00DF014E"/>
    <w:rsid w:val="00DF1616"/>
    <w:rsid w:val="00DF270A"/>
    <w:rsid w:val="00DF2EE1"/>
    <w:rsid w:val="00DF440C"/>
    <w:rsid w:val="00DF5642"/>
    <w:rsid w:val="00DF6623"/>
    <w:rsid w:val="00DF696B"/>
    <w:rsid w:val="00DF7EE3"/>
    <w:rsid w:val="00E0076C"/>
    <w:rsid w:val="00E02774"/>
    <w:rsid w:val="00E0282A"/>
    <w:rsid w:val="00E02A0B"/>
    <w:rsid w:val="00E03B4C"/>
    <w:rsid w:val="00E04D79"/>
    <w:rsid w:val="00E0586A"/>
    <w:rsid w:val="00E05C4F"/>
    <w:rsid w:val="00E07878"/>
    <w:rsid w:val="00E10357"/>
    <w:rsid w:val="00E119B0"/>
    <w:rsid w:val="00E120A4"/>
    <w:rsid w:val="00E124B5"/>
    <w:rsid w:val="00E13118"/>
    <w:rsid w:val="00E13239"/>
    <w:rsid w:val="00E140D0"/>
    <w:rsid w:val="00E144FD"/>
    <w:rsid w:val="00E14532"/>
    <w:rsid w:val="00E14AB9"/>
    <w:rsid w:val="00E15071"/>
    <w:rsid w:val="00E157DC"/>
    <w:rsid w:val="00E15921"/>
    <w:rsid w:val="00E15E80"/>
    <w:rsid w:val="00E160AA"/>
    <w:rsid w:val="00E1634B"/>
    <w:rsid w:val="00E16912"/>
    <w:rsid w:val="00E16E44"/>
    <w:rsid w:val="00E16FCC"/>
    <w:rsid w:val="00E1713A"/>
    <w:rsid w:val="00E20459"/>
    <w:rsid w:val="00E20B2A"/>
    <w:rsid w:val="00E21429"/>
    <w:rsid w:val="00E21A57"/>
    <w:rsid w:val="00E23AB5"/>
    <w:rsid w:val="00E27365"/>
    <w:rsid w:val="00E303F8"/>
    <w:rsid w:val="00E306D7"/>
    <w:rsid w:val="00E30EE1"/>
    <w:rsid w:val="00E31297"/>
    <w:rsid w:val="00E313BD"/>
    <w:rsid w:val="00E323EA"/>
    <w:rsid w:val="00E33AD6"/>
    <w:rsid w:val="00E3403F"/>
    <w:rsid w:val="00E355F3"/>
    <w:rsid w:val="00E35784"/>
    <w:rsid w:val="00E362E8"/>
    <w:rsid w:val="00E36427"/>
    <w:rsid w:val="00E3660D"/>
    <w:rsid w:val="00E412A3"/>
    <w:rsid w:val="00E417A1"/>
    <w:rsid w:val="00E4212F"/>
    <w:rsid w:val="00E4220A"/>
    <w:rsid w:val="00E429ED"/>
    <w:rsid w:val="00E43A86"/>
    <w:rsid w:val="00E43EE2"/>
    <w:rsid w:val="00E4569F"/>
    <w:rsid w:val="00E4627E"/>
    <w:rsid w:val="00E462CA"/>
    <w:rsid w:val="00E46959"/>
    <w:rsid w:val="00E469FC"/>
    <w:rsid w:val="00E46AF5"/>
    <w:rsid w:val="00E47ED5"/>
    <w:rsid w:val="00E503CE"/>
    <w:rsid w:val="00E50B26"/>
    <w:rsid w:val="00E50B4D"/>
    <w:rsid w:val="00E50F69"/>
    <w:rsid w:val="00E510C7"/>
    <w:rsid w:val="00E5157C"/>
    <w:rsid w:val="00E516CA"/>
    <w:rsid w:val="00E52072"/>
    <w:rsid w:val="00E521F4"/>
    <w:rsid w:val="00E52DFE"/>
    <w:rsid w:val="00E53B5C"/>
    <w:rsid w:val="00E5615B"/>
    <w:rsid w:val="00E564C4"/>
    <w:rsid w:val="00E56B4C"/>
    <w:rsid w:val="00E56E62"/>
    <w:rsid w:val="00E5707B"/>
    <w:rsid w:val="00E573ED"/>
    <w:rsid w:val="00E57631"/>
    <w:rsid w:val="00E57C59"/>
    <w:rsid w:val="00E57ED4"/>
    <w:rsid w:val="00E6127D"/>
    <w:rsid w:val="00E61394"/>
    <w:rsid w:val="00E6170B"/>
    <w:rsid w:val="00E61767"/>
    <w:rsid w:val="00E61E86"/>
    <w:rsid w:val="00E63153"/>
    <w:rsid w:val="00E644EE"/>
    <w:rsid w:val="00E64588"/>
    <w:rsid w:val="00E64F55"/>
    <w:rsid w:val="00E65170"/>
    <w:rsid w:val="00E653FF"/>
    <w:rsid w:val="00E662C1"/>
    <w:rsid w:val="00E67F29"/>
    <w:rsid w:val="00E702B7"/>
    <w:rsid w:val="00E70562"/>
    <w:rsid w:val="00E70EBA"/>
    <w:rsid w:val="00E7109D"/>
    <w:rsid w:val="00E72D93"/>
    <w:rsid w:val="00E7326F"/>
    <w:rsid w:val="00E73605"/>
    <w:rsid w:val="00E73A6C"/>
    <w:rsid w:val="00E7488F"/>
    <w:rsid w:val="00E74B83"/>
    <w:rsid w:val="00E76B1F"/>
    <w:rsid w:val="00E77B65"/>
    <w:rsid w:val="00E80FE7"/>
    <w:rsid w:val="00E81B1A"/>
    <w:rsid w:val="00E81D03"/>
    <w:rsid w:val="00E8243A"/>
    <w:rsid w:val="00E82779"/>
    <w:rsid w:val="00E82C7F"/>
    <w:rsid w:val="00E83BAC"/>
    <w:rsid w:val="00E83E9F"/>
    <w:rsid w:val="00E84672"/>
    <w:rsid w:val="00E84C5B"/>
    <w:rsid w:val="00E8511E"/>
    <w:rsid w:val="00E85609"/>
    <w:rsid w:val="00E85699"/>
    <w:rsid w:val="00E858C1"/>
    <w:rsid w:val="00E858E9"/>
    <w:rsid w:val="00E862D9"/>
    <w:rsid w:val="00E866A7"/>
    <w:rsid w:val="00E86749"/>
    <w:rsid w:val="00E87A7C"/>
    <w:rsid w:val="00E87B9D"/>
    <w:rsid w:val="00E90607"/>
    <w:rsid w:val="00E90ACC"/>
    <w:rsid w:val="00E90C29"/>
    <w:rsid w:val="00E90D94"/>
    <w:rsid w:val="00E91653"/>
    <w:rsid w:val="00E91F9C"/>
    <w:rsid w:val="00E91FF5"/>
    <w:rsid w:val="00E9233F"/>
    <w:rsid w:val="00E92B85"/>
    <w:rsid w:val="00E93281"/>
    <w:rsid w:val="00E93B69"/>
    <w:rsid w:val="00E93F90"/>
    <w:rsid w:val="00E947F3"/>
    <w:rsid w:val="00E964BC"/>
    <w:rsid w:val="00E966C7"/>
    <w:rsid w:val="00E968A0"/>
    <w:rsid w:val="00E973BE"/>
    <w:rsid w:val="00E97CD9"/>
    <w:rsid w:val="00EA054A"/>
    <w:rsid w:val="00EA09AB"/>
    <w:rsid w:val="00EA0C91"/>
    <w:rsid w:val="00EA14EC"/>
    <w:rsid w:val="00EA1B69"/>
    <w:rsid w:val="00EA2341"/>
    <w:rsid w:val="00EA246D"/>
    <w:rsid w:val="00EA25B8"/>
    <w:rsid w:val="00EA2EF9"/>
    <w:rsid w:val="00EA4408"/>
    <w:rsid w:val="00EA48A2"/>
    <w:rsid w:val="00EB01EE"/>
    <w:rsid w:val="00EB021B"/>
    <w:rsid w:val="00EB02F2"/>
    <w:rsid w:val="00EB0701"/>
    <w:rsid w:val="00EB1186"/>
    <w:rsid w:val="00EB1B22"/>
    <w:rsid w:val="00EB25E6"/>
    <w:rsid w:val="00EB3FF5"/>
    <w:rsid w:val="00EB59BB"/>
    <w:rsid w:val="00EB6022"/>
    <w:rsid w:val="00EB6186"/>
    <w:rsid w:val="00EB7B4A"/>
    <w:rsid w:val="00EB7DB1"/>
    <w:rsid w:val="00EC03D8"/>
    <w:rsid w:val="00EC0A60"/>
    <w:rsid w:val="00EC0C13"/>
    <w:rsid w:val="00EC13C7"/>
    <w:rsid w:val="00EC27F0"/>
    <w:rsid w:val="00EC2CDB"/>
    <w:rsid w:val="00EC2DEF"/>
    <w:rsid w:val="00EC3516"/>
    <w:rsid w:val="00EC3983"/>
    <w:rsid w:val="00EC4B7C"/>
    <w:rsid w:val="00EC4D49"/>
    <w:rsid w:val="00EC5140"/>
    <w:rsid w:val="00EC57A4"/>
    <w:rsid w:val="00EC582A"/>
    <w:rsid w:val="00ED00A9"/>
    <w:rsid w:val="00ED1376"/>
    <w:rsid w:val="00ED159E"/>
    <w:rsid w:val="00ED26EB"/>
    <w:rsid w:val="00ED361B"/>
    <w:rsid w:val="00ED37B7"/>
    <w:rsid w:val="00ED3BF7"/>
    <w:rsid w:val="00ED429C"/>
    <w:rsid w:val="00ED48DB"/>
    <w:rsid w:val="00ED537D"/>
    <w:rsid w:val="00ED63D2"/>
    <w:rsid w:val="00ED6732"/>
    <w:rsid w:val="00ED6BC9"/>
    <w:rsid w:val="00ED7060"/>
    <w:rsid w:val="00ED72DA"/>
    <w:rsid w:val="00ED7CF0"/>
    <w:rsid w:val="00EE0E41"/>
    <w:rsid w:val="00EE11AE"/>
    <w:rsid w:val="00EE1538"/>
    <w:rsid w:val="00EE1C5B"/>
    <w:rsid w:val="00EE24BC"/>
    <w:rsid w:val="00EE26F5"/>
    <w:rsid w:val="00EE2EFB"/>
    <w:rsid w:val="00EE372C"/>
    <w:rsid w:val="00EE37A5"/>
    <w:rsid w:val="00EE3A68"/>
    <w:rsid w:val="00EE3C60"/>
    <w:rsid w:val="00EE4612"/>
    <w:rsid w:val="00EE46FB"/>
    <w:rsid w:val="00EE4B32"/>
    <w:rsid w:val="00EE4F5F"/>
    <w:rsid w:val="00EE5663"/>
    <w:rsid w:val="00EE5903"/>
    <w:rsid w:val="00EE6C98"/>
    <w:rsid w:val="00EF0C20"/>
    <w:rsid w:val="00EF1771"/>
    <w:rsid w:val="00EF2C6C"/>
    <w:rsid w:val="00EF31C8"/>
    <w:rsid w:val="00EF392B"/>
    <w:rsid w:val="00EF3996"/>
    <w:rsid w:val="00EF5022"/>
    <w:rsid w:val="00EF53FD"/>
    <w:rsid w:val="00EF5BA0"/>
    <w:rsid w:val="00EF6335"/>
    <w:rsid w:val="00EF76D8"/>
    <w:rsid w:val="00F006CC"/>
    <w:rsid w:val="00F0088D"/>
    <w:rsid w:val="00F00A82"/>
    <w:rsid w:val="00F01DEC"/>
    <w:rsid w:val="00F02419"/>
    <w:rsid w:val="00F02640"/>
    <w:rsid w:val="00F031B7"/>
    <w:rsid w:val="00F032C7"/>
    <w:rsid w:val="00F034F7"/>
    <w:rsid w:val="00F035E2"/>
    <w:rsid w:val="00F0382C"/>
    <w:rsid w:val="00F0422F"/>
    <w:rsid w:val="00F04B7D"/>
    <w:rsid w:val="00F05406"/>
    <w:rsid w:val="00F06D05"/>
    <w:rsid w:val="00F07025"/>
    <w:rsid w:val="00F0704F"/>
    <w:rsid w:val="00F0744F"/>
    <w:rsid w:val="00F10A0C"/>
    <w:rsid w:val="00F123D5"/>
    <w:rsid w:val="00F1311C"/>
    <w:rsid w:val="00F13503"/>
    <w:rsid w:val="00F14045"/>
    <w:rsid w:val="00F14429"/>
    <w:rsid w:val="00F146F5"/>
    <w:rsid w:val="00F14B0B"/>
    <w:rsid w:val="00F154D1"/>
    <w:rsid w:val="00F16C94"/>
    <w:rsid w:val="00F20626"/>
    <w:rsid w:val="00F20DAD"/>
    <w:rsid w:val="00F218E0"/>
    <w:rsid w:val="00F224DB"/>
    <w:rsid w:val="00F22992"/>
    <w:rsid w:val="00F22AA5"/>
    <w:rsid w:val="00F22D86"/>
    <w:rsid w:val="00F22EF3"/>
    <w:rsid w:val="00F2307B"/>
    <w:rsid w:val="00F240A5"/>
    <w:rsid w:val="00F25442"/>
    <w:rsid w:val="00F25838"/>
    <w:rsid w:val="00F25992"/>
    <w:rsid w:val="00F259A7"/>
    <w:rsid w:val="00F25A23"/>
    <w:rsid w:val="00F3076A"/>
    <w:rsid w:val="00F309FB"/>
    <w:rsid w:val="00F3213F"/>
    <w:rsid w:val="00F3234B"/>
    <w:rsid w:val="00F33B80"/>
    <w:rsid w:val="00F36F66"/>
    <w:rsid w:val="00F371F6"/>
    <w:rsid w:val="00F37560"/>
    <w:rsid w:val="00F37C55"/>
    <w:rsid w:val="00F4000A"/>
    <w:rsid w:val="00F41EEE"/>
    <w:rsid w:val="00F420D1"/>
    <w:rsid w:val="00F423AD"/>
    <w:rsid w:val="00F4275E"/>
    <w:rsid w:val="00F44345"/>
    <w:rsid w:val="00F44595"/>
    <w:rsid w:val="00F44FDC"/>
    <w:rsid w:val="00F45D73"/>
    <w:rsid w:val="00F45EEA"/>
    <w:rsid w:val="00F461C7"/>
    <w:rsid w:val="00F46C3D"/>
    <w:rsid w:val="00F47E0D"/>
    <w:rsid w:val="00F50429"/>
    <w:rsid w:val="00F51931"/>
    <w:rsid w:val="00F51C66"/>
    <w:rsid w:val="00F51E1B"/>
    <w:rsid w:val="00F525DE"/>
    <w:rsid w:val="00F5288F"/>
    <w:rsid w:val="00F53104"/>
    <w:rsid w:val="00F543E2"/>
    <w:rsid w:val="00F54D02"/>
    <w:rsid w:val="00F54F6B"/>
    <w:rsid w:val="00F55567"/>
    <w:rsid w:val="00F570FC"/>
    <w:rsid w:val="00F57121"/>
    <w:rsid w:val="00F57126"/>
    <w:rsid w:val="00F573FB"/>
    <w:rsid w:val="00F611DA"/>
    <w:rsid w:val="00F616EB"/>
    <w:rsid w:val="00F61938"/>
    <w:rsid w:val="00F62A38"/>
    <w:rsid w:val="00F6490A"/>
    <w:rsid w:val="00F64BE5"/>
    <w:rsid w:val="00F64D60"/>
    <w:rsid w:val="00F6557B"/>
    <w:rsid w:val="00F658F9"/>
    <w:rsid w:val="00F65EE6"/>
    <w:rsid w:val="00F6600F"/>
    <w:rsid w:val="00F6648B"/>
    <w:rsid w:val="00F66852"/>
    <w:rsid w:val="00F66BAE"/>
    <w:rsid w:val="00F66C77"/>
    <w:rsid w:val="00F67534"/>
    <w:rsid w:val="00F67B9D"/>
    <w:rsid w:val="00F719F3"/>
    <w:rsid w:val="00F71FF1"/>
    <w:rsid w:val="00F72CE1"/>
    <w:rsid w:val="00F73409"/>
    <w:rsid w:val="00F74D7B"/>
    <w:rsid w:val="00F75474"/>
    <w:rsid w:val="00F76183"/>
    <w:rsid w:val="00F7696B"/>
    <w:rsid w:val="00F77366"/>
    <w:rsid w:val="00F77566"/>
    <w:rsid w:val="00F77EF8"/>
    <w:rsid w:val="00F80805"/>
    <w:rsid w:val="00F811F6"/>
    <w:rsid w:val="00F813FD"/>
    <w:rsid w:val="00F81DE7"/>
    <w:rsid w:val="00F81E3F"/>
    <w:rsid w:val="00F82246"/>
    <w:rsid w:val="00F8258B"/>
    <w:rsid w:val="00F834EF"/>
    <w:rsid w:val="00F84655"/>
    <w:rsid w:val="00F846D2"/>
    <w:rsid w:val="00F84C68"/>
    <w:rsid w:val="00F85383"/>
    <w:rsid w:val="00F85389"/>
    <w:rsid w:val="00F856DD"/>
    <w:rsid w:val="00F85BFF"/>
    <w:rsid w:val="00F85FFA"/>
    <w:rsid w:val="00F873B4"/>
    <w:rsid w:val="00F8751F"/>
    <w:rsid w:val="00F87FD7"/>
    <w:rsid w:val="00F91078"/>
    <w:rsid w:val="00F914E0"/>
    <w:rsid w:val="00F9156F"/>
    <w:rsid w:val="00F917C1"/>
    <w:rsid w:val="00F91B56"/>
    <w:rsid w:val="00F9272E"/>
    <w:rsid w:val="00F92BD6"/>
    <w:rsid w:val="00F9301D"/>
    <w:rsid w:val="00F938A7"/>
    <w:rsid w:val="00F93F81"/>
    <w:rsid w:val="00F9408A"/>
    <w:rsid w:val="00F9421B"/>
    <w:rsid w:val="00F946A9"/>
    <w:rsid w:val="00F9485B"/>
    <w:rsid w:val="00F948A6"/>
    <w:rsid w:val="00F959FA"/>
    <w:rsid w:val="00F961F0"/>
    <w:rsid w:val="00F96970"/>
    <w:rsid w:val="00F97511"/>
    <w:rsid w:val="00FA09CC"/>
    <w:rsid w:val="00FA0EED"/>
    <w:rsid w:val="00FA1822"/>
    <w:rsid w:val="00FA18B3"/>
    <w:rsid w:val="00FA2F86"/>
    <w:rsid w:val="00FA369E"/>
    <w:rsid w:val="00FA542D"/>
    <w:rsid w:val="00FA5ED3"/>
    <w:rsid w:val="00FA5EEB"/>
    <w:rsid w:val="00FA6205"/>
    <w:rsid w:val="00FA65F0"/>
    <w:rsid w:val="00FB04E0"/>
    <w:rsid w:val="00FB0BD6"/>
    <w:rsid w:val="00FB1723"/>
    <w:rsid w:val="00FB23BC"/>
    <w:rsid w:val="00FB4D8D"/>
    <w:rsid w:val="00FB525F"/>
    <w:rsid w:val="00FB5C82"/>
    <w:rsid w:val="00FB5F2F"/>
    <w:rsid w:val="00FB6622"/>
    <w:rsid w:val="00FB67AE"/>
    <w:rsid w:val="00FB6BBC"/>
    <w:rsid w:val="00FB6F06"/>
    <w:rsid w:val="00FB7484"/>
    <w:rsid w:val="00FB75AC"/>
    <w:rsid w:val="00FC1ABE"/>
    <w:rsid w:val="00FC3F3F"/>
    <w:rsid w:val="00FC40F1"/>
    <w:rsid w:val="00FC4862"/>
    <w:rsid w:val="00FC4968"/>
    <w:rsid w:val="00FC6649"/>
    <w:rsid w:val="00FC6C2C"/>
    <w:rsid w:val="00FD0126"/>
    <w:rsid w:val="00FD06A4"/>
    <w:rsid w:val="00FD06EC"/>
    <w:rsid w:val="00FD0F49"/>
    <w:rsid w:val="00FD1119"/>
    <w:rsid w:val="00FD11A5"/>
    <w:rsid w:val="00FD128D"/>
    <w:rsid w:val="00FD12B3"/>
    <w:rsid w:val="00FD12D8"/>
    <w:rsid w:val="00FD133D"/>
    <w:rsid w:val="00FD1AD1"/>
    <w:rsid w:val="00FD2A4F"/>
    <w:rsid w:val="00FD2F48"/>
    <w:rsid w:val="00FD35AA"/>
    <w:rsid w:val="00FD4589"/>
    <w:rsid w:val="00FD4653"/>
    <w:rsid w:val="00FD46D6"/>
    <w:rsid w:val="00FD6A5A"/>
    <w:rsid w:val="00FD7AA5"/>
    <w:rsid w:val="00FD7CFB"/>
    <w:rsid w:val="00FD7F9A"/>
    <w:rsid w:val="00FD7FFE"/>
    <w:rsid w:val="00FE18B7"/>
    <w:rsid w:val="00FE1974"/>
    <w:rsid w:val="00FE29E2"/>
    <w:rsid w:val="00FE36F8"/>
    <w:rsid w:val="00FE4253"/>
    <w:rsid w:val="00FE431A"/>
    <w:rsid w:val="00FE4526"/>
    <w:rsid w:val="00FE5147"/>
    <w:rsid w:val="00FE662A"/>
    <w:rsid w:val="00FE70F9"/>
    <w:rsid w:val="00FF3D72"/>
    <w:rsid w:val="00FF4127"/>
    <w:rsid w:val="00FF41EC"/>
    <w:rsid w:val="00FF422B"/>
    <w:rsid w:val="00FF4DA5"/>
    <w:rsid w:val="00FF5320"/>
    <w:rsid w:val="00FF56B4"/>
    <w:rsid w:val="00FF5E54"/>
    <w:rsid w:val="00FF60EC"/>
    <w:rsid w:val="00FF7A33"/>
    <w:rsid w:val="01063575"/>
    <w:rsid w:val="01087A2D"/>
    <w:rsid w:val="012F162B"/>
    <w:rsid w:val="01344310"/>
    <w:rsid w:val="0150476F"/>
    <w:rsid w:val="0179A29F"/>
    <w:rsid w:val="018AA81B"/>
    <w:rsid w:val="018B9220"/>
    <w:rsid w:val="0194DF1D"/>
    <w:rsid w:val="01B4C40B"/>
    <w:rsid w:val="01E9DDF1"/>
    <w:rsid w:val="02459913"/>
    <w:rsid w:val="0256E06F"/>
    <w:rsid w:val="025C4C4B"/>
    <w:rsid w:val="027670D1"/>
    <w:rsid w:val="02EDD395"/>
    <w:rsid w:val="03021B42"/>
    <w:rsid w:val="03481FBD"/>
    <w:rsid w:val="03EA3103"/>
    <w:rsid w:val="03EF2E9C"/>
    <w:rsid w:val="04369C37"/>
    <w:rsid w:val="043B2F16"/>
    <w:rsid w:val="043D8B23"/>
    <w:rsid w:val="04704748"/>
    <w:rsid w:val="04744FC1"/>
    <w:rsid w:val="048CB5D5"/>
    <w:rsid w:val="049B697B"/>
    <w:rsid w:val="04A76728"/>
    <w:rsid w:val="04BAA921"/>
    <w:rsid w:val="05070E35"/>
    <w:rsid w:val="0534A627"/>
    <w:rsid w:val="053D855E"/>
    <w:rsid w:val="06185CCF"/>
    <w:rsid w:val="06219647"/>
    <w:rsid w:val="062C9259"/>
    <w:rsid w:val="06332ECE"/>
    <w:rsid w:val="0643B6E5"/>
    <w:rsid w:val="0682079D"/>
    <w:rsid w:val="06D52CA7"/>
    <w:rsid w:val="072FFC8C"/>
    <w:rsid w:val="073AD01C"/>
    <w:rsid w:val="07472118"/>
    <w:rsid w:val="078B334C"/>
    <w:rsid w:val="07A1F0FD"/>
    <w:rsid w:val="07AB9958"/>
    <w:rsid w:val="07D2D759"/>
    <w:rsid w:val="07DFB964"/>
    <w:rsid w:val="07F0BC6E"/>
    <w:rsid w:val="08090FAE"/>
    <w:rsid w:val="083366BF"/>
    <w:rsid w:val="087A3C0A"/>
    <w:rsid w:val="08829CA4"/>
    <w:rsid w:val="0890BBC2"/>
    <w:rsid w:val="08C2E595"/>
    <w:rsid w:val="08F23EAA"/>
    <w:rsid w:val="08FA0D5A"/>
    <w:rsid w:val="0909D370"/>
    <w:rsid w:val="09471E32"/>
    <w:rsid w:val="09739A67"/>
    <w:rsid w:val="099D4A26"/>
    <w:rsid w:val="09B0B1EE"/>
    <w:rsid w:val="09C26A0E"/>
    <w:rsid w:val="09C27316"/>
    <w:rsid w:val="09CB52FB"/>
    <w:rsid w:val="09CF3FD9"/>
    <w:rsid w:val="0A2BA226"/>
    <w:rsid w:val="0A2EA914"/>
    <w:rsid w:val="0A93A510"/>
    <w:rsid w:val="0AC6697B"/>
    <w:rsid w:val="0B54E9EA"/>
    <w:rsid w:val="0B9BFFBD"/>
    <w:rsid w:val="0BF8ABF1"/>
    <w:rsid w:val="0C28E34D"/>
    <w:rsid w:val="0CBB8579"/>
    <w:rsid w:val="0CC2A0E9"/>
    <w:rsid w:val="0D15A6FA"/>
    <w:rsid w:val="0D8EFF58"/>
    <w:rsid w:val="0D9E337C"/>
    <w:rsid w:val="0DD5BCAF"/>
    <w:rsid w:val="0E3FA96B"/>
    <w:rsid w:val="0E4E3152"/>
    <w:rsid w:val="0E614809"/>
    <w:rsid w:val="0EC9BF96"/>
    <w:rsid w:val="0EF9D3EC"/>
    <w:rsid w:val="0F610426"/>
    <w:rsid w:val="0F64678E"/>
    <w:rsid w:val="0F652C30"/>
    <w:rsid w:val="0F6BB646"/>
    <w:rsid w:val="0FBD010A"/>
    <w:rsid w:val="0FDC9115"/>
    <w:rsid w:val="10061977"/>
    <w:rsid w:val="1099FCA7"/>
    <w:rsid w:val="10F4CC8C"/>
    <w:rsid w:val="110449ED"/>
    <w:rsid w:val="112486BA"/>
    <w:rsid w:val="112F908E"/>
    <w:rsid w:val="113614E7"/>
    <w:rsid w:val="11E31AD4"/>
    <w:rsid w:val="11F54A52"/>
    <w:rsid w:val="12804C83"/>
    <w:rsid w:val="1291CBDD"/>
    <w:rsid w:val="12D310AC"/>
    <w:rsid w:val="12F8545B"/>
    <w:rsid w:val="130AC8D4"/>
    <w:rsid w:val="131CF05B"/>
    <w:rsid w:val="1364F78C"/>
    <w:rsid w:val="137D7083"/>
    <w:rsid w:val="13977659"/>
    <w:rsid w:val="13EFFFA4"/>
    <w:rsid w:val="13F00A5B"/>
    <w:rsid w:val="13FC5829"/>
    <w:rsid w:val="14092696"/>
    <w:rsid w:val="1414C464"/>
    <w:rsid w:val="1439B604"/>
    <w:rsid w:val="14466FFB"/>
    <w:rsid w:val="144BEE9F"/>
    <w:rsid w:val="147854A9"/>
    <w:rsid w:val="147A580A"/>
    <w:rsid w:val="14BBE067"/>
    <w:rsid w:val="14CC34AB"/>
    <w:rsid w:val="1511A99C"/>
    <w:rsid w:val="151443DE"/>
    <w:rsid w:val="152C9CCD"/>
    <w:rsid w:val="1531D389"/>
    <w:rsid w:val="15469508"/>
    <w:rsid w:val="1557A2FA"/>
    <w:rsid w:val="157BBEDC"/>
    <w:rsid w:val="158A5AE7"/>
    <w:rsid w:val="15A33C25"/>
    <w:rsid w:val="15BE460C"/>
    <w:rsid w:val="15E7BF2D"/>
    <w:rsid w:val="16522B8D"/>
    <w:rsid w:val="16A89947"/>
    <w:rsid w:val="16C15054"/>
    <w:rsid w:val="16D7BEDF"/>
    <w:rsid w:val="16F28A62"/>
    <w:rsid w:val="17039E65"/>
    <w:rsid w:val="170F971F"/>
    <w:rsid w:val="1720120A"/>
    <w:rsid w:val="1750A695"/>
    <w:rsid w:val="176545C3"/>
    <w:rsid w:val="179F6CB1"/>
    <w:rsid w:val="17B02ED0"/>
    <w:rsid w:val="17E88B84"/>
    <w:rsid w:val="18130152"/>
    <w:rsid w:val="1864FAF2"/>
    <w:rsid w:val="186AFA3D"/>
    <w:rsid w:val="1875F093"/>
    <w:rsid w:val="18C4068B"/>
    <w:rsid w:val="18E96E03"/>
    <w:rsid w:val="18F9DB4B"/>
    <w:rsid w:val="195B6274"/>
    <w:rsid w:val="19684DDE"/>
    <w:rsid w:val="199871A3"/>
    <w:rsid w:val="19B7D4D4"/>
    <w:rsid w:val="19DAFECD"/>
    <w:rsid w:val="19E55052"/>
    <w:rsid w:val="1A273076"/>
    <w:rsid w:val="1A2B7C67"/>
    <w:rsid w:val="1A31CF25"/>
    <w:rsid w:val="1A590AEB"/>
    <w:rsid w:val="1A94BE66"/>
    <w:rsid w:val="1A9DFBB3"/>
    <w:rsid w:val="1AB15E45"/>
    <w:rsid w:val="1AB628F7"/>
    <w:rsid w:val="1B0A6A39"/>
    <w:rsid w:val="1B143381"/>
    <w:rsid w:val="1B4B124E"/>
    <w:rsid w:val="1B77C2D0"/>
    <w:rsid w:val="1B96896F"/>
    <w:rsid w:val="1BA4D981"/>
    <w:rsid w:val="1BC4F34A"/>
    <w:rsid w:val="1BEE8105"/>
    <w:rsid w:val="1C5C39B2"/>
    <w:rsid w:val="1C7929D1"/>
    <w:rsid w:val="1C8EF74A"/>
    <w:rsid w:val="1CC999BA"/>
    <w:rsid w:val="1CD504FC"/>
    <w:rsid w:val="1CF41711"/>
    <w:rsid w:val="1D116AA6"/>
    <w:rsid w:val="1D335FDC"/>
    <w:rsid w:val="1D41D9D2"/>
    <w:rsid w:val="1D797D1C"/>
    <w:rsid w:val="1DEC7ADA"/>
    <w:rsid w:val="1DEE311B"/>
    <w:rsid w:val="1E29F501"/>
    <w:rsid w:val="1E5582BD"/>
    <w:rsid w:val="1EB8BF44"/>
    <w:rsid w:val="1EB8C175"/>
    <w:rsid w:val="1EBCAAAD"/>
    <w:rsid w:val="1EC64C79"/>
    <w:rsid w:val="1F06D6E0"/>
    <w:rsid w:val="1F3FDB9F"/>
    <w:rsid w:val="1F5E112B"/>
    <w:rsid w:val="1F8585CB"/>
    <w:rsid w:val="1F8B7DEF"/>
    <w:rsid w:val="2049C0F2"/>
    <w:rsid w:val="205D3B38"/>
    <w:rsid w:val="206859B6"/>
    <w:rsid w:val="20B61AE5"/>
    <w:rsid w:val="20D4671F"/>
    <w:rsid w:val="2103A345"/>
    <w:rsid w:val="2104143B"/>
    <w:rsid w:val="216E5AC5"/>
    <w:rsid w:val="218FD1CC"/>
    <w:rsid w:val="21C1BD07"/>
    <w:rsid w:val="21CD52BB"/>
    <w:rsid w:val="21EF4C6D"/>
    <w:rsid w:val="22105083"/>
    <w:rsid w:val="22168275"/>
    <w:rsid w:val="2234C1AE"/>
    <w:rsid w:val="2261BF30"/>
    <w:rsid w:val="22A1F119"/>
    <w:rsid w:val="234C2B2B"/>
    <w:rsid w:val="235C49A1"/>
    <w:rsid w:val="236C9673"/>
    <w:rsid w:val="237EFFBA"/>
    <w:rsid w:val="23B68713"/>
    <w:rsid w:val="2415DD3F"/>
    <w:rsid w:val="2432CCAE"/>
    <w:rsid w:val="244EDBAA"/>
    <w:rsid w:val="2480464C"/>
    <w:rsid w:val="248814E7"/>
    <w:rsid w:val="24E87FAF"/>
    <w:rsid w:val="252300F4"/>
    <w:rsid w:val="2556E82F"/>
    <w:rsid w:val="255C3081"/>
    <w:rsid w:val="2577963E"/>
    <w:rsid w:val="257D7E61"/>
    <w:rsid w:val="25B14D1C"/>
    <w:rsid w:val="25BF1B06"/>
    <w:rsid w:val="25CCBA6E"/>
    <w:rsid w:val="25FEC758"/>
    <w:rsid w:val="263AE241"/>
    <w:rsid w:val="263E0D75"/>
    <w:rsid w:val="265EBBFA"/>
    <w:rsid w:val="268CD47D"/>
    <w:rsid w:val="2699594C"/>
    <w:rsid w:val="26A31412"/>
    <w:rsid w:val="26A3E900"/>
    <w:rsid w:val="26BBA98C"/>
    <w:rsid w:val="26FDAE94"/>
    <w:rsid w:val="270E2E09"/>
    <w:rsid w:val="272CB3C1"/>
    <w:rsid w:val="27DC8E35"/>
    <w:rsid w:val="280B9D04"/>
    <w:rsid w:val="2816F173"/>
    <w:rsid w:val="283A06DF"/>
    <w:rsid w:val="2874D237"/>
    <w:rsid w:val="288F1017"/>
    <w:rsid w:val="28923643"/>
    <w:rsid w:val="28F0BF6E"/>
    <w:rsid w:val="2900C54A"/>
    <w:rsid w:val="290BB3A9"/>
    <w:rsid w:val="2970265A"/>
    <w:rsid w:val="29B1683E"/>
    <w:rsid w:val="2A33B6AC"/>
    <w:rsid w:val="2A496DB7"/>
    <w:rsid w:val="2A590BAC"/>
    <w:rsid w:val="2A821293"/>
    <w:rsid w:val="2AE139BB"/>
    <w:rsid w:val="2AECE575"/>
    <w:rsid w:val="2B2324FD"/>
    <w:rsid w:val="2B27938B"/>
    <w:rsid w:val="2B2AFCC8"/>
    <w:rsid w:val="2B3C4141"/>
    <w:rsid w:val="2B6E26F7"/>
    <w:rsid w:val="2B7BCEDD"/>
    <w:rsid w:val="2B857CC6"/>
    <w:rsid w:val="2BBE64E8"/>
    <w:rsid w:val="2C148960"/>
    <w:rsid w:val="2C1E20A8"/>
    <w:rsid w:val="2C287950"/>
    <w:rsid w:val="2C2F836D"/>
    <w:rsid w:val="2C392703"/>
    <w:rsid w:val="2C5BE977"/>
    <w:rsid w:val="2CC0874A"/>
    <w:rsid w:val="2CFB12ED"/>
    <w:rsid w:val="2D5323EC"/>
    <w:rsid w:val="2D56BFE9"/>
    <w:rsid w:val="2DA03AD0"/>
    <w:rsid w:val="2DAFE0C7"/>
    <w:rsid w:val="2DCC46B9"/>
    <w:rsid w:val="2DE3E233"/>
    <w:rsid w:val="2DEA7E8E"/>
    <w:rsid w:val="2DF7BDAF"/>
    <w:rsid w:val="2E39433E"/>
    <w:rsid w:val="2E567FE2"/>
    <w:rsid w:val="2EE3FA80"/>
    <w:rsid w:val="2F145E6E"/>
    <w:rsid w:val="2F40F683"/>
    <w:rsid w:val="2F551A61"/>
    <w:rsid w:val="2F56DC4F"/>
    <w:rsid w:val="2F58753B"/>
    <w:rsid w:val="2F65205E"/>
    <w:rsid w:val="2F692FD8"/>
    <w:rsid w:val="2F7AF954"/>
    <w:rsid w:val="2F835EC8"/>
    <w:rsid w:val="2FC4942D"/>
    <w:rsid w:val="2FDC21A0"/>
    <w:rsid w:val="3004E732"/>
    <w:rsid w:val="306D8536"/>
    <w:rsid w:val="30D498E2"/>
    <w:rsid w:val="30E22E7D"/>
    <w:rsid w:val="30F889FD"/>
    <w:rsid w:val="30FB6CAC"/>
    <w:rsid w:val="312C0EA0"/>
    <w:rsid w:val="315E329F"/>
    <w:rsid w:val="3166FDE8"/>
    <w:rsid w:val="3168DB98"/>
    <w:rsid w:val="31713A35"/>
    <w:rsid w:val="317CEA4F"/>
    <w:rsid w:val="318120C4"/>
    <w:rsid w:val="31A04759"/>
    <w:rsid w:val="31A486F4"/>
    <w:rsid w:val="31CEB134"/>
    <w:rsid w:val="31D6FE52"/>
    <w:rsid w:val="31DE99DC"/>
    <w:rsid w:val="31DF96D1"/>
    <w:rsid w:val="31E55379"/>
    <w:rsid w:val="31F254F0"/>
    <w:rsid w:val="322D097C"/>
    <w:rsid w:val="326B51ED"/>
    <w:rsid w:val="327465D3"/>
    <w:rsid w:val="32753B3E"/>
    <w:rsid w:val="327A3798"/>
    <w:rsid w:val="3295E2D0"/>
    <w:rsid w:val="32A0CFF6"/>
    <w:rsid w:val="32F160F0"/>
    <w:rsid w:val="331B0A3D"/>
    <w:rsid w:val="33938258"/>
    <w:rsid w:val="339FE1AC"/>
    <w:rsid w:val="33A50509"/>
    <w:rsid w:val="33B0B6BD"/>
    <w:rsid w:val="33C3E176"/>
    <w:rsid w:val="33EC12AE"/>
    <w:rsid w:val="340BD25A"/>
    <w:rsid w:val="346D6F8C"/>
    <w:rsid w:val="3498ADF4"/>
    <w:rsid w:val="35153716"/>
    <w:rsid w:val="354FECCC"/>
    <w:rsid w:val="3594478A"/>
    <w:rsid w:val="35EA136D"/>
    <w:rsid w:val="35F2F67E"/>
    <w:rsid w:val="361DA809"/>
    <w:rsid w:val="362D90F7"/>
    <w:rsid w:val="363204CC"/>
    <w:rsid w:val="3692D43B"/>
    <w:rsid w:val="3710D37D"/>
    <w:rsid w:val="3726B5CD"/>
    <w:rsid w:val="376C6C59"/>
    <w:rsid w:val="3789F92C"/>
    <w:rsid w:val="380562C7"/>
    <w:rsid w:val="38308C13"/>
    <w:rsid w:val="38359477"/>
    <w:rsid w:val="38487D73"/>
    <w:rsid w:val="38719E40"/>
    <w:rsid w:val="38734BE6"/>
    <w:rsid w:val="387DFC27"/>
    <w:rsid w:val="38AEDA36"/>
    <w:rsid w:val="38B7FBED"/>
    <w:rsid w:val="38CDD4E3"/>
    <w:rsid w:val="38E30F60"/>
    <w:rsid w:val="38E863E2"/>
    <w:rsid w:val="39078BD9"/>
    <w:rsid w:val="394971AF"/>
    <w:rsid w:val="398E66C9"/>
    <w:rsid w:val="39A66344"/>
    <w:rsid w:val="39A75426"/>
    <w:rsid w:val="39F41808"/>
    <w:rsid w:val="39FB8250"/>
    <w:rsid w:val="3A5DFF3F"/>
    <w:rsid w:val="3A79FB15"/>
    <w:rsid w:val="3A9F05E2"/>
    <w:rsid w:val="3ABA10CD"/>
    <w:rsid w:val="3AD3A197"/>
    <w:rsid w:val="3B01C6FD"/>
    <w:rsid w:val="3B0A34D6"/>
    <w:rsid w:val="3B1E6D38"/>
    <w:rsid w:val="3B2277E6"/>
    <w:rsid w:val="3B362480"/>
    <w:rsid w:val="3B3854B5"/>
    <w:rsid w:val="3B467907"/>
    <w:rsid w:val="3B479929"/>
    <w:rsid w:val="3B651759"/>
    <w:rsid w:val="3B715CFB"/>
    <w:rsid w:val="3B7796DB"/>
    <w:rsid w:val="3BA2347E"/>
    <w:rsid w:val="3BC8069A"/>
    <w:rsid w:val="3C57A500"/>
    <w:rsid w:val="3CAD6EF9"/>
    <w:rsid w:val="3CD798EB"/>
    <w:rsid w:val="3CDB203E"/>
    <w:rsid w:val="3CED9495"/>
    <w:rsid w:val="3CFEB980"/>
    <w:rsid w:val="3D70BB04"/>
    <w:rsid w:val="3DBE9054"/>
    <w:rsid w:val="3E03E464"/>
    <w:rsid w:val="3E41497A"/>
    <w:rsid w:val="3E4C9FCE"/>
    <w:rsid w:val="3E51B8E5"/>
    <w:rsid w:val="3E874B1C"/>
    <w:rsid w:val="3E878879"/>
    <w:rsid w:val="3E9D2855"/>
    <w:rsid w:val="3EC1ED89"/>
    <w:rsid w:val="3EDE33A7"/>
    <w:rsid w:val="3EE7D729"/>
    <w:rsid w:val="3EE89F76"/>
    <w:rsid w:val="3EFECFF0"/>
    <w:rsid w:val="3F170951"/>
    <w:rsid w:val="3F5C0040"/>
    <w:rsid w:val="3FA7FC9A"/>
    <w:rsid w:val="3FC0AB51"/>
    <w:rsid w:val="3FF922DF"/>
    <w:rsid w:val="4061C06D"/>
    <w:rsid w:val="4067E256"/>
    <w:rsid w:val="40898F7C"/>
    <w:rsid w:val="40A2F509"/>
    <w:rsid w:val="40D6E5C2"/>
    <w:rsid w:val="41154428"/>
    <w:rsid w:val="412665F5"/>
    <w:rsid w:val="41279FD4"/>
    <w:rsid w:val="4157552C"/>
    <w:rsid w:val="4180817A"/>
    <w:rsid w:val="41B5D04E"/>
    <w:rsid w:val="41BE2393"/>
    <w:rsid w:val="420AD77C"/>
    <w:rsid w:val="42B2BDAC"/>
    <w:rsid w:val="42C4E2F0"/>
    <w:rsid w:val="42D79BD2"/>
    <w:rsid w:val="432312F3"/>
    <w:rsid w:val="4353389E"/>
    <w:rsid w:val="437130F0"/>
    <w:rsid w:val="438B0B8D"/>
    <w:rsid w:val="43950764"/>
    <w:rsid w:val="43B47571"/>
    <w:rsid w:val="43D12FD3"/>
    <w:rsid w:val="4403A191"/>
    <w:rsid w:val="4418F7F6"/>
    <w:rsid w:val="4424B1F1"/>
    <w:rsid w:val="44267D26"/>
    <w:rsid w:val="442EBE57"/>
    <w:rsid w:val="4455E053"/>
    <w:rsid w:val="44781C8D"/>
    <w:rsid w:val="44E538FD"/>
    <w:rsid w:val="44F07E68"/>
    <w:rsid w:val="44FA42EF"/>
    <w:rsid w:val="45065F5E"/>
    <w:rsid w:val="45837DEB"/>
    <w:rsid w:val="458A94B0"/>
    <w:rsid w:val="459B56EC"/>
    <w:rsid w:val="45BB1B0C"/>
    <w:rsid w:val="46304122"/>
    <w:rsid w:val="46439E93"/>
    <w:rsid w:val="4655D07D"/>
    <w:rsid w:val="466C05C6"/>
    <w:rsid w:val="46749DD6"/>
    <w:rsid w:val="4674B32E"/>
    <w:rsid w:val="4675B7A5"/>
    <w:rsid w:val="46962EE2"/>
    <w:rsid w:val="46A49225"/>
    <w:rsid w:val="46D994D5"/>
    <w:rsid w:val="46F42BBD"/>
    <w:rsid w:val="47118AC2"/>
    <w:rsid w:val="472569CF"/>
    <w:rsid w:val="47373C51"/>
    <w:rsid w:val="47565D14"/>
    <w:rsid w:val="4782362F"/>
    <w:rsid w:val="47AA0543"/>
    <w:rsid w:val="47BC6759"/>
    <w:rsid w:val="47D86F1E"/>
    <w:rsid w:val="47DA2AEE"/>
    <w:rsid w:val="47F9F6CB"/>
    <w:rsid w:val="483EB5F3"/>
    <w:rsid w:val="486D9A13"/>
    <w:rsid w:val="48774DFD"/>
    <w:rsid w:val="48B24B71"/>
    <w:rsid w:val="48B54FC8"/>
    <w:rsid w:val="48BBC088"/>
    <w:rsid w:val="48C8E4B4"/>
    <w:rsid w:val="4901C0EA"/>
    <w:rsid w:val="490AA981"/>
    <w:rsid w:val="4952F718"/>
    <w:rsid w:val="495555A6"/>
    <w:rsid w:val="49645835"/>
    <w:rsid w:val="497BCE3F"/>
    <w:rsid w:val="4995611A"/>
    <w:rsid w:val="49A11A36"/>
    <w:rsid w:val="49C86C3B"/>
    <w:rsid w:val="49D754D7"/>
    <w:rsid w:val="49F5D098"/>
    <w:rsid w:val="49F7E010"/>
    <w:rsid w:val="49F9CD3A"/>
    <w:rsid w:val="4A50A07D"/>
    <w:rsid w:val="4A59C3B1"/>
    <w:rsid w:val="4ACC3D49"/>
    <w:rsid w:val="4AD2423C"/>
    <w:rsid w:val="4B314F74"/>
    <w:rsid w:val="4B461659"/>
    <w:rsid w:val="4B5DB30B"/>
    <w:rsid w:val="4B8EE060"/>
    <w:rsid w:val="4B924352"/>
    <w:rsid w:val="4BB47229"/>
    <w:rsid w:val="4BBCC0C8"/>
    <w:rsid w:val="4BCFA77C"/>
    <w:rsid w:val="4BEA1829"/>
    <w:rsid w:val="4C0F8EC6"/>
    <w:rsid w:val="4C441ABA"/>
    <w:rsid w:val="4C64D960"/>
    <w:rsid w:val="4C729A4E"/>
    <w:rsid w:val="4CA81462"/>
    <w:rsid w:val="4CC11D8E"/>
    <w:rsid w:val="4D0930E4"/>
    <w:rsid w:val="4D1BDAAC"/>
    <w:rsid w:val="4D6FF0BC"/>
    <w:rsid w:val="4D71D0D1"/>
    <w:rsid w:val="4D84887A"/>
    <w:rsid w:val="4DD4289A"/>
    <w:rsid w:val="4E48F670"/>
    <w:rsid w:val="4E8C1F86"/>
    <w:rsid w:val="4E8DC3E2"/>
    <w:rsid w:val="4E94EB1A"/>
    <w:rsid w:val="4EAD197B"/>
    <w:rsid w:val="4ECF9CC7"/>
    <w:rsid w:val="4ED792CD"/>
    <w:rsid w:val="4EF17771"/>
    <w:rsid w:val="4F177560"/>
    <w:rsid w:val="4F2FF5F5"/>
    <w:rsid w:val="4F36CF6B"/>
    <w:rsid w:val="4F4EFFD4"/>
    <w:rsid w:val="4F532F99"/>
    <w:rsid w:val="4F59E8EC"/>
    <w:rsid w:val="4F66330C"/>
    <w:rsid w:val="4F7CEB62"/>
    <w:rsid w:val="4F819974"/>
    <w:rsid w:val="4F966AB8"/>
    <w:rsid w:val="4F97CC36"/>
    <w:rsid w:val="4F982688"/>
    <w:rsid w:val="4FADFF7E"/>
    <w:rsid w:val="4FB2E4D5"/>
    <w:rsid w:val="4FC7DC62"/>
    <w:rsid w:val="5024313E"/>
    <w:rsid w:val="503EE4F6"/>
    <w:rsid w:val="50402EB1"/>
    <w:rsid w:val="5050CD9F"/>
    <w:rsid w:val="50C32761"/>
    <w:rsid w:val="50D09DD3"/>
    <w:rsid w:val="50DD5F81"/>
    <w:rsid w:val="50F72EC0"/>
    <w:rsid w:val="50FA6ECA"/>
    <w:rsid w:val="5104089E"/>
    <w:rsid w:val="510DDA2D"/>
    <w:rsid w:val="512C2D0D"/>
    <w:rsid w:val="5187D662"/>
    <w:rsid w:val="51A37481"/>
    <w:rsid w:val="51B632D5"/>
    <w:rsid w:val="5215C140"/>
    <w:rsid w:val="5231806A"/>
    <w:rsid w:val="52353AC6"/>
    <w:rsid w:val="525D8866"/>
    <w:rsid w:val="5273ABCF"/>
    <w:rsid w:val="52B73665"/>
    <w:rsid w:val="52F8023D"/>
    <w:rsid w:val="530D1348"/>
    <w:rsid w:val="5399E754"/>
    <w:rsid w:val="53CFD82B"/>
    <w:rsid w:val="53D7856A"/>
    <w:rsid w:val="53EB8021"/>
    <w:rsid w:val="543AB9DE"/>
    <w:rsid w:val="546271EF"/>
    <w:rsid w:val="5479E8BD"/>
    <w:rsid w:val="549E7CF4"/>
    <w:rsid w:val="54A6E63F"/>
    <w:rsid w:val="54C0BFEA"/>
    <w:rsid w:val="54F25D60"/>
    <w:rsid w:val="55084553"/>
    <w:rsid w:val="550FD613"/>
    <w:rsid w:val="55245693"/>
    <w:rsid w:val="557B94A3"/>
    <w:rsid w:val="55A5464F"/>
    <w:rsid w:val="561AE09A"/>
    <w:rsid w:val="56585D15"/>
    <w:rsid w:val="56622819"/>
    <w:rsid w:val="566697ED"/>
    <w:rsid w:val="5667D21F"/>
    <w:rsid w:val="568C61E1"/>
    <w:rsid w:val="569296E3"/>
    <w:rsid w:val="573485E2"/>
    <w:rsid w:val="573960B7"/>
    <w:rsid w:val="57550329"/>
    <w:rsid w:val="57650901"/>
    <w:rsid w:val="576C6966"/>
    <w:rsid w:val="577F09D6"/>
    <w:rsid w:val="57A551F7"/>
    <w:rsid w:val="57B156AE"/>
    <w:rsid w:val="580CC875"/>
    <w:rsid w:val="58A7E900"/>
    <w:rsid w:val="58AC182B"/>
    <w:rsid w:val="58CD8211"/>
    <w:rsid w:val="58CDA930"/>
    <w:rsid w:val="58D22F23"/>
    <w:rsid w:val="58E159BC"/>
    <w:rsid w:val="58EC3DB7"/>
    <w:rsid w:val="5990C82C"/>
    <w:rsid w:val="59CB8E59"/>
    <w:rsid w:val="59DCE919"/>
    <w:rsid w:val="59EFC636"/>
    <w:rsid w:val="5A01FBC4"/>
    <w:rsid w:val="5A2FFDC0"/>
    <w:rsid w:val="5A303B10"/>
    <w:rsid w:val="5A4B2150"/>
    <w:rsid w:val="5A904C62"/>
    <w:rsid w:val="5AA39EC1"/>
    <w:rsid w:val="5ABAF880"/>
    <w:rsid w:val="5AD34FBB"/>
    <w:rsid w:val="5B5A0769"/>
    <w:rsid w:val="5C196AE5"/>
    <w:rsid w:val="5C1FEAEA"/>
    <w:rsid w:val="5C61FA22"/>
    <w:rsid w:val="5C6834BE"/>
    <w:rsid w:val="5C6FE508"/>
    <w:rsid w:val="5CD1BF16"/>
    <w:rsid w:val="5CF6579B"/>
    <w:rsid w:val="5D67445A"/>
    <w:rsid w:val="5D6A6C87"/>
    <w:rsid w:val="5DE33F8A"/>
    <w:rsid w:val="5DE3E972"/>
    <w:rsid w:val="5E1F1BD5"/>
    <w:rsid w:val="5E54EE63"/>
    <w:rsid w:val="5E76C978"/>
    <w:rsid w:val="5EB3C6C3"/>
    <w:rsid w:val="5EB72D60"/>
    <w:rsid w:val="5EC3C158"/>
    <w:rsid w:val="5F055704"/>
    <w:rsid w:val="5F32A96B"/>
    <w:rsid w:val="5F572696"/>
    <w:rsid w:val="5F5CE01A"/>
    <w:rsid w:val="5F82F2E2"/>
    <w:rsid w:val="5FC7ACB3"/>
    <w:rsid w:val="5FCD17EA"/>
    <w:rsid w:val="5FFF8E82"/>
    <w:rsid w:val="6094B1EB"/>
    <w:rsid w:val="609B1832"/>
    <w:rsid w:val="609F7FD1"/>
    <w:rsid w:val="60AFFF03"/>
    <w:rsid w:val="60DC7E81"/>
    <w:rsid w:val="60E6FBAF"/>
    <w:rsid w:val="617561ED"/>
    <w:rsid w:val="62845D5F"/>
    <w:rsid w:val="628A3B9A"/>
    <w:rsid w:val="63379F7E"/>
    <w:rsid w:val="6383169F"/>
    <w:rsid w:val="63D1349C"/>
    <w:rsid w:val="63D17ABE"/>
    <w:rsid w:val="642990FC"/>
    <w:rsid w:val="646DFA1D"/>
    <w:rsid w:val="64E150B7"/>
    <w:rsid w:val="64EE9F8B"/>
    <w:rsid w:val="64F29C28"/>
    <w:rsid w:val="650F45D0"/>
    <w:rsid w:val="65184A55"/>
    <w:rsid w:val="653E4113"/>
    <w:rsid w:val="65535495"/>
    <w:rsid w:val="657A19E5"/>
    <w:rsid w:val="65953F0E"/>
    <w:rsid w:val="65B7BD68"/>
    <w:rsid w:val="65C2E52E"/>
    <w:rsid w:val="6604D3B3"/>
    <w:rsid w:val="66070A7F"/>
    <w:rsid w:val="6613D8E3"/>
    <w:rsid w:val="66425C61"/>
    <w:rsid w:val="664B370F"/>
    <w:rsid w:val="665458CB"/>
    <w:rsid w:val="66995CF4"/>
    <w:rsid w:val="66F33720"/>
    <w:rsid w:val="673921BC"/>
    <w:rsid w:val="678034D3"/>
    <w:rsid w:val="6791944C"/>
    <w:rsid w:val="67E2FB80"/>
    <w:rsid w:val="68093B55"/>
    <w:rsid w:val="681D4DCF"/>
    <w:rsid w:val="68645168"/>
    <w:rsid w:val="688E0B40"/>
    <w:rsid w:val="68959810"/>
    <w:rsid w:val="68DF9697"/>
    <w:rsid w:val="69205CCB"/>
    <w:rsid w:val="6929A108"/>
    <w:rsid w:val="692C18BB"/>
    <w:rsid w:val="6939B83F"/>
    <w:rsid w:val="696C1845"/>
    <w:rsid w:val="696E1247"/>
    <w:rsid w:val="697B58F1"/>
    <w:rsid w:val="69987F55"/>
    <w:rsid w:val="69A90056"/>
    <w:rsid w:val="69DA9C1F"/>
    <w:rsid w:val="69EE95C6"/>
    <w:rsid w:val="6A166C7D"/>
    <w:rsid w:val="6A1CE860"/>
    <w:rsid w:val="6A32D12F"/>
    <w:rsid w:val="6A57409D"/>
    <w:rsid w:val="6A860412"/>
    <w:rsid w:val="6A9CC2A5"/>
    <w:rsid w:val="6A9E8F77"/>
    <w:rsid w:val="6AA80AF1"/>
    <w:rsid w:val="6AB0A429"/>
    <w:rsid w:val="6AE6B95B"/>
    <w:rsid w:val="6AEB26CF"/>
    <w:rsid w:val="6AECA9EC"/>
    <w:rsid w:val="6B149CF1"/>
    <w:rsid w:val="6B158881"/>
    <w:rsid w:val="6B1A660D"/>
    <w:rsid w:val="6B2A8525"/>
    <w:rsid w:val="6B2C40F5"/>
    <w:rsid w:val="6B2E336B"/>
    <w:rsid w:val="6B562A68"/>
    <w:rsid w:val="6B8ABD5E"/>
    <w:rsid w:val="6BB7BB53"/>
    <w:rsid w:val="6C675B3A"/>
    <w:rsid w:val="6CBCEC18"/>
    <w:rsid w:val="6CC992EB"/>
    <w:rsid w:val="6D00CD4D"/>
    <w:rsid w:val="6D0A4796"/>
    <w:rsid w:val="6D1A8F23"/>
    <w:rsid w:val="6D4800A1"/>
    <w:rsid w:val="6D9E9AA1"/>
    <w:rsid w:val="6DB48648"/>
    <w:rsid w:val="6E1662A8"/>
    <w:rsid w:val="6E2BF25F"/>
    <w:rsid w:val="6E792335"/>
    <w:rsid w:val="6E814291"/>
    <w:rsid w:val="6ED0E7C5"/>
    <w:rsid w:val="6F43B2DA"/>
    <w:rsid w:val="6F803610"/>
    <w:rsid w:val="6F933ED6"/>
    <w:rsid w:val="6FC5E190"/>
    <w:rsid w:val="7002F348"/>
    <w:rsid w:val="70280E54"/>
    <w:rsid w:val="702F0BF4"/>
    <w:rsid w:val="704B322B"/>
    <w:rsid w:val="707DF129"/>
    <w:rsid w:val="70ACC24C"/>
    <w:rsid w:val="70C84CE6"/>
    <w:rsid w:val="7116519F"/>
    <w:rsid w:val="71263EA1"/>
    <w:rsid w:val="716AF493"/>
    <w:rsid w:val="720FAABC"/>
    <w:rsid w:val="721DD8AD"/>
    <w:rsid w:val="7229A8D4"/>
    <w:rsid w:val="722A22DD"/>
    <w:rsid w:val="7231C830"/>
    <w:rsid w:val="72723725"/>
    <w:rsid w:val="72A45446"/>
    <w:rsid w:val="72A545A0"/>
    <w:rsid w:val="72D3AF7B"/>
    <w:rsid w:val="7316D814"/>
    <w:rsid w:val="73196021"/>
    <w:rsid w:val="7347854F"/>
    <w:rsid w:val="73494BFF"/>
    <w:rsid w:val="73563EF8"/>
    <w:rsid w:val="73CC9E15"/>
    <w:rsid w:val="742F7588"/>
    <w:rsid w:val="746EFFBD"/>
    <w:rsid w:val="74BCB0AC"/>
    <w:rsid w:val="74C0EB4A"/>
    <w:rsid w:val="74DC413A"/>
    <w:rsid w:val="74EE7F2F"/>
    <w:rsid w:val="7523DA8B"/>
    <w:rsid w:val="752E6AF1"/>
    <w:rsid w:val="7541EDF6"/>
    <w:rsid w:val="754702AE"/>
    <w:rsid w:val="757AB2F3"/>
    <w:rsid w:val="757AD398"/>
    <w:rsid w:val="7585A98F"/>
    <w:rsid w:val="75A77407"/>
    <w:rsid w:val="75DDF443"/>
    <w:rsid w:val="76094C6C"/>
    <w:rsid w:val="762249C5"/>
    <w:rsid w:val="7658A405"/>
    <w:rsid w:val="76AC4D72"/>
    <w:rsid w:val="76B0D29B"/>
    <w:rsid w:val="76B5D40F"/>
    <w:rsid w:val="76BD055B"/>
    <w:rsid w:val="76C16E0A"/>
    <w:rsid w:val="76DFB91D"/>
    <w:rsid w:val="76E0C63B"/>
    <w:rsid w:val="76E3C25C"/>
    <w:rsid w:val="771723A2"/>
    <w:rsid w:val="776BBE1E"/>
    <w:rsid w:val="77D3E841"/>
    <w:rsid w:val="78447367"/>
    <w:rsid w:val="78496ABE"/>
    <w:rsid w:val="787974ED"/>
    <w:rsid w:val="78BBD896"/>
    <w:rsid w:val="78CAAE62"/>
    <w:rsid w:val="79073701"/>
    <w:rsid w:val="793A7F9C"/>
    <w:rsid w:val="793B455B"/>
    <w:rsid w:val="794AFB26"/>
    <w:rsid w:val="7990960D"/>
    <w:rsid w:val="79C6C240"/>
    <w:rsid w:val="79C9147B"/>
    <w:rsid w:val="79D5C5DC"/>
    <w:rsid w:val="79DAA64C"/>
    <w:rsid w:val="79EFC3CA"/>
    <w:rsid w:val="7A112D0B"/>
    <w:rsid w:val="7A2E3046"/>
    <w:rsid w:val="7A43884B"/>
    <w:rsid w:val="7A5A3949"/>
    <w:rsid w:val="7A5E5876"/>
    <w:rsid w:val="7A79CC79"/>
    <w:rsid w:val="7A903EBC"/>
    <w:rsid w:val="7AB14C47"/>
    <w:rsid w:val="7ABAC4B6"/>
    <w:rsid w:val="7AC26C0D"/>
    <w:rsid w:val="7AF0BCA8"/>
    <w:rsid w:val="7AF496DF"/>
    <w:rsid w:val="7B23FB27"/>
    <w:rsid w:val="7B264AA6"/>
    <w:rsid w:val="7B2D5B55"/>
    <w:rsid w:val="7B6F79A2"/>
    <w:rsid w:val="7B885158"/>
    <w:rsid w:val="7B950621"/>
    <w:rsid w:val="7BAD5062"/>
    <w:rsid w:val="7BD89FDE"/>
    <w:rsid w:val="7C2FFCAE"/>
    <w:rsid w:val="7CB983D1"/>
    <w:rsid w:val="7CD425ED"/>
    <w:rsid w:val="7CDA70E9"/>
    <w:rsid w:val="7CEBB621"/>
    <w:rsid w:val="7CFBBDD8"/>
    <w:rsid w:val="7D105CA6"/>
    <w:rsid w:val="7D7A0756"/>
    <w:rsid w:val="7DFE2431"/>
    <w:rsid w:val="7E2E8D92"/>
    <w:rsid w:val="7E58BDC8"/>
    <w:rsid w:val="7E6BD5D9"/>
    <w:rsid w:val="7E728F32"/>
    <w:rsid w:val="7E87CC2A"/>
    <w:rsid w:val="7EA68C60"/>
    <w:rsid w:val="7EB72C85"/>
    <w:rsid w:val="7EBBBB4E"/>
    <w:rsid w:val="7ECA38B9"/>
    <w:rsid w:val="7EE08B2F"/>
    <w:rsid w:val="7EE8C803"/>
    <w:rsid w:val="7F14CCD2"/>
    <w:rsid w:val="7F25821E"/>
    <w:rsid w:val="7FA96EE3"/>
    <w:rsid w:val="7FB59F3F"/>
    <w:rsid w:val="7FBF17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7F906"/>
  <w14:defaultImageDpi w14:val="32767"/>
  <w15:chartTrackingRefBased/>
  <w15:docId w15:val="{5A2E13F2-ADD5-40FC-9BEB-7661EB68E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8737B"/>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C8737B"/>
    <w:pPr>
      <w:keepNext/>
      <w:spacing w:before="240" w:after="120" w:line="300" w:lineRule="atLeast"/>
      <w:outlineLvl w:val="0"/>
    </w:pPr>
    <w:rPr>
      <w:rFonts w:ascii="Arial" w:eastAsia="Times New Roman" w:hAnsi="Arial" w:cs="Arial"/>
      <w:b/>
      <w:bCs/>
      <w:color w:val="971A4B"/>
      <w:kern w:val="32"/>
      <w:sz w:val="32"/>
      <w:szCs w:val="32"/>
      <w:lang w:val="en-AU" w:eastAsia="en-AU"/>
    </w:rPr>
  </w:style>
  <w:style w:type="paragraph" w:styleId="Heading2">
    <w:name w:val="heading 2"/>
    <w:next w:val="Normal"/>
    <w:link w:val="Heading2Char"/>
    <w:qFormat/>
    <w:rsid w:val="00C8737B"/>
    <w:pPr>
      <w:keepNext/>
      <w:spacing w:before="240" w:after="120" w:line="300" w:lineRule="atLeast"/>
      <w:outlineLvl w:val="1"/>
    </w:pPr>
    <w:rPr>
      <w:rFonts w:ascii="Arial" w:eastAsia="Times New Roman" w:hAnsi="Arial" w:cs="Arial"/>
      <w:b/>
      <w:bCs/>
      <w:iCs/>
      <w:color w:val="971A4B"/>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C8737B"/>
    <w:pPr>
      <w:pBdr>
        <w:bottom w:val="single" w:sz="4" w:space="1" w:color="B1005D"/>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BC1939"/>
    <w:rPr>
      <w:rFonts w:ascii="Arial" w:eastAsia="Times New Roman" w:hAnsi="Arial" w:cs="Times New Roman"/>
      <w:sz w:val="22"/>
      <w:lang w:val="en-AU"/>
    </w:rPr>
  </w:style>
  <w:style w:type="character" w:customStyle="1" w:styleId="Heading1Char">
    <w:name w:val="Heading 1 Char"/>
    <w:basedOn w:val="DefaultParagraphFont"/>
    <w:link w:val="Heading1"/>
    <w:rsid w:val="00BC1939"/>
    <w:rPr>
      <w:rFonts w:ascii="Arial" w:eastAsia="Times New Roman" w:hAnsi="Arial" w:cs="Arial"/>
      <w:b/>
      <w:bCs/>
      <w:color w:val="971A4B"/>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C8737B"/>
    <w:pPr>
      <w:numPr>
        <w:numId w:val="2"/>
      </w:numPr>
      <w:spacing w:before="240" w:line="280" w:lineRule="exact"/>
    </w:pPr>
    <w:rPr>
      <w:rFonts w:ascii="Arial" w:eastAsia="Times New Roman" w:hAnsi="Arial" w:cs="Arial"/>
      <w:b/>
      <w:bCs/>
      <w:color w:val="971A4B"/>
      <w:kern w:val="32"/>
      <w:sz w:val="28"/>
      <w:szCs w:val="32"/>
      <w:lang w:val="en-AU" w:eastAsia="en-AU"/>
    </w:rPr>
  </w:style>
  <w:style w:type="paragraph" w:customStyle="1" w:styleId="AppendixH1">
    <w:name w:val="Appendix H1"/>
    <w:next w:val="Normal"/>
    <w:rsid w:val="00C8737B"/>
    <w:pPr>
      <w:spacing w:before="240" w:after="240" w:line="300" w:lineRule="atLeast"/>
    </w:pPr>
    <w:rPr>
      <w:rFonts w:ascii="Arial" w:eastAsia="Times New Roman" w:hAnsi="Arial" w:cs="Arial"/>
      <w:b/>
      <w:bCs/>
      <w:color w:val="971A4B"/>
      <w:kern w:val="32"/>
      <w:sz w:val="28"/>
      <w:szCs w:val="26"/>
      <w:lang w:val="en-AU" w:eastAsia="en-AU"/>
    </w:rPr>
  </w:style>
  <w:style w:type="paragraph" w:customStyle="1" w:styleId="AppendixH2">
    <w:name w:val="Appendix H2"/>
    <w:next w:val="Normal"/>
    <w:rsid w:val="00C8737B"/>
    <w:pPr>
      <w:spacing w:before="160" w:after="40" w:line="300" w:lineRule="atLeast"/>
    </w:pPr>
    <w:rPr>
      <w:rFonts w:ascii="Arial" w:eastAsia="Times New Roman" w:hAnsi="Arial" w:cs="Arial"/>
      <w:b/>
      <w:bCs/>
      <w:iCs/>
      <w:color w:val="971A4B"/>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C8737B"/>
    <w:pPr>
      <w:spacing w:before="60" w:after="240"/>
    </w:pPr>
    <w:rPr>
      <w:b/>
      <w:color w:val="971A4B"/>
      <w:sz w:val="28"/>
      <w:szCs w:val="28"/>
      <w:lang w:eastAsia="en-AU"/>
    </w:rPr>
  </w:style>
  <w:style w:type="paragraph" w:customStyle="1" w:styleId="Contents">
    <w:name w:val="Contents"/>
    <w:basedOn w:val="VLAdivision"/>
    <w:next w:val="Normal"/>
    <w:rsid w:val="00C8737B"/>
  </w:style>
  <w:style w:type="paragraph" w:customStyle="1" w:styleId="Filename">
    <w:name w:val="Filename"/>
    <w:basedOn w:val="Normal"/>
    <w:rsid w:val="00C8737B"/>
    <w:pPr>
      <w:pBdr>
        <w:top w:val="single" w:sz="4" w:space="1" w:color="B1005D"/>
      </w:pBdr>
      <w:tabs>
        <w:tab w:val="right" w:pos="9240"/>
      </w:tabs>
    </w:pPr>
    <w:rPr>
      <w:sz w:val="18"/>
    </w:rPr>
  </w:style>
  <w:style w:type="character" w:styleId="FootnoteReference">
    <w:name w:val="footnote reference"/>
    <w:aliases w:val="Footnotes refss,4_G,Footnote number,Stinking Styles,Nota a pie,NO,Style 30,Style 20"/>
    <w:uiPriority w:val="99"/>
    <w:qFormat/>
    <w:rsid w:val="00C8737B"/>
    <w:rPr>
      <w:rFonts w:ascii="Arial" w:hAnsi="Arial"/>
      <w:position w:val="2"/>
      <w:sz w:val="18"/>
      <w:vertAlign w:val="superscript"/>
    </w:rPr>
  </w:style>
  <w:style w:type="paragraph" w:styleId="FootnoteText">
    <w:name w:val="footnote text"/>
    <w:aliases w:val="Footnote text 1 Char Char,Footnote text 1,Footnote Text Char Char,Kneebone1,Footnote,Text Char Char Char,Text Char,Footnote Text Char Char Char Char Char,Text Char Char Char Char,Footnote text 1 Char,5_G,Char,Cha,C,FN,fn,Ca"/>
    <w:basedOn w:val="Normal"/>
    <w:link w:val="FootnoteTextChar"/>
    <w:qFormat/>
    <w:rsid w:val="00C8737B"/>
    <w:pPr>
      <w:ind w:left="284" w:hanging="284"/>
    </w:pPr>
    <w:rPr>
      <w:sz w:val="18"/>
      <w:szCs w:val="20"/>
    </w:rPr>
  </w:style>
  <w:style w:type="character" w:customStyle="1" w:styleId="FootnoteTextChar">
    <w:name w:val="Footnote Text Char"/>
    <w:aliases w:val="Footnote text 1 Char Char Char,Footnote text 1 Char1,Footnote Text Char Char Char,Kneebone1 Char,Footnote Char,Text Char Char Char Char1,Text Char Char,Footnote Text Char Char Char Char Char Char,Text Char Char Char Char Char,5_G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C8737B"/>
    <w:rPr>
      <w:rFonts w:ascii="Arial" w:eastAsia="Times New Roman" w:hAnsi="Arial" w:cs="Arial"/>
      <w:b/>
      <w:bCs/>
      <w:iCs/>
      <w:color w:val="971A4B"/>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D070E6"/>
    <w:pPr>
      <w:numPr>
        <w:numId w:val="4"/>
      </w:numPr>
      <w:spacing w:before="120" w:line="300" w:lineRule="atLeast"/>
    </w:pPr>
    <w:rPr>
      <w:rFonts w:ascii="Arial" w:eastAsia="Times New Roman" w:hAnsi="Arial" w:cs="Times New Roman"/>
      <w:sz w:val="22"/>
      <w:lang w:val="en-AU"/>
    </w:rPr>
  </w:style>
  <w:style w:type="paragraph" w:styleId="ListBullet2">
    <w:name w:val="List Bullet 2"/>
    <w:rsid w:val="00C8737B"/>
    <w:pPr>
      <w:numPr>
        <w:ilvl w:val="1"/>
        <w:numId w:val="6"/>
      </w:numPr>
      <w:spacing w:line="300" w:lineRule="atLeast"/>
    </w:pPr>
    <w:rPr>
      <w:rFonts w:ascii="Arial" w:eastAsia="Times New Roman" w:hAnsi="Arial" w:cs="Times New Roman"/>
      <w:sz w:val="22"/>
      <w:lang w:val="en-AU"/>
    </w:rPr>
  </w:style>
  <w:style w:type="paragraph" w:styleId="ListBullet3">
    <w:name w:val="List Bullet 3"/>
    <w:rsid w:val="00C8737B"/>
    <w:pPr>
      <w:numPr>
        <w:ilvl w:val="2"/>
        <w:numId w:val="6"/>
      </w:numPr>
      <w:spacing w:line="300" w:lineRule="atLeast"/>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C8737B"/>
    <w:pPr>
      <w:numPr>
        <w:numId w:val="10"/>
      </w:numPr>
      <w:tabs>
        <w:tab w:val="clear" w:pos="1492"/>
        <w:tab w:val="left" w:pos="1304"/>
      </w:tabs>
    </w:p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uiPriority w:val="22"/>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C8737B"/>
    <w:pPr>
      <w:spacing w:before="2000" w:after="240" w:line="400" w:lineRule="exact"/>
      <w:outlineLvl w:val="0"/>
    </w:pPr>
    <w:rPr>
      <w:rFonts w:ascii="Arial Bold" w:eastAsia="Times New Roman" w:hAnsi="Arial Bold" w:cs="Arial"/>
      <w:b/>
      <w:bCs/>
      <w:color w:val="971A4B"/>
      <w:kern w:val="28"/>
      <w:sz w:val="36"/>
      <w:szCs w:val="32"/>
      <w:lang w:val="en-AU"/>
    </w:rPr>
  </w:style>
  <w:style w:type="character" w:customStyle="1" w:styleId="TitleChar">
    <w:name w:val="Title Char"/>
    <w:link w:val="Title"/>
    <w:rsid w:val="00C8737B"/>
    <w:rPr>
      <w:rFonts w:ascii="Arial Bold" w:eastAsia="Times New Roman" w:hAnsi="Arial Bold" w:cs="Arial"/>
      <w:b/>
      <w:bCs/>
      <w:color w:val="971A4B"/>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C8737B"/>
    <w:pPr>
      <w:numPr>
        <w:ilvl w:val="1"/>
        <w:numId w:val="22"/>
      </w:numPr>
      <w:spacing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C8737B"/>
    <w:pPr>
      <w:spacing w:before="240" w:after="60"/>
    </w:pPr>
    <w:rPr>
      <w:b/>
      <w:color w:val="971A4B"/>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C8737B"/>
    <w:pPr>
      <w:numPr>
        <w:ilvl w:val="2"/>
        <w:numId w:val="22"/>
      </w:numPr>
      <w:spacing w:line="300" w:lineRule="atLeast"/>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uiPriority w:val="1"/>
    <w:qForma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character" w:styleId="CommentReference">
    <w:name w:val="annotation reference"/>
    <w:basedOn w:val="DefaultParagraphFont"/>
    <w:unhideWhenUsed/>
    <w:rsid w:val="004175B7"/>
    <w:rPr>
      <w:sz w:val="16"/>
      <w:szCs w:val="16"/>
    </w:rPr>
  </w:style>
  <w:style w:type="paragraph" w:styleId="CommentText">
    <w:name w:val="annotation text"/>
    <w:basedOn w:val="Normal"/>
    <w:link w:val="CommentTextChar"/>
    <w:unhideWhenUsed/>
    <w:rsid w:val="004175B7"/>
    <w:pPr>
      <w:spacing w:line="240" w:lineRule="auto"/>
    </w:pPr>
    <w:rPr>
      <w:sz w:val="20"/>
      <w:szCs w:val="20"/>
    </w:rPr>
  </w:style>
  <w:style w:type="character" w:customStyle="1" w:styleId="CommentTextChar">
    <w:name w:val="Comment Text Char"/>
    <w:basedOn w:val="DefaultParagraphFont"/>
    <w:link w:val="CommentText"/>
    <w:rsid w:val="004175B7"/>
    <w:rPr>
      <w:rFonts w:ascii="Arial" w:eastAsia="Times New Roman" w:hAnsi="Arial" w:cs="Times New Roman"/>
      <w:sz w:val="20"/>
      <w:szCs w:val="20"/>
      <w:lang w:val="en-AU"/>
    </w:rPr>
  </w:style>
  <w:style w:type="paragraph" w:customStyle="1" w:styleId="Tableheader">
    <w:name w:val="Table header"/>
    <w:basedOn w:val="Heading4"/>
    <w:qFormat/>
    <w:rsid w:val="004175B7"/>
  </w:style>
  <w:style w:type="table" w:styleId="PlainTable2">
    <w:name w:val="Plain Table 2"/>
    <w:basedOn w:val="TableNormal"/>
    <w:uiPriority w:val="42"/>
    <w:rsid w:val="004175B7"/>
    <w:rPr>
      <w:rFonts w:ascii="Times New Roman" w:eastAsia="Times New Roman" w:hAnsi="Times New Roman" w:cs="Times New Roman"/>
      <w:sz w:val="20"/>
      <w:szCs w:val="20"/>
      <w:lang w:val="en-AU" w:eastAsia="en-AU"/>
    </w:rPr>
    <w:tblPr>
      <w:tblStyleRowBandSize w:val="1"/>
      <w:tblStyleColBandSize w:val="1"/>
      <w:tblBorders>
        <w:bottom w:val="single" w:sz="4" w:space="0" w:color="000000" w:themeColor="text1"/>
        <w:insideH w:val="single" w:sz="4" w:space="0" w:color="000000" w:themeColor="text1"/>
      </w:tblBorders>
    </w:tblPr>
    <w:tblStylePr w:type="firstRow">
      <w:rPr>
        <w:b w:val="0"/>
        <w:bCs/>
        <w:color w:val="44546A" w:themeColor="text2"/>
      </w:rPr>
      <w:tblPr/>
      <w:trPr>
        <w:cantSplit/>
        <w:tblHeader/>
      </w:trPr>
      <w:tcPr>
        <w:tcBorders>
          <w:top w:val="single" w:sz="4" w:space="0" w:color="44546A" w:themeColor="text2"/>
          <w:bottom w:val="single" w:sz="4" w:space="0" w:color="44546A" w:themeColor="text2"/>
        </w:tcBorders>
        <w:shd w:val="clear" w:color="auto" w:fill="E7E6E6" w:themeFill="background2"/>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000000" w:themeColor="text1"/>
          <w:insideH w:val="single" w:sz="4" w:space="0" w:color="000000" w:themeColor="text1"/>
        </w:tcBorders>
      </w:tcPr>
    </w:tblStylePr>
    <w:tblStylePr w:type="band2Horz">
      <w:tblPr/>
      <w:tcPr>
        <w:tcBorders>
          <w:bottom w:val="single" w:sz="4" w:space="0" w:color="000000" w:themeColor="text1"/>
          <w:insideH w:val="single" w:sz="4" w:space="0" w:color="000000" w:themeColor="text1"/>
        </w:tcBorders>
      </w:tcPr>
    </w:tblStylePr>
  </w:style>
  <w:style w:type="paragraph" w:styleId="NoSpacing">
    <w:name w:val="No Spacing"/>
    <w:uiPriority w:val="1"/>
    <w:qFormat/>
    <w:rsid w:val="004175B7"/>
    <w:rPr>
      <w:rFonts w:ascii="Arial" w:eastAsia="Times New Roman" w:hAnsi="Arial" w:cs="Times New Roman"/>
      <w:sz w:val="22"/>
      <w:lang w:val="en-AU"/>
    </w:rPr>
  </w:style>
  <w:style w:type="paragraph" w:styleId="CommentSubject">
    <w:name w:val="annotation subject"/>
    <w:basedOn w:val="CommentText"/>
    <w:next w:val="CommentText"/>
    <w:link w:val="CommentSubjectChar"/>
    <w:uiPriority w:val="99"/>
    <w:semiHidden/>
    <w:unhideWhenUsed/>
    <w:rsid w:val="004175B7"/>
    <w:rPr>
      <w:b/>
      <w:bCs/>
    </w:rPr>
  </w:style>
  <w:style w:type="character" w:customStyle="1" w:styleId="CommentSubjectChar">
    <w:name w:val="Comment Subject Char"/>
    <w:basedOn w:val="CommentTextChar"/>
    <w:link w:val="CommentSubject"/>
    <w:uiPriority w:val="99"/>
    <w:semiHidden/>
    <w:rsid w:val="004175B7"/>
    <w:rPr>
      <w:rFonts w:ascii="Arial" w:eastAsia="Times New Roman" w:hAnsi="Arial" w:cs="Times New Roman"/>
      <w:b/>
      <w:bCs/>
      <w:sz w:val="20"/>
      <w:szCs w:val="20"/>
      <w:lang w:val="en-AU"/>
    </w:rPr>
  </w:style>
  <w:style w:type="character" w:styleId="Mention">
    <w:name w:val="Mention"/>
    <w:basedOn w:val="DefaultParagraphFont"/>
    <w:uiPriority w:val="99"/>
    <w:unhideWhenUsed/>
    <w:rsid w:val="00A35B76"/>
    <w:rPr>
      <w:color w:val="2B579A"/>
      <w:shd w:val="clear" w:color="auto" w:fill="E1DFDD"/>
    </w:rPr>
  </w:style>
  <w:style w:type="paragraph" w:customStyle="1" w:styleId="Bullet1">
    <w:name w:val="Bullet 1"/>
    <w:basedOn w:val="Normal"/>
    <w:uiPriority w:val="1"/>
    <w:qFormat/>
    <w:rsid w:val="00AF32C1"/>
    <w:pPr>
      <w:numPr>
        <w:numId w:val="26"/>
      </w:numPr>
    </w:pPr>
  </w:style>
  <w:style w:type="character" w:styleId="FollowedHyperlink">
    <w:name w:val="FollowedHyperlink"/>
    <w:basedOn w:val="DefaultParagraphFont"/>
    <w:uiPriority w:val="99"/>
    <w:semiHidden/>
    <w:unhideWhenUsed/>
    <w:rsid w:val="003E39CD"/>
    <w:rPr>
      <w:color w:val="954F72" w:themeColor="followedHyperlink"/>
      <w:u w:val="single"/>
    </w:rPr>
  </w:style>
  <w:style w:type="paragraph" w:styleId="NormalWeb">
    <w:name w:val="Normal (Web)"/>
    <w:basedOn w:val="Normal"/>
    <w:uiPriority w:val="99"/>
    <w:unhideWhenUsed/>
    <w:rsid w:val="00F22D86"/>
    <w:pPr>
      <w:spacing w:before="100" w:beforeAutospacing="1" w:after="100" w:afterAutospacing="1" w:line="240" w:lineRule="auto"/>
    </w:pPr>
    <w:rPr>
      <w:rFonts w:ascii="Times New Roman" w:hAnsi="Times New Roman"/>
      <w:sz w:val="24"/>
      <w:lang w:eastAsia="en-AU"/>
    </w:rPr>
  </w:style>
  <w:style w:type="paragraph" w:customStyle="1" w:styleId="Default">
    <w:name w:val="Default"/>
    <w:rsid w:val="00770ECE"/>
    <w:pPr>
      <w:autoSpaceDE w:val="0"/>
      <w:autoSpaceDN w:val="0"/>
      <w:adjustRightInd w:val="0"/>
    </w:pPr>
    <w:rPr>
      <w:rFonts w:ascii="Arial" w:hAnsi="Arial" w:cs="Arial"/>
      <w:color w:val="000000"/>
      <w:lang w:val="en-AU"/>
    </w:rPr>
  </w:style>
  <w:style w:type="character" w:styleId="PlaceholderText">
    <w:name w:val="Placeholder Text"/>
    <w:basedOn w:val="DefaultParagraphFont"/>
    <w:uiPriority w:val="99"/>
    <w:semiHidden/>
    <w:rsid w:val="00566CF6"/>
    <w:rPr>
      <w:color w:val="808080"/>
    </w:rPr>
  </w:style>
  <w:style w:type="character" w:customStyle="1" w:styleId="normaltextrun">
    <w:name w:val="normaltextrun"/>
    <w:basedOn w:val="DefaultParagraphFont"/>
    <w:rsid w:val="00550382"/>
  </w:style>
  <w:style w:type="character" w:customStyle="1" w:styleId="eop">
    <w:name w:val="eop"/>
    <w:basedOn w:val="DefaultParagraphFont"/>
    <w:rsid w:val="00550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0736">
      <w:bodyDiv w:val="1"/>
      <w:marLeft w:val="0"/>
      <w:marRight w:val="0"/>
      <w:marTop w:val="0"/>
      <w:marBottom w:val="0"/>
      <w:divBdr>
        <w:top w:val="none" w:sz="0" w:space="0" w:color="auto"/>
        <w:left w:val="none" w:sz="0" w:space="0" w:color="auto"/>
        <w:bottom w:val="none" w:sz="0" w:space="0" w:color="auto"/>
        <w:right w:val="none" w:sz="0" w:space="0" w:color="auto"/>
      </w:divBdr>
    </w:div>
    <w:div w:id="141776730">
      <w:bodyDiv w:val="1"/>
      <w:marLeft w:val="0"/>
      <w:marRight w:val="0"/>
      <w:marTop w:val="0"/>
      <w:marBottom w:val="0"/>
      <w:divBdr>
        <w:top w:val="none" w:sz="0" w:space="0" w:color="auto"/>
        <w:left w:val="none" w:sz="0" w:space="0" w:color="auto"/>
        <w:bottom w:val="none" w:sz="0" w:space="0" w:color="auto"/>
        <w:right w:val="none" w:sz="0" w:space="0" w:color="auto"/>
      </w:divBdr>
      <w:divsChild>
        <w:div w:id="1454055549">
          <w:marLeft w:val="0"/>
          <w:marRight w:val="0"/>
          <w:marTop w:val="0"/>
          <w:marBottom w:val="0"/>
          <w:divBdr>
            <w:top w:val="none" w:sz="0" w:space="0" w:color="auto"/>
            <w:left w:val="none" w:sz="0" w:space="0" w:color="auto"/>
            <w:bottom w:val="none" w:sz="0" w:space="0" w:color="auto"/>
            <w:right w:val="none" w:sz="0" w:space="0" w:color="auto"/>
          </w:divBdr>
          <w:divsChild>
            <w:div w:id="1850831122">
              <w:marLeft w:val="0"/>
              <w:marRight w:val="0"/>
              <w:marTop w:val="0"/>
              <w:marBottom w:val="0"/>
              <w:divBdr>
                <w:top w:val="none" w:sz="0" w:space="0" w:color="auto"/>
                <w:left w:val="none" w:sz="0" w:space="0" w:color="auto"/>
                <w:bottom w:val="none" w:sz="0" w:space="0" w:color="auto"/>
                <w:right w:val="none" w:sz="0" w:space="0" w:color="auto"/>
              </w:divBdr>
            </w:div>
          </w:divsChild>
        </w:div>
        <w:div w:id="1530096124">
          <w:marLeft w:val="0"/>
          <w:marRight w:val="0"/>
          <w:marTop w:val="0"/>
          <w:marBottom w:val="0"/>
          <w:divBdr>
            <w:top w:val="none" w:sz="0" w:space="0" w:color="auto"/>
            <w:left w:val="none" w:sz="0" w:space="0" w:color="auto"/>
            <w:bottom w:val="none" w:sz="0" w:space="0" w:color="auto"/>
            <w:right w:val="none" w:sz="0" w:space="0" w:color="auto"/>
          </w:divBdr>
          <w:divsChild>
            <w:div w:id="18223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9393">
      <w:bodyDiv w:val="1"/>
      <w:marLeft w:val="0"/>
      <w:marRight w:val="0"/>
      <w:marTop w:val="0"/>
      <w:marBottom w:val="0"/>
      <w:divBdr>
        <w:top w:val="none" w:sz="0" w:space="0" w:color="auto"/>
        <w:left w:val="none" w:sz="0" w:space="0" w:color="auto"/>
        <w:bottom w:val="none" w:sz="0" w:space="0" w:color="auto"/>
        <w:right w:val="none" w:sz="0" w:space="0" w:color="auto"/>
      </w:divBdr>
    </w:div>
    <w:div w:id="170995884">
      <w:bodyDiv w:val="1"/>
      <w:marLeft w:val="0"/>
      <w:marRight w:val="0"/>
      <w:marTop w:val="0"/>
      <w:marBottom w:val="0"/>
      <w:divBdr>
        <w:top w:val="none" w:sz="0" w:space="0" w:color="auto"/>
        <w:left w:val="none" w:sz="0" w:space="0" w:color="auto"/>
        <w:bottom w:val="none" w:sz="0" w:space="0" w:color="auto"/>
        <w:right w:val="none" w:sz="0" w:space="0" w:color="auto"/>
      </w:divBdr>
    </w:div>
    <w:div w:id="186142332">
      <w:bodyDiv w:val="1"/>
      <w:marLeft w:val="0"/>
      <w:marRight w:val="0"/>
      <w:marTop w:val="0"/>
      <w:marBottom w:val="0"/>
      <w:divBdr>
        <w:top w:val="none" w:sz="0" w:space="0" w:color="auto"/>
        <w:left w:val="none" w:sz="0" w:space="0" w:color="auto"/>
        <w:bottom w:val="none" w:sz="0" w:space="0" w:color="auto"/>
        <w:right w:val="none" w:sz="0" w:space="0" w:color="auto"/>
      </w:divBdr>
    </w:div>
    <w:div w:id="367068661">
      <w:bodyDiv w:val="1"/>
      <w:marLeft w:val="0"/>
      <w:marRight w:val="0"/>
      <w:marTop w:val="0"/>
      <w:marBottom w:val="0"/>
      <w:divBdr>
        <w:top w:val="none" w:sz="0" w:space="0" w:color="auto"/>
        <w:left w:val="none" w:sz="0" w:space="0" w:color="auto"/>
        <w:bottom w:val="none" w:sz="0" w:space="0" w:color="auto"/>
        <w:right w:val="none" w:sz="0" w:space="0" w:color="auto"/>
      </w:divBdr>
    </w:div>
    <w:div w:id="446968212">
      <w:bodyDiv w:val="1"/>
      <w:marLeft w:val="0"/>
      <w:marRight w:val="0"/>
      <w:marTop w:val="0"/>
      <w:marBottom w:val="0"/>
      <w:divBdr>
        <w:top w:val="none" w:sz="0" w:space="0" w:color="auto"/>
        <w:left w:val="none" w:sz="0" w:space="0" w:color="auto"/>
        <w:bottom w:val="none" w:sz="0" w:space="0" w:color="auto"/>
        <w:right w:val="none" w:sz="0" w:space="0" w:color="auto"/>
      </w:divBdr>
    </w:div>
    <w:div w:id="471293574">
      <w:bodyDiv w:val="1"/>
      <w:marLeft w:val="0"/>
      <w:marRight w:val="0"/>
      <w:marTop w:val="0"/>
      <w:marBottom w:val="0"/>
      <w:divBdr>
        <w:top w:val="none" w:sz="0" w:space="0" w:color="auto"/>
        <w:left w:val="none" w:sz="0" w:space="0" w:color="auto"/>
        <w:bottom w:val="none" w:sz="0" w:space="0" w:color="auto"/>
        <w:right w:val="none" w:sz="0" w:space="0" w:color="auto"/>
      </w:divBdr>
    </w:div>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550919559">
      <w:bodyDiv w:val="1"/>
      <w:marLeft w:val="0"/>
      <w:marRight w:val="0"/>
      <w:marTop w:val="0"/>
      <w:marBottom w:val="0"/>
      <w:divBdr>
        <w:top w:val="none" w:sz="0" w:space="0" w:color="auto"/>
        <w:left w:val="none" w:sz="0" w:space="0" w:color="auto"/>
        <w:bottom w:val="none" w:sz="0" w:space="0" w:color="auto"/>
        <w:right w:val="none" w:sz="0" w:space="0" w:color="auto"/>
      </w:divBdr>
    </w:div>
    <w:div w:id="650905954">
      <w:bodyDiv w:val="1"/>
      <w:marLeft w:val="0"/>
      <w:marRight w:val="0"/>
      <w:marTop w:val="0"/>
      <w:marBottom w:val="0"/>
      <w:divBdr>
        <w:top w:val="none" w:sz="0" w:space="0" w:color="auto"/>
        <w:left w:val="none" w:sz="0" w:space="0" w:color="auto"/>
        <w:bottom w:val="none" w:sz="0" w:space="0" w:color="auto"/>
        <w:right w:val="none" w:sz="0" w:space="0" w:color="auto"/>
      </w:divBdr>
    </w:div>
    <w:div w:id="678776745">
      <w:bodyDiv w:val="1"/>
      <w:marLeft w:val="0"/>
      <w:marRight w:val="0"/>
      <w:marTop w:val="0"/>
      <w:marBottom w:val="0"/>
      <w:divBdr>
        <w:top w:val="none" w:sz="0" w:space="0" w:color="auto"/>
        <w:left w:val="none" w:sz="0" w:space="0" w:color="auto"/>
        <w:bottom w:val="none" w:sz="0" w:space="0" w:color="auto"/>
        <w:right w:val="none" w:sz="0" w:space="0" w:color="auto"/>
      </w:divBdr>
    </w:div>
    <w:div w:id="736978153">
      <w:bodyDiv w:val="1"/>
      <w:marLeft w:val="0"/>
      <w:marRight w:val="0"/>
      <w:marTop w:val="0"/>
      <w:marBottom w:val="0"/>
      <w:divBdr>
        <w:top w:val="none" w:sz="0" w:space="0" w:color="auto"/>
        <w:left w:val="none" w:sz="0" w:space="0" w:color="auto"/>
        <w:bottom w:val="none" w:sz="0" w:space="0" w:color="auto"/>
        <w:right w:val="none" w:sz="0" w:space="0" w:color="auto"/>
      </w:divBdr>
    </w:div>
    <w:div w:id="823158798">
      <w:bodyDiv w:val="1"/>
      <w:marLeft w:val="0"/>
      <w:marRight w:val="0"/>
      <w:marTop w:val="0"/>
      <w:marBottom w:val="0"/>
      <w:divBdr>
        <w:top w:val="none" w:sz="0" w:space="0" w:color="auto"/>
        <w:left w:val="none" w:sz="0" w:space="0" w:color="auto"/>
        <w:bottom w:val="none" w:sz="0" w:space="0" w:color="auto"/>
        <w:right w:val="none" w:sz="0" w:space="0" w:color="auto"/>
      </w:divBdr>
      <w:divsChild>
        <w:div w:id="1537278697">
          <w:marLeft w:val="547"/>
          <w:marRight w:val="0"/>
          <w:marTop w:val="0"/>
          <w:marBottom w:val="0"/>
          <w:divBdr>
            <w:top w:val="none" w:sz="0" w:space="0" w:color="auto"/>
            <w:left w:val="none" w:sz="0" w:space="0" w:color="auto"/>
            <w:bottom w:val="none" w:sz="0" w:space="0" w:color="auto"/>
            <w:right w:val="none" w:sz="0" w:space="0" w:color="auto"/>
          </w:divBdr>
        </w:div>
      </w:divsChild>
    </w:div>
    <w:div w:id="834303676">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506894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957106971">
      <w:bodyDiv w:val="1"/>
      <w:marLeft w:val="0"/>
      <w:marRight w:val="0"/>
      <w:marTop w:val="0"/>
      <w:marBottom w:val="0"/>
      <w:divBdr>
        <w:top w:val="none" w:sz="0" w:space="0" w:color="auto"/>
        <w:left w:val="none" w:sz="0" w:space="0" w:color="auto"/>
        <w:bottom w:val="none" w:sz="0" w:space="0" w:color="auto"/>
        <w:right w:val="none" w:sz="0" w:space="0" w:color="auto"/>
      </w:divBdr>
    </w:div>
    <w:div w:id="987899567">
      <w:bodyDiv w:val="1"/>
      <w:marLeft w:val="0"/>
      <w:marRight w:val="0"/>
      <w:marTop w:val="0"/>
      <w:marBottom w:val="0"/>
      <w:divBdr>
        <w:top w:val="none" w:sz="0" w:space="0" w:color="auto"/>
        <w:left w:val="none" w:sz="0" w:space="0" w:color="auto"/>
        <w:bottom w:val="none" w:sz="0" w:space="0" w:color="auto"/>
        <w:right w:val="none" w:sz="0" w:space="0" w:color="auto"/>
      </w:divBdr>
    </w:div>
    <w:div w:id="1016419973">
      <w:bodyDiv w:val="1"/>
      <w:marLeft w:val="0"/>
      <w:marRight w:val="0"/>
      <w:marTop w:val="0"/>
      <w:marBottom w:val="0"/>
      <w:divBdr>
        <w:top w:val="none" w:sz="0" w:space="0" w:color="auto"/>
        <w:left w:val="none" w:sz="0" w:space="0" w:color="auto"/>
        <w:bottom w:val="none" w:sz="0" w:space="0" w:color="auto"/>
        <w:right w:val="none" w:sz="0" w:space="0" w:color="auto"/>
      </w:divBdr>
    </w:div>
    <w:div w:id="1113401951">
      <w:bodyDiv w:val="1"/>
      <w:marLeft w:val="0"/>
      <w:marRight w:val="0"/>
      <w:marTop w:val="0"/>
      <w:marBottom w:val="0"/>
      <w:divBdr>
        <w:top w:val="none" w:sz="0" w:space="0" w:color="auto"/>
        <w:left w:val="none" w:sz="0" w:space="0" w:color="auto"/>
        <w:bottom w:val="none" w:sz="0" w:space="0" w:color="auto"/>
        <w:right w:val="none" w:sz="0" w:space="0" w:color="auto"/>
      </w:divBdr>
    </w:div>
    <w:div w:id="1206017748">
      <w:bodyDiv w:val="1"/>
      <w:marLeft w:val="0"/>
      <w:marRight w:val="0"/>
      <w:marTop w:val="0"/>
      <w:marBottom w:val="0"/>
      <w:divBdr>
        <w:top w:val="none" w:sz="0" w:space="0" w:color="auto"/>
        <w:left w:val="none" w:sz="0" w:space="0" w:color="auto"/>
        <w:bottom w:val="none" w:sz="0" w:space="0" w:color="auto"/>
        <w:right w:val="none" w:sz="0" w:space="0" w:color="auto"/>
      </w:divBdr>
    </w:div>
    <w:div w:id="1291471866">
      <w:bodyDiv w:val="1"/>
      <w:marLeft w:val="0"/>
      <w:marRight w:val="0"/>
      <w:marTop w:val="0"/>
      <w:marBottom w:val="0"/>
      <w:divBdr>
        <w:top w:val="none" w:sz="0" w:space="0" w:color="auto"/>
        <w:left w:val="none" w:sz="0" w:space="0" w:color="auto"/>
        <w:bottom w:val="none" w:sz="0" w:space="0" w:color="auto"/>
        <w:right w:val="none" w:sz="0" w:space="0" w:color="auto"/>
      </w:divBdr>
    </w:div>
    <w:div w:id="1340892527">
      <w:bodyDiv w:val="1"/>
      <w:marLeft w:val="0"/>
      <w:marRight w:val="0"/>
      <w:marTop w:val="0"/>
      <w:marBottom w:val="0"/>
      <w:divBdr>
        <w:top w:val="none" w:sz="0" w:space="0" w:color="auto"/>
        <w:left w:val="none" w:sz="0" w:space="0" w:color="auto"/>
        <w:bottom w:val="none" w:sz="0" w:space="0" w:color="auto"/>
        <w:right w:val="none" w:sz="0" w:space="0" w:color="auto"/>
      </w:divBdr>
    </w:div>
    <w:div w:id="1359700280">
      <w:bodyDiv w:val="1"/>
      <w:marLeft w:val="0"/>
      <w:marRight w:val="0"/>
      <w:marTop w:val="0"/>
      <w:marBottom w:val="0"/>
      <w:divBdr>
        <w:top w:val="none" w:sz="0" w:space="0" w:color="auto"/>
        <w:left w:val="none" w:sz="0" w:space="0" w:color="auto"/>
        <w:bottom w:val="none" w:sz="0" w:space="0" w:color="auto"/>
        <w:right w:val="none" w:sz="0" w:space="0" w:color="auto"/>
      </w:divBdr>
    </w:div>
    <w:div w:id="1518933424">
      <w:bodyDiv w:val="1"/>
      <w:marLeft w:val="0"/>
      <w:marRight w:val="0"/>
      <w:marTop w:val="0"/>
      <w:marBottom w:val="0"/>
      <w:divBdr>
        <w:top w:val="none" w:sz="0" w:space="0" w:color="auto"/>
        <w:left w:val="none" w:sz="0" w:space="0" w:color="auto"/>
        <w:bottom w:val="none" w:sz="0" w:space="0" w:color="auto"/>
        <w:right w:val="none" w:sz="0" w:space="0" w:color="auto"/>
      </w:divBdr>
    </w:div>
    <w:div w:id="1541091940">
      <w:bodyDiv w:val="1"/>
      <w:marLeft w:val="0"/>
      <w:marRight w:val="0"/>
      <w:marTop w:val="0"/>
      <w:marBottom w:val="0"/>
      <w:divBdr>
        <w:top w:val="none" w:sz="0" w:space="0" w:color="auto"/>
        <w:left w:val="none" w:sz="0" w:space="0" w:color="auto"/>
        <w:bottom w:val="none" w:sz="0" w:space="0" w:color="auto"/>
        <w:right w:val="none" w:sz="0" w:space="0" w:color="auto"/>
      </w:divBdr>
    </w:div>
    <w:div w:id="1574586477">
      <w:bodyDiv w:val="1"/>
      <w:marLeft w:val="0"/>
      <w:marRight w:val="0"/>
      <w:marTop w:val="0"/>
      <w:marBottom w:val="0"/>
      <w:divBdr>
        <w:top w:val="none" w:sz="0" w:space="0" w:color="auto"/>
        <w:left w:val="none" w:sz="0" w:space="0" w:color="auto"/>
        <w:bottom w:val="none" w:sz="0" w:space="0" w:color="auto"/>
        <w:right w:val="none" w:sz="0" w:space="0" w:color="auto"/>
      </w:divBdr>
    </w:div>
    <w:div w:id="1610969286">
      <w:bodyDiv w:val="1"/>
      <w:marLeft w:val="0"/>
      <w:marRight w:val="0"/>
      <w:marTop w:val="0"/>
      <w:marBottom w:val="0"/>
      <w:divBdr>
        <w:top w:val="none" w:sz="0" w:space="0" w:color="auto"/>
        <w:left w:val="none" w:sz="0" w:space="0" w:color="auto"/>
        <w:bottom w:val="none" w:sz="0" w:space="0" w:color="auto"/>
        <w:right w:val="none" w:sz="0" w:space="0" w:color="auto"/>
      </w:divBdr>
    </w:div>
    <w:div w:id="1731147264">
      <w:bodyDiv w:val="1"/>
      <w:marLeft w:val="0"/>
      <w:marRight w:val="0"/>
      <w:marTop w:val="0"/>
      <w:marBottom w:val="0"/>
      <w:divBdr>
        <w:top w:val="none" w:sz="0" w:space="0" w:color="auto"/>
        <w:left w:val="none" w:sz="0" w:space="0" w:color="auto"/>
        <w:bottom w:val="none" w:sz="0" w:space="0" w:color="auto"/>
        <w:right w:val="none" w:sz="0" w:space="0" w:color="auto"/>
      </w:divBdr>
    </w:div>
    <w:div w:id="1826971866">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alaid.vic.gov.au/our-new-disability-action-pla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legalaid.vic.gov.au/strategy-26"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egalaid.vic.gov.au/our-diversity-and-inclusion-framewor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alaid.vic.gov.au/building-successes-help-cour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egalaid.vic.gov.au/equitable-briefing-strategy"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alaid.vic.gov.au/gender-equality-action-plan"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VLACustomisations\Templates\Fact%20Sheets\VLA%20Generic%20(Fact%20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BBC6DB36EDF94C89C7B7A43F71F587" ma:contentTypeVersion="16" ma:contentTypeDescription="Create a new document." ma:contentTypeScope="" ma:versionID="d4036ebd60c301f18eb857620fef34c1">
  <xsd:schema xmlns:xsd="http://www.w3.org/2001/XMLSchema" xmlns:xs="http://www.w3.org/2001/XMLSchema" xmlns:p="http://schemas.microsoft.com/office/2006/metadata/properties" xmlns:ns2="68c7d542-4e7f-4a13-a678-0dc97ca94df5" xmlns:ns3="e90065c7-7f7f-4df0-a469-5749d80eada3" targetNamespace="http://schemas.microsoft.com/office/2006/metadata/properties" ma:root="true" ma:fieldsID="a66a6518db4b1bdad0c8b2fa307e5fda" ns2:_="" ns3:_="">
    <xsd:import namespace="68c7d542-4e7f-4a13-a678-0dc97ca94df5"/>
    <xsd:import namespace="e90065c7-7f7f-4df0-a469-5749d80ead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7d542-4e7f-4a13-a678-0dc97ca94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7179f48-4463-4412-9cd9-4172c67e99e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0065c7-7f7f-4df0-a469-5749d80ead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41ad703-2d9b-4b4a-901b-4e1e25f667a0}" ma:internalName="TaxCatchAll" ma:showField="CatchAllData" ma:web="e90065c7-7f7f-4df0-a469-5749d80ead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e90065c7-7f7f-4df0-a469-5749d80eada3">
      <UserInfo>
        <DisplayName>Chris Sheard</DisplayName>
        <AccountId>7</AccountId>
        <AccountType/>
      </UserInfo>
      <UserInfo>
        <DisplayName>Cameron Hume</DisplayName>
        <AccountId>21</AccountId>
        <AccountType/>
      </UserInfo>
      <UserInfo>
        <DisplayName>Jeremy Huntley</DisplayName>
        <AccountId>17</AccountId>
        <AccountType/>
      </UserInfo>
      <UserInfo>
        <DisplayName>Simon Ho</DisplayName>
        <AccountId>117</AccountId>
        <AccountType/>
      </UserInfo>
      <UserInfo>
        <DisplayName>Sean Kierce</DisplayName>
        <AccountId>25</AccountId>
        <AccountType/>
      </UserInfo>
      <UserInfo>
        <DisplayName>Matthew Dale</DisplayName>
        <AccountId>16</AccountId>
        <AccountType/>
      </UserInfo>
      <UserInfo>
        <DisplayName>Alice Cashen</DisplayName>
        <AccountId>51</AccountId>
        <AccountType/>
      </UserInfo>
      <UserInfo>
        <DisplayName>Dio Cipriano</DisplayName>
        <AccountId>315</AccountId>
        <AccountType/>
      </UserInfo>
      <UserInfo>
        <DisplayName>Sally Johnston</DisplayName>
        <AccountId>29</AccountId>
        <AccountType/>
      </UserInfo>
      <UserInfo>
        <DisplayName>Megan Panayi</DisplayName>
        <AccountId>343</AccountId>
        <AccountType/>
      </UserInfo>
      <UserInfo>
        <DisplayName>Vanessa Hirst</DisplayName>
        <AccountId>14</AccountId>
        <AccountType/>
      </UserInfo>
      <UserInfo>
        <DisplayName>Chrystal Joy</DisplayName>
        <AccountId>389</AccountId>
        <AccountType/>
      </UserInfo>
      <UserInfo>
        <DisplayName>Martha Arkalis</DisplayName>
        <AccountId>157</AccountId>
        <AccountType/>
      </UserInfo>
      <UserInfo>
        <DisplayName>Liz Borgia</DisplayName>
        <AccountId>175</AccountId>
        <AccountType/>
      </UserInfo>
    </SharedWithUsers>
    <TaxCatchAll xmlns="e90065c7-7f7f-4df0-a469-5749d80eada3" xsi:nil="true"/>
    <lcf76f155ced4ddcb4097134ff3c332f xmlns="68c7d542-4e7f-4a13-a678-0dc97ca94df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5BD34-4C78-4625-B136-09FD1AD3B37F}">
  <ds:schemaRefs>
    <ds:schemaRef ds:uri="http://schemas.microsoft.com/sharepoint/v3/contenttype/forms"/>
  </ds:schemaRefs>
</ds:datastoreItem>
</file>

<file path=customXml/itemProps2.xml><?xml version="1.0" encoding="utf-8"?>
<ds:datastoreItem xmlns:ds="http://schemas.openxmlformats.org/officeDocument/2006/customXml" ds:itemID="{49117267-45FF-4094-8358-9B48D96CA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7d542-4e7f-4a13-a678-0dc97ca94df5"/>
    <ds:schemaRef ds:uri="e90065c7-7f7f-4df0-a469-5749d80ea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1A29B2-146B-4362-9462-0EA11FBBE540}">
  <ds:schemaRefs>
    <ds:schemaRef ds:uri="http://schemas.microsoft.com/office/2006/documentManagement/types"/>
    <ds:schemaRef ds:uri="http://purl.org/dc/elements/1.1/"/>
    <ds:schemaRef ds:uri="68c7d542-4e7f-4a13-a678-0dc97ca94df5"/>
    <ds:schemaRef ds:uri="e90065c7-7f7f-4df0-a469-5749d80eada3"/>
    <ds:schemaRef ds:uri="http://schemas.openxmlformats.org/package/2006/metadata/core-properties"/>
    <ds:schemaRef ds:uri="http://purl.org/dc/dcmitype/"/>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9D2917E8-0BD7-45B1-987B-6179B3619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VLA Generic (Fact Sheet).dotx</Template>
  <TotalTime>9047</TotalTime>
  <Pages>6</Pages>
  <Words>1920</Words>
  <Characters>10947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2020–21 quarter four report</vt:lpstr>
    </vt:vector>
  </TitlesOfParts>
  <Company>Victoria Legal Aid</Company>
  <LinksUpToDate>false</LinksUpToDate>
  <CharactersWithSpaces>12842</CharactersWithSpaces>
  <SharedDoc>false</SharedDoc>
  <HLinks>
    <vt:vector size="42" baseType="variant">
      <vt:variant>
        <vt:i4>1507342</vt:i4>
      </vt:variant>
      <vt:variant>
        <vt:i4>18</vt:i4>
      </vt:variant>
      <vt:variant>
        <vt:i4>0</vt:i4>
      </vt:variant>
      <vt:variant>
        <vt:i4>5</vt:i4>
      </vt:variant>
      <vt:variant>
        <vt:lpwstr>https://www.legalaid.vic.gov.au/our-diversity-and-inclusion-framework</vt:lpwstr>
      </vt:variant>
      <vt:variant>
        <vt:lpwstr/>
      </vt:variant>
      <vt:variant>
        <vt:i4>3145774</vt:i4>
      </vt:variant>
      <vt:variant>
        <vt:i4>15</vt:i4>
      </vt:variant>
      <vt:variant>
        <vt:i4>0</vt:i4>
      </vt:variant>
      <vt:variant>
        <vt:i4>5</vt:i4>
      </vt:variant>
      <vt:variant>
        <vt:lpwstr>https://www.legalaid.vic.gov.au/equitable-briefing-strategy</vt:lpwstr>
      </vt:variant>
      <vt:variant>
        <vt:lpwstr/>
      </vt:variant>
      <vt:variant>
        <vt:i4>2097257</vt:i4>
      </vt:variant>
      <vt:variant>
        <vt:i4>12</vt:i4>
      </vt:variant>
      <vt:variant>
        <vt:i4>0</vt:i4>
      </vt:variant>
      <vt:variant>
        <vt:i4>5</vt:i4>
      </vt:variant>
      <vt:variant>
        <vt:lpwstr>https://www.legalaid.vic.gov.au/gender-equality-action-plan</vt:lpwstr>
      </vt:variant>
      <vt:variant>
        <vt:lpwstr/>
      </vt:variant>
      <vt:variant>
        <vt:i4>3604514</vt:i4>
      </vt:variant>
      <vt:variant>
        <vt:i4>9</vt:i4>
      </vt:variant>
      <vt:variant>
        <vt:i4>0</vt:i4>
      </vt:variant>
      <vt:variant>
        <vt:i4>5</vt:i4>
      </vt:variant>
      <vt:variant>
        <vt:lpwstr>https://www.legalaid.vic.gov.au/our-new-disability-action-plan</vt:lpwstr>
      </vt:variant>
      <vt:variant>
        <vt:lpwstr/>
      </vt:variant>
      <vt:variant>
        <vt:i4>3670060</vt:i4>
      </vt:variant>
      <vt:variant>
        <vt:i4>6</vt:i4>
      </vt:variant>
      <vt:variant>
        <vt:i4>0</vt:i4>
      </vt:variant>
      <vt:variant>
        <vt:i4>5</vt:i4>
      </vt:variant>
      <vt:variant>
        <vt:lpwstr>https://www.legalaid.vic.gov.au/strategy-26</vt:lpwstr>
      </vt:variant>
      <vt:variant>
        <vt:lpwstr/>
      </vt:variant>
      <vt:variant>
        <vt:i4>5570577</vt:i4>
      </vt:variant>
      <vt:variant>
        <vt:i4>3</vt:i4>
      </vt:variant>
      <vt:variant>
        <vt:i4>0</vt:i4>
      </vt:variant>
      <vt:variant>
        <vt:i4>5</vt:i4>
      </vt:variant>
      <vt:variant>
        <vt:lpwstr>https://www.legalaid.vic.gov.au/building-successes-help-court</vt:lpwstr>
      </vt:variant>
      <vt:variant>
        <vt:lpwstr/>
      </vt:variant>
      <vt:variant>
        <vt:i4>196627</vt:i4>
      </vt:variant>
      <vt:variant>
        <vt:i4>0</vt:i4>
      </vt:variant>
      <vt:variant>
        <vt:i4>0</vt:i4>
      </vt:variant>
      <vt:variant>
        <vt:i4>5</vt:i4>
      </vt:variant>
      <vt:variant>
        <vt:lpwstr>https://www.legalaid.vic.gov.au/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quarter four report</dc:title>
  <dc:subject/>
  <dc:creator>Victoria Legal Aid</dc:creator>
  <cp:keywords/>
  <dc:description/>
  <cp:lastPrinted>2020-02-05T13:56:00Z</cp:lastPrinted>
  <dcterms:created xsi:type="dcterms:W3CDTF">2022-06-28T00:32:00Z</dcterms:created>
  <dcterms:modified xsi:type="dcterms:W3CDTF">2023-03-30T03:43:00Z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0x01010034BBC6DB36EDF94C89C7B7A43F71F587</vt:lpwstr>
  </property>
  <property fmtid="{D5CDD505-2E9C-101B-9397-08002B2CF9AE}" pid="3" name="MSIP_Label_9150236c-7dbd-4fa5-957d-8e3e9c46dc34_Enabled">
    <vt:lpwstr>true</vt:lpwstr>
  </property>
  <property fmtid="{D5CDD505-2E9C-101B-9397-08002B2CF9AE}" pid="4" name="MSIP_Label_9150236c-7dbd-4fa5-957d-8e3e9c46dc34_SetDate">
    <vt:lpwstr>2022-06-28T00:32:03Z</vt:lpwstr>
  </property>
  <property fmtid="{D5CDD505-2E9C-101B-9397-08002B2CF9AE}" pid="5" name="MSIP_Label_9150236c-7dbd-4fa5-957d-8e3e9c46dc34_Method">
    <vt:lpwstr>Privileged</vt:lpwstr>
  </property>
  <property fmtid="{D5CDD505-2E9C-101B-9397-08002B2CF9AE}" pid="6" name="MSIP_Label_9150236c-7dbd-4fa5-957d-8e3e9c46dc34_Name">
    <vt:lpwstr>Official</vt:lpwstr>
  </property>
  <property fmtid="{D5CDD505-2E9C-101B-9397-08002B2CF9AE}" pid="7" name="MSIP_Label_9150236c-7dbd-4fa5-957d-8e3e9c46dc34_SiteId">
    <vt:lpwstr>f6bec780-cd13-49ce-84c7-5d7d94821879</vt:lpwstr>
  </property>
  <property fmtid="{D5CDD505-2E9C-101B-9397-08002B2CF9AE}" pid="8" name="MSIP_Label_9150236c-7dbd-4fa5-957d-8e3e9c46dc34_ActionId">
    <vt:lpwstr>71ab1c3b-4b11-4c3e-8c0d-36f327507740</vt:lpwstr>
  </property>
  <property fmtid="{D5CDD505-2E9C-101B-9397-08002B2CF9AE}" pid="9" name="MSIP_Label_9150236c-7dbd-4fa5-957d-8e3e9c46dc34_ContentBits">
    <vt:lpwstr>1</vt:lpwstr>
  </property>
  <property fmtid="{D5CDD505-2E9C-101B-9397-08002B2CF9AE}" pid="10" name="MediaServiceImageTags">
    <vt:lpwstr/>
  </property>
</Properties>
</file>