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6626" w14:textId="6DE8C479" w:rsidR="00E50B26" w:rsidRDefault="00627BED" w:rsidP="00E50B26">
      <w:pPr>
        <w:pStyle w:val="Heading1"/>
        <w:rPr>
          <w:sz w:val="24"/>
          <w:szCs w:val="24"/>
        </w:rPr>
      </w:pPr>
      <w:r>
        <w:t xml:space="preserve">Victoria Legal Aid </w:t>
      </w:r>
      <w:r w:rsidR="004175B7">
        <w:t>20</w:t>
      </w:r>
      <w:r w:rsidR="00214F4D">
        <w:t>2</w:t>
      </w:r>
      <w:r w:rsidR="00261BEF">
        <w:t>2</w:t>
      </w:r>
      <w:r w:rsidR="004175B7">
        <w:t>–2</w:t>
      </w:r>
      <w:r w:rsidR="00261BEF">
        <w:t>3</w:t>
      </w:r>
      <w:r w:rsidR="004175B7">
        <w:t xml:space="preserve"> </w:t>
      </w:r>
      <w:r w:rsidR="79DAA64C">
        <w:t>Q</w:t>
      </w:r>
      <w:r w:rsidR="004175B7">
        <w:t xml:space="preserve">uarter </w:t>
      </w:r>
      <w:r w:rsidR="003462CF">
        <w:t>Two</w:t>
      </w:r>
      <w:r w:rsidR="00214F4D">
        <w:t xml:space="preserve"> </w:t>
      </w:r>
      <w:r w:rsidR="2FDC21A0">
        <w:t>R</w:t>
      </w:r>
      <w:r w:rsidR="004175B7">
        <w:t>eport</w:t>
      </w:r>
      <w:r w:rsidR="00544E69">
        <w:t xml:space="preserve"> </w:t>
      </w:r>
      <w:r>
        <w:br/>
      </w:r>
      <w:r w:rsidR="003462CF">
        <w:rPr>
          <w:sz w:val="24"/>
          <w:szCs w:val="24"/>
        </w:rPr>
        <w:t>October</w:t>
      </w:r>
      <w:r w:rsidR="00544E69" w:rsidRPr="6B8ABD5E">
        <w:rPr>
          <w:sz w:val="24"/>
          <w:szCs w:val="24"/>
        </w:rPr>
        <w:t xml:space="preserve"> – </w:t>
      </w:r>
      <w:r w:rsidR="003462CF">
        <w:rPr>
          <w:sz w:val="24"/>
          <w:szCs w:val="24"/>
        </w:rPr>
        <w:t>Decemb</w:t>
      </w:r>
      <w:r w:rsidR="00261BEF">
        <w:rPr>
          <w:sz w:val="24"/>
          <w:szCs w:val="24"/>
        </w:rPr>
        <w:t xml:space="preserve">er </w:t>
      </w:r>
      <w:r w:rsidR="00544E69" w:rsidRPr="6B8ABD5E">
        <w:rPr>
          <w:sz w:val="24"/>
          <w:szCs w:val="24"/>
        </w:rPr>
        <w:t>20</w:t>
      </w:r>
      <w:r w:rsidR="00F03192">
        <w:rPr>
          <w:sz w:val="24"/>
          <w:szCs w:val="24"/>
        </w:rPr>
        <w:t>2</w:t>
      </w:r>
      <w:r w:rsidR="00261BEF">
        <w:rPr>
          <w:sz w:val="24"/>
          <w:szCs w:val="24"/>
        </w:rPr>
        <w:t>2</w:t>
      </w:r>
    </w:p>
    <w:p w14:paraId="25FB6B02" w14:textId="4A51BDB2" w:rsidR="00E84672" w:rsidRDefault="00BF1E92" w:rsidP="00E84672">
      <w:pPr>
        <w:pStyle w:val="Heading2"/>
      </w:pPr>
      <w:r>
        <w:t>Message from the</w:t>
      </w:r>
      <w:r w:rsidR="0037586E">
        <w:t xml:space="preserve"> Acting </w:t>
      </w:r>
      <w:r w:rsidRPr="001F0CF5">
        <w:t>CEO</w:t>
      </w:r>
    </w:p>
    <w:p w14:paraId="51471B86" w14:textId="73BA3C23" w:rsidR="00E1099E" w:rsidRDefault="00202790" w:rsidP="00E1099E">
      <w:pPr>
        <w:spacing w:after="0"/>
      </w:pPr>
      <w:r w:rsidRPr="007B4910">
        <w:rPr>
          <w:rFonts w:cs="Arial"/>
          <w:szCs w:val="22"/>
          <w:lang w:eastAsia="en-AU"/>
        </w:rPr>
        <w:t xml:space="preserve">The number of services we </w:t>
      </w:r>
      <w:r w:rsidR="004A5C21" w:rsidRPr="007B4910">
        <w:rPr>
          <w:rFonts w:cs="Arial"/>
          <w:szCs w:val="22"/>
          <w:lang w:eastAsia="en-AU"/>
        </w:rPr>
        <w:t>delivered in quarter two 2022</w:t>
      </w:r>
      <w:r w:rsidR="004A5C21" w:rsidRPr="007B4910">
        <w:rPr>
          <w:rFonts w:cs="Arial"/>
          <w:color w:val="000000" w:themeColor="text1"/>
          <w:szCs w:val="22"/>
          <w:lang w:eastAsia="en-AU"/>
        </w:rPr>
        <w:t>–23 reflect</w:t>
      </w:r>
      <w:r w:rsidR="001A2CC0">
        <w:rPr>
          <w:rFonts w:cs="Arial"/>
          <w:color w:val="000000" w:themeColor="text1"/>
          <w:szCs w:val="22"/>
          <w:lang w:eastAsia="en-AU"/>
        </w:rPr>
        <w:t>s</w:t>
      </w:r>
      <w:r w:rsidR="004A5C21" w:rsidRPr="007B4910">
        <w:rPr>
          <w:rFonts w:cs="Arial"/>
          <w:color w:val="000000" w:themeColor="text1"/>
          <w:szCs w:val="22"/>
          <w:lang w:eastAsia="en-AU"/>
        </w:rPr>
        <w:t xml:space="preserve"> a similar pattern to the previous quarter, where we </w:t>
      </w:r>
      <w:r w:rsidR="001A2CC0">
        <w:rPr>
          <w:rFonts w:cs="Arial"/>
          <w:color w:val="000000" w:themeColor="text1"/>
          <w:szCs w:val="22"/>
          <w:lang w:eastAsia="en-AU"/>
        </w:rPr>
        <w:t>saw</w:t>
      </w:r>
      <w:r w:rsidR="004A5C21" w:rsidRPr="007B4910">
        <w:rPr>
          <w:rFonts w:cs="Arial"/>
          <w:color w:val="000000" w:themeColor="text1"/>
          <w:szCs w:val="22"/>
          <w:lang w:eastAsia="en-AU"/>
        </w:rPr>
        <w:t xml:space="preserve"> a general increase in services compared to </w:t>
      </w:r>
      <w:r w:rsidR="00920275" w:rsidRPr="007B4910">
        <w:rPr>
          <w:rFonts w:cs="Arial"/>
          <w:color w:val="000000" w:themeColor="text1"/>
          <w:szCs w:val="22"/>
          <w:lang w:eastAsia="en-AU"/>
        </w:rPr>
        <w:t>the year before. As courts continue to increase the number of matters heard</w:t>
      </w:r>
      <w:r w:rsidR="00AA25DB">
        <w:rPr>
          <w:rFonts w:cs="Arial"/>
          <w:color w:val="000000" w:themeColor="text1"/>
          <w:szCs w:val="22"/>
          <w:lang w:eastAsia="en-AU"/>
        </w:rPr>
        <w:t>—</w:t>
      </w:r>
      <w:r w:rsidR="00920275" w:rsidRPr="007B4910">
        <w:rPr>
          <w:rFonts w:cs="Arial"/>
          <w:color w:val="000000" w:themeColor="text1"/>
          <w:szCs w:val="22"/>
          <w:lang w:eastAsia="en-AU"/>
        </w:rPr>
        <w:t xml:space="preserve">both the backlog of existing cases and new </w:t>
      </w:r>
      <w:r w:rsidR="00927C43" w:rsidRPr="007B4910">
        <w:rPr>
          <w:rFonts w:cs="Arial"/>
          <w:color w:val="000000" w:themeColor="text1"/>
          <w:szCs w:val="22"/>
          <w:lang w:eastAsia="en-AU"/>
        </w:rPr>
        <w:t>matters</w:t>
      </w:r>
      <w:r w:rsidR="00AA25DB">
        <w:rPr>
          <w:rFonts w:cs="Arial"/>
          <w:color w:val="000000" w:themeColor="text1"/>
          <w:szCs w:val="22"/>
          <w:lang w:eastAsia="en-AU"/>
        </w:rPr>
        <w:t>—</w:t>
      </w:r>
      <w:r w:rsidR="00927C43" w:rsidRPr="007B4910">
        <w:rPr>
          <w:rFonts w:cs="Arial"/>
          <w:color w:val="000000" w:themeColor="text1"/>
          <w:szCs w:val="22"/>
          <w:lang w:eastAsia="en-AU"/>
        </w:rPr>
        <w:t>we are providing an increasing number of services</w:t>
      </w:r>
      <w:r w:rsidR="00B41C31">
        <w:rPr>
          <w:rFonts w:cs="Arial"/>
          <w:color w:val="000000" w:themeColor="text1"/>
          <w:szCs w:val="22"/>
          <w:lang w:eastAsia="en-AU"/>
        </w:rPr>
        <w:t>.</w:t>
      </w:r>
      <w:r w:rsidR="00927C43" w:rsidRPr="007B4910">
        <w:rPr>
          <w:rFonts w:cs="Arial"/>
          <w:color w:val="000000" w:themeColor="text1"/>
          <w:szCs w:val="22"/>
          <w:lang w:eastAsia="en-AU"/>
        </w:rPr>
        <w:t xml:space="preserve"> </w:t>
      </w:r>
      <w:r w:rsidR="000716CD">
        <w:rPr>
          <w:rFonts w:cs="Arial"/>
          <w:color w:val="000000" w:themeColor="text1"/>
          <w:szCs w:val="22"/>
          <w:lang w:eastAsia="en-AU"/>
        </w:rPr>
        <w:t xml:space="preserve">Our services, however, </w:t>
      </w:r>
      <w:r w:rsidR="00327611">
        <w:rPr>
          <w:rFonts w:cs="Arial"/>
          <w:color w:val="000000" w:themeColor="text1"/>
          <w:szCs w:val="22"/>
          <w:lang w:eastAsia="en-AU"/>
        </w:rPr>
        <w:t>remain below the pre-</w:t>
      </w:r>
      <w:r w:rsidR="00B41C31">
        <w:rPr>
          <w:rFonts w:cs="Arial"/>
          <w:color w:val="000000" w:themeColor="text1"/>
          <w:szCs w:val="22"/>
          <w:lang w:eastAsia="en-AU"/>
        </w:rPr>
        <w:t>COVID</w:t>
      </w:r>
      <w:r w:rsidR="00327611">
        <w:rPr>
          <w:rFonts w:cs="Arial"/>
          <w:color w:val="000000" w:themeColor="text1"/>
          <w:szCs w:val="22"/>
          <w:lang w:eastAsia="en-AU"/>
        </w:rPr>
        <w:t xml:space="preserve"> levels </w:t>
      </w:r>
      <w:r w:rsidR="00B41C31">
        <w:rPr>
          <w:rFonts w:cs="Arial"/>
          <w:color w:val="000000" w:themeColor="text1"/>
          <w:szCs w:val="22"/>
          <w:lang w:eastAsia="en-AU"/>
        </w:rPr>
        <w:t>that</w:t>
      </w:r>
      <w:r w:rsidR="00327611">
        <w:rPr>
          <w:rFonts w:cs="Arial"/>
          <w:color w:val="000000" w:themeColor="text1"/>
          <w:szCs w:val="22"/>
          <w:lang w:eastAsia="en-AU"/>
        </w:rPr>
        <w:t xml:space="preserve"> informed our</w:t>
      </w:r>
      <w:r w:rsidR="00B0123A">
        <w:rPr>
          <w:rFonts w:cs="Arial"/>
          <w:color w:val="000000" w:themeColor="text1"/>
          <w:szCs w:val="22"/>
          <w:lang w:eastAsia="en-AU"/>
        </w:rPr>
        <w:t xml:space="preserve"> forecast</w:t>
      </w:r>
      <w:r w:rsidR="00B41C31">
        <w:rPr>
          <w:rFonts w:cs="Arial"/>
          <w:color w:val="000000" w:themeColor="text1"/>
          <w:szCs w:val="22"/>
          <w:lang w:eastAsia="en-AU"/>
        </w:rPr>
        <w:t>s</w:t>
      </w:r>
      <w:r w:rsidR="00327611">
        <w:rPr>
          <w:rFonts w:cs="Arial"/>
          <w:color w:val="000000" w:themeColor="text1"/>
          <w:szCs w:val="22"/>
          <w:lang w:eastAsia="en-AU"/>
        </w:rPr>
        <w:t xml:space="preserve">. </w:t>
      </w:r>
      <w:r w:rsidR="00803184">
        <w:rPr>
          <w:rFonts w:cs="Arial"/>
          <w:color w:val="000000" w:themeColor="text1"/>
          <w:szCs w:val="22"/>
          <w:lang w:eastAsia="en-AU"/>
        </w:rPr>
        <w:t xml:space="preserve">This reflects </w:t>
      </w:r>
      <w:r w:rsidR="00CD03F7">
        <w:rPr>
          <w:rFonts w:cs="Arial"/>
          <w:color w:val="000000" w:themeColor="text1"/>
          <w:szCs w:val="22"/>
          <w:lang w:eastAsia="en-AU"/>
        </w:rPr>
        <w:t>a</w:t>
      </w:r>
      <w:r w:rsidR="00E942DC">
        <w:rPr>
          <w:rFonts w:cs="Arial"/>
          <w:color w:val="000000" w:themeColor="text1"/>
          <w:szCs w:val="22"/>
          <w:lang w:eastAsia="en-AU"/>
        </w:rPr>
        <w:t xml:space="preserve"> recovering justice system</w:t>
      </w:r>
      <w:r w:rsidR="00B43A5C">
        <w:rPr>
          <w:rFonts w:cs="Arial"/>
          <w:color w:val="000000" w:themeColor="text1"/>
          <w:szCs w:val="22"/>
          <w:lang w:eastAsia="en-AU"/>
        </w:rPr>
        <w:t xml:space="preserve"> that</w:t>
      </w:r>
      <w:r w:rsidR="00E942DC">
        <w:rPr>
          <w:rFonts w:cs="Arial"/>
          <w:color w:val="000000" w:themeColor="text1"/>
          <w:szCs w:val="22"/>
          <w:lang w:eastAsia="en-AU"/>
        </w:rPr>
        <w:t xml:space="preserve"> is yet to return to</w:t>
      </w:r>
      <w:r w:rsidR="00311D72">
        <w:rPr>
          <w:rFonts w:cs="Arial"/>
          <w:color w:val="000000" w:themeColor="text1"/>
          <w:szCs w:val="22"/>
          <w:lang w:eastAsia="en-AU"/>
        </w:rPr>
        <w:t xml:space="preserve"> pre-COVID</w:t>
      </w:r>
      <w:r w:rsidR="00E942DC">
        <w:rPr>
          <w:rFonts w:cs="Arial"/>
          <w:color w:val="000000" w:themeColor="text1"/>
          <w:szCs w:val="22"/>
          <w:lang w:eastAsia="en-AU"/>
        </w:rPr>
        <w:t xml:space="preserve"> </w:t>
      </w:r>
      <w:r w:rsidR="00311D72">
        <w:rPr>
          <w:rFonts w:cs="Arial"/>
          <w:color w:val="000000" w:themeColor="text1"/>
          <w:szCs w:val="22"/>
          <w:lang w:eastAsia="en-AU"/>
        </w:rPr>
        <w:t xml:space="preserve">operations. </w:t>
      </w:r>
    </w:p>
    <w:p w14:paraId="1A8AEC01" w14:textId="2FF7C40A" w:rsidR="00B0123A" w:rsidRDefault="00B0123A" w:rsidP="007B4910">
      <w:pPr>
        <w:spacing w:after="0"/>
        <w:rPr>
          <w:rFonts w:cs="Arial"/>
          <w:color w:val="000000" w:themeColor="text1"/>
          <w:szCs w:val="22"/>
          <w:lang w:eastAsia="en-AU"/>
        </w:rPr>
      </w:pPr>
    </w:p>
    <w:p w14:paraId="110B7F04" w14:textId="4378C2EA" w:rsidR="009305BA" w:rsidRPr="007B4910" w:rsidRDefault="009305BA" w:rsidP="007B4910">
      <w:pPr>
        <w:tabs>
          <w:tab w:val="left" w:pos="2082"/>
        </w:tabs>
        <w:spacing w:after="0"/>
        <w:rPr>
          <w:rFonts w:cs="Arial"/>
          <w:szCs w:val="22"/>
        </w:rPr>
      </w:pPr>
      <w:r w:rsidRPr="007B4910">
        <w:rPr>
          <w:rFonts w:cs="Arial"/>
          <w:szCs w:val="22"/>
        </w:rPr>
        <w:t>The Coroners Court findings into the death of Veronica Nelson</w:t>
      </w:r>
      <w:r w:rsidR="008F3CED">
        <w:rPr>
          <w:rFonts w:cs="Arial"/>
          <w:szCs w:val="22"/>
        </w:rPr>
        <w:t>,</w:t>
      </w:r>
      <w:r w:rsidR="008F3CED" w:rsidRPr="008F3CED">
        <w:rPr>
          <w:rFonts w:cs="Arial"/>
          <w:szCs w:val="22"/>
        </w:rPr>
        <w:t xml:space="preserve"> </w:t>
      </w:r>
      <w:r w:rsidR="008F3CED" w:rsidRPr="007B4910">
        <w:rPr>
          <w:rFonts w:cs="Arial"/>
          <w:szCs w:val="22"/>
        </w:rPr>
        <w:t>a proud Gunditjmara, Dja Dja Wurrung, Wiradjuri and Yorta Yorta woman</w:t>
      </w:r>
      <w:r w:rsidR="008F3CED">
        <w:rPr>
          <w:rFonts w:cs="Arial"/>
          <w:szCs w:val="22"/>
        </w:rPr>
        <w:t>,</w:t>
      </w:r>
      <w:r w:rsidRPr="007B4910">
        <w:rPr>
          <w:rFonts w:cs="Arial"/>
          <w:szCs w:val="22"/>
        </w:rPr>
        <w:t xml:space="preserve"> demonstrate the </w:t>
      </w:r>
      <w:hyperlink r:id="rId11" w:history="1">
        <w:r w:rsidRPr="007B4910">
          <w:rPr>
            <w:rStyle w:val="Hyperlink"/>
            <w:rFonts w:cs="Arial"/>
            <w:szCs w:val="22"/>
          </w:rPr>
          <w:t>urgent need for widespread change</w:t>
        </w:r>
      </w:hyperlink>
      <w:r w:rsidRPr="007B4910">
        <w:rPr>
          <w:rFonts w:cs="Arial"/>
          <w:color w:val="011A3C"/>
          <w:szCs w:val="22"/>
        </w:rPr>
        <w:t xml:space="preserve"> </w:t>
      </w:r>
      <w:r w:rsidRPr="007B4910">
        <w:rPr>
          <w:rFonts w:cs="Arial"/>
          <w:szCs w:val="22"/>
        </w:rPr>
        <w:t>in our criminal justice system</w:t>
      </w:r>
      <w:r w:rsidR="008F3CED">
        <w:rPr>
          <w:rFonts w:cs="Arial"/>
          <w:szCs w:val="22"/>
        </w:rPr>
        <w:t>.</w:t>
      </w:r>
      <w:r w:rsidR="00B60FD2" w:rsidRPr="007B4910">
        <w:rPr>
          <w:rFonts w:cs="Arial"/>
          <w:szCs w:val="22"/>
        </w:rPr>
        <w:t xml:space="preserve"> Our experience</w:t>
      </w:r>
      <w:r w:rsidR="00E52FD5">
        <w:rPr>
          <w:rFonts w:cs="Arial"/>
          <w:szCs w:val="22"/>
        </w:rPr>
        <w:t>s</w:t>
      </w:r>
      <w:r w:rsidR="00B60FD2" w:rsidRPr="007B4910">
        <w:rPr>
          <w:rFonts w:cs="Arial"/>
          <w:szCs w:val="22"/>
        </w:rPr>
        <w:t xml:space="preserve"> every day and night, in almost every court across Victoria, </w:t>
      </w:r>
      <w:r w:rsidR="008867B7" w:rsidRPr="007B4910">
        <w:rPr>
          <w:rFonts w:cs="Arial"/>
          <w:szCs w:val="22"/>
        </w:rPr>
        <w:t>help us see</w:t>
      </w:r>
      <w:r w:rsidR="00B60FD2" w:rsidRPr="007B4910">
        <w:rPr>
          <w:rFonts w:cs="Arial"/>
          <w:szCs w:val="22"/>
        </w:rPr>
        <w:t xml:space="preserve"> that the criminal justice and child protection systems are failing First Nations communities</w:t>
      </w:r>
      <w:r w:rsidR="008867B7" w:rsidRPr="007B4910">
        <w:rPr>
          <w:rFonts w:cs="Arial"/>
          <w:szCs w:val="22"/>
        </w:rPr>
        <w:t>.</w:t>
      </w:r>
      <w:r w:rsidRPr="007B4910">
        <w:rPr>
          <w:rFonts w:cs="Arial"/>
          <w:szCs w:val="22"/>
        </w:rPr>
        <w:t xml:space="preserve"> </w:t>
      </w:r>
      <w:r w:rsidR="00E20D6B">
        <w:rPr>
          <w:rFonts w:cs="Arial"/>
          <w:szCs w:val="22"/>
        </w:rPr>
        <w:t>W</w:t>
      </w:r>
      <w:r w:rsidRPr="007B4910">
        <w:rPr>
          <w:rFonts w:cs="Arial"/>
          <w:szCs w:val="22"/>
        </w:rPr>
        <w:t xml:space="preserve">e express our sincere condolences to Aunty Donna Nelson, Uncle Percy Lovett and all of Ms Nelson’s family, </w:t>
      </w:r>
      <w:proofErr w:type="gramStart"/>
      <w:r w:rsidRPr="007B4910">
        <w:rPr>
          <w:rFonts w:cs="Arial"/>
          <w:szCs w:val="22"/>
        </w:rPr>
        <w:t>friends</w:t>
      </w:r>
      <w:proofErr w:type="gramEnd"/>
      <w:r w:rsidRPr="007B4910">
        <w:rPr>
          <w:rFonts w:cs="Arial"/>
          <w:szCs w:val="22"/>
        </w:rPr>
        <w:t xml:space="preserve"> and community. </w:t>
      </w:r>
      <w:r w:rsidR="005915C5" w:rsidRPr="00DF64EB">
        <w:rPr>
          <w:rFonts w:cs="Arial"/>
          <w:szCs w:val="22"/>
        </w:rPr>
        <w:t>We acknowledge, and support, self-determination by First Nations Communities to address these issues</w:t>
      </w:r>
      <w:r w:rsidR="00DF64EB">
        <w:rPr>
          <w:rFonts w:cs="Arial"/>
          <w:szCs w:val="22"/>
        </w:rPr>
        <w:t>.</w:t>
      </w:r>
    </w:p>
    <w:p w14:paraId="6BA2229C" w14:textId="77777777" w:rsidR="004164E0" w:rsidRPr="007B4910" w:rsidRDefault="004164E0" w:rsidP="007B4910">
      <w:pPr>
        <w:spacing w:after="0"/>
        <w:rPr>
          <w:rFonts w:cs="Arial"/>
          <w:color w:val="000000" w:themeColor="text1"/>
          <w:szCs w:val="22"/>
          <w:lang w:eastAsia="en-AU"/>
        </w:rPr>
      </w:pPr>
    </w:p>
    <w:p w14:paraId="70DB84F7" w14:textId="680FD3EF" w:rsidR="00707D5F" w:rsidRDefault="004164E0" w:rsidP="007B4910">
      <w:pPr>
        <w:tabs>
          <w:tab w:val="left" w:pos="2082"/>
        </w:tabs>
        <w:spacing w:after="0"/>
        <w:rPr>
          <w:rFonts w:cs="Arial"/>
          <w:szCs w:val="22"/>
        </w:rPr>
      </w:pPr>
      <w:r w:rsidRPr="007B4910">
        <w:rPr>
          <w:rFonts w:cs="Arial"/>
          <w:color w:val="000000" w:themeColor="text1"/>
          <w:szCs w:val="22"/>
          <w:lang w:eastAsia="en-AU"/>
        </w:rPr>
        <w:t xml:space="preserve">Our Independent Mental Health Advocacy </w:t>
      </w:r>
      <w:r w:rsidR="006459A5" w:rsidRPr="007B4910">
        <w:rPr>
          <w:rFonts w:cs="Arial"/>
          <w:color w:val="000000" w:themeColor="text1"/>
          <w:szCs w:val="22"/>
          <w:lang w:eastAsia="en-AU"/>
        </w:rPr>
        <w:t>(</w:t>
      </w:r>
      <w:r w:rsidR="00FF5B64">
        <w:rPr>
          <w:rFonts w:cs="Arial"/>
          <w:color w:val="000000" w:themeColor="text1"/>
          <w:szCs w:val="22"/>
          <w:lang w:eastAsia="en-AU"/>
        </w:rPr>
        <w:t>IMHA</w:t>
      </w:r>
      <w:r w:rsidR="006459A5" w:rsidRPr="007B4910">
        <w:rPr>
          <w:rFonts w:cs="Arial"/>
          <w:color w:val="000000" w:themeColor="text1"/>
          <w:szCs w:val="22"/>
          <w:lang w:eastAsia="en-AU"/>
        </w:rPr>
        <w:t>) services continue to see strong demand</w:t>
      </w:r>
      <w:r w:rsidR="00087961" w:rsidRPr="007B4910">
        <w:rPr>
          <w:rFonts w:cs="Arial"/>
          <w:color w:val="000000" w:themeColor="text1"/>
          <w:szCs w:val="22"/>
          <w:lang w:eastAsia="en-AU"/>
        </w:rPr>
        <w:t xml:space="preserve">. </w:t>
      </w:r>
      <w:r w:rsidR="009B2C9F" w:rsidRPr="007B4910">
        <w:rPr>
          <w:rFonts w:cs="Arial"/>
          <w:color w:val="000000" w:themeColor="text1"/>
          <w:szCs w:val="22"/>
          <w:lang w:eastAsia="en-AU"/>
        </w:rPr>
        <w:t xml:space="preserve">To support </w:t>
      </w:r>
      <w:r w:rsidR="00342673">
        <w:rPr>
          <w:rFonts w:cs="Arial"/>
          <w:color w:val="000000" w:themeColor="text1"/>
          <w:szCs w:val="22"/>
          <w:lang w:eastAsia="en-AU"/>
        </w:rPr>
        <w:t xml:space="preserve">individuals </w:t>
      </w:r>
      <w:r w:rsidR="009B2C9F" w:rsidRPr="007B4910">
        <w:rPr>
          <w:rFonts w:cs="Arial"/>
          <w:color w:val="000000" w:themeColor="text1"/>
          <w:szCs w:val="22"/>
          <w:lang w:eastAsia="en-AU"/>
        </w:rPr>
        <w:t xml:space="preserve">experiencing mental health issues whilst navigating the National </w:t>
      </w:r>
      <w:r w:rsidR="009567A2" w:rsidRPr="007B4910">
        <w:rPr>
          <w:rFonts w:cs="Arial"/>
          <w:color w:val="000000" w:themeColor="text1"/>
          <w:szCs w:val="22"/>
          <w:lang w:eastAsia="en-AU"/>
        </w:rPr>
        <w:t>Disability</w:t>
      </w:r>
      <w:r w:rsidR="009B2C9F" w:rsidRPr="007B4910">
        <w:rPr>
          <w:rFonts w:cs="Arial"/>
          <w:color w:val="000000" w:themeColor="text1"/>
          <w:szCs w:val="22"/>
          <w:lang w:eastAsia="en-AU"/>
        </w:rPr>
        <w:t xml:space="preserve"> Insurance Scheme (NDIS), we have developed a</w:t>
      </w:r>
      <w:r w:rsidR="00707D5F" w:rsidRPr="007B4910">
        <w:rPr>
          <w:rFonts w:cs="Arial"/>
          <w:color w:val="000000" w:themeColor="text1"/>
          <w:szCs w:val="22"/>
          <w:lang w:eastAsia="en-AU"/>
        </w:rPr>
        <w:t xml:space="preserve"> </w:t>
      </w:r>
      <w:r w:rsidR="00677578">
        <w:rPr>
          <w:rFonts w:cs="Arial"/>
          <w:color w:val="000000" w:themeColor="text1"/>
          <w:szCs w:val="22"/>
          <w:lang w:eastAsia="en-AU"/>
        </w:rPr>
        <w:t>toolkit</w:t>
      </w:r>
      <w:r w:rsidR="00677578" w:rsidRPr="007B4910">
        <w:rPr>
          <w:rFonts w:cs="Arial"/>
          <w:color w:val="000000" w:themeColor="text1"/>
          <w:szCs w:val="22"/>
          <w:lang w:eastAsia="en-AU"/>
        </w:rPr>
        <w:t xml:space="preserve"> </w:t>
      </w:r>
      <w:r w:rsidR="00707D5F" w:rsidRPr="007B4910">
        <w:rPr>
          <w:rFonts w:cs="Arial"/>
          <w:color w:val="000000" w:themeColor="text1"/>
          <w:szCs w:val="22"/>
          <w:lang w:eastAsia="en-AU"/>
        </w:rPr>
        <w:t>to provide information</w:t>
      </w:r>
      <w:r w:rsidR="00B24507">
        <w:rPr>
          <w:rFonts w:cs="Arial"/>
          <w:color w:val="000000" w:themeColor="text1"/>
          <w:szCs w:val="22"/>
          <w:lang w:eastAsia="en-AU"/>
        </w:rPr>
        <w:t xml:space="preserve"> and</w:t>
      </w:r>
      <w:r w:rsidR="00707D5F" w:rsidRPr="007B4910">
        <w:rPr>
          <w:rFonts w:cs="Arial"/>
          <w:color w:val="000000" w:themeColor="text1"/>
          <w:szCs w:val="22"/>
          <w:lang w:eastAsia="en-AU"/>
        </w:rPr>
        <w:t xml:space="preserve"> skills </w:t>
      </w:r>
      <w:r w:rsidR="0007239C">
        <w:rPr>
          <w:rFonts w:cs="Arial"/>
          <w:color w:val="000000" w:themeColor="text1"/>
          <w:szCs w:val="22"/>
          <w:lang w:eastAsia="en-AU"/>
        </w:rPr>
        <w:t>to</w:t>
      </w:r>
      <w:r w:rsidR="00707D5F" w:rsidRPr="007B4910">
        <w:rPr>
          <w:rFonts w:cs="Arial"/>
          <w:color w:val="000000" w:themeColor="text1"/>
          <w:szCs w:val="22"/>
          <w:lang w:eastAsia="en-AU"/>
        </w:rPr>
        <w:t xml:space="preserve"> advocate for what they want under the NDIS. It was designed for</w:t>
      </w:r>
      <w:r w:rsidR="003C68B4">
        <w:rPr>
          <w:rFonts w:cs="Arial"/>
          <w:color w:val="000000" w:themeColor="text1"/>
          <w:szCs w:val="22"/>
          <w:lang w:eastAsia="en-AU"/>
        </w:rPr>
        <w:t>,</w:t>
      </w:r>
      <w:r w:rsidR="00707D5F" w:rsidRPr="007B4910">
        <w:rPr>
          <w:rFonts w:cs="Arial"/>
          <w:color w:val="000000" w:themeColor="text1"/>
          <w:szCs w:val="22"/>
          <w:lang w:eastAsia="en-AU"/>
        </w:rPr>
        <w:t xml:space="preserve"> and with</w:t>
      </w:r>
      <w:r w:rsidR="003C68B4">
        <w:rPr>
          <w:rFonts w:cs="Arial"/>
          <w:color w:val="000000" w:themeColor="text1"/>
          <w:szCs w:val="22"/>
          <w:lang w:eastAsia="en-AU"/>
        </w:rPr>
        <w:t>,</w:t>
      </w:r>
      <w:r w:rsidR="00707D5F" w:rsidRPr="007B4910">
        <w:rPr>
          <w:rFonts w:cs="Arial"/>
          <w:color w:val="000000" w:themeColor="text1"/>
          <w:szCs w:val="22"/>
          <w:lang w:eastAsia="en-AU"/>
        </w:rPr>
        <w:t xml:space="preserve"> people with a lived experience of the mental health system who use</w:t>
      </w:r>
      <w:r w:rsidR="00903AF5">
        <w:rPr>
          <w:rFonts w:cs="Arial"/>
          <w:color w:val="000000" w:themeColor="text1"/>
          <w:szCs w:val="22"/>
          <w:lang w:eastAsia="en-AU"/>
        </w:rPr>
        <w:t>,</w:t>
      </w:r>
      <w:r w:rsidR="00707D5F" w:rsidRPr="007B4910">
        <w:rPr>
          <w:rFonts w:cs="Arial"/>
          <w:color w:val="000000" w:themeColor="text1"/>
          <w:szCs w:val="22"/>
          <w:lang w:eastAsia="en-AU"/>
        </w:rPr>
        <w:t xml:space="preserve"> or are eligible for</w:t>
      </w:r>
      <w:r w:rsidR="00903AF5">
        <w:rPr>
          <w:rFonts w:cs="Arial"/>
          <w:color w:val="000000" w:themeColor="text1"/>
          <w:szCs w:val="22"/>
          <w:lang w:eastAsia="en-AU"/>
        </w:rPr>
        <w:t>,</w:t>
      </w:r>
      <w:r w:rsidR="00707D5F" w:rsidRPr="007B4910">
        <w:rPr>
          <w:rFonts w:cs="Arial"/>
          <w:color w:val="000000" w:themeColor="text1"/>
          <w:szCs w:val="22"/>
          <w:lang w:eastAsia="en-AU"/>
        </w:rPr>
        <w:t xml:space="preserve"> the NDIS</w:t>
      </w:r>
      <w:r w:rsidR="00677578">
        <w:rPr>
          <w:rFonts w:cs="Arial"/>
          <w:color w:val="000000" w:themeColor="text1"/>
          <w:szCs w:val="22"/>
          <w:lang w:eastAsia="en-AU"/>
        </w:rPr>
        <w:t xml:space="preserve">. It </w:t>
      </w:r>
      <w:r w:rsidR="00707D5F" w:rsidRPr="007B4910">
        <w:rPr>
          <w:rFonts w:cs="Arial"/>
          <w:color w:val="000000" w:themeColor="text1"/>
          <w:szCs w:val="22"/>
          <w:lang w:eastAsia="en-AU"/>
        </w:rPr>
        <w:t xml:space="preserve">can also be used by </w:t>
      </w:r>
      <w:r w:rsidR="00DD34D6">
        <w:rPr>
          <w:rFonts w:cs="Arial"/>
          <w:color w:val="000000" w:themeColor="text1"/>
          <w:szCs w:val="22"/>
          <w:lang w:eastAsia="en-AU"/>
        </w:rPr>
        <w:t>individua</w:t>
      </w:r>
      <w:r w:rsidR="00914231">
        <w:rPr>
          <w:rFonts w:cs="Arial"/>
          <w:color w:val="000000" w:themeColor="text1"/>
          <w:szCs w:val="22"/>
          <w:lang w:eastAsia="en-AU"/>
        </w:rPr>
        <w:t>l</w:t>
      </w:r>
      <w:r w:rsidR="00DD34D6">
        <w:rPr>
          <w:rFonts w:cs="Arial"/>
          <w:color w:val="000000" w:themeColor="text1"/>
          <w:szCs w:val="22"/>
          <w:lang w:eastAsia="en-AU"/>
        </w:rPr>
        <w:t xml:space="preserve">s and their </w:t>
      </w:r>
      <w:r w:rsidR="00707D5F" w:rsidRPr="007B4910">
        <w:rPr>
          <w:rFonts w:cs="Arial"/>
          <w:color w:val="000000" w:themeColor="text1"/>
          <w:szCs w:val="22"/>
          <w:lang w:eastAsia="en-AU"/>
        </w:rPr>
        <w:t xml:space="preserve">supporters, such as carers, kin, friends, and support workers. </w:t>
      </w:r>
      <w:r w:rsidR="00CC40F9">
        <w:rPr>
          <w:rFonts w:cs="Arial"/>
          <w:color w:val="000000" w:themeColor="text1"/>
          <w:szCs w:val="22"/>
          <w:lang w:eastAsia="en-AU"/>
        </w:rPr>
        <w:t xml:space="preserve">The </w:t>
      </w:r>
      <w:r w:rsidR="00707D5F" w:rsidRPr="007B4910">
        <w:rPr>
          <w:rFonts w:cs="Arial"/>
          <w:szCs w:val="22"/>
        </w:rPr>
        <w:t xml:space="preserve">IMHA </w:t>
      </w:r>
      <w:hyperlink r:id="rId12" w:history="1">
        <w:r w:rsidR="00707D5F" w:rsidRPr="007B4910">
          <w:rPr>
            <w:rStyle w:val="Hyperlink"/>
            <w:rFonts w:cs="Arial"/>
            <w:szCs w:val="22"/>
          </w:rPr>
          <w:t>NDIS mental health toolkit</w:t>
        </w:r>
      </w:hyperlink>
      <w:r w:rsidR="00707D5F" w:rsidRPr="007B4910">
        <w:rPr>
          <w:rFonts w:cs="Arial"/>
          <w:szCs w:val="22"/>
        </w:rPr>
        <w:t xml:space="preserve"> and can be found on our website.</w:t>
      </w:r>
    </w:p>
    <w:p w14:paraId="11E52C63" w14:textId="77777777" w:rsidR="0091587D" w:rsidRDefault="0091587D" w:rsidP="007B4910">
      <w:pPr>
        <w:tabs>
          <w:tab w:val="left" w:pos="2082"/>
        </w:tabs>
        <w:spacing w:after="0"/>
        <w:rPr>
          <w:rFonts w:cs="Arial"/>
          <w:szCs w:val="22"/>
        </w:rPr>
      </w:pPr>
    </w:p>
    <w:p w14:paraId="6DB8A2BF" w14:textId="0B8BD2AE" w:rsidR="0091587D" w:rsidRDefault="0091587D" w:rsidP="007B4910">
      <w:pPr>
        <w:tabs>
          <w:tab w:val="left" w:pos="2082"/>
        </w:tabs>
        <w:spacing w:after="0"/>
        <w:rPr>
          <w:rFonts w:cs="Arial"/>
          <w:szCs w:val="22"/>
        </w:rPr>
      </w:pPr>
      <w:r w:rsidRPr="00A15AF3">
        <w:rPr>
          <w:rFonts w:cs="Arial"/>
          <w:szCs w:val="22"/>
        </w:rPr>
        <w:t>Sexual harassment continues to be an unacceptably common feature of Australian workplaces. We received funding from the Australian Government to expand the services we provide to people seeking help to address the harassment they have experienced.</w:t>
      </w:r>
      <w:r w:rsidRPr="007B4910">
        <w:rPr>
          <w:rFonts w:cs="Arial"/>
          <w:szCs w:val="22"/>
        </w:rPr>
        <w:t xml:space="preserve"> </w:t>
      </w:r>
      <w:r w:rsidRPr="00A15AF3">
        <w:rPr>
          <w:rFonts w:cs="Arial"/>
          <w:szCs w:val="22"/>
        </w:rPr>
        <w:t>Our Equality Law Program has been representing victim-survivors of sexual harassment for over a decade and has a trauma-informed practice with deep legal expertise.</w:t>
      </w:r>
      <w:r w:rsidRPr="007B4910">
        <w:rPr>
          <w:rFonts w:cs="Arial"/>
          <w:szCs w:val="22"/>
        </w:rPr>
        <w:t xml:space="preserve"> </w:t>
      </w:r>
    </w:p>
    <w:p w14:paraId="5F482DC3" w14:textId="77777777" w:rsidR="007B4910" w:rsidRPr="007B4910" w:rsidRDefault="007B4910" w:rsidP="007B4910">
      <w:pPr>
        <w:tabs>
          <w:tab w:val="left" w:pos="2082"/>
        </w:tabs>
        <w:spacing w:after="0"/>
        <w:rPr>
          <w:rFonts w:cs="Arial"/>
          <w:szCs w:val="22"/>
        </w:rPr>
      </w:pPr>
    </w:p>
    <w:p w14:paraId="5FC701D4" w14:textId="6387C6E7" w:rsidR="00F04730" w:rsidRDefault="009775D4" w:rsidP="00503F16">
      <w:pPr>
        <w:tabs>
          <w:tab w:val="left" w:pos="2082"/>
        </w:tabs>
        <w:spacing w:after="0"/>
        <w:rPr>
          <w:rFonts w:cs="Arial"/>
          <w:szCs w:val="22"/>
          <w:shd w:val="clear" w:color="auto" w:fill="FFFFFF"/>
        </w:rPr>
      </w:pPr>
      <w:r w:rsidRPr="007B4910">
        <w:rPr>
          <w:rFonts w:cs="Arial"/>
          <w:szCs w:val="22"/>
        </w:rPr>
        <w:t>We have recently launched</w:t>
      </w:r>
      <w:r w:rsidR="002904A3">
        <w:rPr>
          <w:rFonts w:cs="Arial"/>
          <w:szCs w:val="22"/>
        </w:rPr>
        <w:t xml:space="preserve"> our own</w:t>
      </w:r>
      <w:r w:rsidRPr="007B4910">
        <w:rPr>
          <w:rFonts w:cs="Arial"/>
          <w:szCs w:val="22"/>
        </w:rPr>
        <w:t xml:space="preserve"> internal,</w:t>
      </w:r>
      <w:r w:rsidR="007C06E1" w:rsidRPr="007B4910">
        <w:rPr>
          <w:rFonts w:cs="Arial"/>
          <w:szCs w:val="22"/>
        </w:rPr>
        <w:t xml:space="preserve"> anonymous reporting tool that gives staff the opportunity to report inappropriate behaviours that they either experience or witness in the workplace. We are striving to provide a safe</w:t>
      </w:r>
      <w:r w:rsidR="00744F24" w:rsidRPr="007B4910">
        <w:rPr>
          <w:rFonts w:cs="Arial"/>
          <w:szCs w:val="22"/>
        </w:rPr>
        <w:t xml:space="preserve"> and supportive workplace for all our staff, and we know that</w:t>
      </w:r>
      <w:r w:rsidR="00D7567F" w:rsidRPr="007B4910">
        <w:rPr>
          <w:rFonts w:cs="Arial"/>
          <w:szCs w:val="22"/>
        </w:rPr>
        <w:t xml:space="preserve"> staff </w:t>
      </w:r>
      <w:r w:rsidR="00D7567F" w:rsidRPr="007B4910">
        <w:rPr>
          <w:rFonts w:cs="Arial"/>
          <w:szCs w:val="22"/>
          <w:shd w:val="clear" w:color="auto" w:fill="FFFFFF"/>
        </w:rPr>
        <w:t xml:space="preserve">describe inappropriate behaviour, such as bullying, harassment, </w:t>
      </w:r>
      <w:r w:rsidR="00DB0EEE" w:rsidRPr="007B4910">
        <w:rPr>
          <w:rFonts w:cs="Arial"/>
          <w:szCs w:val="22"/>
          <w:shd w:val="clear" w:color="auto" w:fill="FFFFFF"/>
        </w:rPr>
        <w:t>discrimination</w:t>
      </w:r>
      <w:r w:rsidR="00D7567F" w:rsidRPr="007B4910">
        <w:rPr>
          <w:rFonts w:cs="Arial"/>
          <w:szCs w:val="22"/>
          <w:shd w:val="clear" w:color="auto" w:fill="FFFFFF"/>
        </w:rPr>
        <w:t xml:space="preserve"> and racism, more often in surveys than through official complaints.</w:t>
      </w:r>
      <w:r w:rsidR="00860BBE" w:rsidRPr="007B4910">
        <w:rPr>
          <w:rFonts w:cs="Arial"/>
          <w:szCs w:val="22"/>
          <w:shd w:val="clear" w:color="auto" w:fill="FFFFFF"/>
        </w:rPr>
        <w:t xml:space="preserve"> Providing staff with the choice to report anonymously is one of the ways we can break down barriers to reporting.</w:t>
      </w:r>
    </w:p>
    <w:p w14:paraId="4A17ADFC" w14:textId="77777777" w:rsidR="0091587D" w:rsidRDefault="0091587D" w:rsidP="00503F16">
      <w:pPr>
        <w:tabs>
          <w:tab w:val="left" w:pos="2082"/>
        </w:tabs>
        <w:spacing w:after="0"/>
      </w:pPr>
    </w:p>
    <w:p w14:paraId="1C7CBEA9" w14:textId="41589A4A" w:rsidR="00E43EE2" w:rsidRDefault="009E5C83" w:rsidP="00597600">
      <w:pPr>
        <w:pStyle w:val="Heading2"/>
      </w:pPr>
      <w:r>
        <w:lastRenderedPageBreak/>
        <w:t>Client Services</w:t>
      </w:r>
      <w:r w:rsidR="007F609B">
        <w:t xml:space="preserve"> </w:t>
      </w:r>
      <w:r w:rsidR="004175B7" w:rsidRPr="004175B7">
        <w:t xml:space="preserve"> </w:t>
      </w:r>
    </w:p>
    <w:p w14:paraId="3C21063F" w14:textId="6F0C0C11" w:rsidR="00E43EE2" w:rsidRPr="007B4095" w:rsidRDefault="007C1487" w:rsidP="00397B8F">
      <w:pPr>
        <w:keepNext/>
        <w:rPr>
          <w:b/>
          <w:bCs/>
          <w:szCs w:val="22"/>
        </w:rPr>
      </w:pPr>
      <w:r w:rsidRPr="007B4095">
        <w:rPr>
          <w:b/>
          <w:bCs/>
          <w:szCs w:val="22"/>
        </w:rPr>
        <w:t xml:space="preserve">Table 1.1 </w:t>
      </w:r>
      <w:r w:rsidR="00FC1AF4" w:rsidRPr="007B4095">
        <w:rPr>
          <w:b/>
          <w:bCs/>
          <w:szCs w:val="22"/>
        </w:rPr>
        <w:t>Unique client count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07"/>
        <w:gridCol w:w="2001"/>
        <w:gridCol w:w="2285"/>
        <w:gridCol w:w="2283"/>
      </w:tblGrid>
      <w:tr w:rsidR="0096755F" w:rsidRPr="000E7EED" w14:paraId="5105FACB" w14:textId="61515848" w:rsidTr="0096755F">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740" w:type="pct"/>
            <w:shd w:val="clear" w:color="auto" w:fill="C3AFCC"/>
          </w:tcPr>
          <w:p w14:paraId="02AC0E7C" w14:textId="77777777" w:rsidR="0096755F" w:rsidRPr="000E7EED" w:rsidRDefault="0096755F" w:rsidP="0039260E">
            <w:pPr>
              <w:rPr>
                <w:color w:val="000000" w:themeColor="text1"/>
              </w:rPr>
            </w:pPr>
            <w:bookmarkStart w:id="0"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993" w:type="pct"/>
            <w:shd w:val="clear" w:color="auto" w:fill="C3AFCC"/>
          </w:tcPr>
          <w:p w14:paraId="1DB462B9" w14:textId="59479BF1" w:rsidR="0096755F" w:rsidRPr="000E7EED" w:rsidRDefault="0096755F" w:rsidP="55245693">
            <w:pPr>
              <w:jc w:val="center"/>
              <w:rPr>
                <w:b/>
                <w:color w:val="000000" w:themeColor="text1"/>
              </w:rPr>
            </w:pPr>
            <w:r w:rsidRPr="55245693">
              <w:rPr>
                <w:b/>
                <w:color w:val="000000" w:themeColor="text1"/>
              </w:rPr>
              <w:t>Q</w:t>
            </w:r>
            <w:r w:rsidR="003462CF">
              <w:rPr>
                <w:b/>
                <w:color w:val="000000" w:themeColor="text1"/>
              </w:rPr>
              <w:t>1</w:t>
            </w:r>
          </w:p>
          <w:p w14:paraId="2C3C051D" w14:textId="31FD08A6" w:rsidR="0096755F" w:rsidRPr="000E7EED" w:rsidRDefault="0096755F" w:rsidP="0039260E">
            <w:pPr>
              <w:jc w:val="center"/>
              <w:rPr>
                <w:color w:val="000000" w:themeColor="text1"/>
              </w:rPr>
            </w:pPr>
            <w:r w:rsidRPr="000E7EED">
              <w:rPr>
                <w:b/>
                <w:color w:val="000000" w:themeColor="text1"/>
              </w:rPr>
              <w:t>20</w:t>
            </w:r>
            <w:r>
              <w:rPr>
                <w:b/>
                <w:color w:val="000000" w:themeColor="text1"/>
              </w:rPr>
              <w:t>2</w:t>
            </w:r>
            <w:r w:rsidR="00465A12">
              <w:rPr>
                <w:b/>
                <w:color w:val="000000" w:themeColor="text1"/>
              </w:rPr>
              <w:t>2</w:t>
            </w:r>
            <w:r>
              <w:rPr>
                <w:b/>
                <w:color w:val="000000" w:themeColor="text1"/>
              </w:rPr>
              <w:t>-2</w:t>
            </w:r>
            <w:r w:rsidR="00465A12">
              <w:rPr>
                <w:b/>
                <w:color w:val="000000" w:themeColor="text1"/>
              </w:rPr>
              <w:t>3</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C3AFCC"/>
          </w:tcPr>
          <w:p w14:paraId="47FD7D32" w14:textId="5BBBA18F" w:rsidR="0096755F" w:rsidRDefault="0096755F" w:rsidP="55245693">
            <w:pPr>
              <w:jc w:val="center"/>
              <w:rPr>
                <w:b/>
                <w:color w:val="000000" w:themeColor="text1"/>
              </w:rPr>
            </w:pPr>
            <w:r w:rsidRPr="55245693">
              <w:rPr>
                <w:b/>
                <w:color w:val="000000" w:themeColor="text1"/>
              </w:rPr>
              <w:t>Q</w:t>
            </w:r>
            <w:r w:rsidR="003462CF">
              <w:rPr>
                <w:b/>
                <w:color w:val="000000" w:themeColor="text1"/>
              </w:rPr>
              <w:t>2</w:t>
            </w:r>
          </w:p>
          <w:p w14:paraId="62B8B011" w14:textId="1C0EA7B5" w:rsidR="0096755F" w:rsidRPr="00A76427" w:rsidRDefault="0096755F" w:rsidP="0039260E">
            <w:pPr>
              <w:jc w:val="center"/>
              <w:rPr>
                <w:b/>
                <w:color w:val="000000" w:themeColor="text1"/>
              </w:rPr>
            </w:pPr>
            <w:r w:rsidRPr="000E7EED">
              <w:rPr>
                <w:b/>
                <w:color w:val="000000" w:themeColor="text1"/>
              </w:rPr>
              <w:t>20</w:t>
            </w:r>
            <w:r>
              <w:rPr>
                <w:b/>
                <w:color w:val="000000" w:themeColor="text1"/>
              </w:rPr>
              <w:t>2</w:t>
            </w:r>
            <w:r w:rsidR="00261BEF">
              <w:rPr>
                <w:b/>
                <w:color w:val="000000" w:themeColor="text1"/>
              </w:rPr>
              <w:t>2</w:t>
            </w:r>
            <w:r>
              <w:rPr>
                <w:b/>
                <w:color w:val="000000" w:themeColor="text1"/>
              </w:rPr>
              <w:t>-2</w:t>
            </w:r>
            <w:r w:rsidR="00261BEF">
              <w:rPr>
                <w:b/>
                <w:color w:val="000000" w:themeColor="text1"/>
              </w:rPr>
              <w:t>3</w:t>
            </w:r>
          </w:p>
        </w:tc>
        <w:tc>
          <w:tcPr>
            <w:cnfStyle w:val="000001000000" w:firstRow="0" w:lastRow="0" w:firstColumn="0" w:lastColumn="0" w:oddVBand="0" w:evenVBand="1" w:oddHBand="0" w:evenHBand="0" w:firstRowFirstColumn="0" w:firstRowLastColumn="0" w:lastRowFirstColumn="0" w:lastRowLastColumn="0"/>
            <w:tcW w:w="1133" w:type="pct"/>
            <w:shd w:val="clear" w:color="auto" w:fill="C3AFCC"/>
          </w:tcPr>
          <w:p w14:paraId="6B1834FE" w14:textId="3BD542D6" w:rsidR="0096755F" w:rsidRDefault="0096755F" w:rsidP="55245693">
            <w:pPr>
              <w:jc w:val="center"/>
              <w:rPr>
                <w:b/>
                <w:bCs w:val="0"/>
                <w:color w:val="000000" w:themeColor="text1"/>
              </w:rPr>
            </w:pPr>
            <w:r>
              <w:rPr>
                <w:b/>
                <w:color w:val="000000" w:themeColor="text1"/>
              </w:rPr>
              <w:t>Q</w:t>
            </w:r>
            <w:r w:rsidR="003462CF">
              <w:rPr>
                <w:b/>
                <w:color w:val="000000" w:themeColor="text1"/>
              </w:rPr>
              <w:t>3</w:t>
            </w:r>
            <w:r w:rsidR="00440B64">
              <w:rPr>
                <w:b/>
                <w:color w:val="000000" w:themeColor="text1"/>
              </w:rPr>
              <w:t xml:space="preserve"> 20</w:t>
            </w:r>
            <w:r w:rsidR="009F38F4">
              <w:rPr>
                <w:b/>
                <w:color w:val="000000" w:themeColor="text1"/>
              </w:rPr>
              <w:t>2</w:t>
            </w:r>
            <w:r w:rsidR="00CF5F7E">
              <w:rPr>
                <w:b/>
                <w:color w:val="000000" w:themeColor="text1"/>
              </w:rPr>
              <w:t>2</w:t>
            </w:r>
            <w:r w:rsidR="009F38F4">
              <w:rPr>
                <w:b/>
                <w:color w:val="000000" w:themeColor="text1"/>
              </w:rPr>
              <w:t>-2</w:t>
            </w:r>
            <w:r w:rsidR="00CF5F7E">
              <w:rPr>
                <w:b/>
                <w:color w:val="000000" w:themeColor="text1"/>
              </w:rPr>
              <w:t>3</w:t>
            </w:r>
          </w:p>
          <w:p w14:paraId="08B49C60" w14:textId="4461BA4C" w:rsidR="0096755F" w:rsidRPr="55245693" w:rsidRDefault="0096755F" w:rsidP="55245693">
            <w:pPr>
              <w:jc w:val="center"/>
              <w:rPr>
                <w:b/>
                <w:color w:val="000000" w:themeColor="text1"/>
              </w:rPr>
            </w:pPr>
            <w:r>
              <w:rPr>
                <w:b/>
                <w:color w:val="000000" w:themeColor="text1"/>
              </w:rPr>
              <w:t>projection</w:t>
            </w:r>
          </w:p>
        </w:tc>
      </w:tr>
      <w:tr w:rsidR="0096755F" w:rsidRPr="000E7EED" w14:paraId="712E240F" w14:textId="13DFB6AA" w:rsidTr="007C072A">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1740" w:type="pct"/>
          </w:tcPr>
          <w:p w14:paraId="6D73261E" w14:textId="77777777" w:rsidR="0096755F" w:rsidRPr="000E7EED" w:rsidRDefault="0096755F"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993" w:type="pct"/>
          </w:tcPr>
          <w:p w14:paraId="758A4E12" w14:textId="520139E6" w:rsidR="0096755F" w:rsidRPr="000E7EED" w:rsidRDefault="003462CF" w:rsidP="00D54410">
            <w:pPr>
              <w:jc w:val="center"/>
              <w:rPr>
                <w:color w:val="000000" w:themeColor="text1"/>
              </w:rPr>
            </w:pPr>
            <w:r>
              <w:t>29,742</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D9D9D9" w:themeFill="background1" w:themeFillShade="D9"/>
          </w:tcPr>
          <w:p w14:paraId="5C50A8F1" w14:textId="62E377EA" w:rsidR="0096755F" w:rsidRPr="0021615C" w:rsidRDefault="00AC60E4" w:rsidP="0043466F">
            <w:pPr>
              <w:jc w:val="center"/>
            </w:pPr>
            <w:r>
              <w:t>21,</w:t>
            </w:r>
            <w:r w:rsidR="009A2722">
              <w:t>195</w:t>
            </w:r>
          </w:p>
        </w:tc>
        <w:tc>
          <w:tcPr>
            <w:cnfStyle w:val="000001000000" w:firstRow="0" w:lastRow="0" w:firstColumn="0" w:lastColumn="0" w:oddVBand="0" w:evenVBand="1" w:oddHBand="0" w:evenHBand="0" w:firstRowFirstColumn="0" w:firstRowLastColumn="0" w:lastRowFirstColumn="0" w:lastRowLastColumn="0"/>
            <w:tcW w:w="1133" w:type="pct"/>
            <w:shd w:val="clear" w:color="auto" w:fill="auto"/>
          </w:tcPr>
          <w:p w14:paraId="086F5C8C" w14:textId="28687A9B" w:rsidR="0096755F" w:rsidRPr="003A61E0" w:rsidRDefault="002E5E58" w:rsidP="000D4258">
            <w:pPr>
              <w:jc w:val="center"/>
            </w:pPr>
            <w:r>
              <w:t>20,9</w:t>
            </w:r>
            <w:r w:rsidR="006422F4">
              <w:t>00</w:t>
            </w:r>
          </w:p>
        </w:tc>
      </w:tr>
    </w:tbl>
    <w:p w14:paraId="4E9E31EF" w14:textId="199C2C79" w:rsidR="003462CF" w:rsidRDefault="00465A12" w:rsidP="004D6117">
      <w:pPr>
        <w:spacing w:before="120"/>
      </w:pPr>
      <w:bookmarkStart w:id="1" w:name="_Hlk52886498"/>
      <w:bookmarkEnd w:id="0"/>
      <w:r>
        <w:t>In quarter two 2022–23</w:t>
      </w:r>
      <w:r w:rsidR="002315B3">
        <w:t xml:space="preserve"> we saw 21,</w:t>
      </w:r>
      <w:r w:rsidR="002E5E58">
        <w:t>195</w:t>
      </w:r>
      <w:r w:rsidR="00C152E1">
        <w:t xml:space="preserve"> </w:t>
      </w:r>
      <w:r w:rsidR="002315B3">
        <w:t xml:space="preserve">clients, a decrease of </w:t>
      </w:r>
      <w:r w:rsidR="00721E67">
        <w:t>2</w:t>
      </w:r>
      <w:r w:rsidR="00565EBE">
        <w:t>8</w:t>
      </w:r>
      <w:r w:rsidR="00EA6A93">
        <w:t>.7 per cent</w:t>
      </w:r>
      <w:r w:rsidR="00613F70">
        <w:t xml:space="preserve"> compared to quarter one</w:t>
      </w:r>
      <w:r w:rsidR="00EA6A93">
        <w:t>. Clients are counted</w:t>
      </w:r>
      <w:r w:rsidR="0040260D">
        <w:t xml:space="preserve"> the first time they receive a legal assistance service in a financial </w:t>
      </w:r>
      <w:r w:rsidR="00E2167B">
        <w:t>year and</w:t>
      </w:r>
      <w:r w:rsidR="0040260D">
        <w:t xml:space="preserve"> are not counted again even if they receive ongoing or future services in the same financial year.</w:t>
      </w:r>
      <w:r w:rsidR="00EA6A93">
        <w:t xml:space="preserve"> Due to the way that clients are counted</w:t>
      </w:r>
      <w:r w:rsidR="00734831">
        <w:t xml:space="preserve">, the results for our unique client count </w:t>
      </w:r>
      <w:r w:rsidR="00E876E9">
        <w:t>are</w:t>
      </w:r>
      <w:r w:rsidR="00734831">
        <w:t xml:space="preserve"> always highest in quarter one, and then decrease in the following quarters. </w:t>
      </w:r>
      <w:r w:rsidR="00E565A6">
        <w:t xml:space="preserve">There is, however, a </w:t>
      </w:r>
      <w:r w:rsidR="00B21527">
        <w:t xml:space="preserve">27 </w:t>
      </w:r>
      <w:r w:rsidR="00E565A6">
        <w:t xml:space="preserve">per cent increase </w:t>
      </w:r>
      <w:r w:rsidR="0033397B">
        <w:t xml:space="preserve">compared with </w:t>
      </w:r>
      <w:r w:rsidR="00E565A6">
        <w:t>quarter two 2021</w:t>
      </w:r>
      <w:r w:rsidR="003F1D6B">
        <w:t>–</w:t>
      </w:r>
      <w:r w:rsidR="00E565A6">
        <w:t>22</w:t>
      </w:r>
      <w:r w:rsidR="00E2167B">
        <w:t xml:space="preserve"> (16,</w:t>
      </w:r>
      <w:r w:rsidR="003F1D6B">
        <w:t>729)</w:t>
      </w:r>
      <w:r w:rsidR="002C79CB">
        <w:t xml:space="preserve"> which demonstrates a</w:t>
      </w:r>
      <w:r w:rsidR="005326BB">
        <w:t>n</w:t>
      </w:r>
      <w:r w:rsidR="00A23937">
        <w:t xml:space="preserve"> </w:t>
      </w:r>
      <w:r w:rsidR="005054AF">
        <w:t>increase in</w:t>
      </w:r>
      <w:r w:rsidR="002C79CB">
        <w:t xml:space="preserve"> demand</w:t>
      </w:r>
      <w:r w:rsidR="005326BB">
        <w:t xml:space="preserve"> for our services</w:t>
      </w:r>
      <w:r w:rsidR="002C79CB">
        <w:t xml:space="preserve"> as courts have </w:t>
      </w:r>
      <w:r w:rsidR="003C34E7">
        <w:t>increased</w:t>
      </w:r>
      <w:r w:rsidR="000336F5">
        <w:t xml:space="preserve"> their activity.</w:t>
      </w:r>
      <w:r w:rsidR="003C34E7">
        <w:t xml:space="preserve"> </w:t>
      </w:r>
    </w:p>
    <w:p w14:paraId="71C1B22F" w14:textId="5546C049" w:rsidR="00E43EE2" w:rsidRPr="007B4095" w:rsidRDefault="007C1487" w:rsidP="00E43EE2">
      <w:pPr>
        <w:pStyle w:val="Tableheader"/>
        <w:rPr>
          <w:sz w:val="22"/>
          <w:szCs w:val="22"/>
        </w:rPr>
      </w:pPr>
      <w:r w:rsidRPr="007B4095">
        <w:rPr>
          <w:sz w:val="22"/>
          <w:szCs w:val="22"/>
        </w:rPr>
        <w:t xml:space="preserve">Table 1.2 </w:t>
      </w:r>
      <w:r w:rsidR="00495A11" w:rsidRPr="007B4095">
        <w:rPr>
          <w:sz w:val="22"/>
          <w:szCs w:val="22"/>
        </w:rPr>
        <w:t>Legal Help phoneline</w:t>
      </w:r>
      <w:r w:rsidR="00E43EE2" w:rsidRPr="007B4095">
        <w:rPr>
          <w:sz w:val="22"/>
          <w:szCs w:val="22"/>
        </w:rPr>
        <w:t xml:space="preserve"> </w:t>
      </w:r>
      <w:r w:rsidR="001F1CD9" w:rsidRPr="007B4095">
        <w:rPr>
          <w:sz w:val="22"/>
          <w:szCs w:val="22"/>
        </w:rPr>
        <w:t xml:space="preserve">and web chat </w:t>
      </w:r>
    </w:p>
    <w:tbl>
      <w:tblPr>
        <w:tblStyle w:val="PlainTable2"/>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22"/>
        <w:gridCol w:w="1659"/>
        <w:gridCol w:w="1659"/>
        <w:gridCol w:w="1916"/>
        <w:gridCol w:w="1916"/>
      </w:tblGrid>
      <w:tr w:rsidR="003462CF" w:rsidRPr="000E7EED" w14:paraId="610BF466" w14:textId="21499514" w:rsidTr="00FA1822">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2922" w:type="dxa"/>
            <w:shd w:val="clear" w:color="auto" w:fill="C4B0CC"/>
          </w:tcPr>
          <w:p w14:paraId="685BCF7D" w14:textId="306AA6B1" w:rsidR="003462CF" w:rsidRPr="000E7EED" w:rsidRDefault="003462CF" w:rsidP="003462CF">
            <w:pPr>
              <w:rPr>
                <w:color w:val="000000" w:themeColor="text1"/>
              </w:rPr>
            </w:pPr>
            <w:bookmarkStart w:id="2" w:name="_Hlk31804015"/>
            <w:r>
              <w:rPr>
                <w:b/>
                <w:color w:val="000000" w:themeColor="text1"/>
              </w:rPr>
              <w:t>Legal Help</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659" w:type="dxa"/>
            <w:shd w:val="clear" w:color="auto" w:fill="C3AFCC"/>
          </w:tcPr>
          <w:p w14:paraId="7CEF1135" w14:textId="57655427" w:rsidR="003462CF" w:rsidRPr="55245693" w:rsidRDefault="003462CF" w:rsidP="003462CF">
            <w:pPr>
              <w:jc w:val="center"/>
              <w:rPr>
                <w:b/>
                <w:color w:val="000000" w:themeColor="text1"/>
              </w:rPr>
            </w:pPr>
            <w:r>
              <w:rPr>
                <w:b/>
                <w:color w:val="000000" w:themeColor="text1"/>
              </w:rPr>
              <w:t>Service Delivery type</w:t>
            </w:r>
          </w:p>
        </w:tc>
        <w:tc>
          <w:tcPr>
            <w:cnfStyle w:val="000010000000" w:firstRow="0" w:lastRow="0" w:firstColumn="0" w:lastColumn="0" w:oddVBand="1" w:evenVBand="0" w:oddHBand="0" w:evenHBand="0" w:firstRowFirstColumn="0" w:firstRowLastColumn="0" w:lastRowFirstColumn="0" w:lastRowLastColumn="0"/>
            <w:tcW w:w="1659" w:type="dxa"/>
            <w:shd w:val="clear" w:color="auto" w:fill="C3AFCC"/>
          </w:tcPr>
          <w:p w14:paraId="74D504A4" w14:textId="77777777" w:rsidR="003462CF" w:rsidRPr="000E7EED" w:rsidRDefault="003462CF" w:rsidP="003462CF">
            <w:pPr>
              <w:jc w:val="center"/>
              <w:rPr>
                <w:b/>
                <w:color w:val="000000" w:themeColor="text1"/>
              </w:rPr>
            </w:pPr>
            <w:r w:rsidRPr="55245693">
              <w:rPr>
                <w:b/>
                <w:color w:val="000000" w:themeColor="text1"/>
              </w:rPr>
              <w:t>Q</w:t>
            </w:r>
            <w:r>
              <w:rPr>
                <w:b/>
                <w:color w:val="000000" w:themeColor="text1"/>
              </w:rPr>
              <w:t>1</w:t>
            </w:r>
          </w:p>
          <w:p w14:paraId="537B5889" w14:textId="20C35A71" w:rsidR="003462CF" w:rsidRPr="000E7EED" w:rsidRDefault="003462CF" w:rsidP="003462CF">
            <w:pPr>
              <w:jc w:val="center"/>
              <w:rPr>
                <w:color w:val="000000" w:themeColor="text1"/>
              </w:rPr>
            </w:pPr>
            <w:r w:rsidRPr="000E7EED">
              <w:rPr>
                <w:b/>
                <w:color w:val="000000" w:themeColor="text1"/>
              </w:rPr>
              <w:t>20</w:t>
            </w:r>
            <w:r>
              <w:rPr>
                <w:b/>
                <w:color w:val="000000" w:themeColor="text1"/>
              </w:rPr>
              <w:t>2</w:t>
            </w:r>
            <w:r w:rsidR="00465A12">
              <w:rPr>
                <w:b/>
                <w:color w:val="000000" w:themeColor="text1"/>
              </w:rPr>
              <w:t>2</w:t>
            </w:r>
            <w:r>
              <w:rPr>
                <w:b/>
                <w:color w:val="000000" w:themeColor="text1"/>
              </w:rPr>
              <w:t>-2</w:t>
            </w:r>
            <w:r w:rsidR="00465A12">
              <w:rPr>
                <w:b/>
                <w:color w:val="000000" w:themeColor="text1"/>
              </w:rPr>
              <w:t>3</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C3AFCC"/>
          </w:tcPr>
          <w:p w14:paraId="47AC49BE" w14:textId="77777777" w:rsidR="003462CF" w:rsidRDefault="003462CF" w:rsidP="003462CF">
            <w:pPr>
              <w:jc w:val="center"/>
              <w:rPr>
                <w:b/>
                <w:color w:val="000000" w:themeColor="text1"/>
              </w:rPr>
            </w:pPr>
            <w:r w:rsidRPr="55245693">
              <w:rPr>
                <w:b/>
                <w:color w:val="000000" w:themeColor="text1"/>
              </w:rPr>
              <w:t>Q</w:t>
            </w:r>
            <w:r>
              <w:rPr>
                <w:b/>
                <w:color w:val="000000" w:themeColor="text1"/>
              </w:rPr>
              <w:t>2</w:t>
            </w:r>
          </w:p>
          <w:p w14:paraId="7F054B76" w14:textId="3795E534" w:rsidR="003462CF" w:rsidRPr="00A76427" w:rsidRDefault="003462CF" w:rsidP="003462CF">
            <w:pPr>
              <w:jc w:val="center"/>
              <w:rPr>
                <w:b/>
                <w:color w:val="000000" w:themeColor="text1"/>
              </w:rPr>
            </w:pPr>
            <w:r w:rsidRPr="000E7EED">
              <w:rPr>
                <w:b/>
                <w:color w:val="000000" w:themeColor="text1"/>
              </w:rPr>
              <w:t>20</w:t>
            </w:r>
            <w:r>
              <w:rPr>
                <w:b/>
                <w:color w:val="000000" w:themeColor="text1"/>
              </w:rPr>
              <w:t>22-23</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C3AFCC"/>
          </w:tcPr>
          <w:p w14:paraId="2A244B3B" w14:textId="77777777" w:rsidR="003462CF" w:rsidRDefault="003462CF" w:rsidP="003462CF">
            <w:pPr>
              <w:jc w:val="center"/>
              <w:rPr>
                <w:b/>
                <w:bCs w:val="0"/>
                <w:color w:val="000000" w:themeColor="text1"/>
              </w:rPr>
            </w:pPr>
            <w:r>
              <w:rPr>
                <w:b/>
                <w:color w:val="000000" w:themeColor="text1"/>
              </w:rPr>
              <w:t>Q3 2022-23</w:t>
            </w:r>
          </w:p>
          <w:p w14:paraId="1EE8EA13" w14:textId="4D66DB71" w:rsidR="003462CF" w:rsidRPr="55245693" w:rsidRDefault="003462CF" w:rsidP="003462CF">
            <w:pPr>
              <w:jc w:val="center"/>
              <w:rPr>
                <w:b/>
                <w:color w:val="000000" w:themeColor="text1"/>
              </w:rPr>
            </w:pPr>
            <w:r>
              <w:rPr>
                <w:b/>
                <w:color w:val="000000" w:themeColor="text1"/>
              </w:rPr>
              <w:t>projection</w:t>
            </w:r>
          </w:p>
        </w:tc>
      </w:tr>
      <w:tr w:rsidR="00B76A6C" w:rsidRPr="000E7EED" w14:paraId="673A80E6" w14:textId="68688B27" w:rsidTr="00E94FBD">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vMerge w:val="restart"/>
          </w:tcPr>
          <w:p w14:paraId="22ABC519" w14:textId="103D0FC9" w:rsidR="00B76A6C" w:rsidRPr="001F0CF5" w:rsidRDefault="00B76A6C" w:rsidP="00B76A6C">
            <w:pPr>
              <w:rPr>
                <w:color w:val="000000" w:themeColor="text1"/>
              </w:rPr>
            </w:pPr>
            <w:r w:rsidRPr="001F0CF5">
              <w:rPr>
                <w:color w:val="000000" w:themeColor="text1"/>
              </w:rPr>
              <w:t>Requests for Legal Help assistance</w:t>
            </w:r>
          </w:p>
        </w:tc>
        <w:tc>
          <w:tcPr>
            <w:cnfStyle w:val="000001000000" w:firstRow="0" w:lastRow="0" w:firstColumn="0" w:lastColumn="0" w:oddVBand="0" w:evenVBand="1" w:oddHBand="0" w:evenHBand="0" w:firstRowFirstColumn="0" w:firstRowLastColumn="0" w:lastRowFirstColumn="0" w:lastRowLastColumn="0"/>
            <w:tcW w:w="1659" w:type="dxa"/>
          </w:tcPr>
          <w:p w14:paraId="50E1615B" w14:textId="185CA98D" w:rsidR="00B76A6C" w:rsidRPr="000E7EED" w:rsidRDefault="00B76A6C" w:rsidP="00B76A6C">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659" w:type="dxa"/>
            <w:shd w:val="clear" w:color="auto" w:fill="auto"/>
            <w:vAlign w:val="center"/>
          </w:tcPr>
          <w:p w14:paraId="32B513F8" w14:textId="57737924" w:rsidR="00B76A6C" w:rsidRPr="000E7EED" w:rsidRDefault="00B76A6C" w:rsidP="00B76A6C">
            <w:pPr>
              <w:jc w:val="center"/>
              <w:rPr>
                <w:color w:val="000000" w:themeColor="text1"/>
              </w:rPr>
            </w:pPr>
            <w:r w:rsidRPr="00E94FBD">
              <w:rPr>
                <w:rStyle w:val="normaltextrun"/>
                <w:rFonts w:cs="Arial"/>
                <w:szCs w:val="22"/>
              </w:rPr>
              <w:t>35</w:t>
            </w:r>
            <w:r>
              <w:rPr>
                <w:rStyle w:val="normaltextrun"/>
                <w:rFonts w:cs="Arial"/>
                <w:szCs w:val="22"/>
              </w:rPr>
              <w:t>,</w:t>
            </w:r>
            <w:r w:rsidRPr="00E94FBD">
              <w:rPr>
                <w:rStyle w:val="normaltextrun"/>
                <w:rFonts w:cs="Arial"/>
                <w:szCs w:val="22"/>
              </w:rPr>
              <w:t>698</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12828136" w14:textId="19BE90DC" w:rsidR="00B76A6C" w:rsidRPr="00E94FBD" w:rsidRDefault="00B76A6C" w:rsidP="00B76A6C">
            <w:pPr>
              <w:jc w:val="center"/>
              <w:rPr>
                <w:rStyle w:val="normaltextrun"/>
                <w:rFonts w:cs="Arial"/>
                <w:szCs w:val="22"/>
              </w:rPr>
            </w:pPr>
            <w:r w:rsidRPr="00110497">
              <w:rPr>
                <w:rStyle w:val="normaltextrun"/>
                <w:rFonts w:cs="Arial"/>
                <w:szCs w:val="22"/>
              </w:rPr>
              <w:t>34</w:t>
            </w:r>
            <w:r w:rsidR="00110497">
              <w:rPr>
                <w:rStyle w:val="normaltextrun"/>
                <w:rFonts w:cs="Arial"/>
                <w:szCs w:val="22"/>
              </w:rPr>
              <w:t>,</w:t>
            </w:r>
            <w:r w:rsidRPr="00110497">
              <w:rPr>
                <w:rStyle w:val="normaltextrun"/>
                <w:rFonts w:cs="Arial"/>
                <w:szCs w:val="22"/>
              </w:rPr>
              <w:t>681</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0DAF5679" w14:textId="78E17211" w:rsidR="00B76A6C" w:rsidRPr="00E94FBD" w:rsidRDefault="00B76A6C" w:rsidP="00B76A6C">
            <w:pPr>
              <w:jc w:val="center"/>
              <w:rPr>
                <w:rStyle w:val="normaltextrun"/>
                <w:rFonts w:cs="Arial"/>
                <w:szCs w:val="22"/>
              </w:rPr>
            </w:pPr>
            <w:r w:rsidRPr="00110497">
              <w:rPr>
                <w:rStyle w:val="normaltextrun"/>
                <w:rFonts w:cs="Arial"/>
                <w:szCs w:val="22"/>
              </w:rPr>
              <w:t>37</w:t>
            </w:r>
            <w:r w:rsidR="00110497">
              <w:rPr>
                <w:rStyle w:val="normaltextrun"/>
                <w:rFonts w:cs="Arial"/>
                <w:szCs w:val="22"/>
              </w:rPr>
              <w:t>,</w:t>
            </w:r>
            <w:r w:rsidRPr="00110497">
              <w:rPr>
                <w:rStyle w:val="normaltextrun"/>
                <w:rFonts w:cs="Arial"/>
                <w:szCs w:val="22"/>
              </w:rPr>
              <w:t>60</w:t>
            </w:r>
            <w:r w:rsidR="00AA61F5">
              <w:rPr>
                <w:rStyle w:val="normaltextrun"/>
                <w:rFonts w:cs="Arial"/>
                <w:szCs w:val="22"/>
              </w:rPr>
              <w:t>0</w:t>
            </w:r>
          </w:p>
        </w:tc>
      </w:tr>
      <w:tr w:rsidR="00B76A6C" w:rsidRPr="000E7EED" w14:paraId="1B8D8858" w14:textId="1A952ABD" w:rsidTr="00E94FBD">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vMerge/>
          </w:tcPr>
          <w:p w14:paraId="6FE97750" w14:textId="77777777" w:rsidR="00B76A6C" w:rsidRPr="001F0CF5" w:rsidRDefault="00B76A6C" w:rsidP="00B76A6C">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659" w:type="dxa"/>
            <w:tcBorders>
              <w:top w:val="single" w:sz="4" w:space="0" w:color="7F7F7F" w:themeColor="text1" w:themeTint="80"/>
            </w:tcBorders>
          </w:tcPr>
          <w:p w14:paraId="6A9325D5" w14:textId="17639081" w:rsidR="00B76A6C" w:rsidRPr="000E7EED" w:rsidRDefault="00B76A6C" w:rsidP="00B76A6C">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659" w:type="dxa"/>
            <w:tcBorders>
              <w:bottom w:val="single" w:sz="4" w:space="0" w:color="7F7F7F" w:themeColor="text1" w:themeTint="80"/>
            </w:tcBorders>
            <w:shd w:val="clear" w:color="auto" w:fill="auto"/>
            <w:vAlign w:val="center"/>
          </w:tcPr>
          <w:p w14:paraId="2A1F3A44" w14:textId="5A56753A" w:rsidR="00B76A6C" w:rsidRPr="000E7EED" w:rsidRDefault="00B76A6C" w:rsidP="00B76A6C">
            <w:pPr>
              <w:jc w:val="center"/>
              <w:rPr>
                <w:color w:val="000000" w:themeColor="text1"/>
              </w:rPr>
            </w:pPr>
            <w:r w:rsidRPr="00E94FBD">
              <w:rPr>
                <w:rStyle w:val="normaltextrun"/>
                <w:rFonts w:cs="Arial"/>
                <w:szCs w:val="22"/>
              </w:rPr>
              <w:t>10</w:t>
            </w:r>
            <w:r>
              <w:rPr>
                <w:rStyle w:val="normaltextrun"/>
                <w:rFonts w:cs="Arial"/>
                <w:szCs w:val="22"/>
              </w:rPr>
              <w:t>,</w:t>
            </w:r>
            <w:r w:rsidRPr="00E94FBD">
              <w:rPr>
                <w:rStyle w:val="normaltextrun"/>
                <w:rFonts w:cs="Arial"/>
                <w:szCs w:val="22"/>
              </w:rPr>
              <w:t>580</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0B0B0D09" w14:textId="3EC80D15" w:rsidR="00B76A6C" w:rsidRPr="00E94FBD" w:rsidRDefault="00B76A6C" w:rsidP="00B76A6C">
            <w:pPr>
              <w:jc w:val="center"/>
              <w:rPr>
                <w:rStyle w:val="normaltextrun"/>
                <w:rFonts w:cs="Arial"/>
                <w:szCs w:val="22"/>
              </w:rPr>
            </w:pPr>
            <w:r w:rsidRPr="00110497">
              <w:rPr>
                <w:rStyle w:val="normaltextrun"/>
                <w:rFonts w:cs="Arial"/>
                <w:szCs w:val="22"/>
              </w:rPr>
              <w:t>9</w:t>
            </w:r>
            <w:r w:rsidR="00110497">
              <w:rPr>
                <w:rStyle w:val="normaltextrun"/>
                <w:rFonts w:cs="Arial"/>
                <w:szCs w:val="22"/>
              </w:rPr>
              <w:t>,</w:t>
            </w:r>
            <w:r w:rsidRPr="00110497">
              <w:rPr>
                <w:rStyle w:val="normaltextrun"/>
                <w:rFonts w:cs="Arial"/>
                <w:szCs w:val="22"/>
              </w:rPr>
              <w:t>246</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679552C6" w14:textId="23C5220E" w:rsidR="00B76A6C" w:rsidRPr="00E94FBD" w:rsidRDefault="00B76A6C" w:rsidP="00B76A6C">
            <w:pPr>
              <w:jc w:val="center"/>
              <w:rPr>
                <w:rStyle w:val="normaltextrun"/>
                <w:rFonts w:cs="Arial"/>
                <w:szCs w:val="22"/>
              </w:rPr>
            </w:pPr>
            <w:r w:rsidRPr="00110497">
              <w:rPr>
                <w:rStyle w:val="normaltextrun"/>
                <w:rFonts w:cs="Arial"/>
                <w:szCs w:val="22"/>
              </w:rPr>
              <w:t>10</w:t>
            </w:r>
            <w:r w:rsidR="00110497">
              <w:rPr>
                <w:rStyle w:val="normaltextrun"/>
                <w:rFonts w:cs="Arial"/>
                <w:szCs w:val="22"/>
              </w:rPr>
              <w:t>,</w:t>
            </w:r>
            <w:r w:rsidRPr="00110497">
              <w:rPr>
                <w:rStyle w:val="normaltextrun"/>
                <w:rFonts w:cs="Arial"/>
                <w:szCs w:val="22"/>
              </w:rPr>
              <w:t>300</w:t>
            </w:r>
          </w:p>
        </w:tc>
      </w:tr>
      <w:tr w:rsidR="00B76A6C" w:rsidRPr="000E7EED" w14:paraId="63EA8C9D" w14:textId="66956605" w:rsidTr="00E94FBD">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vMerge w:val="restart"/>
          </w:tcPr>
          <w:p w14:paraId="343F4B5B" w14:textId="11A27AD7" w:rsidR="00B76A6C" w:rsidRPr="001F0CF5" w:rsidRDefault="00B76A6C" w:rsidP="00B76A6C">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1659" w:type="dxa"/>
          </w:tcPr>
          <w:p w14:paraId="2AA551BD" w14:textId="762B83B8" w:rsidR="00B76A6C" w:rsidRPr="000E7EED" w:rsidRDefault="00B76A6C" w:rsidP="00B76A6C">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659" w:type="dxa"/>
            <w:tcBorders>
              <w:top w:val="single" w:sz="4" w:space="0" w:color="auto"/>
            </w:tcBorders>
            <w:shd w:val="clear" w:color="auto" w:fill="auto"/>
            <w:vAlign w:val="center"/>
          </w:tcPr>
          <w:p w14:paraId="7B3AC051" w14:textId="31A7DC7B" w:rsidR="00B76A6C" w:rsidRPr="000E7EED" w:rsidRDefault="00B76A6C" w:rsidP="00B76A6C">
            <w:pPr>
              <w:jc w:val="center"/>
              <w:rPr>
                <w:color w:val="000000" w:themeColor="text1"/>
              </w:rPr>
            </w:pPr>
            <w:r w:rsidRPr="00E94FBD">
              <w:rPr>
                <w:rStyle w:val="normaltextrun"/>
                <w:rFonts w:cs="Arial"/>
                <w:szCs w:val="22"/>
              </w:rPr>
              <w:t>22</w:t>
            </w:r>
            <w:r>
              <w:rPr>
                <w:rStyle w:val="normaltextrun"/>
                <w:rFonts w:cs="Arial"/>
                <w:szCs w:val="22"/>
              </w:rPr>
              <w:t>,</w:t>
            </w:r>
            <w:r w:rsidRPr="00E94FBD">
              <w:rPr>
                <w:rStyle w:val="normaltextrun"/>
                <w:rFonts w:cs="Arial"/>
                <w:szCs w:val="22"/>
              </w:rPr>
              <w:t>041</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0C7F4A16" w14:textId="1BAAAB35" w:rsidR="00B76A6C" w:rsidRPr="00E94FBD" w:rsidRDefault="00B76A6C" w:rsidP="00B76A6C">
            <w:pPr>
              <w:jc w:val="center"/>
              <w:rPr>
                <w:rStyle w:val="normaltextrun"/>
                <w:rFonts w:cs="Arial"/>
                <w:szCs w:val="22"/>
              </w:rPr>
            </w:pPr>
            <w:r w:rsidRPr="00110497">
              <w:rPr>
                <w:rStyle w:val="normaltextrun"/>
                <w:rFonts w:cs="Arial"/>
                <w:szCs w:val="22"/>
              </w:rPr>
              <w:t>22</w:t>
            </w:r>
            <w:r w:rsidR="00110497">
              <w:rPr>
                <w:rStyle w:val="normaltextrun"/>
                <w:rFonts w:cs="Arial"/>
                <w:szCs w:val="22"/>
              </w:rPr>
              <w:t>,</w:t>
            </w:r>
            <w:r w:rsidRPr="00110497">
              <w:rPr>
                <w:rStyle w:val="normaltextrun"/>
                <w:rFonts w:cs="Arial"/>
                <w:szCs w:val="22"/>
              </w:rPr>
              <w:t>794</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0C77C3D5" w14:textId="4BF52D67" w:rsidR="00B76A6C" w:rsidRPr="00E94FBD" w:rsidRDefault="00B76A6C" w:rsidP="00B76A6C">
            <w:pPr>
              <w:jc w:val="center"/>
              <w:rPr>
                <w:rStyle w:val="normaltextrun"/>
                <w:rFonts w:cs="Arial"/>
                <w:szCs w:val="22"/>
              </w:rPr>
            </w:pPr>
            <w:r w:rsidRPr="00110497">
              <w:rPr>
                <w:rStyle w:val="normaltextrun"/>
                <w:rFonts w:cs="Arial"/>
                <w:szCs w:val="22"/>
              </w:rPr>
              <w:t>22</w:t>
            </w:r>
            <w:r w:rsidR="00110497">
              <w:rPr>
                <w:rStyle w:val="normaltextrun"/>
                <w:rFonts w:cs="Arial"/>
                <w:szCs w:val="22"/>
              </w:rPr>
              <w:t>,</w:t>
            </w:r>
            <w:r w:rsidRPr="00110497">
              <w:rPr>
                <w:rStyle w:val="normaltextrun"/>
                <w:rFonts w:cs="Arial"/>
                <w:szCs w:val="22"/>
              </w:rPr>
              <w:t>8</w:t>
            </w:r>
            <w:r w:rsidR="00AA61F5">
              <w:rPr>
                <w:rStyle w:val="normaltextrun"/>
                <w:rFonts w:cs="Arial"/>
                <w:szCs w:val="22"/>
              </w:rPr>
              <w:t>00</w:t>
            </w:r>
          </w:p>
        </w:tc>
      </w:tr>
      <w:tr w:rsidR="00B76A6C" w:rsidRPr="000E7EED" w14:paraId="7DCD8807" w14:textId="69A07913" w:rsidTr="00E94FBD">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vMerge/>
          </w:tcPr>
          <w:p w14:paraId="58C5451E" w14:textId="77777777" w:rsidR="00B76A6C" w:rsidRDefault="00B76A6C" w:rsidP="00B76A6C">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659" w:type="dxa"/>
            <w:tcBorders>
              <w:top w:val="single" w:sz="4" w:space="0" w:color="7F7F7F" w:themeColor="text1" w:themeTint="80"/>
              <w:bottom w:val="single" w:sz="4" w:space="0" w:color="7F7F7F" w:themeColor="text1" w:themeTint="80"/>
            </w:tcBorders>
          </w:tcPr>
          <w:p w14:paraId="22F965B2" w14:textId="769783D4" w:rsidR="00B76A6C" w:rsidRPr="000E7EED" w:rsidRDefault="00B76A6C" w:rsidP="00B76A6C">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659" w:type="dxa"/>
            <w:tcBorders>
              <w:bottom w:val="none" w:sz="0" w:space="0" w:color="auto"/>
            </w:tcBorders>
            <w:shd w:val="clear" w:color="auto" w:fill="auto"/>
            <w:vAlign w:val="center"/>
          </w:tcPr>
          <w:p w14:paraId="54BF1051" w14:textId="2823AD54" w:rsidR="00B76A6C" w:rsidRPr="000E7EED" w:rsidRDefault="00B76A6C" w:rsidP="00B76A6C">
            <w:pPr>
              <w:jc w:val="center"/>
              <w:rPr>
                <w:color w:val="000000" w:themeColor="text1"/>
              </w:rPr>
            </w:pPr>
            <w:r w:rsidRPr="00E94FBD">
              <w:rPr>
                <w:rStyle w:val="normaltextrun"/>
                <w:rFonts w:cs="Arial"/>
                <w:szCs w:val="22"/>
              </w:rPr>
              <w:t>10</w:t>
            </w:r>
            <w:r>
              <w:rPr>
                <w:rStyle w:val="normaltextrun"/>
                <w:rFonts w:cs="Arial"/>
                <w:szCs w:val="22"/>
              </w:rPr>
              <w:t>,</w:t>
            </w:r>
            <w:r w:rsidRPr="00E94FBD">
              <w:rPr>
                <w:rStyle w:val="normaltextrun"/>
                <w:rFonts w:cs="Arial"/>
                <w:szCs w:val="22"/>
              </w:rPr>
              <w:t>359</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40E1C52C" w14:textId="7D76DC27" w:rsidR="00B76A6C" w:rsidRPr="00E94FBD" w:rsidRDefault="00B76A6C" w:rsidP="00B76A6C">
            <w:pPr>
              <w:jc w:val="center"/>
              <w:rPr>
                <w:rStyle w:val="normaltextrun"/>
                <w:rFonts w:cs="Arial"/>
                <w:szCs w:val="22"/>
              </w:rPr>
            </w:pPr>
            <w:r w:rsidRPr="00110497">
              <w:rPr>
                <w:rStyle w:val="normaltextrun"/>
                <w:rFonts w:cs="Arial"/>
                <w:szCs w:val="22"/>
              </w:rPr>
              <w:t>9</w:t>
            </w:r>
            <w:r w:rsidR="00110497">
              <w:rPr>
                <w:rStyle w:val="normaltextrun"/>
                <w:rFonts w:cs="Arial"/>
                <w:szCs w:val="22"/>
              </w:rPr>
              <w:t>,</w:t>
            </w:r>
            <w:r w:rsidRPr="00110497">
              <w:rPr>
                <w:rStyle w:val="normaltextrun"/>
                <w:rFonts w:cs="Arial"/>
                <w:szCs w:val="22"/>
              </w:rPr>
              <w:t>165</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4C51BEAB" w14:textId="3340D261" w:rsidR="00B76A6C" w:rsidRPr="00E94FBD" w:rsidRDefault="00B76A6C" w:rsidP="00B76A6C">
            <w:pPr>
              <w:jc w:val="center"/>
              <w:rPr>
                <w:rStyle w:val="normaltextrun"/>
                <w:rFonts w:cs="Arial"/>
                <w:szCs w:val="22"/>
              </w:rPr>
            </w:pPr>
            <w:r w:rsidRPr="00110497">
              <w:rPr>
                <w:rStyle w:val="normaltextrun"/>
                <w:rFonts w:cs="Arial"/>
                <w:szCs w:val="22"/>
              </w:rPr>
              <w:t>9</w:t>
            </w:r>
            <w:r w:rsidR="00110497">
              <w:rPr>
                <w:rStyle w:val="normaltextrun"/>
                <w:rFonts w:cs="Arial"/>
                <w:szCs w:val="22"/>
              </w:rPr>
              <w:t>,</w:t>
            </w:r>
            <w:r w:rsidR="00AA61F5">
              <w:rPr>
                <w:rStyle w:val="normaltextrun"/>
                <w:rFonts w:cs="Arial"/>
                <w:szCs w:val="22"/>
              </w:rPr>
              <w:t>800</w:t>
            </w:r>
          </w:p>
        </w:tc>
      </w:tr>
      <w:tr w:rsidR="00B76A6C" w:rsidRPr="000E7EED" w14:paraId="158AADBC" w14:textId="77777777" w:rsidTr="00E94FBD">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tcPr>
          <w:p w14:paraId="4CDC4050" w14:textId="5A0FC0F2" w:rsidR="00B76A6C" w:rsidRDefault="00B76A6C" w:rsidP="00B76A6C">
            <w:pPr>
              <w:rPr>
                <w:color w:val="000000" w:themeColor="text1"/>
              </w:rPr>
            </w:pPr>
            <w:r>
              <w:rPr>
                <w:color w:val="000000" w:themeColor="text1"/>
              </w:rPr>
              <w:t>Average wait time (minutes)</w:t>
            </w:r>
          </w:p>
        </w:tc>
        <w:tc>
          <w:tcPr>
            <w:cnfStyle w:val="000001000000" w:firstRow="0" w:lastRow="0" w:firstColumn="0" w:lastColumn="0" w:oddVBand="0" w:evenVBand="1" w:oddHBand="0" w:evenHBand="0" w:firstRowFirstColumn="0" w:firstRowLastColumn="0" w:lastRowFirstColumn="0" w:lastRowLastColumn="0"/>
            <w:tcW w:w="1659" w:type="dxa"/>
          </w:tcPr>
          <w:p w14:paraId="389C20F1" w14:textId="78A28DC7" w:rsidR="00B76A6C" w:rsidRDefault="00B76A6C" w:rsidP="00B76A6C">
            <w:pPr>
              <w:rPr>
                <w:color w:val="000000" w:themeColor="text1"/>
              </w:rPr>
            </w:pPr>
            <w:r>
              <w:rPr>
                <w:color w:val="000000" w:themeColor="text1"/>
              </w:rPr>
              <w:t>Phoneline and web chat (consolidated)</w:t>
            </w:r>
          </w:p>
        </w:tc>
        <w:tc>
          <w:tcPr>
            <w:cnfStyle w:val="000010000000" w:firstRow="0" w:lastRow="0" w:firstColumn="0" w:lastColumn="0" w:oddVBand="1" w:evenVBand="0" w:oddHBand="0" w:evenHBand="0" w:firstRowFirstColumn="0" w:firstRowLastColumn="0" w:lastRowFirstColumn="0" w:lastRowLastColumn="0"/>
            <w:tcW w:w="1659" w:type="dxa"/>
            <w:tcBorders>
              <w:bottom w:val="single" w:sz="4" w:space="0" w:color="7F7F7F" w:themeColor="text1" w:themeTint="80"/>
            </w:tcBorders>
            <w:shd w:val="clear" w:color="auto" w:fill="auto"/>
            <w:vAlign w:val="center"/>
          </w:tcPr>
          <w:p w14:paraId="58A89C42" w14:textId="2497BD8E" w:rsidR="00B76A6C" w:rsidRDefault="00B76A6C" w:rsidP="00B76A6C">
            <w:pPr>
              <w:jc w:val="center"/>
            </w:pPr>
            <w:r w:rsidRPr="3563B3DB">
              <w:rPr>
                <w:rStyle w:val="normaltextrun"/>
                <w:rFonts w:cs="Arial"/>
              </w:rPr>
              <w:t>11.55</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577F8098" w14:textId="130312CE" w:rsidR="00B76A6C" w:rsidRPr="00110497" w:rsidRDefault="00B76A6C" w:rsidP="00B76A6C">
            <w:pPr>
              <w:jc w:val="center"/>
              <w:rPr>
                <w:rStyle w:val="normaltextrun"/>
                <w:rFonts w:cs="Arial"/>
                <w:szCs w:val="22"/>
              </w:rPr>
            </w:pPr>
            <w:r w:rsidRPr="00110497">
              <w:rPr>
                <w:rStyle w:val="normaltextrun"/>
                <w:rFonts w:cs="Arial"/>
                <w:szCs w:val="22"/>
              </w:rPr>
              <w:t>9:12</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51752148" w14:textId="77F51770" w:rsidR="00B76A6C" w:rsidRPr="00E94FBD" w:rsidRDefault="00B76A6C" w:rsidP="00B76A6C">
            <w:pPr>
              <w:jc w:val="center"/>
              <w:rPr>
                <w:rStyle w:val="normaltextrun"/>
                <w:rFonts w:cs="Arial"/>
                <w:szCs w:val="22"/>
              </w:rPr>
            </w:pPr>
            <w:r w:rsidRPr="00110497">
              <w:rPr>
                <w:rStyle w:val="normaltextrun"/>
                <w:rFonts w:cs="Arial"/>
                <w:szCs w:val="22"/>
              </w:rPr>
              <w:t>12:00</w:t>
            </w:r>
          </w:p>
        </w:tc>
      </w:tr>
    </w:tbl>
    <w:bookmarkEnd w:id="1"/>
    <w:bookmarkEnd w:id="2"/>
    <w:p w14:paraId="1B4180C2" w14:textId="33B6573C" w:rsidR="00940693" w:rsidRDefault="00955F25" w:rsidP="003462CF">
      <w:pPr>
        <w:spacing w:before="120"/>
      </w:pPr>
      <w:r>
        <w:t xml:space="preserve">In quarter </w:t>
      </w:r>
      <w:r w:rsidR="009E6C97">
        <w:t>two</w:t>
      </w:r>
      <w:r>
        <w:t xml:space="preserve"> 2022</w:t>
      </w:r>
      <w:r>
        <w:rPr>
          <w:lang w:eastAsia="en-AU"/>
        </w:rPr>
        <w:t>–23, we</w:t>
      </w:r>
      <w:r w:rsidR="00751A43">
        <w:t xml:space="preserve"> provided </w:t>
      </w:r>
      <w:r w:rsidR="001925A4">
        <w:t>three</w:t>
      </w:r>
      <w:r w:rsidR="001C0244">
        <w:t xml:space="preserve"> per cent more</w:t>
      </w:r>
      <w:r w:rsidR="00E9024D">
        <w:t xml:space="preserve"> phoneline</w:t>
      </w:r>
      <w:r w:rsidR="001C0244">
        <w:t xml:space="preserve"> </w:t>
      </w:r>
      <w:r w:rsidR="00705E8B">
        <w:t>Legal Help</w:t>
      </w:r>
      <w:r w:rsidR="001C0244">
        <w:t xml:space="preserve"> sessions tha</w:t>
      </w:r>
      <w:r w:rsidR="00976BE7">
        <w:t>n</w:t>
      </w:r>
      <w:r w:rsidR="001C0244">
        <w:t xml:space="preserve"> </w:t>
      </w:r>
      <w:r w:rsidR="00F0611A">
        <w:t>the previous quarter</w:t>
      </w:r>
      <w:r w:rsidR="001C0244">
        <w:t xml:space="preserve">. </w:t>
      </w:r>
      <w:r w:rsidR="00764465">
        <w:t>Although we answered fewer webchats in this quarter</w:t>
      </w:r>
      <w:r w:rsidR="00613F70">
        <w:t>,</w:t>
      </w:r>
      <w:r w:rsidR="00764465">
        <w:t xml:space="preserve"> this was due to lower </w:t>
      </w:r>
      <w:r w:rsidR="00D32868">
        <w:t>demand,</w:t>
      </w:r>
      <w:r w:rsidR="00764465">
        <w:t xml:space="preserve"> and we answered </w:t>
      </w:r>
      <w:r w:rsidR="00CE05D7">
        <w:t>99 per cent of requests made via webchat</w:t>
      </w:r>
      <w:r w:rsidR="00AA3516">
        <w:t xml:space="preserve"> </w:t>
      </w:r>
      <w:r w:rsidR="008D7852">
        <w:t>compared to the</w:t>
      </w:r>
      <w:r w:rsidR="00AA3516">
        <w:t xml:space="preserve"> 98 per cent of webchats answered in the previous quarter.</w:t>
      </w:r>
    </w:p>
    <w:p w14:paraId="3172862D" w14:textId="41B9FD55" w:rsidR="008D7852" w:rsidRDefault="008D7852" w:rsidP="003462CF">
      <w:pPr>
        <w:spacing w:before="120"/>
      </w:pPr>
      <w:r>
        <w:t xml:space="preserve">The </w:t>
      </w:r>
      <w:r w:rsidR="00D8679F">
        <w:t>combined average wait time for the phoneline</w:t>
      </w:r>
      <w:r w:rsidR="00DC4DF5">
        <w:t xml:space="preserve"> was </w:t>
      </w:r>
      <w:r w:rsidR="001343EC">
        <w:t xml:space="preserve">9 minutes and 12 seconds, a two minute and 43 second </w:t>
      </w:r>
      <w:r w:rsidR="00611F01">
        <w:t xml:space="preserve">improvement </w:t>
      </w:r>
      <w:r w:rsidR="001343EC">
        <w:t>since the last quarter. The</w:t>
      </w:r>
      <w:r w:rsidR="000B16D3">
        <w:t>se positive results for Legal Help services</w:t>
      </w:r>
      <w:r w:rsidR="001343EC">
        <w:t xml:space="preserve"> </w:t>
      </w:r>
      <w:r w:rsidR="000B16D3">
        <w:t xml:space="preserve">are a combination of targeted and timely recruitment, </w:t>
      </w:r>
      <w:r w:rsidR="00705E8B">
        <w:t xml:space="preserve">and the </w:t>
      </w:r>
      <w:r w:rsidR="000B16D3">
        <w:t>onboarding</w:t>
      </w:r>
      <w:r w:rsidR="00705E8B">
        <w:t>,</w:t>
      </w:r>
      <w:r w:rsidR="000B16D3">
        <w:t xml:space="preserve"> training and operational improvements b</w:t>
      </w:r>
      <w:r w:rsidR="0057331E">
        <w:t>r</w:t>
      </w:r>
      <w:r w:rsidR="000B16D3">
        <w:t>ought about by the introduction of our new contact centre platform Genesys</w:t>
      </w:r>
      <w:r w:rsidR="004B0702">
        <w:t>.</w:t>
      </w:r>
    </w:p>
    <w:p w14:paraId="548B2E87" w14:textId="13933773" w:rsidR="008F1B38" w:rsidRPr="007B4095" w:rsidRDefault="007C1487" w:rsidP="00E43EE2">
      <w:pPr>
        <w:pStyle w:val="Tableheader"/>
        <w:rPr>
          <w:sz w:val="22"/>
          <w:szCs w:val="22"/>
        </w:rPr>
      </w:pPr>
      <w:r w:rsidRPr="007B4095">
        <w:rPr>
          <w:sz w:val="22"/>
          <w:szCs w:val="22"/>
        </w:rPr>
        <w:lastRenderedPageBreak/>
        <w:t xml:space="preserve">Table 1.3 </w:t>
      </w:r>
      <w:r w:rsidR="00495A11" w:rsidRPr="007B4095">
        <w:rPr>
          <w:sz w:val="22"/>
          <w:szCs w:val="22"/>
        </w:rPr>
        <w:t xml:space="preserve">Early </w:t>
      </w:r>
      <w:r w:rsidR="007B4095">
        <w:rPr>
          <w:sz w:val="22"/>
          <w:szCs w:val="22"/>
        </w:rPr>
        <w:t>i</w:t>
      </w:r>
      <w:r w:rsidR="00495A11" w:rsidRPr="007B4095">
        <w:rPr>
          <w:sz w:val="22"/>
          <w:szCs w:val="22"/>
        </w:rPr>
        <w:t xml:space="preserve">ntervention and </w:t>
      </w:r>
      <w:r w:rsidR="007B4095">
        <w:rPr>
          <w:sz w:val="22"/>
          <w:szCs w:val="22"/>
        </w:rPr>
        <w:t>p</w:t>
      </w:r>
      <w:r w:rsidR="00495A11" w:rsidRPr="007B4095">
        <w:rPr>
          <w:sz w:val="22"/>
          <w:szCs w:val="22"/>
        </w:rPr>
        <w:t>reventative services</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23"/>
        <w:gridCol w:w="1975"/>
        <w:gridCol w:w="2289"/>
        <w:gridCol w:w="2289"/>
      </w:tblGrid>
      <w:tr w:rsidR="003462CF" w14:paraId="4E36734E" w14:textId="6F69B069" w:rsidTr="097F0F09">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748" w:type="pct"/>
            <w:shd w:val="clear" w:color="auto" w:fill="C4B0CC"/>
          </w:tcPr>
          <w:p w14:paraId="69A5DE08" w14:textId="77777777" w:rsidR="003462CF" w:rsidRPr="00495A11" w:rsidRDefault="003462CF" w:rsidP="003462CF">
            <w:pPr>
              <w:rPr>
                <w:b/>
                <w:color w:val="000000" w:themeColor="text1"/>
              </w:rPr>
            </w:pPr>
            <w:r w:rsidRPr="00495A11">
              <w:rPr>
                <w:b/>
                <w:color w:val="000000" w:themeColor="text1"/>
              </w:rPr>
              <w:t>Early Intervention and Preventative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C4B0CC"/>
          </w:tcPr>
          <w:p w14:paraId="5D5E98F5" w14:textId="77777777" w:rsidR="003462CF" w:rsidRPr="000E7EED" w:rsidRDefault="003462CF" w:rsidP="003462CF">
            <w:pPr>
              <w:jc w:val="center"/>
              <w:rPr>
                <w:b/>
                <w:color w:val="000000" w:themeColor="text1"/>
              </w:rPr>
            </w:pPr>
            <w:r w:rsidRPr="55245693">
              <w:rPr>
                <w:b/>
                <w:color w:val="000000" w:themeColor="text1"/>
              </w:rPr>
              <w:t>Q</w:t>
            </w:r>
            <w:r>
              <w:rPr>
                <w:b/>
                <w:color w:val="000000" w:themeColor="text1"/>
              </w:rPr>
              <w:t>1</w:t>
            </w:r>
          </w:p>
          <w:p w14:paraId="1B43C195" w14:textId="5A965C31" w:rsidR="003462CF" w:rsidRPr="00495A11" w:rsidRDefault="003462CF" w:rsidP="003462CF">
            <w:pPr>
              <w:jc w:val="center"/>
              <w:rPr>
                <w:b/>
                <w:color w:val="000000" w:themeColor="text1"/>
              </w:rPr>
            </w:pPr>
            <w:r w:rsidRPr="000E7EED">
              <w:rPr>
                <w:b/>
                <w:color w:val="000000" w:themeColor="text1"/>
              </w:rPr>
              <w:t>20</w:t>
            </w:r>
            <w:r>
              <w:rPr>
                <w:b/>
                <w:color w:val="000000" w:themeColor="text1"/>
              </w:rPr>
              <w:t>2</w:t>
            </w:r>
            <w:r w:rsidR="00465A12">
              <w:rPr>
                <w:b/>
                <w:color w:val="000000" w:themeColor="text1"/>
              </w:rPr>
              <w:t>2</w:t>
            </w:r>
            <w:r>
              <w:rPr>
                <w:b/>
                <w:color w:val="000000" w:themeColor="text1"/>
              </w:rPr>
              <w:t>-2</w:t>
            </w:r>
            <w:r w:rsidR="00465A12">
              <w:rPr>
                <w:b/>
                <w:color w:val="000000" w:themeColor="text1"/>
              </w:rPr>
              <w:t>3</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513E0A39" w14:textId="77777777" w:rsidR="003462CF" w:rsidRDefault="003462CF" w:rsidP="003462CF">
            <w:pPr>
              <w:jc w:val="center"/>
              <w:rPr>
                <w:b/>
                <w:color w:val="000000" w:themeColor="text1"/>
              </w:rPr>
            </w:pPr>
            <w:r w:rsidRPr="55245693">
              <w:rPr>
                <w:b/>
                <w:color w:val="000000" w:themeColor="text1"/>
              </w:rPr>
              <w:t>Q</w:t>
            </w:r>
            <w:r>
              <w:rPr>
                <w:b/>
                <w:color w:val="000000" w:themeColor="text1"/>
              </w:rPr>
              <w:t>2</w:t>
            </w:r>
          </w:p>
          <w:p w14:paraId="1AE9CE31" w14:textId="541AFE87" w:rsidR="003462CF" w:rsidRPr="00495A11" w:rsidRDefault="003462CF" w:rsidP="003462CF">
            <w:pPr>
              <w:jc w:val="center"/>
              <w:rPr>
                <w:b/>
                <w:color w:val="000000" w:themeColor="text1"/>
              </w:rPr>
            </w:pPr>
            <w:r w:rsidRPr="000E7EED">
              <w:rPr>
                <w:b/>
                <w:color w:val="000000" w:themeColor="text1"/>
              </w:rPr>
              <w:t>20</w:t>
            </w:r>
            <w:r>
              <w:rPr>
                <w:b/>
                <w:color w:val="000000" w:themeColor="text1"/>
              </w:rPr>
              <w:t>22-23</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59E7CA7E" w14:textId="77777777" w:rsidR="003462CF" w:rsidRDefault="003462CF" w:rsidP="003462CF">
            <w:pPr>
              <w:jc w:val="center"/>
              <w:rPr>
                <w:b/>
                <w:bCs w:val="0"/>
                <w:color w:val="000000" w:themeColor="text1"/>
              </w:rPr>
            </w:pPr>
            <w:r>
              <w:rPr>
                <w:b/>
                <w:color w:val="000000" w:themeColor="text1"/>
              </w:rPr>
              <w:t>Q3 2022-23</w:t>
            </w:r>
          </w:p>
          <w:p w14:paraId="44A1A4EE" w14:textId="2C5036A4" w:rsidR="003462CF" w:rsidRPr="55245693" w:rsidRDefault="003462CF" w:rsidP="003462CF">
            <w:pPr>
              <w:jc w:val="center"/>
              <w:rPr>
                <w:b/>
                <w:color w:val="000000" w:themeColor="text1"/>
              </w:rPr>
            </w:pPr>
            <w:r>
              <w:rPr>
                <w:b/>
                <w:color w:val="000000" w:themeColor="text1"/>
              </w:rPr>
              <w:t>projection</w:t>
            </w:r>
          </w:p>
        </w:tc>
      </w:tr>
      <w:tr w:rsidR="00F216D9" w:rsidRPr="0021615C" w14:paraId="17F5CA1B" w14:textId="084127E4">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748" w:type="pct"/>
          </w:tcPr>
          <w:p w14:paraId="19F24B7C" w14:textId="49986B26" w:rsidR="00F216D9" w:rsidRPr="000E7EED" w:rsidRDefault="00F216D9" w:rsidP="00F216D9">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auto"/>
          </w:tcPr>
          <w:p w14:paraId="7F4686D8" w14:textId="00A101BF" w:rsidR="00F216D9" w:rsidRPr="000E7EED" w:rsidRDefault="00F216D9" w:rsidP="00F216D9">
            <w:pPr>
              <w:jc w:val="center"/>
              <w:rPr>
                <w:color w:val="000000" w:themeColor="text1"/>
              </w:rPr>
            </w:pPr>
            <w:r>
              <w:t>26,650</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30C32A25" w14:textId="7680A13B" w:rsidR="00F216D9" w:rsidRPr="0021615C" w:rsidRDefault="001A04E6" w:rsidP="00F216D9">
            <w:pPr>
              <w:jc w:val="center"/>
            </w:pPr>
            <w:r>
              <w:t>25,504</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46A3F8BF" w14:textId="409425CB" w:rsidR="00F216D9" w:rsidRPr="003A61E0" w:rsidRDefault="004D72BF" w:rsidP="00F216D9">
            <w:pPr>
              <w:jc w:val="center"/>
              <w:rPr>
                <w:highlight w:val="yellow"/>
              </w:rPr>
            </w:pPr>
            <w:r w:rsidRPr="00374AB6">
              <w:t>28,</w:t>
            </w:r>
            <w:r w:rsidR="00DF37AD">
              <w:t>000</w:t>
            </w:r>
          </w:p>
        </w:tc>
      </w:tr>
      <w:tr w:rsidR="00F216D9" w14:paraId="63D578F8" w14:textId="1B8A8397" w:rsidTr="00CB731B">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3941F306" w14:textId="17878B97" w:rsidR="00F216D9" w:rsidRPr="000E7EED" w:rsidRDefault="00F216D9" w:rsidP="00F216D9">
            <w:pPr>
              <w:rPr>
                <w:color w:val="000000" w:themeColor="text1"/>
              </w:rPr>
            </w:pPr>
            <w:r>
              <w:rPr>
                <w:color w:val="000000" w:themeColor="text1"/>
              </w:rPr>
              <w:t>Legal Advice</w:t>
            </w:r>
            <w:r w:rsidR="00A46E48">
              <w:rPr>
                <w:color w:val="000000" w:themeColor="text1"/>
              </w:rPr>
              <w:t xml:space="preserve">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980" w:type="pct"/>
            <w:tcBorders>
              <w:bottom w:val="single" w:sz="4" w:space="0" w:color="7F7F7F" w:themeColor="text1" w:themeTint="80"/>
            </w:tcBorders>
            <w:shd w:val="clear" w:color="auto" w:fill="auto"/>
            <w:vAlign w:val="center"/>
          </w:tcPr>
          <w:p w14:paraId="321509DE" w14:textId="7CD04751" w:rsidR="00F216D9" w:rsidRPr="000E7EED" w:rsidRDefault="00F216D9" w:rsidP="0018368D">
            <w:pPr>
              <w:jc w:val="center"/>
              <w:rPr>
                <w:color w:val="000000" w:themeColor="text1"/>
              </w:rPr>
            </w:pPr>
            <w:r>
              <w:rPr>
                <w:color w:val="000000" w:themeColor="text1"/>
              </w:rPr>
              <w:t>7,794</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62B478A5" w14:textId="7474397F" w:rsidR="00F216D9" w:rsidRPr="000E7EED" w:rsidRDefault="00FB5920" w:rsidP="0018368D">
            <w:pPr>
              <w:jc w:val="center"/>
              <w:rPr>
                <w:color w:val="000000" w:themeColor="text1"/>
              </w:rPr>
            </w:pPr>
            <w:r>
              <w:rPr>
                <w:color w:val="000000" w:themeColor="text1"/>
              </w:rPr>
              <w:t>7</w:t>
            </w:r>
            <w:r w:rsidR="00850D49">
              <w:rPr>
                <w:color w:val="000000" w:themeColor="text1"/>
              </w:rPr>
              <w:t>,</w:t>
            </w:r>
            <w:r>
              <w:rPr>
                <w:color w:val="000000" w:themeColor="text1"/>
              </w:rPr>
              <w:t>960</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2BE70748" w14:textId="061B3CE4" w:rsidR="00F216D9" w:rsidRPr="003A61E0" w:rsidRDefault="004439E2" w:rsidP="00F216D9">
            <w:pPr>
              <w:jc w:val="center"/>
              <w:rPr>
                <w:color w:val="000000" w:themeColor="text1"/>
                <w:highlight w:val="yellow"/>
              </w:rPr>
            </w:pPr>
            <w:r>
              <w:rPr>
                <w:color w:val="000000" w:themeColor="text1"/>
              </w:rPr>
              <w:t>7</w:t>
            </w:r>
            <w:r w:rsidR="000854D8" w:rsidRPr="000854D8">
              <w:rPr>
                <w:color w:val="000000" w:themeColor="text1"/>
              </w:rPr>
              <w:t>,</w:t>
            </w:r>
            <w:r>
              <w:rPr>
                <w:color w:val="000000" w:themeColor="text1"/>
              </w:rPr>
              <w:t>9</w:t>
            </w:r>
            <w:r w:rsidR="008037B7">
              <w:rPr>
                <w:color w:val="000000" w:themeColor="text1"/>
              </w:rPr>
              <w:t>0</w:t>
            </w:r>
            <w:r w:rsidR="00CF4A19">
              <w:rPr>
                <w:color w:val="000000" w:themeColor="text1"/>
              </w:rPr>
              <w:t>0</w:t>
            </w:r>
          </w:p>
        </w:tc>
      </w:tr>
      <w:tr w:rsidR="00F216D9" w14:paraId="6E8F7A5D" w14:textId="5ACA17E4" w:rsidTr="097F0F09">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6522BC66" w14:textId="09E8A605" w:rsidR="00F216D9" w:rsidRDefault="00F216D9" w:rsidP="00F216D9">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980" w:type="pct"/>
            <w:tcBorders>
              <w:top w:val="single" w:sz="4" w:space="0" w:color="auto"/>
            </w:tcBorders>
            <w:shd w:val="clear" w:color="auto" w:fill="auto"/>
            <w:vAlign w:val="center"/>
          </w:tcPr>
          <w:p w14:paraId="00A2751E" w14:textId="58538062" w:rsidR="00F216D9" w:rsidRDefault="00F216D9" w:rsidP="00F216D9">
            <w:pPr>
              <w:jc w:val="center"/>
              <w:rPr>
                <w:color w:val="000000" w:themeColor="text1"/>
              </w:rPr>
            </w:pPr>
            <w:r>
              <w:rPr>
                <w:color w:val="000000" w:themeColor="text1"/>
              </w:rPr>
              <w:t>45</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7373AE20" w14:textId="1A6DB166" w:rsidR="00F216D9" w:rsidRDefault="009A3CE6" w:rsidP="00F216D9">
            <w:pPr>
              <w:jc w:val="center"/>
              <w:rPr>
                <w:color w:val="000000" w:themeColor="text1"/>
              </w:rPr>
            </w:pPr>
            <w:r>
              <w:rPr>
                <w:color w:val="000000" w:themeColor="text1"/>
              </w:rPr>
              <w:t>5</w:t>
            </w:r>
            <w:r w:rsidR="00620EC5">
              <w:rPr>
                <w:color w:val="000000" w:themeColor="text1"/>
              </w:rPr>
              <w:t>4</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16036EBB" w14:textId="0242AD28" w:rsidR="00F216D9" w:rsidRDefault="009A3CE6" w:rsidP="00F216D9">
            <w:pPr>
              <w:jc w:val="center"/>
              <w:rPr>
                <w:color w:val="000000" w:themeColor="text1"/>
              </w:rPr>
            </w:pPr>
            <w:r>
              <w:rPr>
                <w:color w:val="000000" w:themeColor="text1"/>
              </w:rPr>
              <w:t>50</w:t>
            </w:r>
          </w:p>
        </w:tc>
      </w:tr>
      <w:tr w:rsidR="002203C8" w14:paraId="517976DD" w14:textId="1CBBBACD">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6E9B5491" w14:textId="77777777" w:rsidR="002203C8" w:rsidRPr="000E7EED" w:rsidRDefault="002203C8" w:rsidP="002203C8">
            <w:pPr>
              <w:rPr>
                <w:color w:val="000000" w:themeColor="text1"/>
              </w:rPr>
            </w:pPr>
            <w:r>
              <w:rPr>
                <w:color w:val="000000" w:themeColor="text1"/>
              </w:rPr>
              <w:t>W</w:t>
            </w:r>
            <w:r w:rsidRPr="000E7EED">
              <w:rPr>
                <w:color w:val="000000" w:themeColor="text1"/>
              </w:rPr>
              <w:t>ebsite</w:t>
            </w:r>
            <w:r>
              <w:rPr>
                <w:color w:val="000000" w:themeColor="text1"/>
              </w:rPr>
              <w:t xml:space="preserve"> sessions</w:t>
            </w:r>
          </w:p>
        </w:tc>
        <w:tc>
          <w:tcPr>
            <w:cnfStyle w:val="000001000000" w:firstRow="0" w:lastRow="0" w:firstColumn="0" w:lastColumn="0" w:oddVBand="0" w:evenVBand="1" w:oddHBand="0" w:evenHBand="0" w:firstRowFirstColumn="0" w:firstRowLastColumn="0" w:lastRowFirstColumn="0" w:lastRowLastColumn="0"/>
            <w:tcW w:w="980" w:type="pct"/>
            <w:tcBorders>
              <w:bottom w:val="single" w:sz="4" w:space="0" w:color="7F7F7F" w:themeColor="text1" w:themeTint="80"/>
            </w:tcBorders>
            <w:shd w:val="clear" w:color="auto" w:fill="auto"/>
          </w:tcPr>
          <w:p w14:paraId="58083224" w14:textId="0A55DC49" w:rsidR="002203C8" w:rsidRPr="000E7EED" w:rsidRDefault="002203C8" w:rsidP="002203C8">
            <w:pPr>
              <w:jc w:val="center"/>
              <w:rPr>
                <w:color w:val="000000" w:themeColor="text1"/>
              </w:rPr>
            </w:pPr>
            <w:r>
              <w:rPr>
                <w:color w:val="000000" w:themeColor="text1"/>
              </w:rPr>
              <w:t>599,920</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4D786578" w14:textId="5AD69B5D" w:rsidR="002203C8" w:rsidRPr="002203C8" w:rsidRDefault="002203C8" w:rsidP="002203C8">
            <w:pPr>
              <w:jc w:val="center"/>
              <w:rPr>
                <w:rFonts w:ascii="Calibri" w:hAnsi="Calibri"/>
                <w:color w:val="000000"/>
              </w:rPr>
            </w:pPr>
            <w:r>
              <w:rPr>
                <w:color w:val="000000"/>
              </w:rPr>
              <w:t>576,220</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68FA0D28" w14:textId="754B3D80" w:rsidR="002203C8" w:rsidRPr="002203C8" w:rsidRDefault="002203C8" w:rsidP="002203C8">
            <w:pPr>
              <w:jc w:val="center"/>
              <w:rPr>
                <w:rFonts w:ascii="Calibri" w:hAnsi="Calibri" w:cs="Calibri"/>
                <w:color w:val="000000"/>
                <w:szCs w:val="22"/>
              </w:rPr>
            </w:pPr>
            <w:r>
              <w:rPr>
                <w:color w:val="000000"/>
              </w:rPr>
              <w:t>6</w:t>
            </w:r>
            <w:r w:rsidR="00503F16">
              <w:rPr>
                <w:color w:val="000000"/>
              </w:rPr>
              <w:t>0</w:t>
            </w:r>
            <w:r>
              <w:rPr>
                <w:color w:val="000000"/>
              </w:rPr>
              <w:t>0,000</w:t>
            </w:r>
          </w:p>
        </w:tc>
      </w:tr>
    </w:tbl>
    <w:p w14:paraId="45BDACDF" w14:textId="77777777" w:rsidR="00F423AD" w:rsidRDefault="00F423AD" w:rsidP="00844BD8">
      <w:pPr>
        <w:pStyle w:val="Tableheader"/>
        <w:spacing w:before="0"/>
        <w:rPr>
          <w:b w:val="0"/>
          <w:bCs w:val="0"/>
          <w:sz w:val="22"/>
          <w:szCs w:val="22"/>
        </w:rPr>
      </w:pPr>
    </w:p>
    <w:p w14:paraId="4682C467" w14:textId="240C2829" w:rsidR="00FA1822" w:rsidRDefault="00600552" w:rsidP="00FA1822">
      <w:pPr>
        <w:spacing w:before="120"/>
      </w:pPr>
      <w:r>
        <w:t xml:space="preserve">There was a </w:t>
      </w:r>
      <w:r w:rsidR="001925A4">
        <w:t>four</w:t>
      </w:r>
      <w:r>
        <w:t xml:space="preserve"> per cent decrease in the number of </w:t>
      </w:r>
      <w:r w:rsidR="00393DC8">
        <w:t xml:space="preserve">information services provided in quarter </w:t>
      </w:r>
      <w:r w:rsidR="001471EC">
        <w:t>two</w:t>
      </w:r>
      <w:r w:rsidR="00393DC8">
        <w:t xml:space="preserve"> </w:t>
      </w:r>
      <w:r w:rsidR="00924337">
        <w:br/>
      </w:r>
      <w:r w:rsidR="00393DC8">
        <w:t>2022</w:t>
      </w:r>
      <w:r w:rsidR="00F20F01" w:rsidRPr="20E2085F">
        <w:rPr>
          <w:rFonts w:cs="Arial"/>
          <w:color w:val="000000" w:themeColor="text1"/>
          <w:szCs w:val="22"/>
          <w:lang w:eastAsia="en-AU"/>
        </w:rPr>
        <w:t>–</w:t>
      </w:r>
      <w:r w:rsidR="00393DC8">
        <w:t xml:space="preserve">23 compared to quarter one. </w:t>
      </w:r>
      <w:r w:rsidR="00081216">
        <w:t>Whilst there was an increase in the number of Legal Help</w:t>
      </w:r>
      <w:r w:rsidR="00EC3E3D">
        <w:t xml:space="preserve"> phoneline</w:t>
      </w:r>
      <w:r w:rsidR="00081216">
        <w:t xml:space="preserve"> sessions delivered this quarter, the Legal Help telephone line </w:t>
      </w:r>
      <w:r w:rsidR="00C20556">
        <w:t xml:space="preserve">provides both legal advice and information. Legal </w:t>
      </w:r>
      <w:r w:rsidR="00041101">
        <w:t>a</w:t>
      </w:r>
      <w:r w:rsidR="00C20556">
        <w:t xml:space="preserve">dvice is taking up an increasing proportion of the services delivered by the Legal Help telephone line. </w:t>
      </w:r>
      <w:r w:rsidR="00183F4D">
        <w:t xml:space="preserve">The Legal Help web chat service provides information only, and the fewer web chat services delivered are reflected in the lower </w:t>
      </w:r>
      <w:r w:rsidR="0052564A">
        <w:t>quarter</w:t>
      </w:r>
      <w:r w:rsidR="00183F4D">
        <w:t xml:space="preserve"> two results for information </w:t>
      </w:r>
      <w:r w:rsidR="0052564A">
        <w:t xml:space="preserve">sessions. </w:t>
      </w:r>
      <w:r w:rsidR="00DF5E21">
        <w:t>We</w:t>
      </w:r>
      <w:r w:rsidR="00620EC5">
        <w:t xml:space="preserve"> </w:t>
      </w:r>
      <w:r w:rsidR="003115BB">
        <w:t>are expecting</w:t>
      </w:r>
      <w:r w:rsidR="001F1F38">
        <w:t xml:space="preserve"> to see an</w:t>
      </w:r>
      <w:r w:rsidR="001B49EC">
        <w:t xml:space="preserve"> increasing </w:t>
      </w:r>
      <w:r w:rsidR="001F1F38">
        <w:t xml:space="preserve">number of </w:t>
      </w:r>
      <w:r w:rsidR="001B49EC">
        <w:t>legal information session</w:t>
      </w:r>
      <w:r w:rsidR="001F1F38">
        <w:t>s</w:t>
      </w:r>
      <w:r w:rsidR="001B49EC">
        <w:t xml:space="preserve"> thorough our Legal Help </w:t>
      </w:r>
      <w:r w:rsidR="00C3096D">
        <w:t>services</w:t>
      </w:r>
      <w:r w:rsidR="0052564A">
        <w:t xml:space="preserve"> as the benefits of the new Genesys </w:t>
      </w:r>
      <w:r w:rsidR="001E6E8A">
        <w:t>platform continue to be realised</w:t>
      </w:r>
      <w:r w:rsidR="007D7B0D">
        <w:t>.</w:t>
      </w:r>
    </w:p>
    <w:p w14:paraId="6451BAE9" w14:textId="77777777" w:rsidR="007324F6" w:rsidRDefault="003F2F70" w:rsidP="00FA1822">
      <w:pPr>
        <w:spacing w:before="120"/>
      </w:pPr>
      <w:r>
        <w:t xml:space="preserve">There was a </w:t>
      </w:r>
      <w:r w:rsidR="006161FC">
        <w:t>two per cent</w:t>
      </w:r>
      <w:r>
        <w:t xml:space="preserve"> increase in </w:t>
      </w:r>
      <w:r w:rsidR="00041101">
        <w:t>l</w:t>
      </w:r>
      <w:r>
        <w:t xml:space="preserve">egal </w:t>
      </w:r>
      <w:r w:rsidR="00041101">
        <w:t>a</w:t>
      </w:r>
      <w:r w:rsidR="00D71045">
        <w:t xml:space="preserve">dvice sessions delivered in quarter two </w:t>
      </w:r>
      <w:r w:rsidR="006161FC">
        <w:t>primarily driven by</w:t>
      </w:r>
      <w:r w:rsidR="00D71045">
        <w:t xml:space="preserve"> the increased number of Legal Help telephone </w:t>
      </w:r>
      <w:r w:rsidR="006161FC">
        <w:t xml:space="preserve">sessions delivered. There was also a </w:t>
      </w:r>
      <w:r w:rsidR="00041101">
        <w:t xml:space="preserve">20 per cent increase </w:t>
      </w:r>
      <w:r w:rsidR="00F47E4B">
        <w:t>in</w:t>
      </w:r>
      <w:r w:rsidR="00041101">
        <w:t xml:space="preserve"> community legal education</w:t>
      </w:r>
      <w:r w:rsidR="00F47E4B">
        <w:t xml:space="preserve"> sessions delivered</w:t>
      </w:r>
      <w:r w:rsidR="007C0817">
        <w:t xml:space="preserve"> as demand for these sessions </w:t>
      </w:r>
      <w:r w:rsidR="007324F6">
        <w:t>returns to pre-pandemic levels.</w:t>
      </w:r>
      <w:r w:rsidR="00675FE6">
        <w:t xml:space="preserve"> </w:t>
      </w:r>
    </w:p>
    <w:p w14:paraId="79B31C47" w14:textId="140CC73D" w:rsidR="001E6E8A" w:rsidRDefault="007324F6" w:rsidP="00FA1822">
      <w:pPr>
        <w:spacing w:before="120"/>
      </w:pPr>
      <w:r>
        <w:t xml:space="preserve">Our </w:t>
      </w:r>
      <w:r w:rsidR="006B0EC0">
        <w:t xml:space="preserve">redeveloped </w:t>
      </w:r>
      <w:r>
        <w:t xml:space="preserve">website continues to record lower traffic </w:t>
      </w:r>
      <w:r w:rsidR="00083784">
        <w:t xml:space="preserve">(-4 per cent) </w:t>
      </w:r>
      <w:r>
        <w:t xml:space="preserve">since </w:t>
      </w:r>
      <w:r w:rsidR="006B0EC0">
        <w:t xml:space="preserve">its </w:t>
      </w:r>
      <w:r>
        <w:t>launch</w:t>
      </w:r>
      <w:r w:rsidR="00CC6CFD">
        <w:t>.</w:t>
      </w:r>
      <w:r w:rsidR="004C383A">
        <w:t xml:space="preserve"> Projections for the next quarter are still built on the traffic from our old website in previous years. There is not yet enough data to</w:t>
      </w:r>
      <w:r w:rsidR="0002192D">
        <w:t xml:space="preserve"> accurately</w:t>
      </w:r>
      <w:r w:rsidR="004C383A">
        <w:t xml:space="preserve"> pr</w:t>
      </w:r>
      <w:r w:rsidR="008E6790">
        <w:t xml:space="preserve">oject sessions </w:t>
      </w:r>
      <w:r w:rsidR="0002192D">
        <w:t>for</w:t>
      </w:r>
      <w:r w:rsidR="008E6790">
        <w:t xml:space="preserve"> the new website. However, </w:t>
      </w:r>
      <w:r w:rsidR="009E08BD">
        <w:t xml:space="preserve">we do expect an upwards trend as people familiarise themselves with the new website and as it appears higher up in searches made on search engines. </w:t>
      </w:r>
      <w:r w:rsidR="00CC6CFD">
        <w:t xml:space="preserve"> </w:t>
      </w:r>
      <w:r w:rsidR="00F47E4B">
        <w:t xml:space="preserve"> </w:t>
      </w:r>
    </w:p>
    <w:p w14:paraId="4B984B6A" w14:textId="77777777" w:rsidR="00CC05F0" w:rsidRPr="002C53EA" w:rsidRDefault="00CC05F0" w:rsidP="00CC05F0">
      <w:pPr>
        <w:pStyle w:val="Heading3"/>
        <w:rPr>
          <w:rFonts w:cs="Times New Roman"/>
          <w:sz w:val="22"/>
          <w:szCs w:val="24"/>
          <w:lang w:eastAsia="en-US"/>
        </w:rPr>
      </w:pPr>
      <w:r w:rsidRPr="002C53EA">
        <w:rPr>
          <w:rFonts w:cs="Times New Roman"/>
          <w:sz w:val="22"/>
          <w:szCs w:val="24"/>
          <w:lang w:eastAsia="en-US"/>
        </w:rPr>
        <w:t>Table 1.</w:t>
      </w:r>
      <w:r>
        <w:rPr>
          <w:rFonts w:cs="Times New Roman"/>
          <w:sz w:val="22"/>
          <w:szCs w:val="24"/>
          <w:lang w:eastAsia="en-US"/>
        </w:rPr>
        <w:t>4</w:t>
      </w:r>
      <w:r w:rsidRPr="002C53EA">
        <w:rPr>
          <w:rFonts w:cs="Times New Roman"/>
          <w:sz w:val="22"/>
          <w:szCs w:val="24"/>
          <w:lang w:eastAsia="en-US"/>
        </w:rPr>
        <w:t xml:space="preserve"> Specialist resolution and advocacy services</w:t>
      </w:r>
    </w:p>
    <w:tbl>
      <w:tblPr>
        <w:tblpPr w:leftFromText="180" w:rightFromText="180" w:vertAnchor="text" w:horzAnchor="margin" w:tblpY="1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302"/>
        <w:gridCol w:w="2082"/>
        <w:gridCol w:w="1846"/>
        <w:gridCol w:w="1846"/>
      </w:tblGrid>
      <w:tr w:rsidR="00F216D9" w14:paraId="1A4768F2" w14:textId="77777777" w:rsidTr="00925EFB">
        <w:trPr>
          <w:cantSplit/>
          <w:trHeight w:val="361"/>
          <w:tblHeader/>
        </w:trPr>
        <w:tc>
          <w:tcPr>
            <w:tcW w:w="2135" w:type="pct"/>
            <w:shd w:val="clear" w:color="auto" w:fill="C4B0CC"/>
            <w:hideMark/>
          </w:tcPr>
          <w:p w14:paraId="2C91F38F" w14:textId="77777777" w:rsidR="00F216D9" w:rsidRDefault="00F216D9" w:rsidP="00F216D9">
            <w:pPr>
              <w:rPr>
                <w:b/>
                <w:color w:val="000000" w:themeColor="text1"/>
                <w:lang w:eastAsia="en-AU"/>
              </w:rPr>
            </w:pPr>
            <w:bookmarkStart w:id="3" w:name="_Hlk115865842"/>
            <w:r w:rsidRPr="006B69F9">
              <w:rPr>
                <w:b/>
                <w:bCs/>
                <w:color w:val="000000" w:themeColor="text1"/>
                <w:szCs w:val="20"/>
                <w:lang w:eastAsia="en-AU"/>
              </w:rPr>
              <w:t>Specialist resolution and advocacy services</w:t>
            </w:r>
          </w:p>
        </w:tc>
        <w:tc>
          <w:tcPr>
            <w:tcW w:w="1033" w:type="pct"/>
            <w:shd w:val="clear" w:color="auto" w:fill="C4B0CC"/>
          </w:tcPr>
          <w:p w14:paraId="4DA39D4A" w14:textId="77777777" w:rsidR="00F216D9" w:rsidRPr="000E7EED" w:rsidRDefault="00F216D9" w:rsidP="00F216D9">
            <w:pPr>
              <w:jc w:val="center"/>
              <w:rPr>
                <w:b/>
                <w:color w:val="000000" w:themeColor="text1"/>
              </w:rPr>
            </w:pPr>
            <w:r w:rsidRPr="55245693">
              <w:rPr>
                <w:b/>
                <w:color w:val="000000" w:themeColor="text1"/>
              </w:rPr>
              <w:t>Q</w:t>
            </w:r>
            <w:r>
              <w:rPr>
                <w:b/>
                <w:color w:val="000000" w:themeColor="text1"/>
              </w:rPr>
              <w:t>1</w:t>
            </w:r>
          </w:p>
          <w:p w14:paraId="14876257" w14:textId="6B9D3310" w:rsidR="00F216D9" w:rsidRDefault="00F216D9" w:rsidP="00F216D9">
            <w:pPr>
              <w:jc w:val="center"/>
              <w:rPr>
                <w:b/>
                <w:color w:val="000000" w:themeColor="text1"/>
                <w:lang w:eastAsia="en-AU"/>
              </w:rPr>
            </w:pPr>
            <w:r w:rsidRPr="000E7EED">
              <w:rPr>
                <w:b/>
                <w:color w:val="000000" w:themeColor="text1"/>
              </w:rPr>
              <w:t>20</w:t>
            </w:r>
            <w:r>
              <w:rPr>
                <w:b/>
                <w:color w:val="000000" w:themeColor="text1"/>
              </w:rPr>
              <w:t>2</w:t>
            </w:r>
            <w:r w:rsidR="00465A12">
              <w:rPr>
                <w:b/>
                <w:color w:val="000000" w:themeColor="text1"/>
              </w:rPr>
              <w:t>2</w:t>
            </w:r>
            <w:r>
              <w:rPr>
                <w:b/>
                <w:color w:val="000000" w:themeColor="text1"/>
              </w:rPr>
              <w:t>-2</w:t>
            </w:r>
            <w:r w:rsidR="00465A12">
              <w:rPr>
                <w:b/>
                <w:color w:val="000000" w:themeColor="text1"/>
              </w:rPr>
              <w:t>3</w:t>
            </w:r>
          </w:p>
        </w:tc>
        <w:tc>
          <w:tcPr>
            <w:tcW w:w="916" w:type="pct"/>
            <w:shd w:val="clear" w:color="auto" w:fill="C4B0CC"/>
          </w:tcPr>
          <w:p w14:paraId="52C1925D" w14:textId="77777777" w:rsidR="00F216D9" w:rsidRDefault="00F216D9" w:rsidP="00F216D9">
            <w:pPr>
              <w:jc w:val="center"/>
              <w:rPr>
                <w:b/>
                <w:color w:val="000000" w:themeColor="text1"/>
              </w:rPr>
            </w:pPr>
            <w:r w:rsidRPr="55245693">
              <w:rPr>
                <w:b/>
                <w:color w:val="000000" w:themeColor="text1"/>
              </w:rPr>
              <w:t>Q</w:t>
            </w:r>
            <w:r>
              <w:rPr>
                <w:b/>
                <w:color w:val="000000" w:themeColor="text1"/>
              </w:rPr>
              <w:t>2</w:t>
            </w:r>
          </w:p>
          <w:p w14:paraId="768D81BE" w14:textId="6718E29C" w:rsidR="00F216D9" w:rsidRDefault="00F216D9" w:rsidP="00F216D9">
            <w:pPr>
              <w:jc w:val="center"/>
              <w:rPr>
                <w:b/>
                <w:color w:val="000000" w:themeColor="text1"/>
                <w:lang w:eastAsia="en-AU"/>
              </w:rPr>
            </w:pPr>
            <w:r w:rsidRPr="000E7EED">
              <w:rPr>
                <w:b/>
                <w:color w:val="000000" w:themeColor="text1"/>
              </w:rPr>
              <w:t>20</w:t>
            </w:r>
            <w:r>
              <w:rPr>
                <w:b/>
                <w:color w:val="000000" w:themeColor="text1"/>
              </w:rPr>
              <w:t>22-23</w:t>
            </w:r>
          </w:p>
        </w:tc>
        <w:tc>
          <w:tcPr>
            <w:tcW w:w="916" w:type="pct"/>
            <w:shd w:val="clear" w:color="auto" w:fill="C4B0CC"/>
          </w:tcPr>
          <w:p w14:paraId="47F28FA2" w14:textId="77777777" w:rsidR="00F216D9" w:rsidRDefault="00F216D9" w:rsidP="00F216D9">
            <w:pPr>
              <w:jc w:val="center"/>
              <w:rPr>
                <w:b/>
                <w:bCs/>
                <w:color w:val="000000" w:themeColor="text1"/>
              </w:rPr>
            </w:pPr>
            <w:r>
              <w:rPr>
                <w:b/>
                <w:color w:val="000000" w:themeColor="text1"/>
              </w:rPr>
              <w:t>Q3 2022-23</w:t>
            </w:r>
          </w:p>
          <w:p w14:paraId="6ED27109" w14:textId="3F7D0647" w:rsidR="00F216D9" w:rsidRDefault="00F216D9" w:rsidP="00F216D9">
            <w:pPr>
              <w:jc w:val="center"/>
              <w:rPr>
                <w:b/>
                <w:color w:val="000000" w:themeColor="text1"/>
                <w:lang w:eastAsia="en-AU"/>
              </w:rPr>
            </w:pPr>
            <w:r>
              <w:rPr>
                <w:b/>
                <w:color w:val="000000" w:themeColor="text1"/>
              </w:rPr>
              <w:t>projection</w:t>
            </w:r>
          </w:p>
        </w:tc>
      </w:tr>
      <w:tr w:rsidR="000819B0" w14:paraId="55234EF0" w14:textId="77777777" w:rsidTr="001B0095">
        <w:trPr>
          <w:trHeight w:val="531"/>
        </w:trPr>
        <w:tc>
          <w:tcPr>
            <w:tcW w:w="2135" w:type="pct"/>
            <w:tcBorders>
              <w:bottom w:val="single" w:sz="4" w:space="0" w:color="7F7F7F" w:themeColor="text1" w:themeTint="80"/>
            </w:tcBorders>
            <w:hideMark/>
          </w:tcPr>
          <w:p w14:paraId="4091DD5D" w14:textId="77777777" w:rsidR="000819B0" w:rsidRDefault="000819B0" w:rsidP="000819B0">
            <w:pPr>
              <w:rPr>
                <w:color w:val="000000" w:themeColor="text1"/>
                <w:lang w:eastAsia="en-AU"/>
              </w:rPr>
            </w:pPr>
            <w:r>
              <w:rPr>
                <w:color w:val="000000" w:themeColor="text1"/>
                <w:lang w:eastAsia="en-AU"/>
              </w:rPr>
              <w:t>IMHA information and referral sessions</w:t>
            </w:r>
          </w:p>
        </w:tc>
        <w:tc>
          <w:tcPr>
            <w:tcW w:w="1033"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36E5FD45" w14:textId="1370769C" w:rsidR="000819B0" w:rsidRDefault="000819B0" w:rsidP="000819B0">
            <w:pPr>
              <w:jc w:val="center"/>
              <w:rPr>
                <w:lang w:eastAsia="en-AU"/>
              </w:rPr>
            </w:pPr>
            <w:r>
              <w:rPr>
                <w:lang w:eastAsia="en-AU"/>
              </w:rPr>
              <w:t>6,744</w:t>
            </w:r>
          </w:p>
        </w:tc>
        <w:tc>
          <w:tcPr>
            <w:tcW w:w="916" w:type="pct"/>
            <w:tcBorders>
              <w:bottom w:val="single" w:sz="4" w:space="0" w:color="7F7F7F" w:themeColor="text1" w:themeTint="80"/>
            </w:tcBorders>
            <w:shd w:val="clear" w:color="auto" w:fill="D9D9D9" w:themeFill="background1" w:themeFillShade="D9"/>
            <w:vAlign w:val="center"/>
          </w:tcPr>
          <w:p w14:paraId="30321AA8" w14:textId="1D16EA7A" w:rsidR="000819B0" w:rsidRDefault="000819B0" w:rsidP="000819B0">
            <w:pPr>
              <w:jc w:val="center"/>
              <w:rPr>
                <w:lang w:eastAsia="en-AU"/>
              </w:rPr>
            </w:pPr>
            <w:r>
              <w:rPr>
                <w:color w:val="000000"/>
                <w:lang w:val="en-GB"/>
              </w:rPr>
              <w:t>6,837</w:t>
            </w:r>
          </w:p>
        </w:tc>
        <w:tc>
          <w:tcPr>
            <w:tcW w:w="916" w:type="pct"/>
            <w:tcBorders>
              <w:bottom w:val="single" w:sz="4" w:space="0" w:color="7F7F7F" w:themeColor="text1" w:themeTint="80"/>
            </w:tcBorders>
            <w:shd w:val="clear" w:color="auto" w:fill="auto"/>
            <w:vAlign w:val="center"/>
          </w:tcPr>
          <w:p w14:paraId="0D3569AA" w14:textId="132E0EE2" w:rsidR="000819B0" w:rsidRDefault="000819B0" w:rsidP="000819B0">
            <w:pPr>
              <w:jc w:val="center"/>
              <w:rPr>
                <w:lang w:eastAsia="en-AU"/>
              </w:rPr>
            </w:pPr>
            <w:r>
              <w:rPr>
                <w:lang w:val="en-GB"/>
              </w:rPr>
              <w:t>6,000</w:t>
            </w:r>
          </w:p>
        </w:tc>
      </w:tr>
      <w:tr w:rsidR="008B3C33" w14:paraId="4EA7A6AB" w14:textId="77777777" w:rsidTr="001B0095">
        <w:trPr>
          <w:trHeight w:val="531"/>
        </w:trPr>
        <w:tc>
          <w:tcPr>
            <w:tcW w:w="2135" w:type="pct"/>
            <w:tcBorders>
              <w:bottom w:val="single" w:sz="4" w:space="0" w:color="7F7F7F" w:themeColor="text1" w:themeTint="80"/>
            </w:tcBorders>
          </w:tcPr>
          <w:p w14:paraId="46981F29" w14:textId="77777777" w:rsidR="008B3C33" w:rsidRDefault="008B3C33" w:rsidP="008B3C33">
            <w:pPr>
              <w:rPr>
                <w:color w:val="000000" w:themeColor="text1"/>
                <w:lang w:eastAsia="en-AU"/>
              </w:rPr>
            </w:pPr>
            <w:r>
              <w:rPr>
                <w:color w:val="000000" w:themeColor="text1"/>
                <w:lang w:eastAsia="en-AU"/>
              </w:rPr>
              <w:t>IMHA advocacy and self-advocacy</w:t>
            </w:r>
          </w:p>
        </w:tc>
        <w:tc>
          <w:tcPr>
            <w:tcW w:w="1033"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54F036CB" w14:textId="2809080A" w:rsidR="008B3C33" w:rsidRPr="003E5897" w:rsidRDefault="008B3C33" w:rsidP="008B3C33">
            <w:pPr>
              <w:jc w:val="center"/>
              <w:rPr>
                <w:lang w:eastAsia="en-AU"/>
              </w:rPr>
            </w:pPr>
            <w:r>
              <w:rPr>
                <w:lang w:eastAsia="en-AU"/>
              </w:rPr>
              <w:t>4,168</w:t>
            </w:r>
          </w:p>
        </w:tc>
        <w:tc>
          <w:tcPr>
            <w:tcW w:w="916" w:type="pct"/>
            <w:tcBorders>
              <w:bottom w:val="single" w:sz="4" w:space="0" w:color="7F7F7F" w:themeColor="text1" w:themeTint="80"/>
            </w:tcBorders>
            <w:shd w:val="clear" w:color="auto" w:fill="D9D9D9" w:themeFill="background1" w:themeFillShade="D9"/>
            <w:vAlign w:val="center"/>
          </w:tcPr>
          <w:p w14:paraId="1E72EDDA" w14:textId="644FCBC0" w:rsidR="008B3C33" w:rsidRPr="003E5897" w:rsidRDefault="008B3C33" w:rsidP="008B3C33">
            <w:pPr>
              <w:jc w:val="center"/>
              <w:rPr>
                <w:lang w:eastAsia="en-AU"/>
              </w:rPr>
            </w:pPr>
            <w:r>
              <w:rPr>
                <w:color w:val="000000"/>
                <w:lang w:val="en-GB"/>
              </w:rPr>
              <w:t>3,778</w:t>
            </w:r>
          </w:p>
        </w:tc>
        <w:tc>
          <w:tcPr>
            <w:tcW w:w="916" w:type="pct"/>
            <w:tcBorders>
              <w:bottom w:val="single" w:sz="4" w:space="0" w:color="7F7F7F" w:themeColor="text1" w:themeTint="80"/>
            </w:tcBorders>
            <w:shd w:val="clear" w:color="auto" w:fill="auto"/>
            <w:vAlign w:val="center"/>
          </w:tcPr>
          <w:p w14:paraId="3A1B9172" w14:textId="64487F7B" w:rsidR="008B3C33" w:rsidRPr="00DB6276" w:rsidRDefault="008B3C33" w:rsidP="008B3C33">
            <w:pPr>
              <w:jc w:val="center"/>
              <w:rPr>
                <w:lang w:eastAsia="en-AU"/>
              </w:rPr>
            </w:pPr>
            <w:r>
              <w:rPr>
                <w:lang w:val="en-GB"/>
              </w:rPr>
              <w:t>3,500</w:t>
            </w:r>
          </w:p>
        </w:tc>
      </w:tr>
      <w:tr w:rsidR="008B3C33" w14:paraId="49FBAD53" w14:textId="77777777" w:rsidTr="001B0095">
        <w:trPr>
          <w:trHeight w:val="194"/>
        </w:trPr>
        <w:tc>
          <w:tcPr>
            <w:tcW w:w="2135" w:type="pct"/>
            <w:tcBorders>
              <w:top w:val="single" w:sz="4" w:space="0" w:color="auto"/>
              <w:bottom w:val="single" w:sz="4" w:space="0" w:color="auto"/>
            </w:tcBorders>
            <w:hideMark/>
          </w:tcPr>
          <w:p w14:paraId="10B1C950" w14:textId="77777777" w:rsidR="008B3C33" w:rsidRDefault="008B3C33" w:rsidP="008B3C33">
            <w:pPr>
              <w:rPr>
                <w:color w:val="000000" w:themeColor="text1"/>
                <w:lang w:eastAsia="en-AU"/>
              </w:rPr>
            </w:pPr>
            <w:r>
              <w:rPr>
                <w:color w:val="000000" w:themeColor="text1"/>
                <w:lang w:eastAsia="en-AU"/>
              </w:rPr>
              <w:t xml:space="preserve">IFAS information and referral sessions </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0F84B7B7" w14:textId="1E829F0F" w:rsidR="008B3C33" w:rsidRDefault="008B3C33" w:rsidP="008B3C33">
            <w:pPr>
              <w:jc w:val="center"/>
              <w:rPr>
                <w:color w:val="000000" w:themeColor="text1"/>
                <w:lang w:eastAsia="en-AU"/>
              </w:rPr>
            </w:pPr>
            <w:r>
              <w:rPr>
                <w:color w:val="000000" w:themeColor="text1"/>
                <w:lang w:eastAsia="en-AU"/>
              </w:rPr>
              <w:t>392</w:t>
            </w:r>
          </w:p>
        </w:tc>
        <w:tc>
          <w:tcPr>
            <w:tcW w:w="916" w:type="pct"/>
            <w:tcBorders>
              <w:top w:val="single" w:sz="4" w:space="0" w:color="auto"/>
              <w:bottom w:val="single" w:sz="4" w:space="0" w:color="auto"/>
            </w:tcBorders>
            <w:shd w:val="clear" w:color="auto" w:fill="D9D9D9" w:themeFill="background1" w:themeFillShade="D9"/>
            <w:vAlign w:val="center"/>
          </w:tcPr>
          <w:p w14:paraId="71889D0D" w14:textId="4C4F7FC1" w:rsidR="008B3C33" w:rsidRDefault="008B3C33" w:rsidP="008B3C33">
            <w:pPr>
              <w:jc w:val="center"/>
              <w:rPr>
                <w:color w:val="000000" w:themeColor="text1"/>
                <w:lang w:eastAsia="en-AU"/>
              </w:rPr>
            </w:pPr>
            <w:r>
              <w:rPr>
                <w:color w:val="000000"/>
                <w:lang w:val="en-GB"/>
              </w:rPr>
              <w:t>448</w:t>
            </w:r>
          </w:p>
        </w:tc>
        <w:tc>
          <w:tcPr>
            <w:tcW w:w="916" w:type="pct"/>
            <w:tcBorders>
              <w:top w:val="single" w:sz="4" w:space="0" w:color="auto"/>
              <w:bottom w:val="single" w:sz="4" w:space="0" w:color="auto"/>
            </w:tcBorders>
            <w:shd w:val="clear" w:color="auto" w:fill="auto"/>
            <w:vAlign w:val="center"/>
          </w:tcPr>
          <w:p w14:paraId="20FDF70F" w14:textId="20E4E270" w:rsidR="008B3C33" w:rsidRDefault="008B3C33" w:rsidP="008B3C33">
            <w:pPr>
              <w:jc w:val="center"/>
              <w:rPr>
                <w:lang w:eastAsia="en-AU"/>
              </w:rPr>
            </w:pPr>
            <w:r>
              <w:rPr>
                <w:lang w:val="en-GB"/>
              </w:rPr>
              <w:t>500</w:t>
            </w:r>
          </w:p>
        </w:tc>
      </w:tr>
      <w:tr w:rsidR="008B3C33" w14:paraId="4FF9EE2A" w14:textId="77777777" w:rsidTr="001B0095">
        <w:trPr>
          <w:trHeight w:val="194"/>
        </w:trPr>
        <w:tc>
          <w:tcPr>
            <w:tcW w:w="2135" w:type="pct"/>
            <w:tcBorders>
              <w:top w:val="single" w:sz="4" w:space="0" w:color="auto"/>
              <w:bottom w:val="single" w:sz="4" w:space="0" w:color="auto"/>
            </w:tcBorders>
          </w:tcPr>
          <w:p w14:paraId="57352FCE" w14:textId="77777777" w:rsidR="008B3C33" w:rsidRDefault="008B3C33" w:rsidP="008B3C33">
            <w:pPr>
              <w:rPr>
                <w:color w:val="000000" w:themeColor="text1"/>
                <w:lang w:eastAsia="en-AU"/>
              </w:rPr>
            </w:pPr>
            <w:r>
              <w:rPr>
                <w:color w:val="000000" w:themeColor="text1"/>
                <w:lang w:eastAsia="en-AU"/>
              </w:rPr>
              <w:t>IFAS advocacy and self-advocacy</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2E77C5D5" w14:textId="2FAC720B" w:rsidR="008B3C33" w:rsidRPr="006C14A7" w:rsidRDefault="008B3C33" w:rsidP="008B3C33">
            <w:pPr>
              <w:jc w:val="center"/>
              <w:rPr>
                <w:lang w:eastAsia="en-AU"/>
              </w:rPr>
            </w:pPr>
            <w:r>
              <w:rPr>
                <w:lang w:eastAsia="en-AU"/>
              </w:rPr>
              <w:t>351</w:t>
            </w:r>
          </w:p>
        </w:tc>
        <w:tc>
          <w:tcPr>
            <w:tcW w:w="916" w:type="pct"/>
            <w:tcBorders>
              <w:top w:val="single" w:sz="4" w:space="0" w:color="auto"/>
              <w:bottom w:val="single" w:sz="4" w:space="0" w:color="auto"/>
            </w:tcBorders>
            <w:shd w:val="clear" w:color="auto" w:fill="D9D9D9" w:themeFill="background1" w:themeFillShade="D9"/>
            <w:vAlign w:val="center"/>
          </w:tcPr>
          <w:p w14:paraId="43ED479B" w14:textId="07CF9591" w:rsidR="008B3C33" w:rsidRPr="006C14A7" w:rsidRDefault="008B3C33" w:rsidP="008B3C33">
            <w:pPr>
              <w:jc w:val="center"/>
              <w:rPr>
                <w:lang w:eastAsia="en-AU"/>
              </w:rPr>
            </w:pPr>
            <w:r>
              <w:rPr>
                <w:color w:val="000000"/>
                <w:lang w:val="en-GB"/>
              </w:rPr>
              <w:t>610</w:t>
            </w:r>
          </w:p>
        </w:tc>
        <w:tc>
          <w:tcPr>
            <w:tcW w:w="916" w:type="pct"/>
            <w:tcBorders>
              <w:top w:val="single" w:sz="4" w:space="0" w:color="auto"/>
              <w:bottom w:val="single" w:sz="4" w:space="0" w:color="auto"/>
            </w:tcBorders>
            <w:shd w:val="clear" w:color="auto" w:fill="auto"/>
            <w:vAlign w:val="center"/>
          </w:tcPr>
          <w:p w14:paraId="00E0ED3D" w14:textId="41A99BF7" w:rsidR="008B3C33" w:rsidRDefault="008B3C33" w:rsidP="008B3C33">
            <w:pPr>
              <w:jc w:val="center"/>
              <w:rPr>
                <w:lang w:eastAsia="en-AU"/>
              </w:rPr>
            </w:pPr>
            <w:r>
              <w:rPr>
                <w:lang w:val="en-GB"/>
              </w:rPr>
              <w:t>800</w:t>
            </w:r>
          </w:p>
        </w:tc>
      </w:tr>
      <w:bookmarkEnd w:id="3"/>
    </w:tbl>
    <w:p w14:paraId="14C9B3DA" w14:textId="77777777" w:rsidR="00CC05F0" w:rsidRDefault="00CC05F0" w:rsidP="00523B7C">
      <w:pPr>
        <w:rPr>
          <w:b/>
          <w:bCs/>
        </w:rPr>
      </w:pPr>
    </w:p>
    <w:p w14:paraId="18FED0EC" w14:textId="25FD8795" w:rsidR="00490968" w:rsidRDefault="000639F4" w:rsidP="00F216D9">
      <w:r>
        <w:t xml:space="preserve">We </w:t>
      </w:r>
      <w:r w:rsidR="003C51FE">
        <w:t>continue to see strong demand for our Independent Mental Health Advocacy</w:t>
      </w:r>
      <w:r w:rsidR="00DA6E1C">
        <w:t xml:space="preserve"> (</w:t>
      </w:r>
      <w:r w:rsidR="00036CBA">
        <w:t>IMHA</w:t>
      </w:r>
      <w:r w:rsidR="00DA6E1C">
        <w:t>)</w:t>
      </w:r>
      <w:r w:rsidR="003C51FE">
        <w:t xml:space="preserve"> services</w:t>
      </w:r>
      <w:r w:rsidR="006A3FB5">
        <w:t xml:space="preserve">. There was a </w:t>
      </w:r>
      <w:r w:rsidR="00C71E76">
        <w:t>nine</w:t>
      </w:r>
      <w:r w:rsidR="00540CBC">
        <w:t xml:space="preserve"> per cent decrease in the number of advocacy and self-advocacy services provided in quarter two compared to quarter one 2022</w:t>
      </w:r>
      <w:r w:rsidR="00344147" w:rsidRPr="20E2085F">
        <w:rPr>
          <w:rFonts w:cs="Arial"/>
          <w:color w:val="000000" w:themeColor="text1"/>
          <w:szCs w:val="22"/>
          <w:lang w:eastAsia="en-AU"/>
        </w:rPr>
        <w:t>–</w:t>
      </w:r>
      <w:r w:rsidR="00540CBC">
        <w:t>23</w:t>
      </w:r>
      <w:r w:rsidR="003B7E84">
        <w:t>. However, there was a 1</w:t>
      </w:r>
      <w:r w:rsidR="00372B8F">
        <w:t>5</w:t>
      </w:r>
      <w:r w:rsidR="003B7E84">
        <w:t xml:space="preserve"> per cent increase in quarter two compared to quarter two of 2021</w:t>
      </w:r>
      <w:r w:rsidR="00344147" w:rsidRPr="20E2085F">
        <w:rPr>
          <w:rFonts w:cs="Arial"/>
          <w:color w:val="000000" w:themeColor="text1"/>
          <w:szCs w:val="22"/>
          <w:lang w:eastAsia="en-AU"/>
        </w:rPr>
        <w:t>–</w:t>
      </w:r>
      <w:r w:rsidR="003B7E84">
        <w:t>22 (</w:t>
      </w:r>
      <w:r w:rsidR="00490968">
        <w:t xml:space="preserve">3,293). </w:t>
      </w:r>
      <w:r w:rsidR="00155B85">
        <w:t xml:space="preserve">The projection for quarter three is based on the </w:t>
      </w:r>
      <w:r w:rsidR="00155B85">
        <w:lastRenderedPageBreak/>
        <w:t>funding from the Department of Health for this service</w:t>
      </w:r>
      <w:r w:rsidR="00880BE2">
        <w:t xml:space="preserve"> and does not </w:t>
      </w:r>
      <w:proofErr w:type="gramStart"/>
      <w:r w:rsidR="00880BE2">
        <w:t>take into account</w:t>
      </w:r>
      <w:proofErr w:type="gramEnd"/>
      <w:r w:rsidR="00880BE2">
        <w:t xml:space="preserve"> the </w:t>
      </w:r>
      <w:r w:rsidR="00B34205">
        <w:t>strong results delivered in 2022</w:t>
      </w:r>
      <w:r w:rsidR="00344147" w:rsidRPr="20E2085F">
        <w:rPr>
          <w:rFonts w:cs="Arial"/>
          <w:color w:val="000000" w:themeColor="text1"/>
          <w:szCs w:val="22"/>
          <w:lang w:eastAsia="en-AU"/>
        </w:rPr>
        <w:t>–</w:t>
      </w:r>
      <w:r w:rsidR="00B34205">
        <w:t xml:space="preserve">23 so far. We anticipate that demand for this service will remain consistent. </w:t>
      </w:r>
      <w:r w:rsidR="00155B85">
        <w:t xml:space="preserve"> </w:t>
      </w:r>
    </w:p>
    <w:p w14:paraId="01844D5B" w14:textId="16B9D7DF" w:rsidR="00CC05F0" w:rsidRDefault="00C24908" w:rsidP="00F216D9">
      <w:r>
        <w:t xml:space="preserve">Increased staffing within </w:t>
      </w:r>
      <w:r w:rsidR="00490968">
        <w:t xml:space="preserve">the Independent Family </w:t>
      </w:r>
      <w:r w:rsidR="00DA6E1C">
        <w:t>Advocacy and Support</w:t>
      </w:r>
      <w:r w:rsidR="0053628C">
        <w:t xml:space="preserve"> </w:t>
      </w:r>
      <w:r w:rsidR="00DA6E1C">
        <w:t>(IFAS) team</w:t>
      </w:r>
      <w:r w:rsidR="001B30FF">
        <w:t xml:space="preserve"> </w:t>
      </w:r>
      <w:r w:rsidR="00590197">
        <w:t xml:space="preserve">saw an increase </w:t>
      </w:r>
      <w:r w:rsidR="00511059">
        <w:t xml:space="preserve">of 15 per cent in IFAS information and referral services, and an increase of </w:t>
      </w:r>
      <w:r w:rsidR="00E2257B">
        <w:t>74 per cent of advocacy and self-advocacy services.</w:t>
      </w:r>
    </w:p>
    <w:p w14:paraId="2A1F0837" w14:textId="11C2F9D7" w:rsidR="00495A11" w:rsidRPr="00E46959" w:rsidRDefault="007C1487" w:rsidP="00523B7C">
      <w:pPr>
        <w:rPr>
          <w:b/>
          <w:bCs/>
        </w:rPr>
      </w:pPr>
      <w:r w:rsidRPr="00E46959">
        <w:rPr>
          <w:b/>
          <w:bCs/>
        </w:rPr>
        <w:t>Table 1</w:t>
      </w:r>
      <w:r w:rsidR="003700E1">
        <w:rPr>
          <w:b/>
          <w:bCs/>
        </w:rPr>
        <w:t>.</w:t>
      </w:r>
      <w:r w:rsidR="00CC05F0">
        <w:rPr>
          <w:b/>
          <w:bCs/>
        </w:rPr>
        <w:t>5 C</w:t>
      </w:r>
      <w:r w:rsidR="00B84476">
        <w:rPr>
          <w:b/>
          <w:bCs/>
        </w:rPr>
        <w:t>ourt assistance</w:t>
      </w:r>
      <w:r w:rsidRPr="00E46959">
        <w:rPr>
          <w:b/>
          <w:bCs/>
        </w:rPr>
        <w:t xml:space="preserve"> services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23"/>
        <w:gridCol w:w="1975"/>
        <w:gridCol w:w="2289"/>
        <w:gridCol w:w="2289"/>
      </w:tblGrid>
      <w:tr w:rsidR="00F216D9" w14:paraId="052E6F62" w14:textId="3BBC6511" w:rsidTr="06441AB2">
        <w:trPr>
          <w:cnfStyle w:val="100000000000" w:firstRow="1" w:lastRow="0" w:firstColumn="0" w:lastColumn="0" w:oddVBand="0" w:evenVBand="0" w:oddHBand="0"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shd w:val="clear" w:color="auto" w:fill="C4B0CC"/>
          </w:tcPr>
          <w:p w14:paraId="038AE825" w14:textId="06782A99" w:rsidR="00F216D9" w:rsidRPr="00495A11" w:rsidRDefault="00F216D9" w:rsidP="00F216D9">
            <w:pPr>
              <w:rPr>
                <w:b/>
                <w:bCs w:val="0"/>
                <w:color w:val="000000" w:themeColor="text1"/>
              </w:rPr>
            </w:pPr>
            <w:r>
              <w:rPr>
                <w:b/>
                <w:bCs w:val="0"/>
                <w:color w:val="000000" w:themeColor="text1"/>
              </w:rPr>
              <w:t>Court assistance</w:t>
            </w:r>
            <w:r w:rsidRPr="00495A11">
              <w:rPr>
                <w:b/>
                <w:bCs w:val="0"/>
                <w:color w:val="000000" w:themeColor="text1"/>
              </w:rPr>
              <w:t xml:space="preserve">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C4B0CC"/>
          </w:tcPr>
          <w:p w14:paraId="20813C34" w14:textId="77777777" w:rsidR="00F216D9" w:rsidRPr="000E7EED" w:rsidRDefault="00F216D9" w:rsidP="00F216D9">
            <w:pPr>
              <w:jc w:val="center"/>
              <w:rPr>
                <w:b/>
                <w:color w:val="000000" w:themeColor="text1"/>
              </w:rPr>
            </w:pPr>
            <w:r w:rsidRPr="55245693">
              <w:rPr>
                <w:b/>
                <w:color w:val="000000" w:themeColor="text1"/>
              </w:rPr>
              <w:t>Q</w:t>
            </w:r>
            <w:r>
              <w:rPr>
                <w:b/>
                <w:color w:val="000000" w:themeColor="text1"/>
              </w:rPr>
              <w:t>1</w:t>
            </w:r>
          </w:p>
          <w:p w14:paraId="02F895D5" w14:textId="6D77B755" w:rsidR="00F216D9" w:rsidRPr="000E7EED" w:rsidRDefault="00F216D9" w:rsidP="00F216D9">
            <w:pPr>
              <w:jc w:val="center"/>
              <w:rPr>
                <w:color w:val="000000" w:themeColor="text1"/>
              </w:rPr>
            </w:pPr>
            <w:r w:rsidRPr="000E7EED">
              <w:rPr>
                <w:b/>
                <w:color w:val="000000" w:themeColor="text1"/>
              </w:rPr>
              <w:t>20</w:t>
            </w:r>
            <w:r>
              <w:rPr>
                <w:b/>
                <w:color w:val="000000" w:themeColor="text1"/>
              </w:rPr>
              <w:t>2</w:t>
            </w:r>
            <w:r w:rsidR="00465A12">
              <w:rPr>
                <w:b/>
                <w:color w:val="000000" w:themeColor="text1"/>
              </w:rPr>
              <w:t>2</w:t>
            </w:r>
            <w:r>
              <w:rPr>
                <w:b/>
                <w:color w:val="000000" w:themeColor="text1"/>
              </w:rPr>
              <w:t>-2</w:t>
            </w:r>
            <w:r w:rsidR="00465A12">
              <w:rPr>
                <w:b/>
                <w:color w:val="000000" w:themeColor="text1"/>
              </w:rPr>
              <w:t>3</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0877D442" w14:textId="77777777" w:rsidR="00F216D9" w:rsidRDefault="00F216D9" w:rsidP="00F216D9">
            <w:pPr>
              <w:jc w:val="center"/>
              <w:rPr>
                <w:b/>
                <w:color w:val="000000" w:themeColor="text1"/>
              </w:rPr>
            </w:pPr>
            <w:r w:rsidRPr="55245693">
              <w:rPr>
                <w:b/>
                <w:color w:val="000000" w:themeColor="text1"/>
              </w:rPr>
              <w:t>Q</w:t>
            </w:r>
            <w:r>
              <w:rPr>
                <w:b/>
                <w:color w:val="000000" w:themeColor="text1"/>
              </w:rPr>
              <w:t>2</w:t>
            </w:r>
          </w:p>
          <w:p w14:paraId="1FA34AA2" w14:textId="7816AE1B" w:rsidR="00F216D9" w:rsidRPr="000E7EED" w:rsidRDefault="00F216D9" w:rsidP="00F216D9">
            <w:pPr>
              <w:jc w:val="center"/>
              <w:rPr>
                <w:color w:val="000000" w:themeColor="text1"/>
              </w:rPr>
            </w:pPr>
            <w:r w:rsidRPr="000E7EED">
              <w:rPr>
                <w:b/>
                <w:color w:val="000000" w:themeColor="text1"/>
              </w:rPr>
              <w:t>20</w:t>
            </w:r>
            <w:r>
              <w:rPr>
                <w:b/>
                <w:color w:val="000000" w:themeColor="text1"/>
              </w:rPr>
              <w:t>22-23</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52623DCD" w14:textId="77777777" w:rsidR="00F216D9" w:rsidRDefault="00F216D9" w:rsidP="00F216D9">
            <w:pPr>
              <w:jc w:val="center"/>
              <w:rPr>
                <w:b/>
                <w:bCs w:val="0"/>
                <w:color w:val="000000" w:themeColor="text1"/>
              </w:rPr>
            </w:pPr>
            <w:r>
              <w:rPr>
                <w:b/>
                <w:color w:val="000000" w:themeColor="text1"/>
              </w:rPr>
              <w:t>Q3 2022-23</w:t>
            </w:r>
          </w:p>
          <w:p w14:paraId="457E131E" w14:textId="1DE9C73A" w:rsidR="00F216D9" w:rsidRPr="55245693" w:rsidRDefault="00F216D9" w:rsidP="00F216D9">
            <w:pPr>
              <w:jc w:val="center"/>
              <w:rPr>
                <w:b/>
                <w:color w:val="000000" w:themeColor="text1"/>
              </w:rPr>
            </w:pPr>
            <w:r>
              <w:rPr>
                <w:b/>
                <w:color w:val="000000" w:themeColor="text1"/>
              </w:rPr>
              <w:t>projection</w:t>
            </w:r>
          </w:p>
        </w:tc>
      </w:tr>
      <w:tr w:rsidR="00BF2AC5" w14:paraId="3C3FE80A" w14:textId="10B04CDA" w:rsidTr="06441AB2">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6173B22E" w14:textId="77777777" w:rsidR="00BF2AC5" w:rsidRDefault="00BF2AC5" w:rsidP="00BF2AC5">
            <w:pPr>
              <w:rPr>
                <w:color w:val="000000" w:themeColor="text1"/>
              </w:rPr>
            </w:pPr>
            <w:r w:rsidRPr="06441AB2">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auto"/>
            <w:vAlign w:val="center"/>
          </w:tcPr>
          <w:p w14:paraId="2E8775AA" w14:textId="7EB50C8C" w:rsidR="00BF2AC5" w:rsidRPr="000E7EED" w:rsidRDefault="00086971" w:rsidP="00BF2AC5">
            <w:pPr>
              <w:jc w:val="center"/>
              <w:rPr>
                <w:color w:val="000000" w:themeColor="text1"/>
              </w:rPr>
            </w:pPr>
            <w:r>
              <w:rPr>
                <w:color w:val="000000" w:themeColor="text1"/>
              </w:rPr>
              <w:t>17,537</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7AAB1F72" w14:textId="41B2858B" w:rsidR="00BF2AC5" w:rsidRPr="000E7EED" w:rsidRDefault="007B110D" w:rsidP="00BF2AC5">
            <w:pPr>
              <w:jc w:val="center"/>
              <w:rPr>
                <w:color w:val="000000" w:themeColor="text1"/>
              </w:rPr>
            </w:pPr>
            <w:r>
              <w:rPr>
                <w:color w:val="000000" w:themeColor="text1"/>
              </w:rPr>
              <w:t>22</w:t>
            </w:r>
            <w:r w:rsidR="004B5CF1">
              <w:rPr>
                <w:color w:val="000000" w:themeColor="text1"/>
              </w:rPr>
              <w:t>,560</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568110B3" w14:textId="75D45513" w:rsidR="00BF2AC5" w:rsidRPr="003A61E0" w:rsidRDefault="000437AA" w:rsidP="00C834AC">
            <w:pPr>
              <w:jc w:val="center"/>
              <w:rPr>
                <w:rFonts w:eastAsia="Arial" w:cs="Arial"/>
              </w:rPr>
            </w:pPr>
            <w:r w:rsidRPr="06441AB2">
              <w:rPr>
                <w:rFonts w:eastAsia="Arial" w:cs="Arial"/>
              </w:rPr>
              <w:t>20,2</w:t>
            </w:r>
            <w:r w:rsidR="00CF4A19">
              <w:rPr>
                <w:rFonts w:eastAsia="Arial" w:cs="Arial"/>
              </w:rPr>
              <w:t>00</w:t>
            </w:r>
          </w:p>
        </w:tc>
      </w:tr>
      <w:tr w:rsidR="00BF2AC5" w14:paraId="44E57F19" w14:textId="306A8423" w:rsidTr="06441AB2">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7AB592EF" w14:textId="77777777" w:rsidR="00BF2AC5" w:rsidRDefault="00BF2AC5" w:rsidP="00BF2AC5">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980" w:type="pct"/>
            <w:tcBorders>
              <w:bottom w:val="single" w:sz="4" w:space="0" w:color="7F7F7F" w:themeColor="text1" w:themeTint="80"/>
            </w:tcBorders>
            <w:shd w:val="clear" w:color="auto" w:fill="auto"/>
            <w:vAlign w:val="center"/>
          </w:tcPr>
          <w:p w14:paraId="22D2C9B8" w14:textId="3BB28AAD" w:rsidR="00BF2AC5" w:rsidRPr="000E7EED" w:rsidRDefault="00F216D9" w:rsidP="00BF2AC5">
            <w:pPr>
              <w:jc w:val="center"/>
              <w:rPr>
                <w:color w:val="000000" w:themeColor="text1"/>
              </w:rPr>
            </w:pPr>
            <w:r>
              <w:t>9,560</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64C623A0" w14:textId="69B94109" w:rsidR="00BF2AC5" w:rsidRPr="000E7EED" w:rsidRDefault="000A7516" w:rsidP="00BF2AC5">
            <w:pPr>
              <w:jc w:val="center"/>
              <w:rPr>
                <w:color w:val="000000" w:themeColor="text1"/>
              </w:rPr>
            </w:pPr>
            <w:r>
              <w:rPr>
                <w:color w:val="000000" w:themeColor="text1"/>
              </w:rPr>
              <w:t>10,150</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015BF5C8" w14:textId="78EE7BAD" w:rsidR="00BF2AC5" w:rsidRPr="00051FCF" w:rsidRDefault="000437AA" w:rsidP="00C834AC">
            <w:pPr>
              <w:jc w:val="center"/>
              <w:rPr>
                <w:color w:val="000000" w:themeColor="text1"/>
              </w:rPr>
            </w:pPr>
            <w:r>
              <w:rPr>
                <w:color w:val="000000" w:themeColor="text1"/>
              </w:rPr>
              <w:t>10,</w:t>
            </w:r>
            <w:r w:rsidR="00CF4A19">
              <w:rPr>
                <w:color w:val="000000" w:themeColor="text1"/>
              </w:rPr>
              <w:t>400</w:t>
            </w:r>
          </w:p>
        </w:tc>
      </w:tr>
    </w:tbl>
    <w:p w14:paraId="1035991B" w14:textId="77777777" w:rsidR="007D7B0D" w:rsidRDefault="007D7B0D">
      <w:pPr>
        <w:spacing w:after="0" w:line="240" w:lineRule="auto"/>
      </w:pPr>
    </w:p>
    <w:p w14:paraId="701D8074" w14:textId="039E57EC" w:rsidR="00B13E7E" w:rsidRDefault="00176B33" w:rsidP="007B4095">
      <w:pPr>
        <w:spacing w:after="0"/>
      </w:pPr>
      <w:r>
        <w:t>As the courts continue to increase the number of matters heard we are providing an increase</w:t>
      </w:r>
      <w:r w:rsidR="00413AC2">
        <w:t>d number</w:t>
      </w:r>
      <w:r>
        <w:t xml:space="preserve"> of duty lawyer services. There was a 20 per cent increase in the number of duty lawyer services provided in quarter two compared to quarter one of 2022</w:t>
      </w:r>
      <w:r w:rsidRPr="20E2085F">
        <w:rPr>
          <w:rFonts w:cs="Arial"/>
          <w:color w:val="000000" w:themeColor="text1"/>
          <w:szCs w:val="22"/>
          <w:lang w:eastAsia="en-AU"/>
        </w:rPr>
        <w:t>–</w:t>
      </w:r>
      <w:r>
        <w:t>23, and a 66 per cent increase when compared to quarter two 2021</w:t>
      </w:r>
      <w:r w:rsidRPr="20E2085F">
        <w:rPr>
          <w:rFonts w:cs="Arial"/>
          <w:color w:val="000000" w:themeColor="text1"/>
          <w:szCs w:val="22"/>
          <w:lang w:eastAsia="en-AU"/>
        </w:rPr>
        <w:t>–</w:t>
      </w:r>
      <w:r>
        <w:t>22 (13,637</w:t>
      </w:r>
      <w:r w:rsidR="00413AC2">
        <w:t xml:space="preserve">). </w:t>
      </w:r>
    </w:p>
    <w:p w14:paraId="7D0D010F" w14:textId="77777777" w:rsidR="00E62789" w:rsidRDefault="00E62789" w:rsidP="007B4095">
      <w:pPr>
        <w:spacing w:after="0"/>
      </w:pPr>
    </w:p>
    <w:p w14:paraId="282B9964" w14:textId="3E2D4676" w:rsidR="00CF7BEB" w:rsidRDefault="00413AC2" w:rsidP="007B4095">
      <w:pPr>
        <w:spacing w:after="0"/>
      </w:pPr>
      <w:r>
        <w:t>The</w:t>
      </w:r>
      <w:r w:rsidR="00A95306">
        <w:t xml:space="preserve"> duty lawyer services count was not available for quarter one 2022</w:t>
      </w:r>
      <w:r w:rsidR="00344147" w:rsidRPr="20E2085F">
        <w:rPr>
          <w:rFonts w:cs="Arial"/>
          <w:color w:val="000000" w:themeColor="text1"/>
          <w:szCs w:val="22"/>
          <w:lang w:eastAsia="en-AU"/>
        </w:rPr>
        <w:t>–</w:t>
      </w:r>
      <w:r w:rsidR="00A95306">
        <w:t xml:space="preserve">23 at the time </w:t>
      </w:r>
      <w:r w:rsidR="00D51A54">
        <w:t>that report was</w:t>
      </w:r>
      <w:r w:rsidR="00EC408F">
        <w:t xml:space="preserve"> </w:t>
      </w:r>
      <w:r w:rsidR="00A95306">
        <w:t>publi</w:t>
      </w:r>
      <w:r w:rsidR="00D51A54">
        <w:t>shed.</w:t>
      </w:r>
      <w:r w:rsidR="004308AE">
        <w:t xml:space="preserve"> This was due to</w:t>
      </w:r>
      <w:r w:rsidR="00294B4A">
        <w:t xml:space="preserve"> </w:t>
      </w:r>
      <w:r w:rsidR="004308AE">
        <w:t xml:space="preserve">discovery work taking place at the time to ensure that </w:t>
      </w:r>
      <w:r w:rsidR="007022DE">
        <w:t xml:space="preserve">our </w:t>
      </w:r>
      <w:r w:rsidR="004308AE">
        <w:t>duty lawyer counts were accurate and reliable. This work has no</w:t>
      </w:r>
      <w:r w:rsidR="000934F3">
        <w:t>w</w:t>
      </w:r>
      <w:r w:rsidR="004308AE">
        <w:t xml:space="preserve"> been completed and we are able to retrospectively provide the result for quarter one</w:t>
      </w:r>
      <w:r w:rsidR="000934F3">
        <w:t xml:space="preserve">. </w:t>
      </w:r>
      <w:r w:rsidR="00091BF7">
        <w:t>W</w:t>
      </w:r>
      <w:r w:rsidR="00F143AC">
        <w:t xml:space="preserve">ork will </w:t>
      </w:r>
      <w:r w:rsidR="00DB0EEE">
        <w:t>continue</w:t>
      </w:r>
      <w:r w:rsidR="00091BF7">
        <w:t xml:space="preserve"> our duty lawyer service levels as part of </w:t>
      </w:r>
      <w:r w:rsidR="005E2AB8">
        <w:t xml:space="preserve">a </w:t>
      </w:r>
      <w:r w:rsidR="00065613">
        <w:t xml:space="preserve">review into our services. Whilst we have seen an increase of duty lawyer services compared to COVID affected years, they are not yet at the levels we had anticipated and forecast. </w:t>
      </w:r>
      <w:r w:rsidR="00291FDB">
        <w:t>The review into the impacts of a recovering justice system on our services will help inform our planning and forecasts for 2023</w:t>
      </w:r>
      <w:r w:rsidR="00176B33" w:rsidRPr="20E2085F">
        <w:rPr>
          <w:rFonts w:cs="Arial"/>
          <w:color w:val="000000" w:themeColor="text1"/>
          <w:szCs w:val="22"/>
          <w:lang w:eastAsia="en-AU"/>
        </w:rPr>
        <w:t>–</w:t>
      </w:r>
      <w:r w:rsidR="00176B33">
        <w:t>24.</w:t>
      </w:r>
      <w:r w:rsidR="00F143AC">
        <w:t xml:space="preserve"> </w:t>
      </w:r>
    </w:p>
    <w:p w14:paraId="5864A2CD" w14:textId="70C33DC3" w:rsidR="007A1CFB" w:rsidRDefault="007A1CFB" w:rsidP="007B4095">
      <w:pPr>
        <w:spacing w:after="0"/>
      </w:pPr>
    </w:p>
    <w:p w14:paraId="1C3AB279" w14:textId="3B2578D5" w:rsidR="00FE1EFA" w:rsidRDefault="007A1CFB" w:rsidP="007B4095">
      <w:pPr>
        <w:spacing w:after="0"/>
      </w:pPr>
      <w:r>
        <w:t xml:space="preserve">There was an increase of </w:t>
      </w:r>
      <w:r w:rsidR="006373C6">
        <w:t>six per cent in the number of grants of legal assistance provided in quarter two 2022</w:t>
      </w:r>
      <w:r w:rsidR="00344147" w:rsidRPr="20E2085F">
        <w:rPr>
          <w:rFonts w:cs="Arial"/>
          <w:color w:val="000000" w:themeColor="text1"/>
          <w:szCs w:val="22"/>
          <w:lang w:eastAsia="en-AU"/>
        </w:rPr>
        <w:t>–</w:t>
      </w:r>
      <w:r w:rsidR="006373C6">
        <w:t>23 compared to quarter one.</w:t>
      </w:r>
      <w:r w:rsidR="00EC5735">
        <w:t xml:space="preserve"> </w:t>
      </w:r>
      <w:r w:rsidR="00754BE8">
        <w:t xml:space="preserve">However, grants </w:t>
      </w:r>
      <w:r w:rsidR="009942B8">
        <w:t xml:space="preserve">of legal assistance have not </w:t>
      </w:r>
      <w:r w:rsidR="0037085B">
        <w:t xml:space="preserve">increased as </w:t>
      </w:r>
      <w:r w:rsidR="009472B4">
        <w:t xml:space="preserve">expected this year </w:t>
      </w:r>
      <w:r w:rsidR="001A22DD">
        <w:t xml:space="preserve">which may be </w:t>
      </w:r>
      <w:r w:rsidR="006119DE">
        <w:t xml:space="preserve">the result of </w:t>
      </w:r>
      <w:r w:rsidR="0010649D">
        <w:t xml:space="preserve">factors in other parts of the </w:t>
      </w:r>
      <w:r w:rsidR="005A0AA9">
        <w:t>system</w:t>
      </w:r>
      <w:r w:rsidR="00EC4AC4">
        <w:t xml:space="preserve"> (</w:t>
      </w:r>
      <w:r w:rsidR="00DB0EEE">
        <w:t>e.g.</w:t>
      </w:r>
      <w:r w:rsidR="00B21428">
        <w:t xml:space="preserve"> </w:t>
      </w:r>
      <w:r w:rsidR="00EC4AC4">
        <w:t xml:space="preserve">court </w:t>
      </w:r>
      <w:r w:rsidR="00B21428">
        <w:t xml:space="preserve">listings </w:t>
      </w:r>
      <w:r w:rsidR="005406D8">
        <w:t xml:space="preserve">and </w:t>
      </w:r>
      <w:r w:rsidR="00EC4AC4">
        <w:t>backlogs)</w:t>
      </w:r>
      <w:r w:rsidR="003A2E17">
        <w:t xml:space="preserve">. </w:t>
      </w:r>
      <w:r w:rsidR="00FE1EFA" w:rsidRPr="00FE1EFA">
        <w:t>VLA continues to support the work of the court</w:t>
      </w:r>
      <w:r w:rsidR="000A7721">
        <w:t>s</w:t>
      </w:r>
      <w:r w:rsidR="00FE1EFA" w:rsidRPr="00FE1EFA">
        <w:t xml:space="preserve"> in addressing the backlog of </w:t>
      </w:r>
      <w:r w:rsidR="00DB6202" w:rsidRPr="00FE1EFA">
        <w:t>existing</w:t>
      </w:r>
      <w:r w:rsidR="00FE1EFA" w:rsidRPr="00FE1EFA">
        <w:t xml:space="preserve"> matters (</w:t>
      </w:r>
      <w:r w:rsidR="00DB6202" w:rsidRPr="00FE1EFA">
        <w:t>recognised</w:t>
      </w:r>
      <w:r w:rsidR="00FE1EFA" w:rsidRPr="00FE1EFA">
        <w:t xml:space="preserve"> as approvals in previous financial years). This is reflect</w:t>
      </w:r>
      <w:r w:rsidR="000A7721">
        <w:t>ed</w:t>
      </w:r>
      <w:r w:rsidR="00FE1EFA" w:rsidRPr="00FE1EFA">
        <w:t xml:space="preserve"> in the level of grant expenditure, which is predicted to exceed the COVID-19 related years.</w:t>
      </w:r>
    </w:p>
    <w:p w14:paraId="76694AB2" w14:textId="77777777" w:rsidR="00CF7BEB" w:rsidRDefault="00CF7BEB">
      <w:pPr>
        <w:spacing w:after="0" w:line="240" w:lineRule="auto"/>
      </w:pPr>
    </w:p>
    <w:p w14:paraId="389B7E18" w14:textId="2BA8664C" w:rsidR="000B42DC" w:rsidRDefault="00F143AC">
      <w:pPr>
        <w:spacing w:after="0" w:line="240" w:lineRule="auto"/>
      </w:pPr>
      <w:r>
        <w:t xml:space="preserve"> </w:t>
      </w:r>
      <w:r w:rsidR="000B42DC">
        <w:br w:type="page"/>
      </w:r>
    </w:p>
    <w:p w14:paraId="6EB8CCDC" w14:textId="400FC8EA" w:rsidR="004175B7" w:rsidRDefault="004175B7" w:rsidP="000B42DC">
      <w:pPr>
        <w:pStyle w:val="Heading2"/>
      </w:pPr>
      <w:r w:rsidRPr="004175B7">
        <w:lastRenderedPageBreak/>
        <w:t xml:space="preserve">Financial </w:t>
      </w:r>
      <w:r w:rsidR="00B03011">
        <w:t>S</w:t>
      </w:r>
      <w:r w:rsidRPr="004175B7">
        <w:t>ummary</w:t>
      </w:r>
    </w:p>
    <w:p w14:paraId="50090AE0" w14:textId="3F9C2C1C" w:rsidR="00E23304" w:rsidRPr="00C31C39" w:rsidRDefault="00010407" w:rsidP="00010407">
      <w:pPr>
        <w:spacing w:after="160" w:line="259" w:lineRule="auto"/>
      </w:pPr>
      <w:bookmarkStart w:id="4" w:name="_Hlk33006424"/>
      <w:bookmarkStart w:id="5" w:name="_Hlk25835001"/>
      <w:r w:rsidRPr="00C31C39">
        <w:t xml:space="preserve">Our operating position for quarter two 2022–23 was a small deficit of $1.5 million. </w:t>
      </w:r>
      <w:r w:rsidR="00C90379" w:rsidRPr="00C31C39">
        <w:t xml:space="preserve">The YTD deficit is lower due to the majority of grant revenue </w:t>
      </w:r>
      <w:r w:rsidR="00D71011">
        <w:t xml:space="preserve">being </w:t>
      </w:r>
      <w:r w:rsidR="00C90379" w:rsidRPr="00C31C39">
        <w:t xml:space="preserve">received in the first </w:t>
      </w:r>
      <w:r w:rsidR="00D71011">
        <w:t>two</w:t>
      </w:r>
      <w:r w:rsidR="00C90379" w:rsidRPr="00C31C39">
        <w:t xml:space="preserve"> quarters of the year. </w:t>
      </w:r>
    </w:p>
    <w:p w14:paraId="27D58096" w14:textId="30F35A30" w:rsidR="00010407" w:rsidRPr="00C31C39" w:rsidRDefault="00010407" w:rsidP="00010407">
      <w:pPr>
        <w:spacing w:after="160" w:line="259" w:lineRule="auto"/>
      </w:pPr>
      <w:r w:rsidRPr="00C31C39">
        <w:t>The increase in revenue</w:t>
      </w:r>
      <w:r w:rsidR="004A39DD" w:rsidRPr="00C31C39">
        <w:t xml:space="preserve"> from quarter one</w:t>
      </w:r>
      <w:r w:rsidRPr="00C31C39">
        <w:t xml:space="preserve"> reflects the timing of project funding, the realisation of the consequential Commonwealth funding for the transition of the Federal Circuit and Family Court of Australia</w:t>
      </w:r>
      <w:r w:rsidR="001C2637" w:rsidRPr="00C31C39">
        <w:t>,</w:t>
      </w:r>
      <w:r w:rsidRPr="00C31C39">
        <w:t xml:space="preserve"> and increased interest revenue. The case expenditure level in quarter one 2022</w:t>
      </w:r>
      <w:r w:rsidR="0066606C" w:rsidRPr="00C31C39">
        <w:t>–</w:t>
      </w:r>
      <w:r w:rsidRPr="00C31C39">
        <w:t>23</w:t>
      </w:r>
      <w:r w:rsidR="0066606C" w:rsidRPr="00C31C39">
        <w:t>,</w:t>
      </w:r>
      <w:r w:rsidRPr="00C31C39">
        <w:t xml:space="preserve"> </w:t>
      </w:r>
      <w:r w:rsidR="001C2637" w:rsidRPr="00C31C39">
        <w:t xml:space="preserve">which </w:t>
      </w:r>
      <w:r w:rsidRPr="00C31C39">
        <w:t>has continued into quarter two</w:t>
      </w:r>
      <w:r w:rsidR="0066606C" w:rsidRPr="00C31C39">
        <w:t>,</w:t>
      </w:r>
      <w:r w:rsidRPr="00C31C39">
        <w:t xml:space="preserve"> reflects </w:t>
      </w:r>
      <w:r w:rsidR="000946E0" w:rsidRPr="00C31C39">
        <w:t xml:space="preserve">the ramp up of </w:t>
      </w:r>
      <w:r w:rsidRPr="00C31C39">
        <w:t>court activities after COVID.</w:t>
      </w:r>
    </w:p>
    <w:p w14:paraId="6CDACC44" w14:textId="304D6437" w:rsidR="00F216D9" w:rsidRPr="00C31C39" w:rsidRDefault="00010407" w:rsidP="00C31C39">
      <w:pPr>
        <w:spacing w:after="0"/>
      </w:pPr>
      <w:r w:rsidRPr="00C31C39">
        <w:t xml:space="preserve">We are projecting a year-end deficit of approximately $14 million. </w:t>
      </w:r>
      <w:r w:rsidR="005C4D34" w:rsidRPr="00C31C39">
        <w:t xml:space="preserve">This </w:t>
      </w:r>
      <w:r w:rsidR="00D74698" w:rsidRPr="00C31C39">
        <w:t>is lower than the p</w:t>
      </w:r>
      <w:r w:rsidR="008E76AC" w:rsidRPr="00C31C39">
        <w:t xml:space="preserve">lanned </w:t>
      </w:r>
      <w:r w:rsidR="00D74698" w:rsidRPr="00C31C39">
        <w:t>deficit of $19 million</w:t>
      </w:r>
      <w:r w:rsidR="004B6DAB">
        <w:t>,</w:t>
      </w:r>
      <w:r w:rsidR="008E76AC" w:rsidRPr="00C31C39">
        <w:t xml:space="preserve"> primarily due to the </w:t>
      </w:r>
      <w:r w:rsidR="003D155A" w:rsidRPr="00C31C39">
        <w:t>lower grant</w:t>
      </w:r>
      <w:r w:rsidR="0082613E" w:rsidRPr="00C31C39">
        <w:t xml:space="preserve">s of legal assistance </w:t>
      </w:r>
      <w:r w:rsidR="002226B5" w:rsidRPr="00C31C39">
        <w:t xml:space="preserve">highlighted above. </w:t>
      </w:r>
      <w:r w:rsidRPr="00C31C39">
        <w:t>This deficit will be funded from VLA’s existing cash reserves, which arose in recent years due to a reduction in court activity from COVID-19.</w:t>
      </w:r>
      <w:r w:rsidR="00C31C39">
        <w:t xml:space="preserve"> </w:t>
      </w:r>
      <w:r w:rsidRPr="00C31C39">
        <w:t>This is part of the State Government</w:t>
      </w:r>
      <w:r w:rsidR="0066606C" w:rsidRPr="00C31C39">
        <w:t>-</w:t>
      </w:r>
      <w:r w:rsidRPr="00C31C39">
        <w:t>approved approach to fund approximately $50 million of deficits across 2022–23 and 202</w:t>
      </w:r>
      <w:r w:rsidR="00050777">
        <w:t>3</w:t>
      </w:r>
      <w:r w:rsidR="002A53CF" w:rsidRPr="00C31C39">
        <w:t>–</w:t>
      </w:r>
      <w:r w:rsidRPr="00C31C39">
        <w:t>2</w:t>
      </w:r>
      <w:r w:rsidR="00050777">
        <w:t>4</w:t>
      </w:r>
      <w:r w:rsidRPr="00C31C39">
        <w:t xml:space="preserve"> from these reserves. However, VLA’s ongoing financial challenges remain, with additional funding required once these reserves are utilised. </w:t>
      </w:r>
      <w:r w:rsidR="002F7500" w:rsidRPr="00234170">
        <w:rPr>
          <w:rFonts w:cs="Arial"/>
          <w:color w:val="000000" w:themeColor="text1"/>
          <w:szCs w:val="22"/>
          <w:lang w:eastAsia="en-AU"/>
        </w:rPr>
        <w:t xml:space="preserve">We will continue our work with government to secure sustainable long-term funding through </w:t>
      </w:r>
      <w:r w:rsidR="00712B7E">
        <w:rPr>
          <w:rFonts w:cs="Arial"/>
          <w:color w:val="000000" w:themeColor="text1"/>
          <w:szCs w:val="22"/>
          <w:lang w:eastAsia="en-AU"/>
        </w:rPr>
        <w:t>our</w:t>
      </w:r>
      <w:r w:rsidR="00712B7E" w:rsidRPr="00234170">
        <w:rPr>
          <w:rFonts w:cs="Arial"/>
          <w:color w:val="000000" w:themeColor="text1"/>
          <w:szCs w:val="22"/>
          <w:lang w:eastAsia="en-AU"/>
        </w:rPr>
        <w:t xml:space="preserve"> </w:t>
      </w:r>
      <w:r w:rsidR="002F7500" w:rsidRPr="00234170">
        <w:rPr>
          <w:rFonts w:cs="Arial"/>
          <w:color w:val="000000" w:themeColor="text1"/>
          <w:szCs w:val="22"/>
          <w:lang w:eastAsia="en-AU"/>
        </w:rPr>
        <w:t>Legal Assistance Demand-based Funding Model.</w:t>
      </w:r>
      <w:r w:rsidR="00597635">
        <w:rPr>
          <w:rFonts w:cs="Arial"/>
          <w:color w:val="000000" w:themeColor="text1"/>
          <w:szCs w:val="22"/>
          <w:lang w:eastAsia="en-AU"/>
        </w:rPr>
        <w:t xml:space="preserve"> </w:t>
      </w:r>
      <w:r w:rsidRPr="00C31C39">
        <w:t>If additional funding is not received</w:t>
      </w:r>
      <w:r w:rsidR="00AF4F95">
        <w:t xml:space="preserve"> and services increase as expected</w:t>
      </w:r>
      <w:r w:rsidRPr="00C31C39">
        <w:t>, then service reduction measures will need to be introduced as early as 2024.</w:t>
      </w:r>
    </w:p>
    <w:p w14:paraId="5C7A41B4" w14:textId="719B4609" w:rsidR="004175B7" w:rsidRPr="004175B7" w:rsidRDefault="00351328" w:rsidP="004175B7">
      <w:pPr>
        <w:pStyle w:val="Heading3"/>
      </w:pPr>
      <w:r w:rsidRPr="004175B7">
        <w:rPr>
          <w:rStyle w:val="Heading3Char"/>
          <w:b/>
          <w:bCs/>
        </w:rPr>
        <w:t>Total</w:t>
      </w:r>
      <w:r w:rsidR="004175B7" w:rsidRPr="004175B7">
        <w:rPr>
          <w:rStyle w:val="Heading3Char"/>
          <w:b/>
          <w:bCs/>
        </w:rPr>
        <w:t xml:space="preserve"> revenue breakdown</w:t>
      </w:r>
      <w:r w:rsidR="007F609B">
        <w:rPr>
          <w:rStyle w:val="Heading3Char"/>
          <w:b/>
          <w:bCs/>
        </w:rPr>
        <w:t xml:space="preserve"> </w:t>
      </w:r>
      <w:r w:rsidR="00A6458C" w:rsidRPr="004175B7">
        <w:rPr>
          <w:rStyle w:val="Heading3Char"/>
          <w:b/>
          <w:bCs/>
        </w:rPr>
        <w:t>(</w:t>
      </w:r>
      <w:r w:rsidR="004175B7" w:rsidRPr="004175B7">
        <w:rPr>
          <w:rStyle w:val="Heading3Char"/>
          <w:b/>
          <w:bCs/>
        </w:rPr>
        <w:t>$’000</w:t>
      </w:r>
      <w:r w:rsidR="004175B7" w:rsidRPr="004175B7">
        <w:t>)</w:t>
      </w:r>
      <w:r w:rsidR="007F609B">
        <w:t xml:space="preserve"> </w:t>
      </w:r>
    </w:p>
    <w:tbl>
      <w:tblPr>
        <w:tblStyle w:val="PlainTable2"/>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394"/>
        <w:gridCol w:w="1979"/>
        <w:gridCol w:w="1979"/>
        <w:gridCol w:w="1563"/>
      </w:tblGrid>
      <w:tr w:rsidR="00F216D9" w:rsidRPr="000E7EED" w14:paraId="1C659569" w14:textId="4E8095C9" w:rsidTr="20E2085F">
        <w:trPr>
          <w:cnfStyle w:val="100000000000" w:firstRow="1" w:lastRow="0" w:firstColumn="0" w:lastColumn="0" w:oddVBand="0" w:evenVBand="0" w:oddHBand="0" w:evenHBand="0" w:firstRowFirstColumn="0" w:firstRowLastColumn="0" w:lastRowFirstColumn="0" w:lastRowLastColumn="0"/>
        </w:trPr>
        <w:tc>
          <w:tcPr>
            <w:tcW w:w="2216" w:type="pct"/>
            <w:shd w:val="clear" w:color="auto" w:fill="C3AFCC"/>
          </w:tcPr>
          <w:p w14:paraId="59377134" w14:textId="77777777" w:rsidR="00F216D9" w:rsidRPr="000E7EED" w:rsidRDefault="00F216D9" w:rsidP="00F216D9">
            <w:pPr>
              <w:rPr>
                <w:b/>
                <w:color w:val="000000" w:themeColor="text1"/>
              </w:rPr>
            </w:pPr>
            <w:bookmarkStart w:id="6" w:name="_Hlk10632113"/>
            <w:bookmarkEnd w:id="4"/>
            <w:r w:rsidRPr="000E7EED">
              <w:rPr>
                <w:b/>
                <w:color w:val="000000" w:themeColor="text1"/>
              </w:rPr>
              <w:t>Revenue</w:t>
            </w:r>
          </w:p>
        </w:tc>
        <w:tc>
          <w:tcPr>
            <w:tcW w:w="998" w:type="pct"/>
            <w:shd w:val="clear" w:color="auto" w:fill="C3AFCC"/>
          </w:tcPr>
          <w:p w14:paraId="22CB6AC3" w14:textId="77777777" w:rsidR="00F216D9" w:rsidRPr="000E7EED" w:rsidRDefault="00F216D9" w:rsidP="00F216D9">
            <w:pPr>
              <w:jc w:val="center"/>
              <w:rPr>
                <w:b/>
                <w:color w:val="000000" w:themeColor="text1"/>
              </w:rPr>
            </w:pPr>
            <w:r w:rsidRPr="55245693">
              <w:rPr>
                <w:b/>
                <w:color w:val="000000" w:themeColor="text1"/>
              </w:rPr>
              <w:t>Q</w:t>
            </w:r>
            <w:r>
              <w:rPr>
                <w:b/>
                <w:color w:val="000000" w:themeColor="text1"/>
              </w:rPr>
              <w:t>1</w:t>
            </w:r>
          </w:p>
          <w:p w14:paraId="3EFEB76D" w14:textId="193E867F" w:rsidR="00F216D9" w:rsidRPr="000E7EED" w:rsidRDefault="00F216D9" w:rsidP="00F216D9">
            <w:pPr>
              <w:jc w:val="center"/>
              <w:rPr>
                <w:b/>
                <w:color w:val="000000" w:themeColor="text1"/>
              </w:rPr>
            </w:pPr>
            <w:r w:rsidRPr="000E7EED">
              <w:rPr>
                <w:b/>
                <w:color w:val="000000" w:themeColor="text1"/>
              </w:rPr>
              <w:t>20</w:t>
            </w:r>
            <w:r>
              <w:rPr>
                <w:b/>
                <w:color w:val="000000" w:themeColor="text1"/>
              </w:rPr>
              <w:t>2</w:t>
            </w:r>
            <w:r w:rsidR="00112FBB">
              <w:rPr>
                <w:b/>
                <w:color w:val="000000" w:themeColor="text1"/>
              </w:rPr>
              <w:t>2</w:t>
            </w:r>
            <w:r>
              <w:rPr>
                <w:b/>
                <w:color w:val="000000" w:themeColor="text1"/>
              </w:rPr>
              <w:t>-2</w:t>
            </w:r>
            <w:r w:rsidR="00112FBB">
              <w:rPr>
                <w:b/>
                <w:color w:val="000000" w:themeColor="text1"/>
              </w:rPr>
              <w:t>3</w:t>
            </w:r>
          </w:p>
        </w:tc>
        <w:tc>
          <w:tcPr>
            <w:tcW w:w="998" w:type="pct"/>
            <w:shd w:val="clear" w:color="auto" w:fill="C3AFCC"/>
          </w:tcPr>
          <w:p w14:paraId="5F20E853" w14:textId="77777777" w:rsidR="00F216D9" w:rsidRDefault="00F216D9" w:rsidP="00F216D9">
            <w:pPr>
              <w:jc w:val="center"/>
              <w:rPr>
                <w:b/>
                <w:color w:val="000000" w:themeColor="text1"/>
              </w:rPr>
            </w:pPr>
            <w:r w:rsidRPr="55245693">
              <w:rPr>
                <w:b/>
                <w:color w:val="000000" w:themeColor="text1"/>
              </w:rPr>
              <w:t>Q</w:t>
            </w:r>
            <w:r>
              <w:rPr>
                <w:b/>
                <w:color w:val="000000" w:themeColor="text1"/>
              </w:rPr>
              <w:t>2</w:t>
            </w:r>
          </w:p>
          <w:p w14:paraId="4CCF9AC7" w14:textId="0C7DA780" w:rsidR="00F216D9" w:rsidRPr="000E7EED" w:rsidRDefault="00F216D9" w:rsidP="00F216D9">
            <w:pPr>
              <w:jc w:val="center"/>
              <w:rPr>
                <w:b/>
                <w:color w:val="000000" w:themeColor="text1"/>
              </w:rPr>
            </w:pPr>
            <w:r w:rsidRPr="000E7EED">
              <w:rPr>
                <w:b/>
                <w:color w:val="000000" w:themeColor="text1"/>
              </w:rPr>
              <w:t>20</w:t>
            </w:r>
            <w:r>
              <w:rPr>
                <w:b/>
                <w:color w:val="000000" w:themeColor="text1"/>
              </w:rPr>
              <w:t>22-23</w:t>
            </w:r>
          </w:p>
        </w:tc>
        <w:tc>
          <w:tcPr>
            <w:tcW w:w="788" w:type="pct"/>
            <w:shd w:val="clear" w:color="auto" w:fill="C3AFCC"/>
          </w:tcPr>
          <w:p w14:paraId="5CA769EC" w14:textId="77777777" w:rsidR="00F216D9" w:rsidRDefault="00F216D9" w:rsidP="00F216D9">
            <w:pPr>
              <w:jc w:val="center"/>
              <w:rPr>
                <w:b/>
                <w:bCs w:val="0"/>
                <w:color w:val="000000" w:themeColor="text1"/>
              </w:rPr>
            </w:pPr>
            <w:r>
              <w:rPr>
                <w:b/>
                <w:color w:val="000000" w:themeColor="text1"/>
              </w:rPr>
              <w:t>Q3 2022-23</w:t>
            </w:r>
          </w:p>
          <w:p w14:paraId="35FF2E77" w14:textId="1D976FC2" w:rsidR="00F216D9" w:rsidRPr="000E7EED" w:rsidRDefault="00F216D9" w:rsidP="00F216D9">
            <w:pPr>
              <w:jc w:val="center"/>
              <w:rPr>
                <w:b/>
                <w:color w:val="000000" w:themeColor="text1"/>
              </w:rPr>
            </w:pPr>
            <w:r>
              <w:rPr>
                <w:b/>
                <w:color w:val="000000" w:themeColor="text1"/>
              </w:rPr>
              <w:t>projection</w:t>
            </w:r>
          </w:p>
        </w:tc>
      </w:tr>
      <w:tr w:rsidR="00F216D9" w:rsidRPr="000E7EED" w14:paraId="01E48904" w14:textId="5BAAC4A8" w:rsidTr="20E2085F">
        <w:tc>
          <w:tcPr>
            <w:tcW w:w="2216" w:type="pct"/>
          </w:tcPr>
          <w:p w14:paraId="0021B005" w14:textId="77777777" w:rsidR="00F216D9" w:rsidRPr="000E7EED" w:rsidRDefault="00F216D9" w:rsidP="20E2085F">
            <w:pPr>
              <w:rPr>
                <w:color w:val="000000" w:themeColor="text1"/>
                <w:szCs w:val="22"/>
              </w:rPr>
            </w:pPr>
            <w:r w:rsidRPr="20E2085F">
              <w:rPr>
                <w:color w:val="000000" w:themeColor="text1"/>
                <w:szCs w:val="22"/>
              </w:rPr>
              <w:t>Commonwealth – grants</w:t>
            </w:r>
          </w:p>
        </w:tc>
        <w:tc>
          <w:tcPr>
            <w:tcW w:w="998" w:type="pct"/>
            <w:shd w:val="clear" w:color="auto" w:fill="auto"/>
          </w:tcPr>
          <w:p w14:paraId="276A5F3F" w14:textId="07E9DBA3" w:rsidR="00F216D9" w:rsidRPr="008E424E" w:rsidRDefault="00F216D9" w:rsidP="20E2085F">
            <w:pPr>
              <w:jc w:val="right"/>
              <w:rPr>
                <w:szCs w:val="22"/>
              </w:rPr>
            </w:pPr>
            <w:r w:rsidRPr="20E2085F">
              <w:rPr>
                <w:szCs w:val="22"/>
              </w:rPr>
              <w:t>22,958</w:t>
            </w:r>
          </w:p>
        </w:tc>
        <w:tc>
          <w:tcPr>
            <w:tcW w:w="998" w:type="pct"/>
            <w:shd w:val="clear" w:color="auto" w:fill="D9D9D9" w:themeFill="background1" w:themeFillShade="D9"/>
          </w:tcPr>
          <w:p w14:paraId="6C2FE6C7" w14:textId="3F3CE22D" w:rsidR="684ACE33" w:rsidRDefault="684ACE33" w:rsidP="20E2085F">
            <w:pPr>
              <w:jc w:val="right"/>
              <w:rPr>
                <w:rFonts w:eastAsia="Arial" w:cs="Arial"/>
                <w:szCs w:val="22"/>
              </w:rPr>
            </w:pPr>
            <w:r w:rsidRPr="20E2085F">
              <w:rPr>
                <w:rFonts w:eastAsia="Arial" w:cs="Arial"/>
                <w:szCs w:val="22"/>
              </w:rPr>
              <w:t>24,002</w:t>
            </w:r>
          </w:p>
        </w:tc>
        <w:tc>
          <w:tcPr>
            <w:tcW w:w="788" w:type="pct"/>
            <w:shd w:val="clear" w:color="auto" w:fill="auto"/>
          </w:tcPr>
          <w:p w14:paraId="6BDE1526" w14:textId="0FA29771" w:rsidR="684ACE33" w:rsidRDefault="684ACE33" w:rsidP="20E2085F">
            <w:pPr>
              <w:jc w:val="right"/>
              <w:rPr>
                <w:rFonts w:eastAsia="Arial" w:cs="Arial"/>
                <w:szCs w:val="22"/>
              </w:rPr>
            </w:pPr>
            <w:r w:rsidRPr="20E2085F">
              <w:rPr>
                <w:rFonts w:eastAsia="Arial" w:cs="Arial"/>
                <w:szCs w:val="22"/>
              </w:rPr>
              <w:t>24,645</w:t>
            </w:r>
          </w:p>
        </w:tc>
      </w:tr>
      <w:tr w:rsidR="00F216D9" w:rsidRPr="000E7EED" w14:paraId="63873906" w14:textId="4CAEF24E" w:rsidTr="20E2085F">
        <w:tc>
          <w:tcPr>
            <w:tcW w:w="2216" w:type="pct"/>
          </w:tcPr>
          <w:p w14:paraId="218159F5" w14:textId="226857F3" w:rsidR="00F216D9" w:rsidRPr="000E7EED" w:rsidRDefault="00F216D9" w:rsidP="20E2085F">
            <w:pPr>
              <w:rPr>
                <w:color w:val="000000" w:themeColor="text1"/>
                <w:szCs w:val="22"/>
              </w:rPr>
            </w:pPr>
            <w:r w:rsidRPr="20E2085F">
              <w:rPr>
                <w:color w:val="000000" w:themeColor="text1"/>
                <w:szCs w:val="22"/>
              </w:rPr>
              <w:t>ECCCF income</w:t>
            </w:r>
          </w:p>
        </w:tc>
        <w:tc>
          <w:tcPr>
            <w:tcW w:w="998" w:type="pct"/>
            <w:shd w:val="clear" w:color="auto" w:fill="auto"/>
          </w:tcPr>
          <w:p w14:paraId="7A64DCB3" w14:textId="3F3F4D7D" w:rsidR="00F216D9" w:rsidRDefault="00F216D9" w:rsidP="20E2085F">
            <w:pPr>
              <w:jc w:val="right"/>
              <w:rPr>
                <w:szCs w:val="22"/>
              </w:rPr>
            </w:pPr>
            <w:r w:rsidRPr="20E2085F">
              <w:rPr>
                <w:szCs w:val="22"/>
              </w:rPr>
              <w:t>187</w:t>
            </w:r>
          </w:p>
        </w:tc>
        <w:tc>
          <w:tcPr>
            <w:tcW w:w="998" w:type="pct"/>
            <w:shd w:val="clear" w:color="auto" w:fill="D9D9D9" w:themeFill="background1" w:themeFillShade="D9"/>
          </w:tcPr>
          <w:p w14:paraId="3A3B8AD3" w14:textId="1DAF5D37" w:rsidR="684ACE33" w:rsidRDefault="684ACE33" w:rsidP="20E2085F">
            <w:pPr>
              <w:jc w:val="right"/>
              <w:rPr>
                <w:rFonts w:eastAsia="Arial" w:cs="Arial"/>
                <w:szCs w:val="22"/>
              </w:rPr>
            </w:pPr>
            <w:r w:rsidRPr="20E2085F">
              <w:rPr>
                <w:rFonts w:eastAsia="Arial" w:cs="Arial"/>
                <w:szCs w:val="22"/>
              </w:rPr>
              <w:t>630</w:t>
            </w:r>
          </w:p>
        </w:tc>
        <w:tc>
          <w:tcPr>
            <w:tcW w:w="788" w:type="pct"/>
            <w:shd w:val="clear" w:color="auto" w:fill="auto"/>
          </w:tcPr>
          <w:p w14:paraId="129F920A" w14:textId="1C02FAFD" w:rsidR="684ACE33" w:rsidRDefault="684ACE33" w:rsidP="20E2085F">
            <w:pPr>
              <w:jc w:val="right"/>
              <w:rPr>
                <w:rFonts w:eastAsia="Arial" w:cs="Arial"/>
                <w:szCs w:val="22"/>
              </w:rPr>
            </w:pPr>
            <w:r w:rsidRPr="20E2085F">
              <w:rPr>
                <w:rFonts w:eastAsia="Arial" w:cs="Arial"/>
                <w:szCs w:val="22"/>
              </w:rPr>
              <w:t>630</w:t>
            </w:r>
          </w:p>
        </w:tc>
      </w:tr>
      <w:tr w:rsidR="00F216D9" w:rsidRPr="000E7EED" w14:paraId="0A69F6B4" w14:textId="2FA51E45" w:rsidTr="20E2085F">
        <w:tc>
          <w:tcPr>
            <w:tcW w:w="2216" w:type="pct"/>
          </w:tcPr>
          <w:p w14:paraId="3768FF6C" w14:textId="77777777" w:rsidR="00F216D9" w:rsidRPr="000E7EED" w:rsidRDefault="00F216D9" w:rsidP="20E2085F">
            <w:pPr>
              <w:rPr>
                <w:b/>
                <w:bCs/>
                <w:color w:val="000000" w:themeColor="text1"/>
                <w:szCs w:val="22"/>
              </w:rPr>
            </w:pPr>
            <w:r w:rsidRPr="20E2085F">
              <w:rPr>
                <w:color w:val="000000" w:themeColor="text1"/>
                <w:szCs w:val="22"/>
              </w:rPr>
              <w:t>State – grants</w:t>
            </w:r>
          </w:p>
        </w:tc>
        <w:tc>
          <w:tcPr>
            <w:tcW w:w="998" w:type="pct"/>
            <w:shd w:val="clear" w:color="auto" w:fill="auto"/>
          </w:tcPr>
          <w:p w14:paraId="521BA914" w14:textId="7A546049" w:rsidR="00F216D9" w:rsidRPr="008E424E" w:rsidRDefault="00F216D9" w:rsidP="20E2085F">
            <w:pPr>
              <w:jc w:val="right"/>
              <w:rPr>
                <w:szCs w:val="22"/>
              </w:rPr>
            </w:pPr>
            <w:r w:rsidRPr="20E2085F">
              <w:rPr>
                <w:szCs w:val="22"/>
              </w:rPr>
              <w:t>42,805</w:t>
            </w:r>
          </w:p>
        </w:tc>
        <w:tc>
          <w:tcPr>
            <w:tcW w:w="998" w:type="pct"/>
            <w:shd w:val="clear" w:color="auto" w:fill="D9D9D9" w:themeFill="background1" w:themeFillShade="D9"/>
          </w:tcPr>
          <w:p w14:paraId="2A264980" w14:textId="27F1D783" w:rsidR="684ACE33" w:rsidRDefault="684ACE33" w:rsidP="20E2085F">
            <w:pPr>
              <w:jc w:val="right"/>
              <w:rPr>
                <w:rFonts w:eastAsia="Arial" w:cs="Arial"/>
                <w:szCs w:val="22"/>
              </w:rPr>
            </w:pPr>
            <w:r w:rsidRPr="20E2085F">
              <w:rPr>
                <w:rFonts w:eastAsia="Arial" w:cs="Arial"/>
                <w:szCs w:val="22"/>
              </w:rPr>
              <w:t>43,165</w:t>
            </w:r>
          </w:p>
        </w:tc>
        <w:tc>
          <w:tcPr>
            <w:tcW w:w="788" w:type="pct"/>
            <w:shd w:val="clear" w:color="auto" w:fill="auto"/>
          </w:tcPr>
          <w:p w14:paraId="0D13D629" w14:textId="505048A3" w:rsidR="684ACE33" w:rsidRDefault="684ACE33" w:rsidP="20E2085F">
            <w:pPr>
              <w:jc w:val="right"/>
              <w:rPr>
                <w:rFonts w:eastAsia="Arial" w:cs="Arial"/>
                <w:szCs w:val="22"/>
              </w:rPr>
            </w:pPr>
            <w:r w:rsidRPr="20E2085F">
              <w:rPr>
                <w:rFonts w:eastAsia="Arial" w:cs="Arial"/>
                <w:szCs w:val="22"/>
              </w:rPr>
              <w:t>40,740</w:t>
            </w:r>
          </w:p>
        </w:tc>
      </w:tr>
      <w:tr w:rsidR="00F216D9" w:rsidRPr="000E7EED" w14:paraId="1FBF8D6C" w14:textId="062CEB5F" w:rsidTr="20E2085F">
        <w:tc>
          <w:tcPr>
            <w:tcW w:w="2216" w:type="pct"/>
          </w:tcPr>
          <w:p w14:paraId="1E2A089F" w14:textId="77777777" w:rsidR="00F216D9" w:rsidRPr="000E7EED" w:rsidRDefault="00F216D9" w:rsidP="20E2085F">
            <w:pPr>
              <w:rPr>
                <w:b/>
                <w:bCs/>
                <w:color w:val="000000" w:themeColor="text1"/>
                <w:szCs w:val="22"/>
              </w:rPr>
            </w:pPr>
            <w:r w:rsidRPr="20E2085F">
              <w:rPr>
                <w:color w:val="000000" w:themeColor="text1"/>
                <w:szCs w:val="22"/>
              </w:rPr>
              <w:t>Public Purpose Fund</w:t>
            </w:r>
          </w:p>
        </w:tc>
        <w:tc>
          <w:tcPr>
            <w:tcW w:w="998" w:type="pct"/>
            <w:shd w:val="clear" w:color="auto" w:fill="auto"/>
          </w:tcPr>
          <w:p w14:paraId="4D9987B3" w14:textId="75E52E9C" w:rsidR="00F216D9" w:rsidRPr="008E424E" w:rsidRDefault="00F216D9" w:rsidP="20E2085F">
            <w:pPr>
              <w:jc w:val="right"/>
              <w:rPr>
                <w:szCs w:val="22"/>
              </w:rPr>
            </w:pPr>
            <w:r w:rsidRPr="20E2085F">
              <w:rPr>
                <w:szCs w:val="22"/>
              </w:rPr>
              <w:t>5,772</w:t>
            </w:r>
          </w:p>
        </w:tc>
        <w:tc>
          <w:tcPr>
            <w:tcW w:w="998" w:type="pct"/>
            <w:shd w:val="clear" w:color="auto" w:fill="D9D9D9" w:themeFill="background1" w:themeFillShade="D9"/>
          </w:tcPr>
          <w:p w14:paraId="709B891A" w14:textId="724CE44B" w:rsidR="684ACE33" w:rsidRDefault="684ACE33" w:rsidP="20E2085F">
            <w:pPr>
              <w:jc w:val="right"/>
              <w:rPr>
                <w:rFonts w:eastAsia="Arial" w:cs="Arial"/>
                <w:szCs w:val="22"/>
              </w:rPr>
            </w:pPr>
            <w:r w:rsidRPr="20E2085F">
              <w:rPr>
                <w:rFonts w:eastAsia="Arial" w:cs="Arial"/>
                <w:szCs w:val="22"/>
              </w:rPr>
              <w:t>5,772</w:t>
            </w:r>
          </w:p>
        </w:tc>
        <w:tc>
          <w:tcPr>
            <w:tcW w:w="788" w:type="pct"/>
            <w:shd w:val="clear" w:color="auto" w:fill="auto"/>
          </w:tcPr>
          <w:p w14:paraId="56C6405A" w14:textId="62733D0D" w:rsidR="684ACE33" w:rsidRDefault="684ACE33" w:rsidP="20E2085F">
            <w:pPr>
              <w:jc w:val="right"/>
              <w:rPr>
                <w:rFonts w:eastAsia="Arial" w:cs="Arial"/>
                <w:szCs w:val="22"/>
              </w:rPr>
            </w:pPr>
            <w:r w:rsidRPr="20E2085F">
              <w:rPr>
                <w:rFonts w:eastAsia="Arial" w:cs="Arial"/>
                <w:szCs w:val="22"/>
              </w:rPr>
              <w:t>6,365</w:t>
            </w:r>
          </w:p>
        </w:tc>
      </w:tr>
      <w:tr w:rsidR="00F216D9" w:rsidRPr="000E7EED" w14:paraId="078C4944" w14:textId="71CD9D78" w:rsidTr="20E2085F">
        <w:tc>
          <w:tcPr>
            <w:tcW w:w="2216" w:type="pct"/>
          </w:tcPr>
          <w:p w14:paraId="12A13989" w14:textId="77777777" w:rsidR="00F216D9" w:rsidRPr="000E7EED" w:rsidRDefault="00F216D9" w:rsidP="20E2085F">
            <w:pPr>
              <w:rPr>
                <w:b/>
                <w:bCs/>
                <w:color w:val="000000" w:themeColor="text1"/>
                <w:szCs w:val="22"/>
              </w:rPr>
            </w:pPr>
            <w:r w:rsidRPr="20E2085F">
              <w:rPr>
                <w:color w:val="000000" w:themeColor="text1"/>
                <w:szCs w:val="22"/>
              </w:rPr>
              <w:t>Case revenue</w:t>
            </w:r>
          </w:p>
        </w:tc>
        <w:tc>
          <w:tcPr>
            <w:tcW w:w="998" w:type="pct"/>
            <w:shd w:val="clear" w:color="auto" w:fill="auto"/>
          </w:tcPr>
          <w:p w14:paraId="4E28F351" w14:textId="70A9A26E" w:rsidR="00F216D9" w:rsidRPr="008E424E" w:rsidRDefault="00F216D9" w:rsidP="20E2085F">
            <w:pPr>
              <w:jc w:val="right"/>
              <w:rPr>
                <w:szCs w:val="22"/>
              </w:rPr>
            </w:pPr>
            <w:r w:rsidRPr="20E2085F">
              <w:rPr>
                <w:szCs w:val="22"/>
              </w:rPr>
              <w:t>1,273</w:t>
            </w:r>
          </w:p>
        </w:tc>
        <w:tc>
          <w:tcPr>
            <w:tcW w:w="998" w:type="pct"/>
            <w:shd w:val="clear" w:color="auto" w:fill="D9D9D9" w:themeFill="background1" w:themeFillShade="D9"/>
          </w:tcPr>
          <w:p w14:paraId="25915784" w14:textId="7C0D9B69" w:rsidR="684ACE33" w:rsidRDefault="684ACE33" w:rsidP="20E2085F">
            <w:pPr>
              <w:jc w:val="right"/>
              <w:rPr>
                <w:rFonts w:eastAsia="Arial" w:cs="Arial"/>
                <w:szCs w:val="22"/>
              </w:rPr>
            </w:pPr>
            <w:r w:rsidRPr="20E2085F">
              <w:rPr>
                <w:rFonts w:eastAsia="Arial" w:cs="Arial"/>
                <w:szCs w:val="22"/>
              </w:rPr>
              <w:t>643</w:t>
            </w:r>
          </w:p>
        </w:tc>
        <w:tc>
          <w:tcPr>
            <w:tcW w:w="788" w:type="pct"/>
            <w:shd w:val="clear" w:color="auto" w:fill="auto"/>
          </w:tcPr>
          <w:p w14:paraId="0B612282" w14:textId="3202054C" w:rsidR="684ACE33" w:rsidRDefault="684ACE33" w:rsidP="20E2085F">
            <w:pPr>
              <w:jc w:val="right"/>
              <w:rPr>
                <w:rFonts w:eastAsia="Arial" w:cs="Arial"/>
                <w:szCs w:val="22"/>
              </w:rPr>
            </w:pPr>
            <w:r w:rsidRPr="20E2085F">
              <w:rPr>
                <w:rFonts w:eastAsia="Arial" w:cs="Arial"/>
                <w:szCs w:val="22"/>
              </w:rPr>
              <w:t>1,381</w:t>
            </w:r>
          </w:p>
        </w:tc>
      </w:tr>
      <w:tr w:rsidR="00F216D9" w:rsidRPr="000E7EED" w14:paraId="3D1AE2EE" w14:textId="5BB48D87" w:rsidTr="20E2085F">
        <w:tc>
          <w:tcPr>
            <w:tcW w:w="2216" w:type="pct"/>
          </w:tcPr>
          <w:p w14:paraId="2BE35A7F" w14:textId="77777777" w:rsidR="00F216D9" w:rsidRPr="000E7EED" w:rsidRDefault="00F216D9" w:rsidP="20E2085F">
            <w:pPr>
              <w:rPr>
                <w:b/>
                <w:bCs/>
                <w:color w:val="000000" w:themeColor="text1"/>
                <w:szCs w:val="22"/>
              </w:rPr>
            </w:pPr>
            <w:r w:rsidRPr="20E2085F">
              <w:rPr>
                <w:color w:val="000000" w:themeColor="text1"/>
                <w:szCs w:val="22"/>
              </w:rPr>
              <w:t>Other income</w:t>
            </w:r>
          </w:p>
        </w:tc>
        <w:tc>
          <w:tcPr>
            <w:tcW w:w="998" w:type="pct"/>
            <w:shd w:val="clear" w:color="auto" w:fill="auto"/>
          </w:tcPr>
          <w:p w14:paraId="4C1374BB" w14:textId="64C1DD97" w:rsidR="00F216D9" w:rsidRPr="008E424E" w:rsidRDefault="00F216D9" w:rsidP="20E2085F">
            <w:pPr>
              <w:jc w:val="right"/>
              <w:rPr>
                <w:szCs w:val="22"/>
              </w:rPr>
            </w:pPr>
            <w:r w:rsidRPr="20E2085F">
              <w:rPr>
                <w:szCs w:val="22"/>
              </w:rPr>
              <w:t>638</w:t>
            </w:r>
          </w:p>
        </w:tc>
        <w:tc>
          <w:tcPr>
            <w:tcW w:w="998" w:type="pct"/>
            <w:shd w:val="clear" w:color="auto" w:fill="D9D9D9" w:themeFill="background1" w:themeFillShade="D9"/>
          </w:tcPr>
          <w:p w14:paraId="53298F7D" w14:textId="762B60CA" w:rsidR="684ACE33" w:rsidRDefault="684ACE33" w:rsidP="20E2085F">
            <w:pPr>
              <w:jc w:val="right"/>
              <w:rPr>
                <w:rFonts w:eastAsia="Arial" w:cs="Arial"/>
                <w:szCs w:val="22"/>
              </w:rPr>
            </w:pPr>
            <w:r w:rsidRPr="20E2085F">
              <w:rPr>
                <w:rFonts w:eastAsia="Arial" w:cs="Arial"/>
                <w:szCs w:val="22"/>
              </w:rPr>
              <w:t>1,078</w:t>
            </w:r>
          </w:p>
        </w:tc>
        <w:tc>
          <w:tcPr>
            <w:tcW w:w="788" w:type="pct"/>
            <w:shd w:val="clear" w:color="auto" w:fill="auto"/>
          </w:tcPr>
          <w:p w14:paraId="1EA1F0A5" w14:textId="02E061F9" w:rsidR="684ACE33" w:rsidRDefault="684ACE33" w:rsidP="20E2085F">
            <w:pPr>
              <w:jc w:val="right"/>
              <w:rPr>
                <w:rFonts w:eastAsia="Arial" w:cs="Arial"/>
                <w:szCs w:val="22"/>
              </w:rPr>
            </w:pPr>
            <w:r w:rsidRPr="20E2085F">
              <w:rPr>
                <w:rFonts w:eastAsia="Arial" w:cs="Arial"/>
                <w:szCs w:val="22"/>
              </w:rPr>
              <w:t>720</w:t>
            </w:r>
          </w:p>
        </w:tc>
      </w:tr>
      <w:tr w:rsidR="00F216D9" w:rsidRPr="000E7EED" w14:paraId="1D93C896" w14:textId="3DAAD933" w:rsidTr="20E2085F">
        <w:tc>
          <w:tcPr>
            <w:tcW w:w="2216" w:type="pct"/>
            <w:shd w:val="clear" w:color="auto" w:fill="D9D9D9" w:themeFill="background1" w:themeFillShade="D9"/>
          </w:tcPr>
          <w:p w14:paraId="5F7BC2D9" w14:textId="77777777" w:rsidR="00F216D9" w:rsidRPr="000E7EED" w:rsidRDefault="00F216D9" w:rsidP="20E2085F">
            <w:pPr>
              <w:rPr>
                <w:b/>
                <w:bCs/>
                <w:color w:val="000000" w:themeColor="text1"/>
                <w:szCs w:val="22"/>
              </w:rPr>
            </w:pPr>
            <w:r w:rsidRPr="20E2085F">
              <w:rPr>
                <w:b/>
                <w:bCs/>
                <w:color w:val="000000" w:themeColor="text1"/>
                <w:szCs w:val="22"/>
              </w:rPr>
              <w:t>Total revenue</w:t>
            </w:r>
          </w:p>
        </w:tc>
        <w:tc>
          <w:tcPr>
            <w:tcW w:w="998" w:type="pct"/>
            <w:shd w:val="clear" w:color="auto" w:fill="D9D9D9" w:themeFill="background1" w:themeFillShade="D9"/>
          </w:tcPr>
          <w:p w14:paraId="29EED78C" w14:textId="5C5AE041" w:rsidR="00F216D9" w:rsidRPr="008E424E" w:rsidRDefault="00F216D9" w:rsidP="20E2085F">
            <w:pPr>
              <w:jc w:val="right"/>
              <w:rPr>
                <w:b/>
                <w:bCs/>
                <w:szCs w:val="22"/>
              </w:rPr>
            </w:pPr>
            <w:r w:rsidRPr="20E2085F">
              <w:rPr>
                <w:b/>
                <w:bCs/>
                <w:szCs w:val="22"/>
              </w:rPr>
              <w:t>73,633</w:t>
            </w:r>
          </w:p>
        </w:tc>
        <w:tc>
          <w:tcPr>
            <w:tcW w:w="998" w:type="pct"/>
            <w:shd w:val="clear" w:color="auto" w:fill="D9D9D9" w:themeFill="background1" w:themeFillShade="D9"/>
          </w:tcPr>
          <w:p w14:paraId="358AD8A7" w14:textId="60D5C084" w:rsidR="684ACE33" w:rsidRDefault="684ACE33" w:rsidP="20E2085F">
            <w:pPr>
              <w:jc w:val="right"/>
              <w:rPr>
                <w:rFonts w:eastAsia="Arial" w:cs="Arial"/>
                <w:b/>
                <w:bCs/>
                <w:szCs w:val="22"/>
              </w:rPr>
            </w:pPr>
            <w:r w:rsidRPr="20E2085F">
              <w:rPr>
                <w:rFonts w:eastAsia="Arial" w:cs="Arial"/>
                <w:b/>
                <w:bCs/>
                <w:szCs w:val="22"/>
              </w:rPr>
              <w:t>75,292</w:t>
            </w:r>
          </w:p>
        </w:tc>
        <w:tc>
          <w:tcPr>
            <w:tcW w:w="788" w:type="pct"/>
            <w:shd w:val="clear" w:color="auto" w:fill="D9D9D9" w:themeFill="background1" w:themeFillShade="D9"/>
          </w:tcPr>
          <w:p w14:paraId="398BF58A" w14:textId="2BB97266" w:rsidR="684ACE33" w:rsidRDefault="684ACE33" w:rsidP="20E2085F">
            <w:pPr>
              <w:jc w:val="right"/>
              <w:rPr>
                <w:rFonts w:eastAsia="Arial" w:cs="Arial"/>
                <w:b/>
                <w:bCs/>
                <w:szCs w:val="22"/>
              </w:rPr>
            </w:pPr>
            <w:r w:rsidRPr="20E2085F">
              <w:rPr>
                <w:rFonts w:eastAsia="Arial" w:cs="Arial"/>
                <w:b/>
                <w:bCs/>
                <w:szCs w:val="22"/>
              </w:rPr>
              <w:t>74,480</w:t>
            </w:r>
          </w:p>
        </w:tc>
      </w:tr>
    </w:tbl>
    <w:p w14:paraId="4982F0A4" w14:textId="77777777" w:rsidR="004175B7" w:rsidRPr="000E7EED" w:rsidRDefault="004175B7" w:rsidP="004175B7">
      <w:pPr>
        <w:pStyle w:val="Heading3"/>
      </w:pPr>
      <w:bookmarkStart w:id="7" w:name="_Hlk33006441"/>
      <w:r w:rsidRPr="000E7EED">
        <w:t>Total expenditure breakdown</w:t>
      </w:r>
      <w:r>
        <w:t xml:space="preserve"> </w:t>
      </w:r>
      <w:r w:rsidRPr="00A64A96">
        <w:t>($,000)</w:t>
      </w:r>
    </w:p>
    <w:tbl>
      <w:tblPr>
        <w:tblStyle w:val="PlainTable2"/>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385"/>
        <w:gridCol w:w="1987"/>
        <w:gridCol w:w="1965"/>
        <w:gridCol w:w="1626"/>
      </w:tblGrid>
      <w:tr w:rsidR="00F216D9" w:rsidRPr="000E7EED" w14:paraId="1A26A49B" w14:textId="0050A77C" w:rsidTr="20E2085F">
        <w:trPr>
          <w:cnfStyle w:val="100000000000" w:firstRow="1" w:lastRow="0" w:firstColumn="0" w:lastColumn="0" w:oddVBand="0" w:evenVBand="0" w:oddHBand="0" w:evenHBand="0" w:firstRowFirstColumn="0" w:firstRowLastColumn="0" w:lastRowFirstColumn="0" w:lastRowLastColumn="0"/>
        </w:trPr>
        <w:tc>
          <w:tcPr>
            <w:tcW w:w="4385" w:type="dxa"/>
            <w:shd w:val="clear" w:color="auto" w:fill="C3AFCC"/>
          </w:tcPr>
          <w:p w14:paraId="3F56AEBA" w14:textId="77777777" w:rsidR="00F216D9" w:rsidRPr="000E7EED" w:rsidRDefault="00F216D9" w:rsidP="00F216D9">
            <w:pPr>
              <w:rPr>
                <w:b/>
                <w:color w:val="000000" w:themeColor="text1"/>
              </w:rPr>
            </w:pPr>
            <w:bookmarkStart w:id="8" w:name="_Hlk33006456"/>
            <w:bookmarkEnd w:id="7"/>
            <w:r w:rsidRPr="000E7EED">
              <w:rPr>
                <w:b/>
                <w:color w:val="000000" w:themeColor="text1"/>
              </w:rPr>
              <w:t>Expenditure</w:t>
            </w:r>
          </w:p>
        </w:tc>
        <w:tc>
          <w:tcPr>
            <w:tcW w:w="1987" w:type="dxa"/>
            <w:shd w:val="clear" w:color="auto" w:fill="C3AFCC"/>
          </w:tcPr>
          <w:p w14:paraId="552301F9" w14:textId="77777777" w:rsidR="00F216D9" w:rsidRPr="000E7EED" w:rsidRDefault="00F216D9" w:rsidP="00F216D9">
            <w:pPr>
              <w:jc w:val="center"/>
              <w:rPr>
                <w:b/>
                <w:color w:val="000000" w:themeColor="text1"/>
              </w:rPr>
            </w:pPr>
            <w:r w:rsidRPr="55245693">
              <w:rPr>
                <w:b/>
                <w:color w:val="000000" w:themeColor="text1"/>
              </w:rPr>
              <w:t>Q</w:t>
            </w:r>
            <w:r>
              <w:rPr>
                <w:b/>
                <w:color w:val="000000" w:themeColor="text1"/>
              </w:rPr>
              <w:t>1</w:t>
            </w:r>
          </w:p>
          <w:p w14:paraId="7B79E5AA" w14:textId="73BED75F" w:rsidR="00F216D9" w:rsidRPr="000E7EED" w:rsidRDefault="00F216D9" w:rsidP="00F216D9">
            <w:pPr>
              <w:jc w:val="center"/>
              <w:rPr>
                <w:b/>
                <w:color w:val="000000" w:themeColor="text1"/>
              </w:rPr>
            </w:pPr>
            <w:r w:rsidRPr="000E7EED">
              <w:rPr>
                <w:b/>
                <w:color w:val="000000" w:themeColor="text1"/>
              </w:rPr>
              <w:t>20</w:t>
            </w:r>
            <w:r>
              <w:rPr>
                <w:b/>
                <w:color w:val="000000" w:themeColor="text1"/>
              </w:rPr>
              <w:t>2</w:t>
            </w:r>
            <w:r w:rsidR="00112FBB">
              <w:rPr>
                <w:b/>
                <w:color w:val="000000" w:themeColor="text1"/>
              </w:rPr>
              <w:t>2</w:t>
            </w:r>
            <w:r>
              <w:rPr>
                <w:b/>
                <w:color w:val="000000" w:themeColor="text1"/>
              </w:rPr>
              <w:t>-2</w:t>
            </w:r>
            <w:r w:rsidR="00112FBB">
              <w:rPr>
                <w:b/>
                <w:color w:val="000000" w:themeColor="text1"/>
              </w:rPr>
              <w:t>3</w:t>
            </w:r>
          </w:p>
        </w:tc>
        <w:tc>
          <w:tcPr>
            <w:tcW w:w="1965" w:type="dxa"/>
            <w:shd w:val="clear" w:color="auto" w:fill="C3AFCC"/>
          </w:tcPr>
          <w:p w14:paraId="2950787C" w14:textId="77777777" w:rsidR="00F216D9" w:rsidRDefault="00F216D9" w:rsidP="00F216D9">
            <w:pPr>
              <w:jc w:val="center"/>
              <w:rPr>
                <w:b/>
                <w:color w:val="000000" w:themeColor="text1"/>
              </w:rPr>
            </w:pPr>
            <w:r w:rsidRPr="55245693">
              <w:rPr>
                <w:b/>
                <w:color w:val="000000" w:themeColor="text1"/>
              </w:rPr>
              <w:t>Q</w:t>
            </w:r>
            <w:r>
              <w:rPr>
                <w:b/>
                <w:color w:val="000000" w:themeColor="text1"/>
              </w:rPr>
              <w:t>2</w:t>
            </w:r>
          </w:p>
          <w:p w14:paraId="0E6CB1A2" w14:textId="0F2B05C4" w:rsidR="00F216D9" w:rsidRPr="000E7EED" w:rsidRDefault="00F216D9" w:rsidP="00F216D9">
            <w:pPr>
              <w:jc w:val="center"/>
              <w:rPr>
                <w:b/>
                <w:color w:val="000000" w:themeColor="text1"/>
              </w:rPr>
            </w:pPr>
            <w:r w:rsidRPr="000E7EED">
              <w:rPr>
                <w:b/>
                <w:color w:val="000000" w:themeColor="text1"/>
              </w:rPr>
              <w:t>20</w:t>
            </w:r>
            <w:r>
              <w:rPr>
                <w:b/>
                <w:color w:val="000000" w:themeColor="text1"/>
              </w:rPr>
              <w:t>22-23</w:t>
            </w:r>
          </w:p>
        </w:tc>
        <w:tc>
          <w:tcPr>
            <w:tcW w:w="1626" w:type="dxa"/>
            <w:shd w:val="clear" w:color="auto" w:fill="C3AFCC"/>
          </w:tcPr>
          <w:p w14:paraId="1EEF57BF" w14:textId="77777777" w:rsidR="00F216D9" w:rsidRDefault="00F216D9" w:rsidP="00F216D9">
            <w:pPr>
              <w:jc w:val="center"/>
              <w:rPr>
                <w:b/>
                <w:bCs w:val="0"/>
                <w:color w:val="000000" w:themeColor="text1"/>
              </w:rPr>
            </w:pPr>
            <w:r>
              <w:rPr>
                <w:b/>
                <w:color w:val="000000" w:themeColor="text1"/>
              </w:rPr>
              <w:t>Q3 2022-23</w:t>
            </w:r>
          </w:p>
          <w:p w14:paraId="3135FA0B" w14:textId="5F0602FE" w:rsidR="00F216D9" w:rsidRPr="000E7EED" w:rsidRDefault="00F216D9" w:rsidP="00F216D9">
            <w:pPr>
              <w:jc w:val="center"/>
              <w:rPr>
                <w:b/>
                <w:color w:val="000000" w:themeColor="text1"/>
              </w:rPr>
            </w:pPr>
            <w:r>
              <w:rPr>
                <w:b/>
                <w:color w:val="000000" w:themeColor="text1"/>
              </w:rPr>
              <w:t>projection</w:t>
            </w:r>
          </w:p>
        </w:tc>
      </w:tr>
      <w:tr w:rsidR="00F216D9" w:rsidRPr="000E7EED" w14:paraId="0355756B" w14:textId="1304D608" w:rsidTr="20E2085F">
        <w:tc>
          <w:tcPr>
            <w:tcW w:w="4385" w:type="dxa"/>
          </w:tcPr>
          <w:p w14:paraId="57857B1D" w14:textId="7F8E3E51" w:rsidR="00F216D9" w:rsidRPr="000E7EED" w:rsidRDefault="00F216D9" w:rsidP="20E2085F">
            <w:pPr>
              <w:rPr>
                <w:color w:val="000000" w:themeColor="text1"/>
                <w:szCs w:val="22"/>
              </w:rPr>
            </w:pPr>
            <w:r w:rsidRPr="20E2085F">
              <w:rPr>
                <w:color w:val="000000" w:themeColor="text1"/>
                <w:szCs w:val="22"/>
              </w:rPr>
              <w:t>Case expenditure (including ECCCF)</w:t>
            </w:r>
          </w:p>
        </w:tc>
        <w:tc>
          <w:tcPr>
            <w:tcW w:w="1987" w:type="dxa"/>
            <w:shd w:val="clear" w:color="auto" w:fill="auto"/>
          </w:tcPr>
          <w:p w14:paraId="36D0F934" w14:textId="012AE9D3" w:rsidR="00F216D9" w:rsidRPr="008E424E" w:rsidRDefault="00F216D9" w:rsidP="20E2085F">
            <w:pPr>
              <w:jc w:val="right"/>
              <w:rPr>
                <w:color w:val="000000" w:themeColor="text1"/>
                <w:szCs w:val="22"/>
              </w:rPr>
            </w:pPr>
            <w:r w:rsidRPr="20E2085F">
              <w:rPr>
                <w:color w:val="000000" w:themeColor="text1"/>
                <w:szCs w:val="22"/>
              </w:rPr>
              <w:t>(29,597)</w:t>
            </w:r>
          </w:p>
        </w:tc>
        <w:tc>
          <w:tcPr>
            <w:tcW w:w="1965" w:type="dxa"/>
            <w:shd w:val="clear" w:color="auto" w:fill="D9D9D9" w:themeFill="background1" w:themeFillShade="D9"/>
          </w:tcPr>
          <w:p w14:paraId="15740E27" w14:textId="55402A61" w:rsidR="684ACE33" w:rsidRDefault="684ACE33" w:rsidP="20E2085F">
            <w:pPr>
              <w:jc w:val="right"/>
              <w:rPr>
                <w:color w:val="000000" w:themeColor="text1"/>
                <w:szCs w:val="22"/>
              </w:rPr>
            </w:pPr>
            <w:r w:rsidRPr="20E2085F">
              <w:rPr>
                <w:color w:val="000000" w:themeColor="text1"/>
                <w:szCs w:val="22"/>
              </w:rPr>
              <w:t>(29,141)</w:t>
            </w:r>
          </w:p>
        </w:tc>
        <w:tc>
          <w:tcPr>
            <w:tcW w:w="1626" w:type="dxa"/>
            <w:shd w:val="clear" w:color="auto" w:fill="auto"/>
          </w:tcPr>
          <w:p w14:paraId="6C4F3B6C" w14:textId="2988462A" w:rsidR="684ACE33" w:rsidRDefault="684ACE33" w:rsidP="20E2085F">
            <w:pPr>
              <w:jc w:val="right"/>
              <w:rPr>
                <w:color w:val="000000" w:themeColor="text1"/>
                <w:szCs w:val="22"/>
              </w:rPr>
            </w:pPr>
            <w:r w:rsidRPr="20E2085F">
              <w:rPr>
                <w:color w:val="000000" w:themeColor="text1"/>
                <w:szCs w:val="22"/>
              </w:rPr>
              <w:t>(27,974)</w:t>
            </w:r>
          </w:p>
        </w:tc>
      </w:tr>
      <w:tr w:rsidR="00F216D9" w:rsidRPr="000E7EED" w14:paraId="7181F757" w14:textId="118973BF" w:rsidTr="20E2085F">
        <w:tc>
          <w:tcPr>
            <w:tcW w:w="4385" w:type="dxa"/>
          </w:tcPr>
          <w:p w14:paraId="00863735" w14:textId="77777777" w:rsidR="00F216D9" w:rsidRPr="000E7EED" w:rsidRDefault="00F216D9" w:rsidP="20E2085F">
            <w:pPr>
              <w:rPr>
                <w:color w:val="000000" w:themeColor="text1"/>
                <w:szCs w:val="22"/>
              </w:rPr>
            </w:pPr>
            <w:r w:rsidRPr="20E2085F">
              <w:rPr>
                <w:color w:val="000000" w:themeColor="text1"/>
                <w:szCs w:val="22"/>
              </w:rPr>
              <w:t>Community legal centre payments</w:t>
            </w:r>
          </w:p>
        </w:tc>
        <w:tc>
          <w:tcPr>
            <w:tcW w:w="1987" w:type="dxa"/>
            <w:shd w:val="clear" w:color="auto" w:fill="auto"/>
          </w:tcPr>
          <w:p w14:paraId="38009B9C" w14:textId="7DC881C3" w:rsidR="00F216D9" w:rsidRPr="008E424E" w:rsidRDefault="00F216D9" w:rsidP="20E2085F">
            <w:pPr>
              <w:jc w:val="right"/>
              <w:rPr>
                <w:color w:val="000000" w:themeColor="text1"/>
                <w:szCs w:val="22"/>
              </w:rPr>
            </w:pPr>
            <w:r w:rsidRPr="20E2085F">
              <w:rPr>
                <w:color w:val="000000" w:themeColor="text1"/>
                <w:szCs w:val="22"/>
              </w:rPr>
              <w:t>(14,275)</w:t>
            </w:r>
          </w:p>
        </w:tc>
        <w:tc>
          <w:tcPr>
            <w:tcW w:w="1965" w:type="dxa"/>
            <w:shd w:val="clear" w:color="auto" w:fill="D9D9D9" w:themeFill="background1" w:themeFillShade="D9"/>
          </w:tcPr>
          <w:p w14:paraId="0AC65AD6" w14:textId="3220147C" w:rsidR="684ACE33" w:rsidRDefault="684ACE33" w:rsidP="20E2085F">
            <w:pPr>
              <w:jc w:val="right"/>
              <w:rPr>
                <w:color w:val="000000" w:themeColor="text1"/>
                <w:szCs w:val="22"/>
              </w:rPr>
            </w:pPr>
            <w:r w:rsidRPr="20E2085F">
              <w:rPr>
                <w:color w:val="000000" w:themeColor="text1"/>
                <w:szCs w:val="22"/>
              </w:rPr>
              <w:t>(14,593)</w:t>
            </w:r>
          </w:p>
        </w:tc>
        <w:tc>
          <w:tcPr>
            <w:tcW w:w="1626" w:type="dxa"/>
            <w:shd w:val="clear" w:color="auto" w:fill="auto"/>
          </w:tcPr>
          <w:p w14:paraId="7DAA515A" w14:textId="374005AC" w:rsidR="684ACE33" w:rsidRDefault="684ACE33" w:rsidP="20E2085F">
            <w:pPr>
              <w:jc w:val="right"/>
              <w:rPr>
                <w:color w:val="000000" w:themeColor="text1"/>
                <w:szCs w:val="22"/>
              </w:rPr>
            </w:pPr>
            <w:r w:rsidRPr="20E2085F">
              <w:rPr>
                <w:color w:val="000000" w:themeColor="text1"/>
                <w:szCs w:val="22"/>
              </w:rPr>
              <w:t>(13,817)</w:t>
            </w:r>
          </w:p>
        </w:tc>
      </w:tr>
      <w:tr w:rsidR="00F216D9" w:rsidRPr="000E7EED" w14:paraId="14088745" w14:textId="69735599" w:rsidTr="20E2085F">
        <w:tc>
          <w:tcPr>
            <w:tcW w:w="4385" w:type="dxa"/>
          </w:tcPr>
          <w:p w14:paraId="21FAB84C" w14:textId="77777777" w:rsidR="00F216D9" w:rsidRPr="000E7EED" w:rsidRDefault="00F216D9" w:rsidP="20E2085F">
            <w:pPr>
              <w:rPr>
                <w:color w:val="000000" w:themeColor="text1"/>
                <w:szCs w:val="22"/>
              </w:rPr>
            </w:pPr>
            <w:r w:rsidRPr="20E2085F">
              <w:rPr>
                <w:color w:val="000000" w:themeColor="text1"/>
                <w:szCs w:val="22"/>
              </w:rPr>
              <w:t>Staff costs</w:t>
            </w:r>
          </w:p>
        </w:tc>
        <w:tc>
          <w:tcPr>
            <w:tcW w:w="1987" w:type="dxa"/>
            <w:shd w:val="clear" w:color="auto" w:fill="auto"/>
          </w:tcPr>
          <w:p w14:paraId="2A7D0078" w14:textId="45BF1EBE" w:rsidR="00F216D9" w:rsidRPr="008E424E" w:rsidRDefault="00F216D9" w:rsidP="20E2085F">
            <w:pPr>
              <w:jc w:val="right"/>
              <w:rPr>
                <w:color w:val="000000" w:themeColor="text1"/>
                <w:szCs w:val="22"/>
              </w:rPr>
            </w:pPr>
            <w:r w:rsidRPr="20E2085F">
              <w:rPr>
                <w:color w:val="000000" w:themeColor="text1"/>
                <w:szCs w:val="22"/>
              </w:rPr>
              <w:t>(26,455)</w:t>
            </w:r>
          </w:p>
        </w:tc>
        <w:tc>
          <w:tcPr>
            <w:tcW w:w="1965" w:type="dxa"/>
            <w:shd w:val="clear" w:color="auto" w:fill="D9D9D9" w:themeFill="background1" w:themeFillShade="D9"/>
          </w:tcPr>
          <w:p w14:paraId="3D9A0D1E" w14:textId="4048759C" w:rsidR="684ACE33" w:rsidRDefault="684ACE33" w:rsidP="20E2085F">
            <w:pPr>
              <w:jc w:val="right"/>
              <w:rPr>
                <w:color w:val="000000" w:themeColor="text1"/>
                <w:szCs w:val="22"/>
              </w:rPr>
            </w:pPr>
            <w:r w:rsidRPr="20E2085F">
              <w:rPr>
                <w:color w:val="000000" w:themeColor="text1"/>
                <w:szCs w:val="22"/>
              </w:rPr>
              <w:t>(26,941)</w:t>
            </w:r>
          </w:p>
        </w:tc>
        <w:tc>
          <w:tcPr>
            <w:tcW w:w="1626" w:type="dxa"/>
            <w:shd w:val="clear" w:color="auto" w:fill="auto"/>
          </w:tcPr>
          <w:p w14:paraId="5CEEA3A8" w14:textId="5642EBCF" w:rsidR="684ACE33" w:rsidRDefault="684ACE33" w:rsidP="20E2085F">
            <w:pPr>
              <w:jc w:val="right"/>
              <w:rPr>
                <w:color w:val="000000" w:themeColor="text1"/>
                <w:szCs w:val="22"/>
              </w:rPr>
            </w:pPr>
            <w:r w:rsidRPr="20E2085F">
              <w:rPr>
                <w:color w:val="000000" w:themeColor="text1"/>
                <w:szCs w:val="22"/>
              </w:rPr>
              <w:t>(27,655)</w:t>
            </w:r>
          </w:p>
        </w:tc>
      </w:tr>
      <w:tr w:rsidR="00F216D9" w:rsidRPr="000E7EED" w14:paraId="166EC63C" w14:textId="2C67FA02" w:rsidTr="20E2085F">
        <w:tc>
          <w:tcPr>
            <w:tcW w:w="4385" w:type="dxa"/>
          </w:tcPr>
          <w:p w14:paraId="263A16AB" w14:textId="77777777" w:rsidR="00F216D9" w:rsidRPr="000E7EED" w:rsidRDefault="00F216D9" w:rsidP="20E2085F">
            <w:pPr>
              <w:rPr>
                <w:color w:val="000000" w:themeColor="text1"/>
                <w:szCs w:val="22"/>
              </w:rPr>
            </w:pPr>
            <w:r w:rsidRPr="20E2085F">
              <w:rPr>
                <w:color w:val="000000" w:themeColor="text1"/>
                <w:szCs w:val="22"/>
              </w:rPr>
              <w:t>Administration</w:t>
            </w:r>
          </w:p>
        </w:tc>
        <w:tc>
          <w:tcPr>
            <w:tcW w:w="1987" w:type="dxa"/>
            <w:shd w:val="clear" w:color="auto" w:fill="auto"/>
          </w:tcPr>
          <w:p w14:paraId="1D84653B" w14:textId="5835779B" w:rsidR="00F216D9" w:rsidRPr="008E424E" w:rsidRDefault="00F216D9" w:rsidP="20E2085F">
            <w:pPr>
              <w:jc w:val="right"/>
              <w:rPr>
                <w:color w:val="000000" w:themeColor="text1"/>
                <w:szCs w:val="22"/>
              </w:rPr>
            </w:pPr>
            <w:r w:rsidRPr="20E2085F">
              <w:rPr>
                <w:color w:val="000000" w:themeColor="text1"/>
                <w:szCs w:val="22"/>
              </w:rPr>
              <w:t>(5,411)</w:t>
            </w:r>
          </w:p>
        </w:tc>
        <w:tc>
          <w:tcPr>
            <w:tcW w:w="1965" w:type="dxa"/>
            <w:shd w:val="clear" w:color="auto" w:fill="D9D9D9" w:themeFill="background1" w:themeFillShade="D9"/>
          </w:tcPr>
          <w:p w14:paraId="13AE2A87" w14:textId="18B181FD" w:rsidR="684ACE33" w:rsidRDefault="684ACE33" w:rsidP="20E2085F">
            <w:pPr>
              <w:jc w:val="right"/>
              <w:rPr>
                <w:color w:val="000000" w:themeColor="text1"/>
                <w:szCs w:val="22"/>
              </w:rPr>
            </w:pPr>
            <w:r w:rsidRPr="20E2085F">
              <w:rPr>
                <w:color w:val="000000" w:themeColor="text1"/>
                <w:szCs w:val="22"/>
              </w:rPr>
              <w:t>(5,808)</w:t>
            </w:r>
          </w:p>
        </w:tc>
        <w:tc>
          <w:tcPr>
            <w:tcW w:w="1626" w:type="dxa"/>
            <w:shd w:val="clear" w:color="auto" w:fill="auto"/>
          </w:tcPr>
          <w:p w14:paraId="4601FD85" w14:textId="37E1EF88" w:rsidR="684ACE33" w:rsidRDefault="684ACE33" w:rsidP="20E2085F">
            <w:pPr>
              <w:jc w:val="right"/>
              <w:rPr>
                <w:color w:val="000000" w:themeColor="text1"/>
                <w:szCs w:val="22"/>
              </w:rPr>
            </w:pPr>
            <w:r w:rsidRPr="20E2085F">
              <w:rPr>
                <w:color w:val="000000" w:themeColor="text1"/>
                <w:szCs w:val="22"/>
              </w:rPr>
              <w:t>(6,832)</w:t>
            </w:r>
          </w:p>
        </w:tc>
      </w:tr>
      <w:tr w:rsidR="00F216D9" w:rsidRPr="000E7EED" w14:paraId="50872415" w14:textId="4AA03B80" w:rsidTr="20E2085F">
        <w:tc>
          <w:tcPr>
            <w:tcW w:w="4385" w:type="dxa"/>
            <w:shd w:val="clear" w:color="auto" w:fill="D9D9D9" w:themeFill="background1" w:themeFillShade="D9"/>
          </w:tcPr>
          <w:p w14:paraId="7120B54E" w14:textId="0FBD37F1" w:rsidR="00F216D9" w:rsidRPr="000E7EED" w:rsidRDefault="00F216D9" w:rsidP="20E2085F">
            <w:pPr>
              <w:rPr>
                <w:b/>
                <w:bCs/>
                <w:color w:val="000000" w:themeColor="text1"/>
                <w:szCs w:val="22"/>
              </w:rPr>
            </w:pPr>
            <w:r w:rsidRPr="20E2085F">
              <w:rPr>
                <w:b/>
                <w:bCs/>
                <w:color w:val="000000" w:themeColor="text1"/>
                <w:szCs w:val="22"/>
              </w:rPr>
              <w:t>Total expenditure</w:t>
            </w:r>
          </w:p>
        </w:tc>
        <w:tc>
          <w:tcPr>
            <w:tcW w:w="1987" w:type="dxa"/>
            <w:shd w:val="clear" w:color="auto" w:fill="D9D9D9" w:themeFill="background1" w:themeFillShade="D9"/>
          </w:tcPr>
          <w:p w14:paraId="0ED87789" w14:textId="55E71761" w:rsidR="00F216D9" w:rsidRPr="00894561" w:rsidRDefault="00F216D9" w:rsidP="20E2085F">
            <w:pPr>
              <w:jc w:val="right"/>
              <w:rPr>
                <w:b/>
                <w:bCs/>
                <w:color w:val="000000" w:themeColor="text1"/>
                <w:szCs w:val="22"/>
              </w:rPr>
            </w:pPr>
            <w:r w:rsidRPr="20E2085F">
              <w:rPr>
                <w:b/>
                <w:bCs/>
                <w:color w:val="000000" w:themeColor="text1"/>
                <w:szCs w:val="22"/>
              </w:rPr>
              <w:t>(75,738)</w:t>
            </w:r>
          </w:p>
        </w:tc>
        <w:tc>
          <w:tcPr>
            <w:tcW w:w="1965" w:type="dxa"/>
            <w:shd w:val="clear" w:color="auto" w:fill="D9D9D9" w:themeFill="background1" w:themeFillShade="D9"/>
          </w:tcPr>
          <w:p w14:paraId="17CA1F52" w14:textId="017F79AE" w:rsidR="684ACE33" w:rsidRDefault="684ACE33" w:rsidP="20E2085F">
            <w:pPr>
              <w:jc w:val="right"/>
              <w:rPr>
                <w:b/>
                <w:bCs/>
                <w:color w:val="000000" w:themeColor="text1"/>
                <w:szCs w:val="22"/>
              </w:rPr>
            </w:pPr>
            <w:r w:rsidRPr="20E2085F">
              <w:rPr>
                <w:b/>
                <w:bCs/>
                <w:color w:val="000000" w:themeColor="text1"/>
                <w:szCs w:val="22"/>
              </w:rPr>
              <w:t>(76,483)</w:t>
            </w:r>
          </w:p>
        </w:tc>
        <w:tc>
          <w:tcPr>
            <w:tcW w:w="1626" w:type="dxa"/>
            <w:shd w:val="clear" w:color="auto" w:fill="D9D9D9" w:themeFill="background1" w:themeFillShade="D9"/>
          </w:tcPr>
          <w:p w14:paraId="617F300F" w14:textId="1D9463E4" w:rsidR="684ACE33" w:rsidRDefault="684ACE33" w:rsidP="20E2085F">
            <w:pPr>
              <w:jc w:val="right"/>
              <w:rPr>
                <w:b/>
                <w:bCs/>
                <w:color w:val="000000" w:themeColor="text1"/>
                <w:szCs w:val="22"/>
              </w:rPr>
            </w:pPr>
            <w:r w:rsidRPr="20E2085F">
              <w:rPr>
                <w:b/>
                <w:bCs/>
                <w:color w:val="000000" w:themeColor="text1"/>
                <w:szCs w:val="22"/>
              </w:rPr>
              <w:t>(76,278)</w:t>
            </w:r>
          </w:p>
        </w:tc>
      </w:tr>
      <w:tr w:rsidR="00F216D9" w:rsidRPr="000E7EED" w14:paraId="07F54B9E" w14:textId="48B41863" w:rsidTr="20E2085F">
        <w:tc>
          <w:tcPr>
            <w:tcW w:w="4385" w:type="dxa"/>
            <w:shd w:val="clear" w:color="auto" w:fill="auto"/>
          </w:tcPr>
          <w:p w14:paraId="3C82F621" w14:textId="5485D3C7" w:rsidR="00F216D9" w:rsidRDefault="00F216D9" w:rsidP="20E2085F">
            <w:pPr>
              <w:rPr>
                <w:color w:val="000000" w:themeColor="text1"/>
                <w:szCs w:val="22"/>
              </w:rPr>
            </w:pPr>
            <w:r w:rsidRPr="20E2085F">
              <w:rPr>
                <w:color w:val="000000" w:themeColor="text1"/>
                <w:szCs w:val="22"/>
              </w:rPr>
              <w:t>Depreciation and Revaluation</w:t>
            </w:r>
          </w:p>
        </w:tc>
        <w:tc>
          <w:tcPr>
            <w:tcW w:w="1987" w:type="dxa"/>
            <w:shd w:val="clear" w:color="auto" w:fill="auto"/>
          </w:tcPr>
          <w:p w14:paraId="072936CB" w14:textId="406245EC" w:rsidR="00F216D9" w:rsidRPr="00B13EF6" w:rsidRDefault="00F216D9" w:rsidP="20E2085F">
            <w:pPr>
              <w:jc w:val="right"/>
              <w:rPr>
                <w:color w:val="000000" w:themeColor="text1"/>
                <w:szCs w:val="22"/>
              </w:rPr>
            </w:pPr>
            <w:r w:rsidRPr="20E2085F">
              <w:rPr>
                <w:color w:val="000000" w:themeColor="text1"/>
                <w:szCs w:val="22"/>
              </w:rPr>
              <w:t>(587)</w:t>
            </w:r>
          </w:p>
        </w:tc>
        <w:tc>
          <w:tcPr>
            <w:tcW w:w="1965" w:type="dxa"/>
            <w:shd w:val="clear" w:color="auto" w:fill="D9D9D9" w:themeFill="background1" w:themeFillShade="D9"/>
          </w:tcPr>
          <w:p w14:paraId="1F3D5B89" w14:textId="3F9D5668" w:rsidR="684ACE33" w:rsidRDefault="684ACE33" w:rsidP="20E2085F">
            <w:pPr>
              <w:jc w:val="right"/>
              <w:rPr>
                <w:color w:val="000000" w:themeColor="text1"/>
                <w:szCs w:val="22"/>
              </w:rPr>
            </w:pPr>
            <w:r w:rsidRPr="20E2085F">
              <w:rPr>
                <w:color w:val="000000" w:themeColor="text1"/>
                <w:szCs w:val="22"/>
              </w:rPr>
              <w:t>(357)</w:t>
            </w:r>
          </w:p>
        </w:tc>
        <w:tc>
          <w:tcPr>
            <w:tcW w:w="1626" w:type="dxa"/>
            <w:shd w:val="clear" w:color="auto" w:fill="auto"/>
          </w:tcPr>
          <w:p w14:paraId="1ED56B93" w14:textId="225F4080" w:rsidR="684ACE33" w:rsidRDefault="684ACE33" w:rsidP="20E2085F">
            <w:pPr>
              <w:jc w:val="right"/>
              <w:rPr>
                <w:color w:val="000000" w:themeColor="text1"/>
                <w:szCs w:val="22"/>
              </w:rPr>
            </w:pPr>
            <w:r w:rsidRPr="20E2085F">
              <w:rPr>
                <w:color w:val="000000" w:themeColor="text1"/>
                <w:szCs w:val="22"/>
              </w:rPr>
              <w:t>(464)</w:t>
            </w:r>
          </w:p>
        </w:tc>
      </w:tr>
      <w:tr w:rsidR="00F216D9" w:rsidRPr="000E7EED" w14:paraId="1CE8541B" w14:textId="191C65B4" w:rsidTr="20E2085F">
        <w:tc>
          <w:tcPr>
            <w:tcW w:w="4385" w:type="dxa"/>
            <w:shd w:val="clear" w:color="auto" w:fill="D9D9D9" w:themeFill="background1" w:themeFillShade="D9"/>
          </w:tcPr>
          <w:p w14:paraId="18FB2D06" w14:textId="1EACFAC2" w:rsidR="00F216D9" w:rsidRPr="00E5707B" w:rsidRDefault="00F216D9" w:rsidP="20E2085F">
            <w:pPr>
              <w:rPr>
                <w:b/>
                <w:bCs/>
                <w:color w:val="000000" w:themeColor="text1"/>
                <w:szCs w:val="22"/>
              </w:rPr>
            </w:pPr>
            <w:r w:rsidRPr="20E2085F">
              <w:rPr>
                <w:b/>
                <w:bCs/>
                <w:color w:val="000000" w:themeColor="text1"/>
                <w:szCs w:val="22"/>
              </w:rPr>
              <w:t>Total Expenditure</w:t>
            </w:r>
          </w:p>
        </w:tc>
        <w:tc>
          <w:tcPr>
            <w:tcW w:w="1987" w:type="dxa"/>
            <w:shd w:val="clear" w:color="auto" w:fill="D9D9D9" w:themeFill="background1" w:themeFillShade="D9"/>
          </w:tcPr>
          <w:p w14:paraId="76FB0562" w14:textId="3A7F4ED7" w:rsidR="00F216D9" w:rsidRPr="00C97F8C" w:rsidRDefault="00F216D9" w:rsidP="20E2085F">
            <w:pPr>
              <w:jc w:val="right"/>
              <w:rPr>
                <w:b/>
                <w:bCs/>
                <w:color w:val="000000" w:themeColor="text1"/>
                <w:szCs w:val="22"/>
              </w:rPr>
            </w:pPr>
            <w:r w:rsidRPr="20E2085F">
              <w:rPr>
                <w:b/>
                <w:bCs/>
                <w:color w:val="000000" w:themeColor="text1"/>
                <w:szCs w:val="22"/>
              </w:rPr>
              <w:t>(76,325)</w:t>
            </w:r>
          </w:p>
        </w:tc>
        <w:tc>
          <w:tcPr>
            <w:tcW w:w="1965" w:type="dxa"/>
            <w:shd w:val="clear" w:color="auto" w:fill="D9D9D9" w:themeFill="background1" w:themeFillShade="D9"/>
          </w:tcPr>
          <w:p w14:paraId="4FE53E80" w14:textId="0B2F4351" w:rsidR="684ACE33" w:rsidRDefault="684ACE33" w:rsidP="20E2085F">
            <w:pPr>
              <w:jc w:val="right"/>
              <w:rPr>
                <w:b/>
                <w:bCs/>
                <w:color w:val="000000" w:themeColor="text1"/>
                <w:szCs w:val="22"/>
              </w:rPr>
            </w:pPr>
            <w:r w:rsidRPr="20E2085F">
              <w:rPr>
                <w:b/>
                <w:bCs/>
                <w:color w:val="000000" w:themeColor="text1"/>
                <w:szCs w:val="22"/>
              </w:rPr>
              <w:t>(76,840)</w:t>
            </w:r>
          </w:p>
        </w:tc>
        <w:tc>
          <w:tcPr>
            <w:tcW w:w="1626" w:type="dxa"/>
            <w:shd w:val="clear" w:color="auto" w:fill="D9D9D9" w:themeFill="background1" w:themeFillShade="D9"/>
          </w:tcPr>
          <w:p w14:paraId="37F621CF" w14:textId="57385682" w:rsidR="684ACE33" w:rsidRDefault="684ACE33" w:rsidP="20E2085F">
            <w:pPr>
              <w:jc w:val="right"/>
              <w:rPr>
                <w:b/>
                <w:bCs/>
                <w:color w:val="000000" w:themeColor="text1"/>
                <w:szCs w:val="22"/>
              </w:rPr>
            </w:pPr>
            <w:r w:rsidRPr="20E2085F">
              <w:rPr>
                <w:b/>
                <w:bCs/>
                <w:color w:val="000000" w:themeColor="text1"/>
                <w:szCs w:val="22"/>
              </w:rPr>
              <w:t>(76,742)</w:t>
            </w:r>
          </w:p>
        </w:tc>
      </w:tr>
      <w:bookmarkEnd w:id="5"/>
      <w:bookmarkEnd w:id="6"/>
      <w:bookmarkEnd w:id="8"/>
    </w:tbl>
    <w:p w14:paraId="035102DF" w14:textId="0ECAC159" w:rsidR="71FFEF04" w:rsidRDefault="71FFEF04" w:rsidP="00C31C39">
      <w:pPr>
        <w:spacing w:after="160" w:line="259" w:lineRule="auto"/>
        <w:rPr>
          <w:rFonts w:cs="Arial"/>
          <w:color w:val="000000" w:themeColor="text1"/>
          <w:szCs w:val="22"/>
          <w:lang w:eastAsia="en-AU"/>
        </w:rPr>
      </w:pPr>
    </w:p>
    <w:sectPr w:rsidR="71FFEF04" w:rsidSect="0039260E">
      <w:headerReference w:type="even" r:id="rId13"/>
      <w:headerReference w:type="default" r:id="rId14"/>
      <w:footerReference w:type="even" r:id="rId15"/>
      <w:footerReference w:type="default" r:id="rId16"/>
      <w:headerReference w:type="first" r:id="rId17"/>
      <w:footerReference w:type="first" r:id="rId18"/>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1C83" w14:textId="77777777" w:rsidR="00A66B65" w:rsidRDefault="00A66B65">
      <w:pPr>
        <w:spacing w:after="0" w:line="240" w:lineRule="auto"/>
      </w:pPr>
      <w:r>
        <w:separator/>
      </w:r>
    </w:p>
  </w:endnote>
  <w:endnote w:type="continuationSeparator" w:id="0">
    <w:p w14:paraId="174C993A" w14:textId="77777777" w:rsidR="00A66B65" w:rsidRDefault="00A66B65">
      <w:pPr>
        <w:spacing w:after="0" w:line="240" w:lineRule="auto"/>
      </w:pPr>
      <w:r>
        <w:continuationSeparator/>
      </w:r>
    </w:p>
  </w:endnote>
  <w:endnote w:type="continuationNotice" w:id="1">
    <w:p w14:paraId="1E2E7DA7" w14:textId="77777777" w:rsidR="00A66B65" w:rsidRDefault="00A66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A587" w14:textId="77777777" w:rsidR="0095574A" w:rsidRDefault="0095574A"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95574A" w:rsidRDefault="0095574A" w:rsidP="0039260E">
    <w:pPr>
      <w:pStyle w:val="Footer"/>
      <w:ind w:right="360" w:firstLine="360"/>
    </w:pPr>
  </w:p>
  <w:p w14:paraId="16DEB36A" w14:textId="77777777" w:rsidR="0095574A" w:rsidRDefault="0095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773" w14:textId="77777777" w:rsidR="0095574A"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Line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200BF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45FC" w14:textId="77777777" w:rsidR="0095574A" w:rsidRPr="008636E1"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Line 3"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4C01A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63EB" w14:textId="77777777" w:rsidR="00A66B65" w:rsidRDefault="00A66B65">
      <w:pPr>
        <w:spacing w:after="0" w:line="240" w:lineRule="auto"/>
      </w:pPr>
      <w:r>
        <w:separator/>
      </w:r>
    </w:p>
  </w:footnote>
  <w:footnote w:type="continuationSeparator" w:id="0">
    <w:p w14:paraId="01172C91" w14:textId="77777777" w:rsidR="00A66B65" w:rsidRDefault="00A66B65">
      <w:pPr>
        <w:spacing w:after="0" w:line="240" w:lineRule="auto"/>
      </w:pPr>
      <w:r>
        <w:continuationSeparator/>
      </w:r>
    </w:p>
  </w:footnote>
  <w:footnote w:type="continuationNotice" w:id="1">
    <w:p w14:paraId="5A998E3E" w14:textId="77777777" w:rsidR="00A66B65" w:rsidRDefault="00A66B65">
      <w:pPr>
        <w:spacing w:after="0" w:line="240" w:lineRule="auto"/>
      </w:pPr>
    </w:p>
  </w:footnote>
  <w:footnote w:id="2">
    <w:p w14:paraId="393D1CF4" w14:textId="77777777" w:rsidR="0096755F" w:rsidRDefault="0096755F" w:rsidP="004175B7">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47CB" w14:textId="77777777" w:rsidR="0095574A" w:rsidRDefault="0095574A"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95574A" w:rsidRDefault="0095574A" w:rsidP="0039260E">
    <w:pPr>
      <w:pStyle w:val="Header"/>
      <w:ind w:right="360"/>
    </w:pPr>
  </w:p>
  <w:p w14:paraId="250A3616" w14:textId="77777777" w:rsidR="0095574A" w:rsidRDefault="0095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57EE" w14:textId="0FDA270D" w:rsidR="0095574A" w:rsidRPr="006A6FC6" w:rsidRDefault="00E66D76" w:rsidP="0039260E">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58243" behindDoc="0" locked="0" layoutInCell="0" allowOverlap="1" wp14:anchorId="3F18E79A" wp14:editId="050E54E9">
              <wp:simplePos x="0" y="0"/>
              <wp:positionH relativeFrom="page">
                <wp:posOffset>0</wp:posOffset>
              </wp:positionH>
              <wp:positionV relativeFrom="page">
                <wp:posOffset>190500</wp:posOffset>
              </wp:positionV>
              <wp:extent cx="7556500" cy="273050"/>
              <wp:effectExtent l="0" t="0" r="0" b="12700"/>
              <wp:wrapNone/>
              <wp:docPr id="1" name="Text Box 1"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7E29AA" w14:textId="26C36296"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18E79A" id="_x0000_t202" coordsize="21600,21600" o:spt="202" path="m,l,21600r21600,l21600,xe">
              <v:stroke joinstyle="miter"/>
              <v:path gradientshapeok="t" o:connecttype="rect"/>
            </v:shapetype>
            <v:shape id="Text Box 1" o:spid="_x0000_s1026" type="#_x0000_t202" alt="{&quot;HashCode&quot;:1838272672,&quot;Height&quot;:841.0,&quot;Width&quot;:595.0,&quot;Placement&quot;:&quot;Header&quot;,&quot;Index&quot;:&quot;Primary&quot;,&quot;Section&quot;:1,&quot;Top&quot;:0.0,&quot;Left&quot;:0.0}" style="position:absolute;left:0;text-align:left;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657E29AA" w14:textId="26C36296"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v:textbox>
              <w10:wrap anchorx="page" anchory="page"/>
            </v:shape>
          </w:pict>
        </mc:Fallback>
      </mc:AlternateContent>
    </w:r>
    <w:r w:rsidR="0095574A" w:rsidRPr="006A6FC6">
      <w:rPr>
        <w:rFonts w:cs="Arial"/>
        <w:color w:val="B1005D"/>
        <w:sz w:val="18"/>
        <w:szCs w:val="18"/>
      </w:rPr>
      <w:t>Victoria Legal Aid</w:t>
    </w:r>
    <w:r w:rsidR="0095574A">
      <w:rPr>
        <w:rFonts w:cs="Arial"/>
        <w:color w:val="B1005D"/>
        <w:sz w:val="18"/>
        <w:szCs w:val="18"/>
      </w:rPr>
      <w:tab/>
    </w:r>
  </w:p>
  <w:p w14:paraId="2D7E2765" w14:textId="7A63BDD3" w:rsidR="0095574A" w:rsidRPr="00B42FDE" w:rsidRDefault="0095574A" w:rsidP="003462CF">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0892A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w10:wrap anchorx="page" anchory="page"/>
              <w10:anchorlock/>
            </v:line>
          </w:pict>
        </mc:Fallback>
      </mc:AlternateContent>
    </w:r>
    <w:r>
      <w:rPr>
        <w:rFonts w:ascii="Arial Bold" w:hAnsi="Arial Bold" w:cs="Arial"/>
        <w:b/>
        <w:color w:val="B1005D"/>
        <w:sz w:val="18"/>
        <w:szCs w:val="18"/>
      </w:rPr>
      <w:t>20</w:t>
    </w:r>
    <w:r w:rsidR="00261BEF">
      <w:rPr>
        <w:rFonts w:ascii="Arial Bold" w:hAnsi="Arial Bold" w:cs="Arial"/>
        <w:b/>
        <w:color w:val="B1005D"/>
        <w:sz w:val="18"/>
        <w:szCs w:val="18"/>
      </w:rPr>
      <w:t>22</w:t>
    </w:r>
    <w:r>
      <w:rPr>
        <w:rFonts w:ascii="Arial Bold" w:hAnsi="Arial Bold" w:cs="Arial"/>
        <w:b/>
        <w:color w:val="B1005D"/>
        <w:sz w:val="18"/>
        <w:szCs w:val="18"/>
      </w:rPr>
      <w:t>–202</w:t>
    </w:r>
    <w:r w:rsidR="00261BEF">
      <w:rPr>
        <w:rFonts w:ascii="Arial Bold" w:hAnsi="Arial Bold" w:cs="Arial"/>
        <w:b/>
        <w:color w:val="B1005D"/>
        <w:sz w:val="18"/>
        <w:szCs w:val="18"/>
      </w:rPr>
      <w:t>3</w:t>
    </w:r>
    <w:r>
      <w:rPr>
        <w:rFonts w:ascii="Arial Bold" w:hAnsi="Arial Bold" w:cs="Arial"/>
        <w:b/>
        <w:color w:val="B1005D"/>
        <w:sz w:val="18"/>
        <w:szCs w:val="18"/>
      </w:rPr>
      <w:t xml:space="preserve"> quarter </w:t>
    </w:r>
    <w:r w:rsidR="003462CF">
      <w:rPr>
        <w:rFonts w:ascii="Arial Bold" w:hAnsi="Arial Bold" w:cs="Arial"/>
        <w:b/>
        <w:color w:val="B1005D"/>
        <w:sz w:val="18"/>
        <w:szCs w:val="18"/>
      </w:rPr>
      <w:t>two</w:t>
    </w:r>
    <w:r>
      <w:rPr>
        <w:rFonts w:ascii="Arial Bold" w:hAnsi="Arial Bold" w:cs="Arial"/>
        <w:b/>
        <w:color w:val="B1005D"/>
        <w:sz w:val="18"/>
        <w:szCs w:val="18"/>
      </w:rPr>
      <w:t xml:space="preserve">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3DE2" w14:textId="477FD521" w:rsidR="0095574A" w:rsidRPr="00833658" w:rsidRDefault="00E66D76" w:rsidP="0039260E">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58244" behindDoc="0" locked="0" layoutInCell="0" allowOverlap="1" wp14:anchorId="0E2028B6" wp14:editId="52CD7EAD">
              <wp:simplePos x="0" y="0"/>
              <wp:positionH relativeFrom="page">
                <wp:posOffset>0</wp:posOffset>
              </wp:positionH>
              <wp:positionV relativeFrom="page">
                <wp:posOffset>190500</wp:posOffset>
              </wp:positionV>
              <wp:extent cx="7556500" cy="273050"/>
              <wp:effectExtent l="0" t="0" r="0" b="12700"/>
              <wp:wrapNone/>
              <wp:docPr id="4" name="Text Box 4"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A8097" w14:textId="52837CDA"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2028B6" id="_x0000_t202" coordsize="21600,21600" o:spt="202" path="m,l,21600r21600,l21600,xe">
              <v:stroke joinstyle="miter"/>
              <v:path gradientshapeok="t" o:connecttype="rect"/>
            </v:shapetype>
            <v:shape id="Text Box 4" o:spid="_x0000_s1027"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6D2A8097" w14:textId="52837CDA"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v:textbox>
              <w10:wrap anchorx="page" anchory="page"/>
            </v:shape>
          </w:pict>
        </mc:Fallback>
      </mc:AlternateContent>
    </w:r>
    <w:r w:rsidR="0095574A">
      <w:rPr>
        <w:noProof/>
        <w:lang w:val="en-US"/>
      </w:rPr>
      <w:drawing>
        <wp:anchor distT="0" distB="0" distL="114300" distR="114300" simplePos="0" relativeHeight="251658245"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w16du="http://schemas.microsoft.com/office/word/2023/wordml/word16du"/>
                    </a:ext>
                  </a:extLst>
                </pic:spPr>
              </pic:pic>
            </a:graphicData>
          </a:graphic>
          <wp14:sizeRelH relativeFrom="page">
            <wp14:pctWidth>0</wp14:pctWidth>
          </wp14:sizeRelH>
          <wp14:sizeRelV relativeFrom="page">
            <wp14:pctHeight>0</wp14:pctHeight>
          </wp14:sizeRelV>
        </wp:anchor>
      </w:drawing>
    </w:r>
  </w:p>
  <w:p w14:paraId="4D590282" w14:textId="77777777" w:rsidR="0095574A" w:rsidRPr="00D82005" w:rsidRDefault="0095574A"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E4E4B7D8"/>
    <w:lvl w:ilvl="0" w:tplc="73E46E96">
      <w:start w:val="1"/>
      <w:numFmt w:val="decimal"/>
      <w:pStyle w:val="ListNumber4"/>
      <w:lvlText w:val="%1."/>
      <w:lvlJc w:val="left"/>
      <w:pPr>
        <w:tabs>
          <w:tab w:val="num" w:pos="1209"/>
        </w:tabs>
        <w:ind w:left="1209" w:hanging="360"/>
      </w:pPr>
    </w:lvl>
    <w:lvl w:ilvl="1" w:tplc="F4FCF986">
      <w:numFmt w:val="decimal"/>
      <w:lvlText w:val=""/>
      <w:lvlJc w:val="left"/>
    </w:lvl>
    <w:lvl w:ilvl="2" w:tplc="48A43150">
      <w:numFmt w:val="decimal"/>
      <w:lvlText w:val=""/>
      <w:lvlJc w:val="left"/>
    </w:lvl>
    <w:lvl w:ilvl="3" w:tplc="35883310">
      <w:numFmt w:val="decimal"/>
      <w:lvlText w:val=""/>
      <w:lvlJc w:val="left"/>
    </w:lvl>
    <w:lvl w:ilvl="4" w:tplc="6A023E80">
      <w:numFmt w:val="decimal"/>
      <w:lvlText w:val=""/>
      <w:lvlJc w:val="left"/>
    </w:lvl>
    <w:lvl w:ilvl="5" w:tplc="418629C2">
      <w:numFmt w:val="decimal"/>
      <w:lvlText w:val=""/>
      <w:lvlJc w:val="left"/>
    </w:lvl>
    <w:lvl w:ilvl="6" w:tplc="6D3AEB9C">
      <w:numFmt w:val="decimal"/>
      <w:lvlText w:val=""/>
      <w:lvlJc w:val="left"/>
    </w:lvl>
    <w:lvl w:ilvl="7" w:tplc="602E60F6">
      <w:numFmt w:val="decimal"/>
      <w:lvlText w:val=""/>
      <w:lvlJc w:val="left"/>
    </w:lvl>
    <w:lvl w:ilvl="8" w:tplc="374E3D58">
      <w:numFmt w:val="decimal"/>
      <w:lvlText w:val=""/>
      <w:lvlJc w:val="left"/>
    </w:lvl>
  </w:abstractNum>
  <w:abstractNum w:abstractNumId="2" w15:restartNumberingAfterBreak="0">
    <w:nsid w:val="FFFFFF7E"/>
    <w:multiLevelType w:val="hybridMultilevel"/>
    <w:tmpl w:val="17E2918E"/>
    <w:lvl w:ilvl="0" w:tplc="D0723CC8">
      <w:start w:val="1"/>
      <w:numFmt w:val="decimal"/>
      <w:pStyle w:val="ListNumber3"/>
      <w:lvlText w:val="%1."/>
      <w:lvlJc w:val="left"/>
      <w:pPr>
        <w:tabs>
          <w:tab w:val="num" w:pos="926"/>
        </w:tabs>
        <w:ind w:left="926" w:hanging="360"/>
      </w:pPr>
    </w:lvl>
    <w:lvl w:ilvl="1" w:tplc="5992BFA0">
      <w:numFmt w:val="decimal"/>
      <w:lvlText w:val=""/>
      <w:lvlJc w:val="left"/>
    </w:lvl>
    <w:lvl w:ilvl="2" w:tplc="DA9E63D0">
      <w:numFmt w:val="decimal"/>
      <w:lvlText w:val=""/>
      <w:lvlJc w:val="left"/>
    </w:lvl>
    <w:lvl w:ilvl="3" w:tplc="BEC2D02C">
      <w:numFmt w:val="decimal"/>
      <w:lvlText w:val=""/>
      <w:lvlJc w:val="left"/>
    </w:lvl>
    <w:lvl w:ilvl="4" w:tplc="DBF296A6">
      <w:numFmt w:val="decimal"/>
      <w:lvlText w:val=""/>
      <w:lvlJc w:val="left"/>
    </w:lvl>
    <w:lvl w:ilvl="5" w:tplc="C5AAB8A0">
      <w:numFmt w:val="decimal"/>
      <w:lvlText w:val=""/>
      <w:lvlJc w:val="left"/>
    </w:lvl>
    <w:lvl w:ilvl="6" w:tplc="56567B98">
      <w:numFmt w:val="decimal"/>
      <w:lvlText w:val=""/>
      <w:lvlJc w:val="left"/>
    </w:lvl>
    <w:lvl w:ilvl="7" w:tplc="D6389F8E">
      <w:numFmt w:val="decimal"/>
      <w:lvlText w:val=""/>
      <w:lvlJc w:val="left"/>
    </w:lvl>
    <w:lvl w:ilvl="8" w:tplc="B3C666DA">
      <w:numFmt w:val="decimal"/>
      <w:lvlText w:val=""/>
      <w:lvlJc w:val="left"/>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multilevel"/>
    <w:tmpl w:val="90208B5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C242A4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992489B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4B4783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3A653E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E295D"/>
    <w:multiLevelType w:val="hybridMultilevel"/>
    <w:tmpl w:val="045C9124"/>
    <w:lvl w:ilvl="0" w:tplc="145098B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242923"/>
    <w:multiLevelType w:val="multilevel"/>
    <w:tmpl w:val="D75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444B02"/>
    <w:multiLevelType w:val="hybridMultilevel"/>
    <w:tmpl w:val="FFFFFFFF"/>
    <w:lvl w:ilvl="0" w:tplc="94E8FCC0">
      <w:start w:val="1"/>
      <w:numFmt w:val="bullet"/>
      <w:lvlText w:val=""/>
      <w:lvlJc w:val="left"/>
      <w:pPr>
        <w:ind w:left="720" w:hanging="360"/>
      </w:pPr>
      <w:rPr>
        <w:rFonts w:ascii="Symbol" w:hAnsi="Symbol" w:hint="default"/>
      </w:rPr>
    </w:lvl>
    <w:lvl w:ilvl="1" w:tplc="F6AA9DA6">
      <w:start w:val="1"/>
      <w:numFmt w:val="bullet"/>
      <w:lvlText w:val="o"/>
      <w:lvlJc w:val="left"/>
      <w:pPr>
        <w:ind w:left="1440" w:hanging="360"/>
      </w:pPr>
      <w:rPr>
        <w:rFonts w:ascii="Courier New" w:hAnsi="Courier New" w:hint="default"/>
      </w:rPr>
    </w:lvl>
    <w:lvl w:ilvl="2" w:tplc="87CE8542">
      <w:start w:val="1"/>
      <w:numFmt w:val="bullet"/>
      <w:lvlText w:val=""/>
      <w:lvlJc w:val="left"/>
      <w:pPr>
        <w:ind w:left="2160" w:hanging="360"/>
      </w:pPr>
      <w:rPr>
        <w:rFonts w:ascii="Wingdings" w:hAnsi="Wingdings" w:hint="default"/>
      </w:rPr>
    </w:lvl>
    <w:lvl w:ilvl="3" w:tplc="D3445782">
      <w:start w:val="1"/>
      <w:numFmt w:val="bullet"/>
      <w:lvlText w:val=""/>
      <w:lvlJc w:val="left"/>
      <w:pPr>
        <w:ind w:left="2880" w:hanging="360"/>
      </w:pPr>
      <w:rPr>
        <w:rFonts w:ascii="Symbol" w:hAnsi="Symbol" w:hint="default"/>
      </w:rPr>
    </w:lvl>
    <w:lvl w:ilvl="4" w:tplc="B2749A82">
      <w:start w:val="1"/>
      <w:numFmt w:val="bullet"/>
      <w:lvlText w:val="o"/>
      <w:lvlJc w:val="left"/>
      <w:pPr>
        <w:ind w:left="3600" w:hanging="360"/>
      </w:pPr>
      <w:rPr>
        <w:rFonts w:ascii="Courier New" w:hAnsi="Courier New" w:hint="default"/>
      </w:rPr>
    </w:lvl>
    <w:lvl w:ilvl="5" w:tplc="0FFEDF98">
      <w:start w:val="1"/>
      <w:numFmt w:val="bullet"/>
      <w:lvlText w:val=""/>
      <w:lvlJc w:val="left"/>
      <w:pPr>
        <w:ind w:left="4320" w:hanging="360"/>
      </w:pPr>
      <w:rPr>
        <w:rFonts w:ascii="Wingdings" w:hAnsi="Wingdings" w:hint="default"/>
      </w:rPr>
    </w:lvl>
    <w:lvl w:ilvl="6" w:tplc="7DB02CF4">
      <w:start w:val="1"/>
      <w:numFmt w:val="bullet"/>
      <w:lvlText w:val=""/>
      <w:lvlJc w:val="left"/>
      <w:pPr>
        <w:ind w:left="5040" w:hanging="360"/>
      </w:pPr>
      <w:rPr>
        <w:rFonts w:ascii="Symbol" w:hAnsi="Symbol" w:hint="default"/>
      </w:rPr>
    </w:lvl>
    <w:lvl w:ilvl="7" w:tplc="1206B228">
      <w:start w:val="1"/>
      <w:numFmt w:val="bullet"/>
      <w:lvlText w:val="o"/>
      <w:lvlJc w:val="left"/>
      <w:pPr>
        <w:ind w:left="5760" w:hanging="360"/>
      </w:pPr>
      <w:rPr>
        <w:rFonts w:ascii="Courier New" w:hAnsi="Courier New" w:hint="default"/>
      </w:rPr>
    </w:lvl>
    <w:lvl w:ilvl="8" w:tplc="57167492">
      <w:start w:val="1"/>
      <w:numFmt w:val="bullet"/>
      <w:lvlText w:val=""/>
      <w:lvlJc w:val="left"/>
      <w:pPr>
        <w:ind w:left="6480" w:hanging="360"/>
      </w:pPr>
      <w:rPr>
        <w:rFonts w:ascii="Wingdings" w:hAnsi="Wingdings" w:hint="default"/>
      </w:rPr>
    </w:lvl>
  </w:abstractNum>
  <w:abstractNum w:abstractNumId="16" w15:restartNumberingAfterBreak="0">
    <w:nsid w:val="43E72683"/>
    <w:multiLevelType w:val="hybridMultilevel"/>
    <w:tmpl w:val="30127892"/>
    <w:lvl w:ilvl="0" w:tplc="E558ED6A">
      <w:start w:val="1"/>
      <w:numFmt w:val="bullet"/>
      <w:lvlText w:val="•"/>
      <w:lvlJc w:val="left"/>
      <w:pPr>
        <w:tabs>
          <w:tab w:val="num" w:pos="720"/>
        </w:tabs>
        <w:ind w:left="720" w:hanging="360"/>
      </w:pPr>
      <w:rPr>
        <w:rFonts w:ascii="Arial" w:hAnsi="Arial" w:hint="default"/>
      </w:rPr>
    </w:lvl>
    <w:lvl w:ilvl="1" w:tplc="B52ABB78" w:tentative="1">
      <w:start w:val="1"/>
      <w:numFmt w:val="bullet"/>
      <w:lvlText w:val="•"/>
      <w:lvlJc w:val="left"/>
      <w:pPr>
        <w:tabs>
          <w:tab w:val="num" w:pos="1440"/>
        </w:tabs>
        <w:ind w:left="1440" w:hanging="360"/>
      </w:pPr>
      <w:rPr>
        <w:rFonts w:ascii="Arial" w:hAnsi="Arial" w:hint="default"/>
      </w:rPr>
    </w:lvl>
    <w:lvl w:ilvl="2" w:tplc="8888445E" w:tentative="1">
      <w:start w:val="1"/>
      <w:numFmt w:val="bullet"/>
      <w:lvlText w:val="•"/>
      <w:lvlJc w:val="left"/>
      <w:pPr>
        <w:tabs>
          <w:tab w:val="num" w:pos="2160"/>
        </w:tabs>
        <w:ind w:left="2160" w:hanging="360"/>
      </w:pPr>
      <w:rPr>
        <w:rFonts w:ascii="Arial" w:hAnsi="Arial" w:hint="default"/>
      </w:rPr>
    </w:lvl>
    <w:lvl w:ilvl="3" w:tplc="2576843A" w:tentative="1">
      <w:start w:val="1"/>
      <w:numFmt w:val="bullet"/>
      <w:lvlText w:val="•"/>
      <w:lvlJc w:val="left"/>
      <w:pPr>
        <w:tabs>
          <w:tab w:val="num" w:pos="2880"/>
        </w:tabs>
        <w:ind w:left="2880" w:hanging="360"/>
      </w:pPr>
      <w:rPr>
        <w:rFonts w:ascii="Arial" w:hAnsi="Arial" w:hint="default"/>
      </w:rPr>
    </w:lvl>
    <w:lvl w:ilvl="4" w:tplc="2A4E5F3E" w:tentative="1">
      <w:start w:val="1"/>
      <w:numFmt w:val="bullet"/>
      <w:lvlText w:val="•"/>
      <w:lvlJc w:val="left"/>
      <w:pPr>
        <w:tabs>
          <w:tab w:val="num" w:pos="3600"/>
        </w:tabs>
        <w:ind w:left="3600" w:hanging="360"/>
      </w:pPr>
      <w:rPr>
        <w:rFonts w:ascii="Arial" w:hAnsi="Arial" w:hint="default"/>
      </w:rPr>
    </w:lvl>
    <w:lvl w:ilvl="5" w:tplc="488C7BE2" w:tentative="1">
      <w:start w:val="1"/>
      <w:numFmt w:val="bullet"/>
      <w:lvlText w:val="•"/>
      <w:lvlJc w:val="left"/>
      <w:pPr>
        <w:tabs>
          <w:tab w:val="num" w:pos="4320"/>
        </w:tabs>
        <w:ind w:left="4320" w:hanging="360"/>
      </w:pPr>
      <w:rPr>
        <w:rFonts w:ascii="Arial" w:hAnsi="Arial" w:hint="default"/>
      </w:rPr>
    </w:lvl>
    <w:lvl w:ilvl="6" w:tplc="0DBC53F2" w:tentative="1">
      <w:start w:val="1"/>
      <w:numFmt w:val="bullet"/>
      <w:lvlText w:val="•"/>
      <w:lvlJc w:val="left"/>
      <w:pPr>
        <w:tabs>
          <w:tab w:val="num" w:pos="5040"/>
        </w:tabs>
        <w:ind w:left="5040" w:hanging="360"/>
      </w:pPr>
      <w:rPr>
        <w:rFonts w:ascii="Arial" w:hAnsi="Arial" w:hint="default"/>
      </w:rPr>
    </w:lvl>
    <w:lvl w:ilvl="7" w:tplc="EB768B9E" w:tentative="1">
      <w:start w:val="1"/>
      <w:numFmt w:val="bullet"/>
      <w:lvlText w:val="•"/>
      <w:lvlJc w:val="left"/>
      <w:pPr>
        <w:tabs>
          <w:tab w:val="num" w:pos="5760"/>
        </w:tabs>
        <w:ind w:left="5760" w:hanging="360"/>
      </w:pPr>
      <w:rPr>
        <w:rFonts w:ascii="Arial" w:hAnsi="Arial" w:hint="default"/>
      </w:rPr>
    </w:lvl>
    <w:lvl w:ilvl="8" w:tplc="CB5657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639E6D05"/>
    <w:multiLevelType w:val="hybridMultilevel"/>
    <w:tmpl w:val="649085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5492F"/>
    <w:multiLevelType w:val="hybridMultilevel"/>
    <w:tmpl w:val="3A4A7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76201C"/>
    <w:multiLevelType w:val="hybridMultilevel"/>
    <w:tmpl w:val="1E54F8FE"/>
    <w:lvl w:ilvl="0" w:tplc="C66CD07C">
      <w:start w:val="1"/>
      <w:numFmt w:val="bullet"/>
      <w:lvlText w:val=""/>
      <w:lvlJc w:val="left"/>
      <w:pPr>
        <w:ind w:left="720" w:hanging="360"/>
      </w:pPr>
      <w:rPr>
        <w:rFonts w:ascii="Symbol" w:hAnsi="Symbol" w:hint="default"/>
      </w:rPr>
    </w:lvl>
    <w:lvl w:ilvl="1" w:tplc="BA7003E2">
      <w:start w:val="1"/>
      <w:numFmt w:val="bullet"/>
      <w:lvlText w:val="o"/>
      <w:lvlJc w:val="left"/>
      <w:pPr>
        <w:ind w:left="1440" w:hanging="360"/>
      </w:pPr>
      <w:rPr>
        <w:rFonts w:ascii="Courier New" w:hAnsi="Courier New" w:hint="default"/>
      </w:rPr>
    </w:lvl>
    <w:lvl w:ilvl="2" w:tplc="4C7CB3F2">
      <w:start w:val="1"/>
      <w:numFmt w:val="bullet"/>
      <w:lvlText w:val=""/>
      <w:lvlJc w:val="left"/>
      <w:pPr>
        <w:ind w:left="2160" w:hanging="360"/>
      </w:pPr>
      <w:rPr>
        <w:rFonts w:ascii="Wingdings" w:hAnsi="Wingdings" w:hint="default"/>
      </w:rPr>
    </w:lvl>
    <w:lvl w:ilvl="3" w:tplc="E274105C">
      <w:start w:val="1"/>
      <w:numFmt w:val="bullet"/>
      <w:lvlText w:val=""/>
      <w:lvlJc w:val="left"/>
      <w:pPr>
        <w:ind w:left="2880" w:hanging="360"/>
      </w:pPr>
      <w:rPr>
        <w:rFonts w:ascii="Symbol" w:hAnsi="Symbol" w:hint="default"/>
      </w:rPr>
    </w:lvl>
    <w:lvl w:ilvl="4" w:tplc="ECD404E0">
      <w:start w:val="1"/>
      <w:numFmt w:val="bullet"/>
      <w:lvlText w:val="o"/>
      <w:lvlJc w:val="left"/>
      <w:pPr>
        <w:ind w:left="3600" w:hanging="360"/>
      </w:pPr>
      <w:rPr>
        <w:rFonts w:ascii="Courier New" w:hAnsi="Courier New" w:hint="default"/>
      </w:rPr>
    </w:lvl>
    <w:lvl w:ilvl="5" w:tplc="6DBC5D52">
      <w:start w:val="1"/>
      <w:numFmt w:val="bullet"/>
      <w:lvlText w:val=""/>
      <w:lvlJc w:val="left"/>
      <w:pPr>
        <w:ind w:left="4320" w:hanging="360"/>
      </w:pPr>
      <w:rPr>
        <w:rFonts w:ascii="Wingdings" w:hAnsi="Wingdings" w:hint="default"/>
      </w:rPr>
    </w:lvl>
    <w:lvl w:ilvl="6" w:tplc="758C0DDA">
      <w:start w:val="1"/>
      <w:numFmt w:val="bullet"/>
      <w:lvlText w:val=""/>
      <w:lvlJc w:val="left"/>
      <w:pPr>
        <w:ind w:left="5040" w:hanging="360"/>
      </w:pPr>
      <w:rPr>
        <w:rFonts w:ascii="Symbol" w:hAnsi="Symbol" w:hint="default"/>
      </w:rPr>
    </w:lvl>
    <w:lvl w:ilvl="7" w:tplc="CABC2D36">
      <w:start w:val="1"/>
      <w:numFmt w:val="bullet"/>
      <w:lvlText w:val="o"/>
      <w:lvlJc w:val="left"/>
      <w:pPr>
        <w:ind w:left="5760" w:hanging="360"/>
      </w:pPr>
      <w:rPr>
        <w:rFonts w:ascii="Courier New" w:hAnsi="Courier New" w:hint="default"/>
      </w:rPr>
    </w:lvl>
    <w:lvl w:ilvl="8" w:tplc="DD1C0C44">
      <w:start w:val="1"/>
      <w:numFmt w:val="bullet"/>
      <w:lvlText w:val=""/>
      <w:lvlJc w:val="left"/>
      <w:pPr>
        <w:ind w:left="6480" w:hanging="360"/>
      </w:pPr>
      <w:rPr>
        <w:rFonts w:ascii="Wingdings" w:hAnsi="Wingdings" w:hint="default"/>
      </w:rPr>
    </w:lvl>
  </w:abstractNum>
  <w:num w:numId="1" w16cid:durableId="1117677252">
    <w:abstractNumId w:val="27"/>
  </w:num>
  <w:num w:numId="2" w16cid:durableId="289290101">
    <w:abstractNumId w:val="18"/>
  </w:num>
  <w:num w:numId="3" w16cid:durableId="1851069127">
    <w:abstractNumId w:val="9"/>
  </w:num>
  <w:num w:numId="4" w16cid:durableId="973875641">
    <w:abstractNumId w:val="11"/>
  </w:num>
  <w:num w:numId="5" w16cid:durableId="1874225724">
    <w:abstractNumId w:val="7"/>
  </w:num>
  <w:num w:numId="6" w16cid:durableId="244999837">
    <w:abstractNumId w:val="22"/>
  </w:num>
  <w:num w:numId="7" w16cid:durableId="936017673">
    <w:abstractNumId w:val="6"/>
  </w:num>
  <w:num w:numId="8" w16cid:durableId="1355619543">
    <w:abstractNumId w:val="22"/>
  </w:num>
  <w:num w:numId="9" w16cid:durableId="824903218">
    <w:abstractNumId w:val="5"/>
  </w:num>
  <w:num w:numId="10" w16cid:durableId="1267889003">
    <w:abstractNumId w:val="4"/>
  </w:num>
  <w:num w:numId="11" w16cid:durableId="1643383706">
    <w:abstractNumId w:val="4"/>
  </w:num>
  <w:num w:numId="12" w16cid:durableId="1163202004">
    <w:abstractNumId w:val="8"/>
  </w:num>
  <w:num w:numId="13" w16cid:durableId="1262569013">
    <w:abstractNumId w:val="8"/>
  </w:num>
  <w:num w:numId="14" w16cid:durableId="1038049875">
    <w:abstractNumId w:val="3"/>
  </w:num>
  <w:num w:numId="15" w16cid:durableId="1651134541">
    <w:abstractNumId w:val="3"/>
  </w:num>
  <w:num w:numId="16" w16cid:durableId="1132594322">
    <w:abstractNumId w:val="2"/>
  </w:num>
  <w:num w:numId="17" w16cid:durableId="832718802">
    <w:abstractNumId w:val="2"/>
  </w:num>
  <w:num w:numId="18" w16cid:durableId="2042123034">
    <w:abstractNumId w:val="1"/>
  </w:num>
  <w:num w:numId="19" w16cid:durableId="1168326787">
    <w:abstractNumId w:val="1"/>
  </w:num>
  <w:num w:numId="20" w16cid:durableId="727999490">
    <w:abstractNumId w:val="0"/>
  </w:num>
  <w:num w:numId="21" w16cid:durableId="1328942523">
    <w:abstractNumId w:val="0"/>
  </w:num>
  <w:num w:numId="22" w16cid:durableId="1352999442">
    <w:abstractNumId w:val="20"/>
  </w:num>
  <w:num w:numId="23" w16cid:durableId="1186404335">
    <w:abstractNumId w:val="20"/>
  </w:num>
  <w:num w:numId="24" w16cid:durableId="667489634">
    <w:abstractNumId w:val="12"/>
  </w:num>
  <w:num w:numId="25" w16cid:durableId="816068690">
    <w:abstractNumId w:val="25"/>
  </w:num>
  <w:num w:numId="26" w16cid:durableId="1643122463">
    <w:abstractNumId w:val="17"/>
  </w:num>
  <w:num w:numId="27" w16cid:durableId="150105849">
    <w:abstractNumId w:val="21"/>
  </w:num>
  <w:num w:numId="28" w16cid:durableId="1518230912">
    <w:abstractNumId w:val="26"/>
  </w:num>
  <w:num w:numId="29" w16cid:durableId="259606432">
    <w:abstractNumId w:val="19"/>
  </w:num>
  <w:num w:numId="30" w16cid:durableId="1845708010">
    <w:abstractNumId w:val="10"/>
  </w:num>
  <w:num w:numId="31" w16cid:durableId="2147355273">
    <w:abstractNumId w:val="15"/>
  </w:num>
  <w:num w:numId="32" w16cid:durableId="1298300540">
    <w:abstractNumId w:val="24"/>
  </w:num>
  <w:num w:numId="33" w16cid:durableId="1365868332">
    <w:abstractNumId w:val="13"/>
  </w:num>
  <w:num w:numId="34" w16cid:durableId="1451361399">
    <w:abstractNumId w:val="16"/>
  </w:num>
  <w:num w:numId="35" w16cid:durableId="1275592920">
    <w:abstractNumId w:val="23"/>
  </w:num>
  <w:num w:numId="36" w16cid:durableId="5483442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xtTCzMDE1tDQxMTVT0lEKTi0uzszPAykwqgUA5UZCNiwAAAA="/>
  </w:docVars>
  <w:rsids>
    <w:rsidRoot w:val="004175B7"/>
    <w:rsid w:val="0000020D"/>
    <w:rsid w:val="0000021F"/>
    <w:rsid w:val="00000BAF"/>
    <w:rsid w:val="00001AA9"/>
    <w:rsid w:val="00002093"/>
    <w:rsid w:val="000027B7"/>
    <w:rsid w:val="000036A6"/>
    <w:rsid w:val="0000378A"/>
    <w:rsid w:val="000038D1"/>
    <w:rsid w:val="00004CE9"/>
    <w:rsid w:val="00004D17"/>
    <w:rsid w:val="00004F3D"/>
    <w:rsid w:val="000055D7"/>
    <w:rsid w:val="00005D79"/>
    <w:rsid w:val="000061B6"/>
    <w:rsid w:val="00006274"/>
    <w:rsid w:val="000063FE"/>
    <w:rsid w:val="00006CCF"/>
    <w:rsid w:val="00007FD6"/>
    <w:rsid w:val="00010407"/>
    <w:rsid w:val="00010B52"/>
    <w:rsid w:val="00010B80"/>
    <w:rsid w:val="000141D8"/>
    <w:rsid w:val="00014D52"/>
    <w:rsid w:val="0001721A"/>
    <w:rsid w:val="00017518"/>
    <w:rsid w:val="000175F6"/>
    <w:rsid w:val="000177E6"/>
    <w:rsid w:val="00017EC1"/>
    <w:rsid w:val="000205AF"/>
    <w:rsid w:val="00020994"/>
    <w:rsid w:val="00021293"/>
    <w:rsid w:val="00021580"/>
    <w:rsid w:val="0002192D"/>
    <w:rsid w:val="00021B97"/>
    <w:rsid w:val="0002304F"/>
    <w:rsid w:val="00023379"/>
    <w:rsid w:val="000236FD"/>
    <w:rsid w:val="00023F89"/>
    <w:rsid w:val="00024FD4"/>
    <w:rsid w:val="00025EB0"/>
    <w:rsid w:val="00025F97"/>
    <w:rsid w:val="0002736E"/>
    <w:rsid w:val="00027BEB"/>
    <w:rsid w:val="00027F97"/>
    <w:rsid w:val="000305B1"/>
    <w:rsid w:val="00032331"/>
    <w:rsid w:val="000336F5"/>
    <w:rsid w:val="00033B72"/>
    <w:rsid w:val="00034264"/>
    <w:rsid w:val="0003486A"/>
    <w:rsid w:val="00036024"/>
    <w:rsid w:val="00036CBA"/>
    <w:rsid w:val="000401FE"/>
    <w:rsid w:val="00040838"/>
    <w:rsid w:val="000410CD"/>
    <w:rsid w:val="00041101"/>
    <w:rsid w:val="00041837"/>
    <w:rsid w:val="000437AA"/>
    <w:rsid w:val="00043D3D"/>
    <w:rsid w:val="00045B31"/>
    <w:rsid w:val="00045D7C"/>
    <w:rsid w:val="000464B3"/>
    <w:rsid w:val="00046677"/>
    <w:rsid w:val="0005014C"/>
    <w:rsid w:val="00050188"/>
    <w:rsid w:val="00050777"/>
    <w:rsid w:val="000508D3"/>
    <w:rsid w:val="00050C7A"/>
    <w:rsid w:val="00051071"/>
    <w:rsid w:val="0005145E"/>
    <w:rsid w:val="00051FCF"/>
    <w:rsid w:val="000524B3"/>
    <w:rsid w:val="00053FE2"/>
    <w:rsid w:val="00055C16"/>
    <w:rsid w:val="00055CFB"/>
    <w:rsid w:val="00055DBF"/>
    <w:rsid w:val="0005609D"/>
    <w:rsid w:val="0005677C"/>
    <w:rsid w:val="00056A93"/>
    <w:rsid w:val="00056E86"/>
    <w:rsid w:val="0006012E"/>
    <w:rsid w:val="000604A2"/>
    <w:rsid w:val="000605FF"/>
    <w:rsid w:val="00060C67"/>
    <w:rsid w:val="000631DD"/>
    <w:rsid w:val="000639F4"/>
    <w:rsid w:val="00063EF9"/>
    <w:rsid w:val="00064B9D"/>
    <w:rsid w:val="00065613"/>
    <w:rsid w:val="00065A6F"/>
    <w:rsid w:val="000660BF"/>
    <w:rsid w:val="000672A7"/>
    <w:rsid w:val="000679DF"/>
    <w:rsid w:val="00067EE4"/>
    <w:rsid w:val="00070A47"/>
    <w:rsid w:val="000716CD"/>
    <w:rsid w:val="0007239C"/>
    <w:rsid w:val="00072FA2"/>
    <w:rsid w:val="000731E7"/>
    <w:rsid w:val="00073503"/>
    <w:rsid w:val="000742F7"/>
    <w:rsid w:val="000776A9"/>
    <w:rsid w:val="00081216"/>
    <w:rsid w:val="00081319"/>
    <w:rsid w:val="000819B0"/>
    <w:rsid w:val="0008244C"/>
    <w:rsid w:val="00082BB4"/>
    <w:rsid w:val="00082E40"/>
    <w:rsid w:val="00083758"/>
    <w:rsid w:val="00083784"/>
    <w:rsid w:val="00084405"/>
    <w:rsid w:val="000854D8"/>
    <w:rsid w:val="00086744"/>
    <w:rsid w:val="00086971"/>
    <w:rsid w:val="00087961"/>
    <w:rsid w:val="00087B2F"/>
    <w:rsid w:val="0009039D"/>
    <w:rsid w:val="00090DD9"/>
    <w:rsid w:val="00091BF7"/>
    <w:rsid w:val="000934F3"/>
    <w:rsid w:val="00093A3E"/>
    <w:rsid w:val="00093E4D"/>
    <w:rsid w:val="000946E0"/>
    <w:rsid w:val="00094D9B"/>
    <w:rsid w:val="0009511F"/>
    <w:rsid w:val="000967C4"/>
    <w:rsid w:val="00096D8A"/>
    <w:rsid w:val="0009711B"/>
    <w:rsid w:val="000A020B"/>
    <w:rsid w:val="000A0339"/>
    <w:rsid w:val="000A0349"/>
    <w:rsid w:val="000A0A68"/>
    <w:rsid w:val="000A1E6F"/>
    <w:rsid w:val="000A2081"/>
    <w:rsid w:val="000A20E1"/>
    <w:rsid w:val="000A25B1"/>
    <w:rsid w:val="000A28EE"/>
    <w:rsid w:val="000A2FBE"/>
    <w:rsid w:val="000A3808"/>
    <w:rsid w:val="000A3C2D"/>
    <w:rsid w:val="000A3DA5"/>
    <w:rsid w:val="000A41F2"/>
    <w:rsid w:val="000A4637"/>
    <w:rsid w:val="000A48BE"/>
    <w:rsid w:val="000A4EA9"/>
    <w:rsid w:val="000A5781"/>
    <w:rsid w:val="000A5DB4"/>
    <w:rsid w:val="000A68E1"/>
    <w:rsid w:val="000A6EDC"/>
    <w:rsid w:val="000A7516"/>
    <w:rsid w:val="000A7721"/>
    <w:rsid w:val="000A7E07"/>
    <w:rsid w:val="000A7F72"/>
    <w:rsid w:val="000B13B8"/>
    <w:rsid w:val="000B1465"/>
    <w:rsid w:val="000B16D3"/>
    <w:rsid w:val="000B185D"/>
    <w:rsid w:val="000B1E78"/>
    <w:rsid w:val="000B20DD"/>
    <w:rsid w:val="000B2F09"/>
    <w:rsid w:val="000B2F2F"/>
    <w:rsid w:val="000B40B7"/>
    <w:rsid w:val="000B42DC"/>
    <w:rsid w:val="000B6313"/>
    <w:rsid w:val="000B6A75"/>
    <w:rsid w:val="000B6B17"/>
    <w:rsid w:val="000C0200"/>
    <w:rsid w:val="000C08C0"/>
    <w:rsid w:val="000C14B8"/>
    <w:rsid w:val="000C19D5"/>
    <w:rsid w:val="000C2C49"/>
    <w:rsid w:val="000C3027"/>
    <w:rsid w:val="000C59E6"/>
    <w:rsid w:val="000C5E2B"/>
    <w:rsid w:val="000C627D"/>
    <w:rsid w:val="000C7FB4"/>
    <w:rsid w:val="000D0E5C"/>
    <w:rsid w:val="000D1243"/>
    <w:rsid w:val="000D32DA"/>
    <w:rsid w:val="000D4258"/>
    <w:rsid w:val="000D469D"/>
    <w:rsid w:val="000D6156"/>
    <w:rsid w:val="000D61AB"/>
    <w:rsid w:val="000D64E6"/>
    <w:rsid w:val="000D65AC"/>
    <w:rsid w:val="000D6FEB"/>
    <w:rsid w:val="000D73DB"/>
    <w:rsid w:val="000E065B"/>
    <w:rsid w:val="000E0EF9"/>
    <w:rsid w:val="000E11BA"/>
    <w:rsid w:val="000E1283"/>
    <w:rsid w:val="000E14D9"/>
    <w:rsid w:val="000E169E"/>
    <w:rsid w:val="000E2347"/>
    <w:rsid w:val="000E3D37"/>
    <w:rsid w:val="000E4249"/>
    <w:rsid w:val="000E5121"/>
    <w:rsid w:val="000E6B10"/>
    <w:rsid w:val="000E76E4"/>
    <w:rsid w:val="000E7883"/>
    <w:rsid w:val="000E79DC"/>
    <w:rsid w:val="000F0145"/>
    <w:rsid w:val="000F074C"/>
    <w:rsid w:val="000F07A7"/>
    <w:rsid w:val="000F122E"/>
    <w:rsid w:val="000F1368"/>
    <w:rsid w:val="000F2125"/>
    <w:rsid w:val="000F21FE"/>
    <w:rsid w:val="000F2939"/>
    <w:rsid w:val="000F3295"/>
    <w:rsid w:val="000F3B60"/>
    <w:rsid w:val="000F45D3"/>
    <w:rsid w:val="000F4900"/>
    <w:rsid w:val="000F526F"/>
    <w:rsid w:val="000F7D49"/>
    <w:rsid w:val="000F7F7C"/>
    <w:rsid w:val="00100BB7"/>
    <w:rsid w:val="0010110A"/>
    <w:rsid w:val="00101A85"/>
    <w:rsid w:val="00101F98"/>
    <w:rsid w:val="001023C8"/>
    <w:rsid w:val="0010438C"/>
    <w:rsid w:val="0010649D"/>
    <w:rsid w:val="001072B0"/>
    <w:rsid w:val="00110497"/>
    <w:rsid w:val="00111862"/>
    <w:rsid w:val="00112C54"/>
    <w:rsid w:val="00112CA5"/>
    <w:rsid w:val="00112FBB"/>
    <w:rsid w:val="001144CF"/>
    <w:rsid w:val="00114EB2"/>
    <w:rsid w:val="001177BE"/>
    <w:rsid w:val="001202C1"/>
    <w:rsid w:val="00120A7B"/>
    <w:rsid w:val="00120D4C"/>
    <w:rsid w:val="00122140"/>
    <w:rsid w:val="00122D7D"/>
    <w:rsid w:val="00123404"/>
    <w:rsid w:val="00123514"/>
    <w:rsid w:val="00123AFE"/>
    <w:rsid w:val="00125593"/>
    <w:rsid w:val="00126421"/>
    <w:rsid w:val="00127CB3"/>
    <w:rsid w:val="00130C44"/>
    <w:rsid w:val="001322A2"/>
    <w:rsid w:val="001343EC"/>
    <w:rsid w:val="00135929"/>
    <w:rsid w:val="00135A8A"/>
    <w:rsid w:val="00135AFA"/>
    <w:rsid w:val="00140CB0"/>
    <w:rsid w:val="00142198"/>
    <w:rsid w:val="001428BB"/>
    <w:rsid w:val="0014474C"/>
    <w:rsid w:val="00144E4B"/>
    <w:rsid w:val="001450F0"/>
    <w:rsid w:val="001465E4"/>
    <w:rsid w:val="00146657"/>
    <w:rsid w:val="00146865"/>
    <w:rsid w:val="00146D1F"/>
    <w:rsid w:val="001471EC"/>
    <w:rsid w:val="001503E7"/>
    <w:rsid w:val="0015159B"/>
    <w:rsid w:val="0015174B"/>
    <w:rsid w:val="0015181C"/>
    <w:rsid w:val="00151834"/>
    <w:rsid w:val="00152649"/>
    <w:rsid w:val="001526C8"/>
    <w:rsid w:val="0015466E"/>
    <w:rsid w:val="00154C5A"/>
    <w:rsid w:val="00154E54"/>
    <w:rsid w:val="00155264"/>
    <w:rsid w:val="00155591"/>
    <w:rsid w:val="00155A08"/>
    <w:rsid w:val="00155B85"/>
    <w:rsid w:val="001575EE"/>
    <w:rsid w:val="00157C3D"/>
    <w:rsid w:val="0016044B"/>
    <w:rsid w:val="0016078D"/>
    <w:rsid w:val="001616E6"/>
    <w:rsid w:val="00162471"/>
    <w:rsid w:val="001624FD"/>
    <w:rsid w:val="00163488"/>
    <w:rsid w:val="001634DE"/>
    <w:rsid w:val="00163592"/>
    <w:rsid w:val="00163C00"/>
    <w:rsid w:val="001658A2"/>
    <w:rsid w:val="00166EBD"/>
    <w:rsid w:val="00166FF4"/>
    <w:rsid w:val="00167103"/>
    <w:rsid w:val="001677FB"/>
    <w:rsid w:val="001704A6"/>
    <w:rsid w:val="00170ABC"/>
    <w:rsid w:val="00170E62"/>
    <w:rsid w:val="00171921"/>
    <w:rsid w:val="00171F24"/>
    <w:rsid w:val="001728AA"/>
    <w:rsid w:val="001741E5"/>
    <w:rsid w:val="00174E39"/>
    <w:rsid w:val="00175277"/>
    <w:rsid w:val="00176B33"/>
    <w:rsid w:val="00176E13"/>
    <w:rsid w:val="001770F6"/>
    <w:rsid w:val="001771CC"/>
    <w:rsid w:val="00177331"/>
    <w:rsid w:val="00177673"/>
    <w:rsid w:val="00177814"/>
    <w:rsid w:val="0017798A"/>
    <w:rsid w:val="00177CA1"/>
    <w:rsid w:val="00181099"/>
    <w:rsid w:val="0018149D"/>
    <w:rsid w:val="001815CF"/>
    <w:rsid w:val="00182EF2"/>
    <w:rsid w:val="0018320D"/>
    <w:rsid w:val="0018368D"/>
    <w:rsid w:val="00183C63"/>
    <w:rsid w:val="00183F4D"/>
    <w:rsid w:val="00184398"/>
    <w:rsid w:val="00185425"/>
    <w:rsid w:val="00186295"/>
    <w:rsid w:val="00190038"/>
    <w:rsid w:val="00190A92"/>
    <w:rsid w:val="00191722"/>
    <w:rsid w:val="001925A4"/>
    <w:rsid w:val="00192F61"/>
    <w:rsid w:val="00195BEA"/>
    <w:rsid w:val="00195F18"/>
    <w:rsid w:val="00196D18"/>
    <w:rsid w:val="00196F8E"/>
    <w:rsid w:val="001A04E6"/>
    <w:rsid w:val="001A0D32"/>
    <w:rsid w:val="001A1DBD"/>
    <w:rsid w:val="001A22DD"/>
    <w:rsid w:val="001A27AB"/>
    <w:rsid w:val="001A2B95"/>
    <w:rsid w:val="001A2C87"/>
    <w:rsid w:val="001A2CC0"/>
    <w:rsid w:val="001A4212"/>
    <w:rsid w:val="001A5960"/>
    <w:rsid w:val="001A7093"/>
    <w:rsid w:val="001A7527"/>
    <w:rsid w:val="001A76F6"/>
    <w:rsid w:val="001A7E7C"/>
    <w:rsid w:val="001B0095"/>
    <w:rsid w:val="001B0812"/>
    <w:rsid w:val="001B0F4B"/>
    <w:rsid w:val="001B1CE3"/>
    <w:rsid w:val="001B2B1F"/>
    <w:rsid w:val="001B2B83"/>
    <w:rsid w:val="001B2EF7"/>
    <w:rsid w:val="001B30FF"/>
    <w:rsid w:val="001B3FB6"/>
    <w:rsid w:val="001B4185"/>
    <w:rsid w:val="001B49EC"/>
    <w:rsid w:val="001B5B11"/>
    <w:rsid w:val="001B6034"/>
    <w:rsid w:val="001B71AC"/>
    <w:rsid w:val="001B724E"/>
    <w:rsid w:val="001B79B1"/>
    <w:rsid w:val="001B7F0E"/>
    <w:rsid w:val="001C0224"/>
    <w:rsid w:val="001C0244"/>
    <w:rsid w:val="001C13AF"/>
    <w:rsid w:val="001C1875"/>
    <w:rsid w:val="001C2637"/>
    <w:rsid w:val="001C28ED"/>
    <w:rsid w:val="001C37F7"/>
    <w:rsid w:val="001C3838"/>
    <w:rsid w:val="001C6A27"/>
    <w:rsid w:val="001C7169"/>
    <w:rsid w:val="001C78D4"/>
    <w:rsid w:val="001C7CB5"/>
    <w:rsid w:val="001C7CC3"/>
    <w:rsid w:val="001D0FA7"/>
    <w:rsid w:val="001D18F4"/>
    <w:rsid w:val="001D1BDD"/>
    <w:rsid w:val="001D277E"/>
    <w:rsid w:val="001D42FF"/>
    <w:rsid w:val="001D4FDD"/>
    <w:rsid w:val="001D520D"/>
    <w:rsid w:val="001D5851"/>
    <w:rsid w:val="001D747E"/>
    <w:rsid w:val="001E1907"/>
    <w:rsid w:val="001E1C65"/>
    <w:rsid w:val="001E1EB8"/>
    <w:rsid w:val="001E2009"/>
    <w:rsid w:val="001E3A98"/>
    <w:rsid w:val="001E4157"/>
    <w:rsid w:val="001E5773"/>
    <w:rsid w:val="001E5852"/>
    <w:rsid w:val="001E5DBD"/>
    <w:rsid w:val="001E6385"/>
    <w:rsid w:val="001E6E8A"/>
    <w:rsid w:val="001E705F"/>
    <w:rsid w:val="001E71CD"/>
    <w:rsid w:val="001E7B75"/>
    <w:rsid w:val="001F0CF5"/>
    <w:rsid w:val="001F0F6D"/>
    <w:rsid w:val="001F1AF2"/>
    <w:rsid w:val="001F1CD9"/>
    <w:rsid w:val="001F1F38"/>
    <w:rsid w:val="001F229C"/>
    <w:rsid w:val="001F30AB"/>
    <w:rsid w:val="001F3E36"/>
    <w:rsid w:val="001F44EE"/>
    <w:rsid w:val="001F5011"/>
    <w:rsid w:val="001F5598"/>
    <w:rsid w:val="001F73D2"/>
    <w:rsid w:val="001F7B45"/>
    <w:rsid w:val="002002A6"/>
    <w:rsid w:val="00200366"/>
    <w:rsid w:val="00200CDD"/>
    <w:rsid w:val="00200FEB"/>
    <w:rsid w:val="002024CA"/>
    <w:rsid w:val="00202790"/>
    <w:rsid w:val="0020340C"/>
    <w:rsid w:val="00203A47"/>
    <w:rsid w:val="002044B7"/>
    <w:rsid w:val="00204ABA"/>
    <w:rsid w:val="00204CCE"/>
    <w:rsid w:val="00205801"/>
    <w:rsid w:val="00205C1D"/>
    <w:rsid w:val="00205D8F"/>
    <w:rsid w:val="00206DB6"/>
    <w:rsid w:val="00206DFC"/>
    <w:rsid w:val="00207A64"/>
    <w:rsid w:val="00207C62"/>
    <w:rsid w:val="002101E6"/>
    <w:rsid w:val="00211B0F"/>
    <w:rsid w:val="00212C25"/>
    <w:rsid w:val="00213A3C"/>
    <w:rsid w:val="002141AC"/>
    <w:rsid w:val="002143D0"/>
    <w:rsid w:val="002143DC"/>
    <w:rsid w:val="00214F4D"/>
    <w:rsid w:val="00215D0D"/>
    <w:rsid w:val="00217775"/>
    <w:rsid w:val="002203C8"/>
    <w:rsid w:val="00220889"/>
    <w:rsid w:val="002226B5"/>
    <w:rsid w:val="00222C2C"/>
    <w:rsid w:val="0022503C"/>
    <w:rsid w:val="002253CE"/>
    <w:rsid w:val="00225EEA"/>
    <w:rsid w:val="002278EC"/>
    <w:rsid w:val="002310BB"/>
    <w:rsid w:val="002315B3"/>
    <w:rsid w:val="00231769"/>
    <w:rsid w:val="00231AA1"/>
    <w:rsid w:val="00232258"/>
    <w:rsid w:val="00232748"/>
    <w:rsid w:val="00232963"/>
    <w:rsid w:val="00233C99"/>
    <w:rsid w:val="00234170"/>
    <w:rsid w:val="00234BC1"/>
    <w:rsid w:val="00235197"/>
    <w:rsid w:val="002351A0"/>
    <w:rsid w:val="00235822"/>
    <w:rsid w:val="0023599B"/>
    <w:rsid w:val="00235B1F"/>
    <w:rsid w:val="002362DC"/>
    <w:rsid w:val="00236475"/>
    <w:rsid w:val="002372AE"/>
    <w:rsid w:val="00237B26"/>
    <w:rsid w:val="00241319"/>
    <w:rsid w:val="00241729"/>
    <w:rsid w:val="002434EF"/>
    <w:rsid w:val="002439F5"/>
    <w:rsid w:val="00244E32"/>
    <w:rsid w:val="00245207"/>
    <w:rsid w:val="00246649"/>
    <w:rsid w:val="00246DAF"/>
    <w:rsid w:val="002513FF"/>
    <w:rsid w:val="00251D2C"/>
    <w:rsid w:val="00251FD0"/>
    <w:rsid w:val="00252F05"/>
    <w:rsid w:val="0025306B"/>
    <w:rsid w:val="0025372F"/>
    <w:rsid w:val="002538F1"/>
    <w:rsid w:val="00253DED"/>
    <w:rsid w:val="002548D0"/>
    <w:rsid w:val="00255BCF"/>
    <w:rsid w:val="00255E85"/>
    <w:rsid w:val="002571EE"/>
    <w:rsid w:val="00257608"/>
    <w:rsid w:val="00257CAE"/>
    <w:rsid w:val="00260EDC"/>
    <w:rsid w:val="0026169E"/>
    <w:rsid w:val="00261836"/>
    <w:rsid w:val="00261BEF"/>
    <w:rsid w:val="00262F73"/>
    <w:rsid w:val="00263AC9"/>
    <w:rsid w:val="00266AC8"/>
    <w:rsid w:val="00270566"/>
    <w:rsid w:val="0027091D"/>
    <w:rsid w:val="00271733"/>
    <w:rsid w:val="0027473D"/>
    <w:rsid w:val="00276463"/>
    <w:rsid w:val="002800C6"/>
    <w:rsid w:val="00283968"/>
    <w:rsid w:val="0028479C"/>
    <w:rsid w:val="00287D90"/>
    <w:rsid w:val="002904A3"/>
    <w:rsid w:val="00291025"/>
    <w:rsid w:val="002915FB"/>
    <w:rsid w:val="00291777"/>
    <w:rsid w:val="00291FDB"/>
    <w:rsid w:val="00293407"/>
    <w:rsid w:val="00293955"/>
    <w:rsid w:val="00293B45"/>
    <w:rsid w:val="00294B4A"/>
    <w:rsid w:val="00294D79"/>
    <w:rsid w:val="0029784B"/>
    <w:rsid w:val="002A4595"/>
    <w:rsid w:val="002A4D73"/>
    <w:rsid w:val="002A53CF"/>
    <w:rsid w:val="002A713F"/>
    <w:rsid w:val="002A7FC0"/>
    <w:rsid w:val="002B0B94"/>
    <w:rsid w:val="002B0DCB"/>
    <w:rsid w:val="002B1A23"/>
    <w:rsid w:val="002B3ED8"/>
    <w:rsid w:val="002B4CD2"/>
    <w:rsid w:val="002B4DE8"/>
    <w:rsid w:val="002B4E6A"/>
    <w:rsid w:val="002B575F"/>
    <w:rsid w:val="002B5877"/>
    <w:rsid w:val="002B59EC"/>
    <w:rsid w:val="002B63DF"/>
    <w:rsid w:val="002B761F"/>
    <w:rsid w:val="002B7915"/>
    <w:rsid w:val="002B7D3F"/>
    <w:rsid w:val="002C0C17"/>
    <w:rsid w:val="002C1325"/>
    <w:rsid w:val="002C1C38"/>
    <w:rsid w:val="002C2365"/>
    <w:rsid w:val="002C3253"/>
    <w:rsid w:val="002C3387"/>
    <w:rsid w:val="002C3623"/>
    <w:rsid w:val="002C3F7D"/>
    <w:rsid w:val="002C4C15"/>
    <w:rsid w:val="002C4EF6"/>
    <w:rsid w:val="002C5A71"/>
    <w:rsid w:val="002C60D8"/>
    <w:rsid w:val="002C6B09"/>
    <w:rsid w:val="002C6BF3"/>
    <w:rsid w:val="002C6FB9"/>
    <w:rsid w:val="002C79CB"/>
    <w:rsid w:val="002C7FCF"/>
    <w:rsid w:val="002D1206"/>
    <w:rsid w:val="002D1528"/>
    <w:rsid w:val="002D1A7F"/>
    <w:rsid w:val="002D2718"/>
    <w:rsid w:val="002D28F6"/>
    <w:rsid w:val="002D29D0"/>
    <w:rsid w:val="002D32FD"/>
    <w:rsid w:val="002D3848"/>
    <w:rsid w:val="002D4C5B"/>
    <w:rsid w:val="002D5177"/>
    <w:rsid w:val="002D5C94"/>
    <w:rsid w:val="002D6AE8"/>
    <w:rsid w:val="002D7854"/>
    <w:rsid w:val="002D7D1A"/>
    <w:rsid w:val="002E042D"/>
    <w:rsid w:val="002E0DC4"/>
    <w:rsid w:val="002E142B"/>
    <w:rsid w:val="002E2F1D"/>
    <w:rsid w:val="002E38EA"/>
    <w:rsid w:val="002E3ECB"/>
    <w:rsid w:val="002E47E3"/>
    <w:rsid w:val="002E54E1"/>
    <w:rsid w:val="002E5E58"/>
    <w:rsid w:val="002E65E7"/>
    <w:rsid w:val="002E6C79"/>
    <w:rsid w:val="002E73F7"/>
    <w:rsid w:val="002F09CB"/>
    <w:rsid w:val="002F1296"/>
    <w:rsid w:val="002F1BF5"/>
    <w:rsid w:val="002F2D0D"/>
    <w:rsid w:val="002F2EE9"/>
    <w:rsid w:val="002F52D7"/>
    <w:rsid w:val="002F5880"/>
    <w:rsid w:val="002F5C50"/>
    <w:rsid w:val="002F5DE2"/>
    <w:rsid w:val="002F6F44"/>
    <w:rsid w:val="002F7500"/>
    <w:rsid w:val="002F77E8"/>
    <w:rsid w:val="00300639"/>
    <w:rsid w:val="0030160F"/>
    <w:rsid w:val="0030167A"/>
    <w:rsid w:val="003020FD"/>
    <w:rsid w:val="00304024"/>
    <w:rsid w:val="0030444E"/>
    <w:rsid w:val="00304C42"/>
    <w:rsid w:val="00304F04"/>
    <w:rsid w:val="00305DA2"/>
    <w:rsid w:val="003076A1"/>
    <w:rsid w:val="00310C74"/>
    <w:rsid w:val="00311012"/>
    <w:rsid w:val="003115BB"/>
    <w:rsid w:val="00311D72"/>
    <w:rsid w:val="00311F14"/>
    <w:rsid w:val="0031238A"/>
    <w:rsid w:val="0031392C"/>
    <w:rsid w:val="0031443C"/>
    <w:rsid w:val="003163A7"/>
    <w:rsid w:val="0031670E"/>
    <w:rsid w:val="00316A23"/>
    <w:rsid w:val="00316C23"/>
    <w:rsid w:val="003171F3"/>
    <w:rsid w:val="0032193B"/>
    <w:rsid w:val="00321E12"/>
    <w:rsid w:val="00322A9C"/>
    <w:rsid w:val="00322ECB"/>
    <w:rsid w:val="00323AF3"/>
    <w:rsid w:val="00324472"/>
    <w:rsid w:val="0032480C"/>
    <w:rsid w:val="00324C66"/>
    <w:rsid w:val="00324F76"/>
    <w:rsid w:val="00325290"/>
    <w:rsid w:val="003252CE"/>
    <w:rsid w:val="00325B63"/>
    <w:rsid w:val="00326DF4"/>
    <w:rsid w:val="00327611"/>
    <w:rsid w:val="00327F07"/>
    <w:rsid w:val="0032A553"/>
    <w:rsid w:val="00330C70"/>
    <w:rsid w:val="0033158F"/>
    <w:rsid w:val="00332682"/>
    <w:rsid w:val="00332A3E"/>
    <w:rsid w:val="00332C80"/>
    <w:rsid w:val="0033397B"/>
    <w:rsid w:val="00334252"/>
    <w:rsid w:val="00334883"/>
    <w:rsid w:val="00334E27"/>
    <w:rsid w:val="0033630B"/>
    <w:rsid w:val="00336372"/>
    <w:rsid w:val="00336DC3"/>
    <w:rsid w:val="0033747A"/>
    <w:rsid w:val="0034037D"/>
    <w:rsid w:val="0034059D"/>
    <w:rsid w:val="00341964"/>
    <w:rsid w:val="00341C9F"/>
    <w:rsid w:val="00341D74"/>
    <w:rsid w:val="00342673"/>
    <w:rsid w:val="0034281F"/>
    <w:rsid w:val="00342B2F"/>
    <w:rsid w:val="00343B76"/>
    <w:rsid w:val="00344147"/>
    <w:rsid w:val="003459DF"/>
    <w:rsid w:val="003462CF"/>
    <w:rsid w:val="0034666E"/>
    <w:rsid w:val="00347381"/>
    <w:rsid w:val="0034756C"/>
    <w:rsid w:val="00347A34"/>
    <w:rsid w:val="00347C6E"/>
    <w:rsid w:val="003501C7"/>
    <w:rsid w:val="003509A2"/>
    <w:rsid w:val="00351328"/>
    <w:rsid w:val="003525A2"/>
    <w:rsid w:val="00352B9D"/>
    <w:rsid w:val="0035357E"/>
    <w:rsid w:val="00353F15"/>
    <w:rsid w:val="00354008"/>
    <w:rsid w:val="003551D9"/>
    <w:rsid w:val="00355319"/>
    <w:rsid w:val="00355D8F"/>
    <w:rsid w:val="00355F8B"/>
    <w:rsid w:val="003560E0"/>
    <w:rsid w:val="00356572"/>
    <w:rsid w:val="00356953"/>
    <w:rsid w:val="00357A25"/>
    <w:rsid w:val="00360731"/>
    <w:rsid w:val="00360981"/>
    <w:rsid w:val="00361E3C"/>
    <w:rsid w:val="0036202F"/>
    <w:rsid w:val="00363062"/>
    <w:rsid w:val="00364F03"/>
    <w:rsid w:val="003657F9"/>
    <w:rsid w:val="003664EB"/>
    <w:rsid w:val="003676E2"/>
    <w:rsid w:val="00367925"/>
    <w:rsid w:val="003700E1"/>
    <w:rsid w:val="0037085B"/>
    <w:rsid w:val="0037087D"/>
    <w:rsid w:val="00370E8E"/>
    <w:rsid w:val="00371C8A"/>
    <w:rsid w:val="0037231C"/>
    <w:rsid w:val="00372B8F"/>
    <w:rsid w:val="00373791"/>
    <w:rsid w:val="00373DE1"/>
    <w:rsid w:val="00374835"/>
    <w:rsid w:val="00374AB6"/>
    <w:rsid w:val="0037586E"/>
    <w:rsid w:val="00376E6F"/>
    <w:rsid w:val="003821BC"/>
    <w:rsid w:val="00384087"/>
    <w:rsid w:val="00384ECC"/>
    <w:rsid w:val="00385D2C"/>
    <w:rsid w:val="00386865"/>
    <w:rsid w:val="00391E17"/>
    <w:rsid w:val="0039260E"/>
    <w:rsid w:val="003926BC"/>
    <w:rsid w:val="003931E9"/>
    <w:rsid w:val="00393CD9"/>
    <w:rsid w:val="00393DC8"/>
    <w:rsid w:val="003942B4"/>
    <w:rsid w:val="00394BFD"/>
    <w:rsid w:val="00395989"/>
    <w:rsid w:val="00395AA6"/>
    <w:rsid w:val="00396011"/>
    <w:rsid w:val="00396280"/>
    <w:rsid w:val="00396DB5"/>
    <w:rsid w:val="00397B8F"/>
    <w:rsid w:val="003A003E"/>
    <w:rsid w:val="003A05AC"/>
    <w:rsid w:val="003A0854"/>
    <w:rsid w:val="003A1249"/>
    <w:rsid w:val="003A1661"/>
    <w:rsid w:val="003A25ED"/>
    <w:rsid w:val="003A2E17"/>
    <w:rsid w:val="003A3159"/>
    <w:rsid w:val="003A381B"/>
    <w:rsid w:val="003A4647"/>
    <w:rsid w:val="003A4813"/>
    <w:rsid w:val="003A5C29"/>
    <w:rsid w:val="003A61E0"/>
    <w:rsid w:val="003A641D"/>
    <w:rsid w:val="003A660A"/>
    <w:rsid w:val="003B0DC7"/>
    <w:rsid w:val="003B33FB"/>
    <w:rsid w:val="003B344F"/>
    <w:rsid w:val="003B400F"/>
    <w:rsid w:val="003B4493"/>
    <w:rsid w:val="003B530D"/>
    <w:rsid w:val="003B531C"/>
    <w:rsid w:val="003B60D1"/>
    <w:rsid w:val="003B659A"/>
    <w:rsid w:val="003B7E84"/>
    <w:rsid w:val="003B7E9B"/>
    <w:rsid w:val="003C0042"/>
    <w:rsid w:val="003C10AA"/>
    <w:rsid w:val="003C1576"/>
    <w:rsid w:val="003C1BAB"/>
    <w:rsid w:val="003C1C21"/>
    <w:rsid w:val="003C1E85"/>
    <w:rsid w:val="003C34E7"/>
    <w:rsid w:val="003C3508"/>
    <w:rsid w:val="003C3902"/>
    <w:rsid w:val="003C394B"/>
    <w:rsid w:val="003C51FE"/>
    <w:rsid w:val="003C68B4"/>
    <w:rsid w:val="003D0530"/>
    <w:rsid w:val="003D140E"/>
    <w:rsid w:val="003D155A"/>
    <w:rsid w:val="003D1743"/>
    <w:rsid w:val="003D3F45"/>
    <w:rsid w:val="003D43BA"/>
    <w:rsid w:val="003D5CB8"/>
    <w:rsid w:val="003D6401"/>
    <w:rsid w:val="003D6BB1"/>
    <w:rsid w:val="003D73C1"/>
    <w:rsid w:val="003D7C3D"/>
    <w:rsid w:val="003E03D5"/>
    <w:rsid w:val="003E05D6"/>
    <w:rsid w:val="003E0D64"/>
    <w:rsid w:val="003E2BBD"/>
    <w:rsid w:val="003E2E3D"/>
    <w:rsid w:val="003E39CD"/>
    <w:rsid w:val="003E4004"/>
    <w:rsid w:val="003E4AB2"/>
    <w:rsid w:val="003E4AE8"/>
    <w:rsid w:val="003E4C2B"/>
    <w:rsid w:val="003E51EA"/>
    <w:rsid w:val="003E520F"/>
    <w:rsid w:val="003E6C61"/>
    <w:rsid w:val="003E70AF"/>
    <w:rsid w:val="003F084E"/>
    <w:rsid w:val="003F1000"/>
    <w:rsid w:val="003F1A40"/>
    <w:rsid w:val="003F1B38"/>
    <w:rsid w:val="003F1D6B"/>
    <w:rsid w:val="003F240A"/>
    <w:rsid w:val="003F26A1"/>
    <w:rsid w:val="003F2920"/>
    <w:rsid w:val="003F2F70"/>
    <w:rsid w:val="003F37EE"/>
    <w:rsid w:val="003F42DA"/>
    <w:rsid w:val="003F47FD"/>
    <w:rsid w:val="003F4B0E"/>
    <w:rsid w:val="003F515A"/>
    <w:rsid w:val="003F6AEF"/>
    <w:rsid w:val="0040102F"/>
    <w:rsid w:val="0040260D"/>
    <w:rsid w:val="00402C43"/>
    <w:rsid w:val="004032B6"/>
    <w:rsid w:val="00403354"/>
    <w:rsid w:val="00403947"/>
    <w:rsid w:val="00405E09"/>
    <w:rsid w:val="00406720"/>
    <w:rsid w:val="0041254B"/>
    <w:rsid w:val="00412C70"/>
    <w:rsid w:val="00413AC2"/>
    <w:rsid w:val="0041403A"/>
    <w:rsid w:val="004147CD"/>
    <w:rsid w:val="00414B89"/>
    <w:rsid w:val="00416290"/>
    <w:rsid w:val="004164E0"/>
    <w:rsid w:val="0041652F"/>
    <w:rsid w:val="00416C00"/>
    <w:rsid w:val="00416C26"/>
    <w:rsid w:val="004175B7"/>
    <w:rsid w:val="004210EB"/>
    <w:rsid w:val="00421702"/>
    <w:rsid w:val="00421AF8"/>
    <w:rsid w:val="00421D08"/>
    <w:rsid w:val="00423762"/>
    <w:rsid w:val="004257D8"/>
    <w:rsid w:val="004257F8"/>
    <w:rsid w:val="0042666D"/>
    <w:rsid w:val="00430270"/>
    <w:rsid w:val="004308AE"/>
    <w:rsid w:val="00430F10"/>
    <w:rsid w:val="00431AA3"/>
    <w:rsid w:val="00432BE9"/>
    <w:rsid w:val="004337A3"/>
    <w:rsid w:val="00434142"/>
    <w:rsid w:val="0043466F"/>
    <w:rsid w:val="0043478B"/>
    <w:rsid w:val="004356AE"/>
    <w:rsid w:val="00436C5F"/>
    <w:rsid w:val="00436FAD"/>
    <w:rsid w:val="00437071"/>
    <w:rsid w:val="00440310"/>
    <w:rsid w:val="00440A28"/>
    <w:rsid w:val="00440B64"/>
    <w:rsid w:val="00441500"/>
    <w:rsid w:val="00442502"/>
    <w:rsid w:val="00442603"/>
    <w:rsid w:val="00442A44"/>
    <w:rsid w:val="00442C02"/>
    <w:rsid w:val="004439E2"/>
    <w:rsid w:val="0044409A"/>
    <w:rsid w:val="0044616F"/>
    <w:rsid w:val="00446445"/>
    <w:rsid w:val="00450A59"/>
    <w:rsid w:val="00450B0F"/>
    <w:rsid w:val="00452060"/>
    <w:rsid w:val="004523C7"/>
    <w:rsid w:val="0045298D"/>
    <w:rsid w:val="00452A97"/>
    <w:rsid w:val="004530CB"/>
    <w:rsid w:val="00454D77"/>
    <w:rsid w:val="00455E0A"/>
    <w:rsid w:val="00456C63"/>
    <w:rsid w:val="00457523"/>
    <w:rsid w:val="004576AA"/>
    <w:rsid w:val="00457AA5"/>
    <w:rsid w:val="004600A2"/>
    <w:rsid w:val="00460AA6"/>
    <w:rsid w:val="00461300"/>
    <w:rsid w:val="00461367"/>
    <w:rsid w:val="00461773"/>
    <w:rsid w:val="00463A3D"/>
    <w:rsid w:val="00463DB0"/>
    <w:rsid w:val="00464524"/>
    <w:rsid w:val="0046470A"/>
    <w:rsid w:val="00465A12"/>
    <w:rsid w:val="00465CCA"/>
    <w:rsid w:val="00466119"/>
    <w:rsid w:val="00466393"/>
    <w:rsid w:val="004702A6"/>
    <w:rsid w:val="00470385"/>
    <w:rsid w:val="00471EB1"/>
    <w:rsid w:val="00472066"/>
    <w:rsid w:val="00472193"/>
    <w:rsid w:val="0047374C"/>
    <w:rsid w:val="00473E11"/>
    <w:rsid w:val="00473F45"/>
    <w:rsid w:val="00473F97"/>
    <w:rsid w:val="00475247"/>
    <w:rsid w:val="00476804"/>
    <w:rsid w:val="00476BCB"/>
    <w:rsid w:val="0048057D"/>
    <w:rsid w:val="00481FC3"/>
    <w:rsid w:val="0048219A"/>
    <w:rsid w:val="0048272A"/>
    <w:rsid w:val="00482964"/>
    <w:rsid w:val="00482AAC"/>
    <w:rsid w:val="00484B27"/>
    <w:rsid w:val="004850D3"/>
    <w:rsid w:val="004857D0"/>
    <w:rsid w:val="0048605D"/>
    <w:rsid w:val="00486435"/>
    <w:rsid w:val="0048644B"/>
    <w:rsid w:val="00486552"/>
    <w:rsid w:val="00486866"/>
    <w:rsid w:val="004877EB"/>
    <w:rsid w:val="00487C30"/>
    <w:rsid w:val="00490968"/>
    <w:rsid w:val="00490D52"/>
    <w:rsid w:val="00490DE6"/>
    <w:rsid w:val="00491598"/>
    <w:rsid w:val="00491E6D"/>
    <w:rsid w:val="00492D1A"/>
    <w:rsid w:val="004935BA"/>
    <w:rsid w:val="00494610"/>
    <w:rsid w:val="00494884"/>
    <w:rsid w:val="004950EE"/>
    <w:rsid w:val="00495517"/>
    <w:rsid w:val="00495A11"/>
    <w:rsid w:val="00497571"/>
    <w:rsid w:val="00497BEA"/>
    <w:rsid w:val="00497F61"/>
    <w:rsid w:val="00497FF5"/>
    <w:rsid w:val="004A004C"/>
    <w:rsid w:val="004A04EB"/>
    <w:rsid w:val="004A0BC7"/>
    <w:rsid w:val="004A1593"/>
    <w:rsid w:val="004A2273"/>
    <w:rsid w:val="004A239D"/>
    <w:rsid w:val="004A39DD"/>
    <w:rsid w:val="004A3A88"/>
    <w:rsid w:val="004A49BE"/>
    <w:rsid w:val="004A5C21"/>
    <w:rsid w:val="004A60CE"/>
    <w:rsid w:val="004A7464"/>
    <w:rsid w:val="004A7A57"/>
    <w:rsid w:val="004B0702"/>
    <w:rsid w:val="004B0854"/>
    <w:rsid w:val="004B0D92"/>
    <w:rsid w:val="004B0F3E"/>
    <w:rsid w:val="004B0FA9"/>
    <w:rsid w:val="004B1346"/>
    <w:rsid w:val="004B17D6"/>
    <w:rsid w:val="004B1FDA"/>
    <w:rsid w:val="004B210F"/>
    <w:rsid w:val="004B4628"/>
    <w:rsid w:val="004B4C38"/>
    <w:rsid w:val="004B5CF1"/>
    <w:rsid w:val="004B5E81"/>
    <w:rsid w:val="004B5FFD"/>
    <w:rsid w:val="004B6243"/>
    <w:rsid w:val="004B6DAB"/>
    <w:rsid w:val="004C0DBD"/>
    <w:rsid w:val="004C0DF6"/>
    <w:rsid w:val="004C1BD6"/>
    <w:rsid w:val="004C2FA5"/>
    <w:rsid w:val="004C383A"/>
    <w:rsid w:val="004C4991"/>
    <w:rsid w:val="004C4EE8"/>
    <w:rsid w:val="004C5114"/>
    <w:rsid w:val="004C6480"/>
    <w:rsid w:val="004C7C08"/>
    <w:rsid w:val="004D03F9"/>
    <w:rsid w:val="004D0E80"/>
    <w:rsid w:val="004D0EAC"/>
    <w:rsid w:val="004D27A0"/>
    <w:rsid w:val="004D3373"/>
    <w:rsid w:val="004D6117"/>
    <w:rsid w:val="004D6371"/>
    <w:rsid w:val="004D72BF"/>
    <w:rsid w:val="004D79A1"/>
    <w:rsid w:val="004E01A9"/>
    <w:rsid w:val="004E0666"/>
    <w:rsid w:val="004E0CCB"/>
    <w:rsid w:val="004E1300"/>
    <w:rsid w:val="004E183C"/>
    <w:rsid w:val="004E2AE3"/>
    <w:rsid w:val="004E2CB8"/>
    <w:rsid w:val="004E2D0A"/>
    <w:rsid w:val="004E2E2F"/>
    <w:rsid w:val="004E2EC8"/>
    <w:rsid w:val="004E2FFB"/>
    <w:rsid w:val="004E3157"/>
    <w:rsid w:val="004E3234"/>
    <w:rsid w:val="004E35F9"/>
    <w:rsid w:val="004E385D"/>
    <w:rsid w:val="004E485E"/>
    <w:rsid w:val="004E4DA9"/>
    <w:rsid w:val="004E4DF2"/>
    <w:rsid w:val="004E501F"/>
    <w:rsid w:val="004E6FC9"/>
    <w:rsid w:val="004E779F"/>
    <w:rsid w:val="004F16F6"/>
    <w:rsid w:val="004F1D9E"/>
    <w:rsid w:val="004F2C60"/>
    <w:rsid w:val="004F3D72"/>
    <w:rsid w:val="004F50A1"/>
    <w:rsid w:val="004F535E"/>
    <w:rsid w:val="004F5F82"/>
    <w:rsid w:val="004F62C5"/>
    <w:rsid w:val="004F67D1"/>
    <w:rsid w:val="004F6DDB"/>
    <w:rsid w:val="004F7DE5"/>
    <w:rsid w:val="005007BD"/>
    <w:rsid w:val="00503320"/>
    <w:rsid w:val="00503F16"/>
    <w:rsid w:val="005040C2"/>
    <w:rsid w:val="0050549C"/>
    <w:rsid w:val="005054AF"/>
    <w:rsid w:val="00506EC4"/>
    <w:rsid w:val="00511059"/>
    <w:rsid w:val="00511D69"/>
    <w:rsid w:val="00512743"/>
    <w:rsid w:val="00515D96"/>
    <w:rsid w:val="00516169"/>
    <w:rsid w:val="00517B84"/>
    <w:rsid w:val="005205C9"/>
    <w:rsid w:val="005211D9"/>
    <w:rsid w:val="00522105"/>
    <w:rsid w:val="00522BF9"/>
    <w:rsid w:val="0052319F"/>
    <w:rsid w:val="00523313"/>
    <w:rsid w:val="005235EA"/>
    <w:rsid w:val="00523B7C"/>
    <w:rsid w:val="005247C8"/>
    <w:rsid w:val="00525332"/>
    <w:rsid w:val="0052564A"/>
    <w:rsid w:val="00525C74"/>
    <w:rsid w:val="00525FFB"/>
    <w:rsid w:val="0052719A"/>
    <w:rsid w:val="00527446"/>
    <w:rsid w:val="005276A4"/>
    <w:rsid w:val="00527918"/>
    <w:rsid w:val="00530665"/>
    <w:rsid w:val="00530CDD"/>
    <w:rsid w:val="005313ED"/>
    <w:rsid w:val="005326BB"/>
    <w:rsid w:val="00534326"/>
    <w:rsid w:val="0053484B"/>
    <w:rsid w:val="00535524"/>
    <w:rsid w:val="00536214"/>
    <w:rsid w:val="0053628C"/>
    <w:rsid w:val="00536B9A"/>
    <w:rsid w:val="00536D82"/>
    <w:rsid w:val="00537233"/>
    <w:rsid w:val="005406D8"/>
    <w:rsid w:val="00540862"/>
    <w:rsid w:val="00540B28"/>
    <w:rsid w:val="00540CBC"/>
    <w:rsid w:val="0054166E"/>
    <w:rsid w:val="00541B47"/>
    <w:rsid w:val="00542AD7"/>
    <w:rsid w:val="00542C0A"/>
    <w:rsid w:val="00543732"/>
    <w:rsid w:val="00543746"/>
    <w:rsid w:val="005447F0"/>
    <w:rsid w:val="00544E69"/>
    <w:rsid w:val="00545F45"/>
    <w:rsid w:val="005463E4"/>
    <w:rsid w:val="00546DD7"/>
    <w:rsid w:val="0054726E"/>
    <w:rsid w:val="00547822"/>
    <w:rsid w:val="00547AE4"/>
    <w:rsid w:val="00547AF0"/>
    <w:rsid w:val="00547CD4"/>
    <w:rsid w:val="00547F69"/>
    <w:rsid w:val="00551836"/>
    <w:rsid w:val="00552BF4"/>
    <w:rsid w:val="00552D48"/>
    <w:rsid w:val="00553070"/>
    <w:rsid w:val="00554178"/>
    <w:rsid w:val="005541E1"/>
    <w:rsid w:val="00554567"/>
    <w:rsid w:val="0055569B"/>
    <w:rsid w:val="00555BCB"/>
    <w:rsid w:val="005565D8"/>
    <w:rsid w:val="00562019"/>
    <w:rsid w:val="00562207"/>
    <w:rsid w:val="00563426"/>
    <w:rsid w:val="00563590"/>
    <w:rsid w:val="00564B37"/>
    <w:rsid w:val="00564F36"/>
    <w:rsid w:val="00565159"/>
    <w:rsid w:val="00565D82"/>
    <w:rsid w:val="00565EBE"/>
    <w:rsid w:val="0056676B"/>
    <w:rsid w:val="00566CF6"/>
    <w:rsid w:val="00566E73"/>
    <w:rsid w:val="0056726C"/>
    <w:rsid w:val="00570315"/>
    <w:rsid w:val="00570B70"/>
    <w:rsid w:val="005724B5"/>
    <w:rsid w:val="00572622"/>
    <w:rsid w:val="005730C6"/>
    <w:rsid w:val="0057331E"/>
    <w:rsid w:val="005740EB"/>
    <w:rsid w:val="00574958"/>
    <w:rsid w:val="0057589A"/>
    <w:rsid w:val="00576246"/>
    <w:rsid w:val="00576A5C"/>
    <w:rsid w:val="00577361"/>
    <w:rsid w:val="00580223"/>
    <w:rsid w:val="005807A3"/>
    <w:rsid w:val="0058112E"/>
    <w:rsid w:val="00583556"/>
    <w:rsid w:val="00585B18"/>
    <w:rsid w:val="00586D27"/>
    <w:rsid w:val="00587177"/>
    <w:rsid w:val="00587C16"/>
    <w:rsid w:val="00590197"/>
    <w:rsid w:val="0059052A"/>
    <w:rsid w:val="0059100F"/>
    <w:rsid w:val="005915C5"/>
    <w:rsid w:val="00591ECC"/>
    <w:rsid w:val="00591FCA"/>
    <w:rsid w:val="0059277C"/>
    <w:rsid w:val="00592B1E"/>
    <w:rsid w:val="005934D9"/>
    <w:rsid w:val="00593F1E"/>
    <w:rsid w:val="00594B0D"/>
    <w:rsid w:val="00594EDD"/>
    <w:rsid w:val="00595F36"/>
    <w:rsid w:val="00596166"/>
    <w:rsid w:val="005961A3"/>
    <w:rsid w:val="00596BD2"/>
    <w:rsid w:val="00596D01"/>
    <w:rsid w:val="00597600"/>
    <w:rsid w:val="00597635"/>
    <w:rsid w:val="00597934"/>
    <w:rsid w:val="005A016D"/>
    <w:rsid w:val="005A0AA9"/>
    <w:rsid w:val="005A2DDE"/>
    <w:rsid w:val="005A3E94"/>
    <w:rsid w:val="005A5774"/>
    <w:rsid w:val="005A5E23"/>
    <w:rsid w:val="005A5EF8"/>
    <w:rsid w:val="005A6A8C"/>
    <w:rsid w:val="005A7FE6"/>
    <w:rsid w:val="005B0823"/>
    <w:rsid w:val="005B09FF"/>
    <w:rsid w:val="005B0CF5"/>
    <w:rsid w:val="005B1CC7"/>
    <w:rsid w:val="005B28DB"/>
    <w:rsid w:val="005B3C62"/>
    <w:rsid w:val="005B42C8"/>
    <w:rsid w:val="005B4372"/>
    <w:rsid w:val="005B44C6"/>
    <w:rsid w:val="005B468A"/>
    <w:rsid w:val="005B47A0"/>
    <w:rsid w:val="005B50D9"/>
    <w:rsid w:val="005B5C91"/>
    <w:rsid w:val="005B5EE7"/>
    <w:rsid w:val="005B6218"/>
    <w:rsid w:val="005B6898"/>
    <w:rsid w:val="005B6FBA"/>
    <w:rsid w:val="005B7DE3"/>
    <w:rsid w:val="005C1248"/>
    <w:rsid w:val="005C1439"/>
    <w:rsid w:val="005C143C"/>
    <w:rsid w:val="005C164A"/>
    <w:rsid w:val="005C4D34"/>
    <w:rsid w:val="005C516F"/>
    <w:rsid w:val="005C56DF"/>
    <w:rsid w:val="005C6E39"/>
    <w:rsid w:val="005C73C2"/>
    <w:rsid w:val="005C7CDD"/>
    <w:rsid w:val="005D069C"/>
    <w:rsid w:val="005D0F34"/>
    <w:rsid w:val="005D1DEE"/>
    <w:rsid w:val="005D2691"/>
    <w:rsid w:val="005D2BA2"/>
    <w:rsid w:val="005D2CB0"/>
    <w:rsid w:val="005D32ED"/>
    <w:rsid w:val="005D41CB"/>
    <w:rsid w:val="005D4922"/>
    <w:rsid w:val="005D5156"/>
    <w:rsid w:val="005D7078"/>
    <w:rsid w:val="005D7755"/>
    <w:rsid w:val="005D7C8A"/>
    <w:rsid w:val="005E0A41"/>
    <w:rsid w:val="005E0EBE"/>
    <w:rsid w:val="005E0FFC"/>
    <w:rsid w:val="005E120B"/>
    <w:rsid w:val="005E179E"/>
    <w:rsid w:val="005E1841"/>
    <w:rsid w:val="005E1ADB"/>
    <w:rsid w:val="005E2574"/>
    <w:rsid w:val="005E2AB8"/>
    <w:rsid w:val="005E3A11"/>
    <w:rsid w:val="005E41D9"/>
    <w:rsid w:val="005E566B"/>
    <w:rsid w:val="005E6284"/>
    <w:rsid w:val="005E6D72"/>
    <w:rsid w:val="005E7F5A"/>
    <w:rsid w:val="005F0386"/>
    <w:rsid w:val="005F2361"/>
    <w:rsid w:val="005F236E"/>
    <w:rsid w:val="005F358E"/>
    <w:rsid w:val="005F37AE"/>
    <w:rsid w:val="005F3B1B"/>
    <w:rsid w:val="005F46A8"/>
    <w:rsid w:val="005F51A0"/>
    <w:rsid w:val="005F6903"/>
    <w:rsid w:val="005F6B32"/>
    <w:rsid w:val="00600552"/>
    <w:rsid w:val="00600605"/>
    <w:rsid w:val="0060075B"/>
    <w:rsid w:val="0060234B"/>
    <w:rsid w:val="0060283D"/>
    <w:rsid w:val="00602F3C"/>
    <w:rsid w:val="00603B58"/>
    <w:rsid w:val="0060410B"/>
    <w:rsid w:val="00604EC1"/>
    <w:rsid w:val="00606738"/>
    <w:rsid w:val="00606C71"/>
    <w:rsid w:val="006108C5"/>
    <w:rsid w:val="006109C4"/>
    <w:rsid w:val="00610D53"/>
    <w:rsid w:val="0061196A"/>
    <w:rsid w:val="006119DE"/>
    <w:rsid w:val="00611F01"/>
    <w:rsid w:val="00612184"/>
    <w:rsid w:val="0061237D"/>
    <w:rsid w:val="00612CE2"/>
    <w:rsid w:val="0061304E"/>
    <w:rsid w:val="006132F4"/>
    <w:rsid w:val="00613D6F"/>
    <w:rsid w:val="00613F70"/>
    <w:rsid w:val="00614473"/>
    <w:rsid w:val="00614E26"/>
    <w:rsid w:val="006157E5"/>
    <w:rsid w:val="006161FC"/>
    <w:rsid w:val="00617BD7"/>
    <w:rsid w:val="006204A6"/>
    <w:rsid w:val="00620EC5"/>
    <w:rsid w:val="006222D2"/>
    <w:rsid w:val="00622A45"/>
    <w:rsid w:val="00623055"/>
    <w:rsid w:val="00624197"/>
    <w:rsid w:val="006247A0"/>
    <w:rsid w:val="006253E9"/>
    <w:rsid w:val="006256DD"/>
    <w:rsid w:val="00626DB7"/>
    <w:rsid w:val="00627BED"/>
    <w:rsid w:val="006306CB"/>
    <w:rsid w:val="00631042"/>
    <w:rsid w:val="00631335"/>
    <w:rsid w:val="00631612"/>
    <w:rsid w:val="006329B2"/>
    <w:rsid w:val="00632EA2"/>
    <w:rsid w:val="0063300D"/>
    <w:rsid w:val="006338B1"/>
    <w:rsid w:val="0063608B"/>
    <w:rsid w:val="00636C14"/>
    <w:rsid w:val="006373C6"/>
    <w:rsid w:val="0063789E"/>
    <w:rsid w:val="006404C6"/>
    <w:rsid w:val="00640ADD"/>
    <w:rsid w:val="00640D5F"/>
    <w:rsid w:val="006422F4"/>
    <w:rsid w:val="00644D5F"/>
    <w:rsid w:val="006459A5"/>
    <w:rsid w:val="00646AF4"/>
    <w:rsid w:val="0064714F"/>
    <w:rsid w:val="006472AA"/>
    <w:rsid w:val="006477FC"/>
    <w:rsid w:val="00647BAB"/>
    <w:rsid w:val="00651960"/>
    <w:rsid w:val="006532B7"/>
    <w:rsid w:val="00654575"/>
    <w:rsid w:val="00654A9C"/>
    <w:rsid w:val="00654EC2"/>
    <w:rsid w:val="006565C1"/>
    <w:rsid w:val="00656668"/>
    <w:rsid w:val="00656A30"/>
    <w:rsid w:val="00657170"/>
    <w:rsid w:val="00657456"/>
    <w:rsid w:val="00660A67"/>
    <w:rsid w:val="006638E2"/>
    <w:rsid w:val="006646EA"/>
    <w:rsid w:val="00665B3A"/>
    <w:rsid w:val="00665C78"/>
    <w:rsid w:val="0066606C"/>
    <w:rsid w:val="006663E8"/>
    <w:rsid w:val="00666887"/>
    <w:rsid w:val="00666A28"/>
    <w:rsid w:val="00667250"/>
    <w:rsid w:val="006674E2"/>
    <w:rsid w:val="006678EA"/>
    <w:rsid w:val="00667CB6"/>
    <w:rsid w:val="00667FB6"/>
    <w:rsid w:val="00667FDF"/>
    <w:rsid w:val="006702EF"/>
    <w:rsid w:val="006705D0"/>
    <w:rsid w:val="006724C3"/>
    <w:rsid w:val="00672F7E"/>
    <w:rsid w:val="00672FE2"/>
    <w:rsid w:val="00673FB0"/>
    <w:rsid w:val="00675BD0"/>
    <w:rsid w:val="00675FE6"/>
    <w:rsid w:val="0067619C"/>
    <w:rsid w:val="00676695"/>
    <w:rsid w:val="006767FC"/>
    <w:rsid w:val="00676B67"/>
    <w:rsid w:val="006772F3"/>
    <w:rsid w:val="00677578"/>
    <w:rsid w:val="00680423"/>
    <w:rsid w:val="00680FFC"/>
    <w:rsid w:val="006814B8"/>
    <w:rsid w:val="006830ED"/>
    <w:rsid w:val="00683403"/>
    <w:rsid w:val="00685F12"/>
    <w:rsid w:val="00686344"/>
    <w:rsid w:val="0068681E"/>
    <w:rsid w:val="00686A78"/>
    <w:rsid w:val="00686B6C"/>
    <w:rsid w:val="00687195"/>
    <w:rsid w:val="00687B48"/>
    <w:rsid w:val="006915AB"/>
    <w:rsid w:val="00693917"/>
    <w:rsid w:val="00694844"/>
    <w:rsid w:val="00694EDB"/>
    <w:rsid w:val="00695B03"/>
    <w:rsid w:val="00696191"/>
    <w:rsid w:val="00696BAB"/>
    <w:rsid w:val="006A0CFF"/>
    <w:rsid w:val="006A1103"/>
    <w:rsid w:val="006A1EEE"/>
    <w:rsid w:val="006A3080"/>
    <w:rsid w:val="006A39F8"/>
    <w:rsid w:val="006A3FB5"/>
    <w:rsid w:val="006A4B90"/>
    <w:rsid w:val="006A4CEA"/>
    <w:rsid w:val="006A5279"/>
    <w:rsid w:val="006A6490"/>
    <w:rsid w:val="006A701D"/>
    <w:rsid w:val="006A7F43"/>
    <w:rsid w:val="006B0101"/>
    <w:rsid w:val="006B0EC0"/>
    <w:rsid w:val="006B1DFD"/>
    <w:rsid w:val="006B287D"/>
    <w:rsid w:val="006B29F7"/>
    <w:rsid w:val="006B4565"/>
    <w:rsid w:val="006B62A7"/>
    <w:rsid w:val="006C01BA"/>
    <w:rsid w:val="006C09E2"/>
    <w:rsid w:val="006C1C29"/>
    <w:rsid w:val="006C2FA1"/>
    <w:rsid w:val="006C42D5"/>
    <w:rsid w:val="006C432A"/>
    <w:rsid w:val="006C43D5"/>
    <w:rsid w:val="006C497C"/>
    <w:rsid w:val="006C515A"/>
    <w:rsid w:val="006C63C0"/>
    <w:rsid w:val="006C6A0C"/>
    <w:rsid w:val="006D07D7"/>
    <w:rsid w:val="006D1B06"/>
    <w:rsid w:val="006D217B"/>
    <w:rsid w:val="006D2FD5"/>
    <w:rsid w:val="006D3BE8"/>
    <w:rsid w:val="006D50A3"/>
    <w:rsid w:val="006D54ED"/>
    <w:rsid w:val="006D5E15"/>
    <w:rsid w:val="006D5F6F"/>
    <w:rsid w:val="006D603F"/>
    <w:rsid w:val="006D6468"/>
    <w:rsid w:val="006D690A"/>
    <w:rsid w:val="006D6ABA"/>
    <w:rsid w:val="006E0913"/>
    <w:rsid w:val="006E0929"/>
    <w:rsid w:val="006E0BFF"/>
    <w:rsid w:val="006E2A5E"/>
    <w:rsid w:val="006E2FD3"/>
    <w:rsid w:val="006E5416"/>
    <w:rsid w:val="006E64D0"/>
    <w:rsid w:val="006E6AF9"/>
    <w:rsid w:val="006E77F8"/>
    <w:rsid w:val="006E7F77"/>
    <w:rsid w:val="006F099B"/>
    <w:rsid w:val="006F2909"/>
    <w:rsid w:val="006F3368"/>
    <w:rsid w:val="006F3EDF"/>
    <w:rsid w:val="006F5102"/>
    <w:rsid w:val="006F5159"/>
    <w:rsid w:val="006F608D"/>
    <w:rsid w:val="006F63E1"/>
    <w:rsid w:val="007001EF"/>
    <w:rsid w:val="0070035E"/>
    <w:rsid w:val="00700ABD"/>
    <w:rsid w:val="00701031"/>
    <w:rsid w:val="007019C6"/>
    <w:rsid w:val="007022DE"/>
    <w:rsid w:val="00702A3E"/>
    <w:rsid w:val="00702FBA"/>
    <w:rsid w:val="00704249"/>
    <w:rsid w:val="00704FA2"/>
    <w:rsid w:val="00705A73"/>
    <w:rsid w:val="00705E62"/>
    <w:rsid w:val="00705E8B"/>
    <w:rsid w:val="00707468"/>
    <w:rsid w:val="00707D5F"/>
    <w:rsid w:val="0071075A"/>
    <w:rsid w:val="00710C6F"/>
    <w:rsid w:val="00711094"/>
    <w:rsid w:val="00711925"/>
    <w:rsid w:val="00711AAA"/>
    <w:rsid w:val="007125C9"/>
    <w:rsid w:val="00712B7E"/>
    <w:rsid w:val="00712C8A"/>
    <w:rsid w:val="00712F1E"/>
    <w:rsid w:val="00713BC3"/>
    <w:rsid w:val="007146D1"/>
    <w:rsid w:val="00714A9C"/>
    <w:rsid w:val="00715C9D"/>
    <w:rsid w:val="00715CA4"/>
    <w:rsid w:val="007171D9"/>
    <w:rsid w:val="00717213"/>
    <w:rsid w:val="00717A11"/>
    <w:rsid w:val="007205FE"/>
    <w:rsid w:val="00721864"/>
    <w:rsid w:val="00721E67"/>
    <w:rsid w:val="00722469"/>
    <w:rsid w:val="0072266E"/>
    <w:rsid w:val="00723283"/>
    <w:rsid w:val="007236DB"/>
    <w:rsid w:val="007237D6"/>
    <w:rsid w:val="00723C8D"/>
    <w:rsid w:val="00724013"/>
    <w:rsid w:val="00725BDC"/>
    <w:rsid w:val="007266ED"/>
    <w:rsid w:val="007308F0"/>
    <w:rsid w:val="00730E81"/>
    <w:rsid w:val="007323B4"/>
    <w:rsid w:val="007324F6"/>
    <w:rsid w:val="00732589"/>
    <w:rsid w:val="00732DC3"/>
    <w:rsid w:val="007334BA"/>
    <w:rsid w:val="007334BB"/>
    <w:rsid w:val="00734831"/>
    <w:rsid w:val="00734A9A"/>
    <w:rsid w:val="00734F35"/>
    <w:rsid w:val="007362F5"/>
    <w:rsid w:val="0074101A"/>
    <w:rsid w:val="00741167"/>
    <w:rsid w:val="0074124B"/>
    <w:rsid w:val="00741FE3"/>
    <w:rsid w:val="007424A3"/>
    <w:rsid w:val="00744F24"/>
    <w:rsid w:val="00745EA3"/>
    <w:rsid w:val="00746AFE"/>
    <w:rsid w:val="00747477"/>
    <w:rsid w:val="007505DC"/>
    <w:rsid w:val="00751A43"/>
    <w:rsid w:val="0075283E"/>
    <w:rsid w:val="00753878"/>
    <w:rsid w:val="00753D5C"/>
    <w:rsid w:val="00754BE8"/>
    <w:rsid w:val="00755C4F"/>
    <w:rsid w:val="00756101"/>
    <w:rsid w:val="007561F8"/>
    <w:rsid w:val="0075655F"/>
    <w:rsid w:val="00757654"/>
    <w:rsid w:val="00757B9F"/>
    <w:rsid w:val="00757F74"/>
    <w:rsid w:val="0076213D"/>
    <w:rsid w:val="00762544"/>
    <w:rsid w:val="007626A0"/>
    <w:rsid w:val="0076399F"/>
    <w:rsid w:val="00764465"/>
    <w:rsid w:val="007645ED"/>
    <w:rsid w:val="007646C5"/>
    <w:rsid w:val="00764C66"/>
    <w:rsid w:val="00764F86"/>
    <w:rsid w:val="0076709F"/>
    <w:rsid w:val="00767A97"/>
    <w:rsid w:val="0077023F"/>
    <w:rsid w:val="00770ECE"/>
    <w:rsid w:val="007729F9"/>
    <w:rsid w:val="00773408"/>
    <w:rsid w:val="00774A51"/>
    <w:rsid w:val="00775380"/>
    <w:rsid w:val="00775CE9"/>
    <w:rsid w:val="00775FCB"/>
    <w:rsid w:val="00776D2E"/>
    <w:rsid w:val="00776E62"/>
    <w:rsid w:val="007772AD"/>
    <w:rsid w:val="007772B5"/>
    <w:rsid w:val="0078003F"/>
    <w:rsid w:val="0078080F"/>
    <w:rsid w:val="00780E57"/>
    <w:rsid w:val="00781C94"/>
    <w:rsid w:val="0078292B"/>
    <w:rsid w:val="00783C07"/>
    <w:rsid w:val="00784D9D"/>
    <w:rsid w:val="00784EEE"/>
    <w:rsid w:val="00785644"/>
    <w:rsid w:val="007878A5"/>
    <w:rsid w:val="0079266F"/>
    <w:rsid w:val="00793377"/>
    <w:rsid w:val="00793CFB"/>
    <w:rsid w:val="007942DC"/>
    <w:rsid w:val="00795F13"/>
    <w:rsid w:val="00796829"/>
    <w:rsid w:val="007A1268"/>
    <w:rsid w:val="007A1C2B"/>
    <w:rsid w:val="007A1CFB"/>
    <w:rsid w:val="007A3036"/>
    <w:rsid w:val="007A3175"/>
    <w:rsid w:val="007A35DB"/>
    <w:rsid w:val="007A3F28"/>
    <w:rsid w:val="007A4BA3"/>
    <w:rsid w:val="007A5AEB"/>
    <w:rsid w:val="007A5DD8"/>
    <w:rsid w:val="007A647E"/>
    <w:rsid w:val="007A68DF"/>
    <w:rsid w:val="007A700E"/>
    <w:rsid w:val="007A74B0"/>
    <w:rsid w:val="007B0C16"/>
    <w:rsid w:val="007B110D"/>
    <w:rsid w:val="007B1F60"/>
    <w:rsid w:val="007B1F86"/>
    <w:rsid w:val="007B212C"/>
    <w:rsid w:val="007B2429"/>
    <w:rsid w:val="007B2A35"/>
    <w:rsid w:val="007B2D88"/>
    <w:rsid w:val="007B36DA"/>
    <w:rsid w:val="007B4095"/>
    <w:rsid w:val="007B4910"/>
    <w:rsid w:val="007B52E6"/>
    <w:rsid w:val="007B5D72"/>
    <w:rsid w:val="007B6802"/>
    <w:rsid w:val="007B6B03"/>
    <w:rsid w:val="007B7571"/>
    <w:rsid w:val="007B75EB"/>
    <w:rsid w:val="007C06E1"/>
    <w:rsid w:val="007C072A"/>
    <w:rsid w:val="007C0817"/>
    <w:rsid w:val="007C1487"/>
    <w:rsid w:val="007C1D90"/>
    <w:rsid w:val="007C1DD4"/>
    <w:rsid w:val="007C34BB"/>
    <w:rsid w:val="007C376B"/>
    <w:rsid w:val="007C3F51"/>
    <w:rsid w:val="007C459B"/>
    <w:rsid w:val="007C4B31"/>
    <w:rsid w:val="007C6423"/>
    <w:rsid w:val="007C67D7"/>
    <w:rsid w:val="007C7734"/>
    <w:rsid w:val="007D08F4"/>
    <w:rsid w:val="007D113A"/>
    <w:rsid w:val="007D25AC"/>
    <w:rsid w:val="007D2723"/>
    <w:rsid w:val="007D5151"/>
    <w:rsid w:val="007D54C8"/>
    <w:rsid w:val="007D5815"/>
    <w:rsid w:val="007D5A52"/>
    <w:rsid w:val="007D6975"/>
    <w:rsid w:val="007D6992"/>
    <w:rsid w:val="007D72ED"/>
    <w:rsid w:val="007D7B0D"/>
    <w:rsid w:val="007D7D76"/>
    <w:rsid w:val="007E010B"/>
    <w:rsid w:val="007E1213"/>
    <w:rsid w:val="007E176E"/>
    <w:rsid w:val="007E196C"/>
    <w:rsid w:val="007E19FF"/>
    <w:rsid w:val="007E3698"/>
    <w:rsid w:val="007E4486"/>
    <w:rsid w:val="007E454A"/>
    <w:rsid w:val="007E5091"/>
    <w:rsid w:val="007E5505"/>
    <w:rsid w:val="007E5DB7"/>
    <w:rsid w:val="007E5E2A"/>
    <w:rsid w:val="007E6815"/>
    <w:rsid w:val="007E6CD5"/>
    <w:rsid w:val="007E7526"/>
    <w:rsid w:val="007E7F8C"/>
    <w:rsid w:val="007F045E"/>
    <w:rsid w:val="007F2378"/>
    <w:rsid w:val="007F2808"/>
    <w:rsid w:val="007F2B63"/>
    <w:rsid w:val="007F2BE9"/>
    <w:rsid w:val="007F3064"/>
    <w:rsid w:val="007F33FD"/>
    <w:rsid w:val="007F3FBD"/>
    <w:rsid w:val="007F468A"/>
    <w:rsid w:val="007F5EA2"/>
    <w:rsid w:val="007F609B"/>
    <w:rsid w:val="007F68D4"/>
    <w:rsid w:val="007F72B8"/>
    <w:rsid w:val="007F7E77"/>
    <w:rsid w:val="00800885"/>
    <w:rsid w:val="00800CAE"/>
    <w:rsid w:val="00801396"/>
    <w:rsid w:val="008013DD"/>
    <w:rsid w:val="00802262"/>
    <w:rsid w:val="00803184"/>
    <w:rsid w:val="0080319C"/>
    <w:rsid w:val="008037B7"/>
    <w:rsid w:val="0080435C"/>
    <w:rsid w:val="00804E26"/>
    <w:rsid w:val="00805FD8"/>
    <w:rsid w:val="00806A68"/>
    <w:rsid w:val="00806D21"/>
    <w:rsid w:val="0080753F"/>
    <w:rsid w:val="00807A3A"/>
    <w:rsid w:val="00810938"/>
    <w:rsid w:val="008173D2"/>
    <w:rsid w:val="008200CF"/>
    <w:rsid w:val="0082079D"/>
    <w:rsid w:val="008209E9"/>
    <w:rsid w:val="0082142A"/>
    <w:rsid w:val="00821FD5"/>
    <w:rsid w:val="008239B0"/>
    <w:rsid w:val="0082613E"/>
    <w:rsid w:val="00827E5E"/>
    <w:rsid w:val="00830051"/>
    <w:rsid w:val="008305C0"/>
    <w:rsid w:val="00830C7B"/>
    <w:rsid w:val="00830F35"/>
    <w:rsid w:val="00831165"/>
    <w:rsid w:val="008325D0"/>
    <w:rsid w:val="00833FFB"/>
    <w:rsid w:val="0083442E"/>
    <w:rsid w:val="008346F4"/>
    <w:rsid w:val="00834B59"/>
    <w:rsid w:val="00836906"/>
    <w:rsid w:val="00836CC5"/>
    <w:rsid w:val="008378A8"/>
    <w:rsid w:val="008400B5"/>
    <w:rsid w:val="00842198"/>
    <w:rsid w:val="00842639"/>
    <w:rsid w:val="00842682"/>
    <w:rsid w:val="00843EF7"/>
    <w:rsid w:val="008448F7"/>
    <w:rsid w:val="00844B56"/>
    <w:rsid w:val="00844BD8"/>
    <w:rsid w:val="00844D97"/>
    <w:rsid w:val="00845793"/>
    <w:rsid w:val="008463CC"/>
    <w:rsid w:val="0084671A"/>
    <w:rsid w:val="0084696D"/>
    <w:rsid w:val="00846F80"/>
    <w:rsid w:val="008502C8"/>
    <w:rsid w:val="00850911"/>
    <w:rsid w:val="00850994"/>
    <w:rsid w:val="00850D49"/>
    <w:rsid w:val="00851227"/>
    <w:rsid w:val="00852F8D"/>
    <w:rsid w:val="008540B8"/>
    <w:rsid w:val="0085420E"/>
    <w:rsid w:val="00854A26"/>
    <w:rsid w:val="00854CB2"/>
    <w:rsid w:val="00855771"/>
    <w:rsid w:val="00855E03"/>
    <w:rsid w:val="008570B8"/>
    <w:rsid w:val="008572B2"/>
    <w:rsid w:val="00857534"/>
    <w:rsid w:val="0085783B"/>
    <w:rsid w:val="00860738"/>
    <w:rsid w:val="00860BBE"/>
    <w:rsid w:val="00861729"/>
    <w:rsid w:val="00861BA5"/>
    <w:rsid w:val="00862576"/>
    <w:rsid w:val="00863C18"/>
    <w:rsid w:val="00863E11"/>
    <w:rsid w:val="008655A5"/>
    <w:rsid w:val="0086620C"/>
    <w:rsid w:val="00867C1D"/>
    <w:rsid w:val="00867E6A"/>
    <w:rsid w:val="0087052A"/>
    <w:rsid w:val="0087184F"/>
    <w:rsid w:val="00871954"/>
    <w:rsid w:val="00871BF7"/>
    <w:rsid w:val="0087240D"/>
    <w:rsid w:val="008737D6"/>
    <w:rsid w:val="00873A29"/>
    <w:rsid w:val="00873F84"/>
    <w:rsid w:val="0087445C"/>
    <w:rsid w:val="0087507C"/>
    <w:rsid w:val="008755A3"/>
    <w:rsid w:val="00876B5E"/>
    <w:rsid w:val="00880BE2"/>
    <w:rsid w:val="00880C8B"/>
    <w:rsid w:val="00880D4D"/>
    <w:rsid w:val="00881695"/>
    <w:rsid w:val="00882115"/>
    <w:rsid w:val="00882C68"/>
    <w:rsid w:val="0088348B"/>
    <w:rsid w:val="00883643"/>
    <w:rsid w:val="00883FB1"/>
    <w:rsid w:val="00884CBB"/>
    <w:rsid w:val="008867B7"/>
    <w:rsid w:val="008912B8"/>
    <w:rsid w:val="008913D1"/>
    <w:rsid w:val="0089161C"/>
    <w:rsid w:val="00891904"/>
    <w:rsid w:val="00892206"/>
    <w:rsid w:val="0089329D"/>
    <w:rsid w:val="00893518"/>
    <w:rsid w:val="0089355E"/>
    <w:rsid w:val="008944C3"/>
    <w:rsid w:val="008954AA"/>
    <w:rsid w:val="008954F3"/>
    <w:rsid w:val="00895D08"/>
    <w:rsid w:val="00895E8F"/>
    <w:rsid w:val="00895FE8"/>
    <w:rsid w:val="0089674D"/>
    <w:rsid w:val="00896DCF"/>
    <w:rsid w:val="008972F2"/>
    <w:rsid w:val="00897A78"/>
    <w:rsid w:val="008A0396"/>
    <w:rsid w:val="008A0838"/>
    <w:rsid w:val="008A109B"/>
    <w:rsid w:val="008A11FE"/>
    <w:rsid w:val="008A1A12"/>
    <w:rsid w:val="008A1D09"/>
    <w:rsid w:val="008A4958"/>
    <w:rsid w:val="008A4971"/>
    <w:rsid w:val="008A761C"/>
    <w:rsid w:val="008A7803"/>
    <w:rsid w:val="008A7CD8"/>
    <w:rsid w:val="008A7CF4"/>
    <w:rsid w:val="008B144C"/>
    <w:rsid w:val="008B3C33"/>
    <w:rsid w:val="008B51FC"/>
    <w:rsid w:val="008B68D9"/>
    <w:rsid w:val="008C00E5"/>
    <w:rsid w:val="008C02B0"/>
    <w:rsid w:val="008C0DFB"/>
    <w:rsid w:val="008C13C0"/>
    <w:rsid w:val="008C2F98"/>
    <w:rsid w:val="008C3D2D"/>
    <w:rsid w:val="008C4051"/>
    <w:rsid w:val="008C455E"/>
    <w:rsid w:val="008C45DC"/>
    <w:rsid w:val="008C6582"/>
    <w:rsid w:val="008C7770"/>
    <w:rsid w:val="008D2FEB"/>
    <w:rsid w:val="008D3BDC"/>
    <w:rsid w:val="008D432D"/>
    <w:rsid w:val="008D47F1"/>
    <w:rsid w:val="008D4BA9"/>
    <w:rsid w:val="008D658E"/>
    <w:rsid w:val="008D7135"/>
    <w:rsid w:val="008D7852"/>
    <w:rsid w:val="008E145A"/>
    <w:rsid w:val="008E20CB"/>
    <w:rsid w:val="008E4A41"/>
    <w:rsid w:val="008E5945"/>
    <w:rsid w:val="008E59C3"/>
    <w:rsid w:val="008E6790"/>
    <w:rsid w:val="008E6D73"/>
    <w:rsid w:val="008E6FDB"/>
    <w:rsid w:val="008E71FA"/>
    <w:rsid w:val="008E76AC"/>
    <w:rsid w:val="008E7E03"/>
    <w:rsid w:val="008F02EB"/>
    <w:rsid w:val="008F1298"/>
    <w:rsid w:val="008F1B38"/>
    <w:rsid w:val="008F2E0B"/>
    <w:rsid w:val="008F36EC"/>
    <w:rsid w:val="008F38EA"/>
    <w:rsid w:val="008F3942"/>
    <w:rsid w:val="008F3A43"/>
    <w:rsid w:val="008F3ABE"/>
    <w:rsid w:val="008F3B2D"/>
    <w:rsid w:val="008F3CA9"/>
    <w:rsid w:val="008F3CED"/>
    <w:rsid w:val="008F4881"/>
    <w:rsid w:val="008F68A4"/>
    <w:rsid w:val="008F74E4"/>
    <w:rsid w:val="008F7B32"/>
    <w:rsid w:val="008F7B71"/>
    <w:rsid w:val="009006C1"/>
    <w:rsid w:val="00901299"/>
    <w:rsid w:val="00901C25"/>
    <w:rsid w:val="009036FA"/>
    <w:rsid w:val="00903AF5"/>
    <w:rsid w:val="00904855"/>
    <w:rsid w:val="00904BD8"/>
    <w:rsid w:val="00906B50"/>
    <w:rsid w:val="00906C12"/>
    <w:rsid w:val="00906FB2"/>
    <w:rsid w:val="009072F4"/>
    <w:rsid w:val="0091106D"/>
    <w:rsid w:val="009116DC"/>
    <w:rsid w:val="00911A74"/>
    <w:rsid w:val="00914231"/>
    <w:rsid w:val="0091426E"/>
    <w:rsid w:val="00914779"/>
    <w:rsid w:val="00914CD3"/>
    <w:rsid w:val="00914D40"/>
    <w:rsid w:val="0091587D"/>
    <w:rsid w:val="00920275"/>
    <w:rsid w:val="00921974"/>
    <w:rsid w:val="00923362"/>
    <w:rsid w:val="00923CA6"/>
    <w:rsid w:val="00923DED"/>
    <w:rsid w:val="00924337"/>
    <w:rsid w:val="00924636"/>
    <w:rsid w:val="00925006"/>
    <w:rsid w:val="00925EFB"/>
    <w:rsid w:val="00927C43"/>
    <w:rsid w:val="009305BA"/>
    <w:rsid w:val="00930887"/>
    <w:rsid w:val="00930942"/>
    <w:rsid w:val="009314C8"/>
    <w:rsid w:val="00931712"/>
    <w:rsid w:val="0093276F"/>
    <w:rsid w:val="009340FD"/>
    <w:rsid w:val="009369C8"/>
    <w:rsid w:val="00936A17"/>
    <w:rsid w:val="00936B63"/>
    <w:rsid w:val="00936C2A"/>
    <w:rsid w:val="00937739"/>
    <w:rsid w:val="009402D9"/>
    <w:rsid w:val="00940693"/>
    <w:rsid w:val="00940BAD"/>
    <w:rsid w:val="0094105F"/>
    <w:rsid w:val="0094208C"/>
    <w:rsid w:val="009456B0"/>
    <w:rsid w:val="00945A77"/>
    <w:rsid w:val="00945E28"/>
    <w:rsid w:val="00946F17"/>
    <w:rsid w:val="009472B4"/>
    <w:rsid w:val="00947AD9"/>
    <w:rsid w:val="00950B63"/>
    <w:rsid w:val="00950DBF"/>
    <w:rsid w:val="0095111C"/>
    <w:rsid w:val="00952591"/>
    <w:rsid w:val="00953A6F"/>
    <w:rsid w:val="009551F5"/>
    <w:rsid w:val="00955321"/>
    <w:rsid w:val="0095574A"/>
    <w:rsid w:val="00955F25"/>
    <w:rsid w:val="009567A2"/>
    <w:rsid w:val="00956FC1"/>
    <w:rsid w:val="009572CC"/>
    <w:rsid w:val="00957739"/>
    <w:rsid w:val="00961B68"/>
    <w:rsid w:val="0096228B"/>
    <w:rsid w:val="00962CBC"/>
    <w:rsid w:val="00964BC6"/>
    <w:rsid w:val="00965C14"/>
    <w:rsid w:val="00966A85"/>
    <w:rsid w:val="0096755F"/>
    <w:rsid w:val="0096773F"/>
    <w:rsid w:val="0096789B"/>
    <w:rsid w:val="00967EF9"/>
    <w:rsid w:val="0097154A"/>
    <w:rsid w:val="0097416B"/>
    <w:rsid w:val="009749F0"/>
    <w:rsid w:val="00975DEB"/>
    <w:rsid w:val="00976BE7"/>
    <w:rsid w:val="009775D4"/>
    <w:rsid w:val="00977647"/>
    <w:rsid w:val="0098002D"/>
    <w:rsid w:val="00980AC0"/>
    <w:rsid w:val="009812F1"/>
    <w:rsid w:val="00984A1C"/>
    <w:rsid w:val="00985345"/>
    <w:rsid w:val="009854E2"/>
    <w:rsid w:val="0098552A"/>
    <w:rsid w:val="00986F10"/>
    <w:rsid w:val="0098744C"/>
    <w:rsid w:val="009906C1"/>
    <w:rsid w:val="00990F07"/>
    <w:rsid w:val="00991DF5"/>
    <w:rsid w:val="0099400E"/>
    <w:rsid w:val="009942B8"/>
    <w:rsid w:val="0099755F"/>
    <w:rsid w:val="009A0608"/>
    <w:rsid w:val="009A2380"/>
    <w:rsid w:val="009A2722"/>
    <w:rsid w:val="009A3CE6"/>
    <w:rsid w:val="009A413A"/>
    <w:rsid w:val="009A57B7"/>
    <w:rsid w:val="009A5AFD"/>
    <w:rsid w:val="009A5E76"/>
    <w:rsid w:val="009A66FA"/>
    <w:rsid w:val="009A6FC5"/>
    <w:rsid w:val="009A75B7"/>
    <w:rsid w:val="009A7877"/>
    <w:rsid w:val="009A7DB6"/>
    <w:rsid w:val="009B03DC"/>
    <w:rsid w:val="009B121F"/>
    <w:rsid w:val="009B1280"/>
    <w:rsid w:val="009B171E"/>
    <w:rsid w:val="009B2C9F"/>
    <w:rsid w:val="009B2CE3"/>
    <w:rsid w:val="009B353A"/>
    <w:rsid w:val="009B35DA"/>
    <w:rsid w:val="009B5390"/>
    <w:rsid w:val="009B6176"/>
    <w:rsid w:val="009B63D0"/>
    <w:rsid w:val="009B6C04"/>
    <w:rsid w:val="009B6CEA"/>
    <w:rsid w:val="009B70BB"/>
    <w:rsid w:val="009C2FF1"/>
    <w:rsid w:val="009C49F3"/>
    <w:rsid w:val="009C52A3"/>
    <w:rsid w:val="009C61A2"/>
    <w:rsid w:val="009C695D"/>
    <w:rsid w:val="009C767C"/>
    <w:rsid w:val="009D1CF7"/>
    <w:rsid w:val="009D3C85"/>
    <w:rsid w:val="009D412E"/>
    <w:rsid w:val="009D5662"/>
    <w:rsid w:val="009D5D17"/>
    <w:rsid w:val="009D6750"/>
    <w:rsid w:val="009D6AEB"/>
    <w:rsid w:val="009D6B4F"/>
    <w:rsid w:val="009D6F02"/>
    <w:rsid w:val="009D6F74"/>
    <w:rsid w:val="009E00AD"/>
    <w:rsid w:val="009E0419"/>
    <w:rsid w:val="009E08BD"/>
    <w:rsid w:val="009E0D7C"/>
    <w:rsid w:val="009E0FDB"/>
    <w:rsid w:val="009E1143"/>
    <w:rsid w:val="009E2509"/>
    <w:rsid w:val="009E363F"/>
    <w:rsid w:val="009E3A4C"/>
    <w:rsid w:val="009E41B3"/>
    <w:rsid w:val="009E5B50"/>
    <w:rsid w:val="009E5C83"/>
    <w:rsid w:val="009E65CF"/>
    <w:rsid w:val="009E6C97"/>
    <w:rsid w:val="009E7A0C"/>
    <w:rsid w:val="009E7FAA"/>
    <w:rsid w:val="009F001A"/>
    <w:rsid w:val="009F0163"/>
    <w:rsid w:val="009F11EA"/>
    <w:rsid w:val="009F1357"/>
    <w:rsid w:val="009F236F"/>
    <w:rsid w:val="009F38F4"/>
    <w:rsid w:val="009F3CE0"/>
    <w:rsid w:val="009F3EBE"/>
    <w:rsid w:val="009F4267"/>
    <w:rsid w:val="009F4A2E"/>
    <w:rsid w:val="009F4CBB"/>
    <w:rsid w:val="009F50BB"/>
    <w:rsid w:val="009F5D11"/>
    <w:rsid w:val="009F7A8A"/>
    <w:rsid w:val="00A00587"/>
    <w:rsid w:val="00A03C7F"/>
    <w:rsid w:val="00A05695"/>
    <w:rsid w:val="00A05802"/>
    <w:rsid w:val="00A05C65"/>
    <w:rsid w:val="00A06AC2"/>
    <w:rsid w:val="00A070B4"/>
    <w:rsid w:val="00A072EB"/>
    <w:rsid w:val="00A07D04"/>
    <w:rsid w:val="00A10087"/>
    <w:rsid w:val="00A10F62"/>
    <w:rsid w:val="00A11066"/>
    <w:rsid w:val="00A11218"/>
    <w:rsid w:val="00A12091"/>
    <w:rsid w:val="00A1247C"/>
    <w:rsid w:val="00A12F56"/>
    <w:rsid w:val="00A133B7"/>
    <w:rsid w:val="00A13BE9"/>
    <w:rsid w:val="00A15AF3"/>
    <w:rsid w:val="00A15E9A"/>
    <w:rsid w:val="00A167DB"/>
    <w:rsid w:val="00A17CBF"/>
    <w:rsid w:val="00A22671"/>
    <w:rsid w:val="00A23937"/>
    <w:rsid w:val="00A2406E"/>
    <w:rsid w:val="00A25AC5"/>
    <w:rsid w:val="00A25EBD"/>
    <w:rsid w:val="00A26CE0"/>
    <w:rsid w:val="00A274F0"/>
    <w:rsid w:val="00A31C97"/>
    <w:rsid w:val="00A31E1A"/>
    <w:rsid w:val="00A32050"/>
    <w:rsid w:val="00A32C13"/>
    <w:rsid w:val="00A34293"/>
    <w:rsid w:val="00A34D72"/>
    <w:rsid w:val="00A3533A"/>
    <w:rsid w:val="00A356A8"/>
    <w:rsid w:val="00A35B76"/>
    <w:rsid w:val="00A361F6"/>
    <w:rsid w:val="00A36737"/>
    <w:rsid w:val="00A37B91"/>
    <w:rsid w:val="00A4155A"/>
    <w:rsid w:val="00A41A71"/>
    <w:rsid w:val="00A41C27"/>
    <w:rsid w:val="00A450DC"/>
    <w:rsid w:val="00A45423"/>
    <w:rsid w:val="00A46E48"/>
    <w:rsid w:val="00A46EAF"/>
    <w:rsid w:val="00A50107"/>
    <w:rsid w:val="00A50A64"/>
    <w:rsid w:val="00A50DF5"/>
    <w:rsid w:val="00A50FD6"/>
    <w:rsid w:val="00A50FEF"/>
    <w:rsid w:val="00A51593"/>
    <w:rsid w:val="00A51B94"/>
    <w:rsid w:val="00A51CDC"/>
    <w:rsid w:val="00A5258D"/>
    <w:rsid w:val="00A53A76"/>
    <w:rsid w:val="00A53CD9"/>
    <w:rsid w:val="00A53F28"/>
    <w:rsid w:val="00A553D4"/>
    <w:rsid w:val="00A55BFB"/>
    <w:rsid w:val="00A5602B"/>
    <w:rsid w:val="00A563AD"/>
    <w:rsid w:val="00A57B37"/>
    <w:rsid w:val="00A57F78"/>
    <w:rsid w:val="00A611A0"/>
    <w:rsid w:val="00A61AC1"/>
    <w:rsid w:val="00A625D7"/>
    <w:rsid w:val="00A62D07"/>
    <w:rsid w:val="00A633E6"/>
    <w:rsid w:val="00A637E4"/>
    <w:rsid w:val="00A6458C"/>
    <w:rsid w:val="00A64FA4"/>
    <w:rsid w:val="00A65922"/>
    <w:rsid w:val="00A66B65"/>
    <w:rsid w:val="00A70CFF"/>
    <w:rsid w:val="00A7122A"/>
    <w:rsid w:val="00A7312D"/>
    <w:rsid w:val="00A739A9"/>
    <w:rsid w:val="00A73BDA"/>
    <w:rsid w:val="00A74543"/>
    <w:rsid w:val="00A74E1F"/>
    <w:rsid w:val="00A75AE2"/>
    <w:rsid w:val="00A75D82"/>
    <w:rsid w:val="00A76161"/>
    <w:rsid w:val="00A76C81"/>
    <w:rsid w:val="00A779B5"/>
    <w:rsid w:val="00A82677"/>
    <w:rsid w:val="00A83942"/>
    <w:rsid w:val="00A83C9A"/>
    <w:rsid w:val="00A85159"/>
    <w:rsid w:val="00A853CA"/>
    <w:rsid w:val="00A85D11"/>
    <w:rsid w:val="00A86293"/>
    <w:rsid w:val="00A92A77"/>
    <w:rsid w:val="00A937FA"/>
    <w:rsid w:val="00A93EB2"/>
    <w:rsid w:val="00A9428A"/>
    <w:rsid w:val="00A95306"/>
    <w:rsid w:val="00A95374"/>
    <w:rsid w:val="00A95890"/>
    <w:rsid w:val="00A95FC3"/>
    <w:rsid w:val="00A96A3B"/>
    <w:rsid w:val="00A96EA4"/>
    <w:rsid w:val="00A97103"/>
    <w:rsid w:val="00AA0021"/>
    <w:rsid w:val="00AA1F64"/>
    <w:rsid w:val="00AA2562"/>
    <w:rsid w:val="00AA25DB"/>
    <w:rsid w:val="00AA2B4A"/>
    <w:rsid w:val="00AA3516"/>
    <w:rsid w:val="00AA3C8D"/>
    <w:rsid w:val="00AA3D04"/>
    <w:rsid w:val="00AA4B3D"/>
    <w:rsid w:val="00AA5057"/>
    <w:rsid w:val="00AA6042"/>
    <w:rsid w:val="00AA61F5"/>
    <w:rsid w:val="00AA675E"/>
    <w:rsid w:val="00AA6BC2"/>
    <w:rsid w:val="00AA737F"/>
    <w:rsid w:val="00AB0219"/>
    <w:rsid w:val="00AB0613"/>
    <w:rsid w:val="00AB1951"/>
    <w:rsid w:val="00AB3956"/>
    <w:rsid w:val="00AB3CC4"/>
    <w:rsid w:val="00AB3E64"/>
    <w:rsid w:val="00AB4000"/>
    <w:rsid w:val="00AB4652"/>
    <w:rsid w:val="00AB591B"/>
    <w:rsid w:val="00AB6617"/>
    <w:rsid w:val="00AB67BE"/>
    <w:rsid w:val="00AB6B24"/>
    <w:rsid w:val="00AB7203"/>
    <w:rsid w:val="00AB7405"/>
    <w:rsid w:val="00AB7C4E"/>
    <w:rsid w:val="00AC3FDB"/>
    <w:rsid w:val="00AC4057"/>
    <w:rsid w:val="00AC45A5"/>
    <w:rsid w:val="00AC55B1"/>
    <w:rsid w:val="00AC5807"/>
    <w:rsid w:val="00AC5CCF"/>
    <w:rsid w:val="00AC60E4"/>
    <w:rsid w:val="00AC6E86"/>
    <w:rsid w:val="00AC78BC"/>
    <w:rsid w:val="00AD1E53"/>
    <w:rsid w:val="00AD35EF"/>
    <w:rsid w:val="00AD4491"/>
    <w:rsid w:val="00AD53EA"/>
    <w:rsid w:val="00AD5DFC"/>
    <w:rsid w:val="00AD5E12"/>
    <w:rsid w:val="00AD7388"/>
    <w:rsid w:val="00AD7EFD"/>
    <w:rsid w:val="00AE10D6"/>
    <w:rsid w:val="00AE17E1"/>
    <w:rsid w:val="00AE3495"/>
    <w:rsid w:val="00AE353B"/>
    <w:rsid w:val="00AE3592"/>
    <w:rsid w:val="00AE38CF"/>
    <w:rsid w:val="00AE4C63"/>
    <w:rsid w:val="00AE5B76"/>
    <w:rsid w:val="00AE5CF5"/>
    <w:rsid w:val="00AE67E5"/>
    <w:rsid w:val="00AE6900"/>
    <w:rsid w:val="00AE707A"/>
    <w:rsid w:val="00AF254C"/>
    <w:rsid w:val="00AF32C1"/>
    <w:rsid w:val="00AF4537"/>
    <w:rsid w:val="00AF4F95"/>
    <w:rsid w:val="00AF51C1"/>
    <w:rsid w:val="00AF5478"/>
    <w:rsid w:val="00AF5CC6"/>
    <w:rsid w:val="00AF6F99"/>
    <w:rsid w:val="00AF7DFE"/>
    <w:rsid w:val="00B002F2"/>
    <w:rsid w:val="00B00C0E"/>
    <w:rsid w:val="00B00D70"/>
    <w:rsid w:val="00B0123A"/>
    <w:rsid w:val="00B02491"/>
    <w:rsid w:val="00B03011"/>
    <w:rsid w:val="00B03204"/>
    <w:rsid w:val="00B05BCB"/>
    <w:rsid w:val="00B05C66"/>
    <w:rsid w:val="00B0791A"/>
    <w:rsid w:val="00B07F70"/>
    <w:rsid w:val="00B122BF"/>
    <w:rsid w:val="00B13E7E"/>
    <w:rsid w:val="00B13EF6"/>
    <w:rsid w:val="00B146EB"/>
    <w:rsid w:val="00B15BE5"/>
    <w:rsid w:val="00B163E5"/>
    <w:rsid w:val="00B16911"/>
    <w:rsid w:val="00B16A6C"/>
    <w:rsid w:val="00B16A95"/>
    <w:rsid w:val="00B16C95"/>
    <w:rsid w:val="00B201C8"/>
    <w:rsid w:val="00B20433"/>
    <w:rsid w:val="00B20CBC"/>
    <w:rsid w:val="00B20E90"/>
    <w:rsid w:val="00B21428"/>
    <w:rsid w:val="00B21527"/>
    <w:rsid w:val="00B21B07"/>
    <w:rsid w:val="00B228CD"/>
    <w:rsid w:val="00B2311F"/>
    <w:rsid w:val="00B2379E"/>
    <w:rsid w:val="00B24351"/>
    <w:rsid w:val="00B24460"/>
    <w:rsid w:val="00B24507"/>
    <w:rsid w:val="00B24C85"/>
    <w:rsid w:val="00B25075"/>
    <w:rsid w:val="00B25312"/>
    <w:rsid w:val="00B258C8"/>
    <w:rsid w:val="00B25E37"/>
    <w:rsid w:val="00B25F62"/>
    <w:rsid w:val="00B269C3"/>
    <w:rsid w:val="00B309C9"/>
    <w:rsid w:val="00B31486"/>
    <w:rsid w:val="00B31D4F"/>
    <w:rsid w:val="00B34205"/>
    <w:rsid w:val="00B355E6"/>
    <w:rsid w:val="00B36092"/>
    <w:rsid w:val="00B364AF"/>
    <w:rsid w:val="00B37204"/>
    <w:rsid w:val="00B37242"/>
    <w:rsid w:val="00B4180C"/>
    <w:rsid w:val="00B41C31"/>
    <w:rsid w:val="00B42683"/>
    <w:rsid w:val="00B42776"/>
    <w:rsid w:val="00B42B9B"/>
    <w:rsid w:val="00B42F25"/>
    <w:rsid w:val="00B42FDE"/>
    <w:rsid w:val="00B43115"/>
    <w:rsid w:val="00B43A5C"/>
    <w:rsid w:val="00B43ADD"/>
    <w:rsid w:val="00B44CF8"/>
    <w:rsid w:val="00B4573A"/>
    <w:rsid w:val="00B457A7"/>
    <w:rsid w:val="00B46100"/>
    <w:rsid w:val="00B46E3B"/>
    <w:rsid w:val="00B51B98"/>
    <w:rsid w:val="00B527E8"/>
    <w:rsid w:val="00B52F7D"/>
    <w:rsid w:val="00B53606"/>
    <w:rsid w:val="00B53761"/>
    <w:rsid w:val="00B55008"/>
    <w:rsid w:val="00B5543D"/>
    <w:rsid w:val="00B55BEB"/>
    <w:rsid w:val="00B5603F"/>
    <w:rsid w:val="00B5677D"/>
    <w:rsid w:val="00B60549"/>
    <w:rsid w:val="00B60FD2"/>
    <w:rsid w:val="00B613FA"/>
    <w:rsid w:val="00B61DBA"/>
    <w:rsid w:val="00B6283F"/>
    <w:rsid w:val="00B6290D"/>
    <w:rsid w:val="00B62DF0"/>
    <w:rsid w:val="00B63373"/>
    <w:rsid w:val="00B63711"/>
    <w:rsid w:val="00B64B54"/>
    <w:rsid w:val="00B64D7F"/>
    <w:rsid w:val="00B65B03"/>
    <w:rsid w:val="00B6617F"/>
    <w:rsid w:val="00B66871"/>
    <w:rsid w:val="00B67115"/>
    <w:rsid w:val="00B70E08"/>
    <w:rsid w:val="00B714C4"/>
    <w:rsid w:val="00B71BD4"/>
    <w:rsid w:val="00B72129"/>
    <w:rsid w:val="00B735D5"/>
    <w:rsid w:val="00B73E6B"/>
    <w:rsid w:val="00B74277"/>
    <w:rsid w:val="00B749ED"/>
    <w:rsid w:val="00B74DAC"/>
    <w:rsid w:val="00B759B8"/>
    <w:rsid w:val="00B7629C"/>
    <w:rsid w:val="00B762C7"/>
    <w:rsid w:val="00B7637B"/>
    <w:rsid w:val="00B76588"/>
    <w:rsid w:val="00B76A6C"/>
    <w:rsid w:val="00B77129"/>
    <w:rsid w:val="00B77476"/>
    <w:rsid w:val="00B77A72"/>
    <w:rsid w:val="00B8079B"/>
    <w:rsid w:val="00B81C29"/>
    <w:rsid w:val="00B81DE1"/>
    <w:rsid w:val="00B823E0"/>
    <w:rsid w:val="00B82BBC"/>
    <w:rsid w:val="00B83649"/>
    <w:rsid w:val="00B83A54"/>
    <w:rsid w:val="00B83CE2"/>
    <w:rsid w:val="00B83E61"/>
    <w:rsid w:val="00B83E78"/>
    <w:rsid w:val="00B84476"/>
    <w:rsid w:val="00B84D02"/>
    <w:rsid w:val="00B85795"/>
    <w:rsid w:val="00B85892"/>
    <w:rsid w:val="00B85C26"/>
    <w:rsid w:val="00B868C7"/>
    <w:rsid w:val="00B87D8D"/>
    <w:rsid w:val="00B91D15"/>
    <w:rsid w:val="00B925F5"/>
    <w:rsid w:val="00B92BF0"/>
    <w:rsid w:val="00B9378E"/>
    <w:rsid w:val="00B937A3"/>
    <w:rsid w:val="00B94BB9"/>
    <w:rsid w:val="00B951A5"/>
    <w:rsid w:val="00B957C1"/>
    <w:rsid w:val="00B95D46"/>
    <w:rsid w:val="00B9606E"/>
    <w:rsid w:val="00B96A6D"/>
    <w:rsid w:val="00BA08AA"/>
    <w:rsid w:val="00BA096A"/>
    <w:rsid w:val="00BA112E"/>
    <w:rsid w:val="00BA165E"/>
    <w:rsid w:val="00BA2214"/>
    <w:rsid w:val="00BA2C98"/>
    <w:rsid w:val="00BA315E"/>
    <w:rsid w:val="00BA3808"/>
    <w:rsid w:val="00BA474C"/>
    <w:rsid w:val="00BA52B1"/>
    <w:rsid w:val="00BA64EF"/>
    <w:rsid w:val="00BA73F2"/>
    <w:rsid w:val="00BA75B6"/>
    <w:rsid w:val="00BB0129"/>
    <w:rsid w:val="00BB122C"/>
    <w:rsid w:val="00BB1573"/>
    <w:rsid w:val="00BB27A1"/>
    <w:rsid w:val="00BB33B0"/>
    <w:rsid w:val="00BB38D3"/>
    <w:rsid w:val="00BB48A7"/>
    <w:rsid w:val="00BB52B2"/>
    <w:rsid w:val="00BB53D1"/>
    <w:rsid w:val="00BB5A52"/>
    <w:rsid w:val="00BB6A74"/>
    <w:rsid w:val="00BB6D9B"/>
    <w:rsid w:val="00BB787A"/>
    <w:rsid w:val="00BC10E5"/>
    <w:rsid w:val="00BC14A2"/>
    <w:rsid w:val="00BC1939"/>
    <w:rsid w:val="00BC23E2"/>
    <w:rsid w:val="00BC3A2F"/>
    <w:rsid w:val="00BC4DE4"/>
    <w:rsid w:val="00BC55A8"/>
    <w:rsid w:val="00BC7280"/>
    <w:rsid w:val="00BD11FA"/>
    <w:rsid w:val="00BD2D84"/>
    <w:rsid w:val="00BD3E37"/>
    <w:rsid w:val="00BD400C"/>
    <w:rsid w:val="00BD529B"/>
    <w:rsid w:val="00BD5A3C"/>
    <w:rsid w:val="00BD6245"/>
    <w:rsid w:val="00BD72C0"/>
    <w:rsid w:val="00BD7AD0"/>
    <w:rsid w:val="00BD7BC9"/>
    <w:rsid w:val="00BE091B"/>
    <w:rsid w:val="00BE0E64"/>
    <w:rsid w:val="00BE10AF"/>
    <w:rsid w:val="00BE18AB"/>
    <w:rsid w:val="00BE327E"/>
    <w:rsid w:val="00BE390D"/>
    <w:rsid w:val="00BE3D0F"/>
    <w:rsid w:val="00BE52BA"/>
    <w:rsid w:val="00BE73E3"/>
    <w:rsid w:val="00BF0369"/>
    <w:rsid w:val="00BF1E92"/>
    <w:rsid w:val="00BF27C6"/>
    <w:rsid w:val="00BF2AC5"/>
    <w:rsid w:val="00BF37B8"/>
    <w:rsid w:val="00BF4BF9"/>
    <w:rsid w:val="00BF4FC3"/>
    <w:rsid w:val="00BF5FF0"/>
    <w:rsid w:val="00BF61E6"/>
    <w:rsid w:val="00BF6B21"/>
    <w:rsid w:val="00BF793B"/>
    <w:rsid w:val="00BF7C9A"/>
    <w:rsid w:val="00BF7CF4"/>
    <w:rsid w:val="00C00904"/>
    <w:rsid w:val="00C015FC"/>
    <w:rsid w:val="00C02BDE"/>
    <w:rsid w:val="00C02D5B"/>
    <w:rsid w:val="00C033AD"/>
    <w:rsid w:val="00C03C96"/>
    <w:rsid w:val="00C040D2"/>
    <w:rsid w:val="00C05B62"/>
    <w:rsid w:val="00C05FA4"/>
    <w:rsid w:val="00C06496"/>
    <w:rsid w:val="00C064D4"/>
    <w:rsid w:val="00C11059"/>
    <w:rsid w:val="00C11CE6"/>
    <w:rsid w:val="00C134E6"/>
    <w:rsid w:val="00C13500"/>
    <w:rsid w:val="00C1360B"/>
    <w:rsid w:val="00C145C0"/>
    <w:rsid w:val="00C14E34"/>
    <w:rsid w:val="00C152E1"/>
    <w:rsid w:val="00C15842"/>
    <w:rsid w:val="00C1715C"/>
    <w:rsid w:val="00C1763E"/>
    <w:rsid w:val="00C20556"/>
    <w:rsid w:val="00C21640"/>
    <w:rsid w:val="00C22D6B"/>
    <w:rsid w:val="00C2432A"/>
    <w:rsid w:val="00C24908"/>
    <w:rsid w:val="00C25E75"/>
    <w:rsid w:val="00C27358"/>
    <w:rsid w:val="00C27B5D"/>
    <w:rsid w:val="00C3096D"/>
    <w:rsid w:val="00C30D4A"/>
    <w:rsid w:val="00C31C39"/>
    <w:rsid w:val="00C33118"/>
    <w:rsid w:val="00C33317"/>
    <w:rsid w:val="00C3346C"/>
    <w:rsid w:val="00C3436B"/>
    <w:rsid w:val="00C36E8F"/>
    <w:rsid w:val="00C3749F"/>
    <w:rsid w:val="00C40FBA"/>
    <w:rsid w:val="00C45858"/>
    <w:rsid w:val="00C46A09"/>
    <w:rsid w:val="00C46DB5"/>
    <w:rsid w:val="00C50344"/>
    <w:rsid w:val="00C50D42"/>
    <w:rsid w:val="00C514C3"/>
    <w:rsid w:val="00C51EAB"/>
    <w:rsid w:val="00C51F2B"/>
    <w:rsid w:val="00C52050"/>
    <w:rsid w:val="00C5402C"/>
    <w:rsid w:val="00C546CE"/>
    <w:rsid w:val="00C54885"/>
    <w:rsid w:val="00C55665"/>
    <w:rsid w:val="00C55CA2"/>
    <w:rsid w:val="00C565F4"/>
    <w:rsid w:val="00C56A2B"/>
    <w:rsid w:val="00C56A87"/>
    <w:rsid w:val="00C57788"/>
    <w:rsid w:val="00C57B42"/>
    <w:rsid w:val="00C6079A"/>
    <w:rsid w:val="00C60C95"/>
    <w:rsid w:val="00C61003"/>
    <w:rsid w:val="00C61552"/>
    <w:rsid w:val="00C621F3"/>
    <w:rsid w:val="00C629E0"/>
    <w:rsid w:val="00C62C70"/>
    <w:rsid w:val="00C670DF"/>
    <w:rsid w:val="00C679C0"/>
    <w:rsid w:val="00C71C39"/>
    <w:rsid w:val="00C71E76"/>
    <w:rsid w:val="00C71EFB"/>
    <w:rsid w:val="00C72857"/>
    <w:rsid w:val="00C72EAE"/>
    <w:rsid w:val="00C734CA"/>
    <w:rsid w:val="00C73F14"/>
    <w:rsid w:val="00C7571A"/>
    <w:rsid w:val="00C76119"/>
    <w:rsid w:val="00C80531"/>
    <w:rsid w:val="00C80A5A"/>
    <w:rsid w:val="00C80E0F"/>
    <w:rsid w:val="00C81BAD"/>
    <w:rsid w:val="00C834AC"/>
    <w:rsid w:val="00C83CE3"/>
    <w:rsid w:val="00C84094"/>
    <w:rsid w:val="00C87043"/>
    <w:rsid w:val="00C871A4"/>
    <w:rsid w:val="00C8737B"/>
    <w:rsid w:val="00C90379"/>
    <w:rsid w:val="00C90767"/>
    <w:rsid w:val="00C90AC8"/>
    <w:rsid w:val="00C911C2"/>
    <w:rsid w:val="00C91CD1"/>
    <w:rsid w:val="00C92FB0"/>
    <w:rsid w:val="00C94A44"/>
    <w:rsid w:val="00C95035"/>
    <w:rsid w:val="00C9670D"/>
    <w:rsid w:val="00C96764"/>
    <w:rsid w:val="00C97F8C"/>
    <w:rsid w:val="00CA0E0C"/>
    <w:rsid w:val="00CA1D1A"/>
    <w:rsid w:val="00CA3874"/>
    <w:rsid w:val="00CA4117"/>
    <w:rsid w:val="00CA517F"/>
    <w:rsid w:val="00CA54A5"/>
    <w:rsid w:val="00CA60F8"/>
    <w:rsid w:val="00CA71CC"/>
    <w:rsid w:val="00CB03BF"/>
    <w:rsid w:val="00CB0CE5"/>
    <w:rsid w:val="00CB2A50"/>
    <w:rsid w:val="00CB4B37"/>
    <w:rsid w:val="00CB52E0"/>
    <w:rsid w:val="00CB5A9A"/>
    <w:rsid w:val="00CB6549"/>
    <w:rsid w:val="00CB6A08"/>
    <w:rsid w:val="00CB731B"/>
    <w:rsid w:val="00CB75C3"/>
    <w:rsid w:val="00CC015D"/>
    <w:rsid w:val="00CC05F0"/>
    <w:rsid w:val="00CC0B65"/>
    <w:rsid w:val="00CC366D"/>
    <w:rsid w:val="00CC3838"/>
    <w:rsid w:val="00CC40F9"/>
    <w:rsid w:val="00CC4170"/>
    <w:rsid w:val="00CC4582"/>
    <w:rsid w:val="00CC4CA2"/>
    <w:rsid w:val="00CC529D"/>
    <w:rsid w:val="00CC5BCD"/>
    <w:rsid w:val="00CC6303"/>
    <w:rsid w:val="00CC65B3"/>
    <w:rsid w:val="00CC6CFD"/>
    <w:rsid w:val="00CC79D8"/>
    <w:rsid w:val="00CC7E7B"/>
    <w:rsid w:val="00CD021C"/>
    <w:rsid w:val="00CD03F7"/>
    <w:rsid w:val="00CD0C98"/>
    <w:rsid w:val="00CD0F5E"/>
    <w:rsid w:val="00CD1669"/>
    <w:rsid w:val="00CD2635"/>
    <w:rsid w:val="00CD49A5"/>
    <w:rsid w:val="00CD49F5"/>
    <w:rsid w:val="00CD572D"/>
    <w:rsid w:val="00CD5C6D"/>
    <w:rsid w:val="00CD75DA"/>
    <w:rsid w:val="00CD7A9A"/>
    <w:rsid w:val="00CE05D7"/>
    <w:rsid w:val="00CE0B67"/>
    <w:rsid w:val="00CE11BF"/>
    <w:rsid w:val="00CE31F4"/>
    <w:rsid w:val="00CE3392"/>
    <w:rsid w:val="00CE4BCD"/>
    <w:rsid w:val="00CE6738"/>
    <w:rsid w:val="00CE68FE"/>
    <w:rsid w:val="00CF0E63"/>
    <w:rsid w:val="00CF1FE4"/>
    <w:rsid w:val="00CF29BE"/>
    <w:rsid w:val="00CF3026"/>
    <w:rsid w:val="00CF357E"/>
    <w:rsid w:val="00CF3945"/>
    <w:rsid w:val="00CF4A19"/>
    <w:rsid w:val="00CF53EB"/>
    <w:rsid w:val="00CF5F7E"/>
    <w:rsid w:val="00CF68CF"/>
    <w:rsid w:val="00CF727F"/>
    <w:rsid w:val="00CF7BEB"/>
    <w:rsid w:val="00D00C5B"/>
    <w:rsid w:val="00D02AF2"/>
    <w:rsid w:val="00D034BA"/>
    <w:rsid w:val="00D037E7"/>
    <w:rsid w:val="00D03DFA"/>
    <w:rsid w:val="00D04437"/>
    <w:rsid w:val="00D0584F"/>
    <w:rsid w:val="00D05FE6"/>
    <w:rsid w:val="00D062F0"/>
    <w:rsid w:val="00D06345"/>
    <w:rsid w:val="00D070E6"/>
    <w:rsid w:val="00D12AC8"/>
    <w:rsid w:val="00D13A90"/>
    <w:rsid w:val="00D14550"/>
    <w:rsid w:val="00D14A33"/>
    <w:rsid w:val="00D162CB"/>
    <w:rsid w:val="00D2016C"/>
    <w:rsid w:val="00D21C96"/>
    <w:rsid w:val="00D21CE7"/>
    <w:rsid w:val="00D2316B"/>
    <w:rsid w:val="00D258F5"/>
    <w:rsid w:val="00D26743"/>
    <w:rsid w:val="00D26759"/>
    <w:rsid w:val="00D27570"/>
    <w:rsid w:val="00D2775C"/>
    <w:rsid w:val="00D27DFD"/>
    <w:rsid w:val="00D30E79"/>
    <w:rsid w:val="00D30EA7"/>
    <w:rsid w:val="00D32868"/>
    <w:rsid w:val="00D329E8"/>
    <w:rsid w:val="00D33120"/>
    <w:rsid w:val="00D33BB2"/>
    <w:rsid w:val="00D33CA2"/>
    <w:rsid w:val="00D340A0"/>
    <w:rsid w:val="00D340F1"/>
    <w:rsid w:val="00D346AC"/>
    <w:rsid w:val="00D34D2E"/>
    <w:rsid w:val="00D41298"/>
    <w:rsid w:val="00D414EB"/>
    <w:rsid w:val="00D43778"/>
    <w:rsid w:val="00D446A9"/>
    <w:rsid w:val="00D44A70"/>
    <w:rsid w:val="00D4505F"/>
    <w:rsid w:val="00D473DF"/>
    <w:rsid w:val="00D51194"/>
    <w:rsid w:val="00D51A54"/>
    <w:rsid w:val="00D51F47"/>
    <w:rsid w:val="00D5253E"/>
    <w:rsid w:val="00D528BA"/>
    <w:rsid w:val="00D52E87"/>
    <w:rsid w:val="00D53016"/>
    <w:rsid w:val="00D53753"/>
    <w:rsid w:val="00D53B30"/>
    <w:rsid w:val="00D54410"/>
    <w:rsid w:val="00D5488A"/>
    <w:rsid w:val="00D552A5"/>
    <w:rsid w:val="00D56EB5"/>
    <w:rsid w:val="00D578C1"/>
    <w:rsid w:val="00D57D56"/>
    <w:rsid w:val="00D60A4B"/>
    <w:rsid w:val="00D60D33"/>
    <w:rsid w:val="00D617E0"/>
    <w:rsid w:val="00D618E3"/>
    <w:rsid w:val="00D64495"/>
    <w:rsid w:val="00D64B78"/>
    <w:rsid w:val="00D64BA2"/>
    <w:rsid w:val="00D65AAB"/>
    <w:rsid w:val="00D66354"/>
    <w:rsid w:val="00D66AE3"/>
    <w:rsid w:val="00D66C7B"/>
    <w:rsid w:val="00D70B4E"/>
    <w:rsid w:val="00D71011"/>
    <w:rsid w:val="00D71045"/>
    <w:rsid w:val="00D7172C"/>
    <w:rsid w:val="00D717F9"/>
    <w:rsid w:val="00D72404"/>
    <w:rsid w:val="00D74698"/>
    <w:rsid w:val="00D749AE"/>
    <w:rsid w:val="00D7567F"/>
    <w:rsid w:val="00D76354"/>
    <w:rsid w:val="00D80175"/>
    <w:rsid w:val="00D8021B"/>
    <w:rsid w:val="00D808AE"/>
    <w:rsid w:val="00D80A3B"/>
    <w:rsid w:val="00D80F18"/>
    <w:rsid w:val="00D81348"/>
    <w:rsid w:val="00D81478"/>
    <w:rsid w:val="00D83854"/>
    <w:rsid w:val="00D83D47"/>
    <w:rsid w:val="00D8486C"/>
    <w:rsid w:val="00D85523"/>
    <w:rsid w:val="00D85AF6"/>
    <w:rsid w:val="00D86194"/>
    <w:rsid w:val="00D8679F"/>
    <w:rsid w:val="00D86F8A"/>
    <w:rsid w:val="00D87CD5"/>
    <w:rsid w:val="00D87F87"/>
    <w:rsid w:val="00D91004"/>
    <w:rsid w:val="00D9209F"/>
    <w:rsid w:val="00D930FE"/>
    <w:rsid w:val="00D933DC"/>
    <w:rsid w:val="00D95AFC"/>
    <w:rsid w:val="00D96436"/>
    <w:rsid w:val="00D96A4A"/>
    <w:rsid w:val="00DA040A"/>
    <w:rsid w:val="00DA1ABA"/>
    <w:rsid w:val="00DA1B6B"/>
    <w:rsid w:val="00DA2859"/>
    <w:rsid w:val="00DA287B"/>
    <w:rsid w:val="00DA35B2"/>
    <w:rsid w:val="00DA44D7"/>
    <w:rsid w:val="00DA5415"/>
    <w:rsid w:val="00DA56EC"/>
    <w:rsid w:val="00DA5F65"/>
    <w:rsid w:val="00DA6E1C"/>
    <w:rsid w:val="00DA74F0"/>
    <w:rsid w:val="00DB010D"/>
    <w:rsid w:val="00DB07D1"/>
    <w:rsid w:val="00DB0EB5"/>
    <w:rsid w:val="00DB0EEE"/>
    <w:rsid w:val="00DB1852"/>
    <w:rsid w:val="00DB1A42"/>
    <w:rsid w:val="00DB2E8B"/>
    <w:rsid w:val="00DB2ED0"/>
    <w:rsid w:val="00DB36A3"/>
    <w:rsid w:val="00DB431B"/>
    <w:rsid w:val="00DB4A7B"/>
    <w:rsid w:val="00DB6202"/>
    <w:rsid w:val="00DB7ADC"/>
    <w:rsid w:val="00DC0529"/>
    <w:rsid w:val="00DC0E4E"/>
    <w:rsid w:val="00DC2BB7"/>
    <w:rsid w:val="00DC3741"/>
    <w:rsid w:val="00DC4755"/>
    <w:rsid w:val="00DC4B6D"/>
    <w:rsid w:val="00DC4DF5"/>
    <w:rsid w:val="00DC5F2E"/>
    <w:rsid w:val="00DC6C12"/>
    <w:rsid w:val="00DD1159"/>
    <w:rsid w:val="00DD34D6"/>
    <w:rsid w:val="00DD3B75"/>
    <w:rsid w:val="00DD401E"/>
    <w:rsid w:val="00DD4063"/>
    <w:rsid w:val="00DD5383"/>
    <w:rsid w:val="00DD649C"/>
    <w:rsid w:val="00DD6B2F"/>
    <w:rsid w:val="00DD7876"/>
    <w:rsid w:val="00DE0029"/>
    <w:rsid w:val="00DE00F8"/>
    <w:rsid w:val="00DE081A"/>
    <w:rsid w:val="00DE0E90"/>
    <w:rsid w:val="00DE1393"/>
    <w:rsid w:val="00DE1FB1"/>
    <w:rsid w:val="00DE26AB"/>
    <w:rsid w:val="00DE3221"/>
    <w:rsid w:val="00DE33E5"/>
    <w:rsid w:val="00DE36E1"/>
    <w:rsid w:val="00DE3F34"/>
    <w:rsid w:val="00DE4222"/>
    <w:rsid w:val="00DE4EC7"/>
    <w:rsid w:val="00DE60B1"/>
    <w:rsid w:val="00DE6C81"/>
    <w:rsid w:val="00DE6D45"/>
    <w:rsid w:val="00DF014E"/>
    <w:rsid w:val="00DF1616"/>
    <w:rsid w:val="00DF270A"/>
    <w:rsid w:val="00DF2EE1"/>
    <w:rsid w:val="00DF37AD"/>
    <w:rsid w:val="00DF3F35"/>
    <w:rsid w:val="00DF5642"/>
    <w:rsid w:val="00DF5E21"/>
    <w:rsid w:val="00DF64EB"/>
    <w:rsid w:val="00E0076C"/>
    <w:rsid w:val="00E02B1A"/>
    <w:rsid w:val="00E03574"/>
    <w:rsid w:val="00E04D79"/>
    <w:rsid w:val="00E05125"/>
    <w:rsid w:val="00E05C4F"/>
    <w:rsid w:val="00E05CFE"/>
    <w:rsid w:val="00E07878"/>
    <w:rsid w:val="00E1099E"/>
    <w:rsid w:val="00E115FD"/>
    <w:rsid w:val="00E119B0"/>
    <w:rsid w:val="00E120A4"/>
    <w:rsid w:val="00E124B5"/>
    <w:rsid w:val="00E13775"/>
    <w:rsid w:val="00E140D0"/>
    <w:rsid w:val="00E144FD"/>
    <w:rsid w:val="00E15071"/>
    <w:rsid w:val="00E157DC"/>
    <w:rsid w:val="00E15921"/>
    <w:rsid w:val="00E15E80"/>
    <w:rsid w:val="00E160AA"/>
    <w:rsid w:val="00E16FCC"/>
    <w:rsid w:val="00E208DC"/>
    <w:rsid w:val="00E20B2A"/>
    <w:rsid w:val="00E20D6B"/>
    <w:rsid w:val="00E2167B"/>
    <w:rsid w:val="00E21A57"/>
    <w:rsid w:val="00E2257B"/>
    <w:rsid w:val="00E22B30"/>
    <w:rsid w:val="00E22F04"/>
    <w:rsid w:val="00E23304"/>
    <w:rsid w:val="00E234B4"/>
    <w:rsid w:val="00E27365"/>
    <w:rsid w:val="00E31297"/>
    <w:rsid w:val="00E32030"/>
    <w:rsid w:val="00E32238"/>
    <w:rsid w:val="00E32A49"/>
    <w:rsid w:val="00E33AD6"/>
    <w:rsid w:val="00E33C89"/>
    <w:rsid w:val="00E355F3"/>
    <w:rsid w:val="00E35784"/>
    <w:rsid w:val="00E362E8"/>
    <w:rsid w:val="00E36427"/>
    <w:rsid w:val="00E377B1"/>
    <w:rsid w:val="00E417A1"/>
    <w:rsid w:val="00E41AC4"/>
    <w:rsid w:val="00E4212F"/>
    <w:rsid w:val="00E4220A"/>
    <w:rsid w:val="00E429ED"/>
    <w:rsid w:val="00E42B07"/>
    <w:rsid w:val="00E43EE2"/>
    <w:rsid w:val="00E459D3"/>
    <w:rsid w:val="00E4627E"/>
    <w:rsid w:val="00E462CA"/>
    <w:rsid w:val="00E46959"/>
    <w:rsid w:val="00E46AF5"/>
    <w:rsid w:val="00E50B26"/>
    <w:rsid w:val="00E50B4D"/>
    <w:rsid w:val="00E50F69"/>
    <w:rsid w:val="00E510C7"/>
    <w:rsid w:val="00E5157C"/>
    <w:rsid w:val="00E52072"/>
    <w:rsid w:val="00E520EA"/>
    <w:rsid w:val="00E521F4"/>
    <w:rsid w:val="00E52DFE"/>
    <w:rsid w:val="00E52FD5"/>
    <w:rsid w:val="00E5615B"/>
    <w:rsid w:val="00E561B8"/>
    <w:rsid w:val="00E564C4"/>
    <w:rsid w:val="00E565A6"/>
    <w:rsid w:val="00E56B4C"/>
    <w:rsid w:val="00E56E62"/>
    <w:rsid w:val="00E5707B"/>
    <w:rsid w:val="00E57631"/>
    <w:rsid w:val="00E6127D"/>
    <w:rsid w:val="00E61767"/>
    <w:rsid w:val="00E61E86"/>
    <w:rsid w:val="00E623D0"/>
    <w:rsid w:val="00E62789"/>
    <w:rsid w:val="00E62D99"/>
    <w:rsid w:val="00E63153"/>
    <w:rsid w:val="00E65170"/>
    <w:rsid w:val="00E662C1"/>
    <w:rsid w:val="00E66D76"/>
    <w:rsid w:val="00E67466"/>
    <w:rsid w:val="00E67F29"/>
    <w:rsid w:val="00E700AF"/>
    <w:rsid w:val="00E70562"/>
    <w:rsid w:val="00E70EBA"/>
    <w:rsid w:val="00E7109D"/>
    <w:rsid w:val="00E7217D"/>
    <w:rsid w:val="00E72A36"/>
    <w:rsid w:val="00E72F8B"/>
    <w:rsid w:val="00E7326F"/>
    <w:rsid w:val="00E73605"/>
    <w:rsid w:val="00E73A6C"/>
    <w:rsid w:val="00E7488F"/>
    <w:rsid w:val="00E773C1"/>
    <w:rsid w:val="00E77B65"/>
    <w:rsid w:val="00E800FD"/>
    <w:rsid w:val="00E80FE7"/>
    <w:rsid w:val="00E8115D"/>
    <w:rsid w:val="00E81D03"/>
    <w:rsid w:val="00E82779"/>
    <w:rsid w:val="00E82C7F"/>
    <w:rsid w:val="00E83E9F"/>
    <w:rsid w:val="00E84672"/>
    <w:rsid w:val="00E84C5B"/>
    <w:rsid w:val="00E85609"/>
    <w:rsid w:val="00E85699"/>
    <w:rsid w:val="00E862D9"/>
    <w:rsid w:val="00E866A7"/>
    <w:rsid w:val="00E86749"/>
    <w:rsid w:val="00E876E9"/>
    <w:rsid w:val="00E87B9D"/>
    <w:rsid w:val="00E9024D"/>
    <w:rsid w:val="00E9052F"/>
    <w:rsid w:val="00E90607"/>
    <w:rsid w:val="00E90ACC"/>
    <w:rsid w:val="00E90D94"/>
    <w:rsid w:val="00E91653"/>
    <w:rsid w:val="00E91F9C"/>
    <w:rsid w:val="00E91FF5"/>
    <w:rsid w:val="00E92456"/>
    <w:rsid w:val="00E93AF3"/>
    <w:rsid w:val="00E93B69"/>
    <w:rsid w:val="00E93F90"/>
    <w:rsid w:val="00E942DC"/>
    <w:rsid w:val="00E94FBD"/>
    <w:rsid w:val="00E964BC"/>
    <w:rsid w:val="00E966C7"/>
    <w:rsid w:val="00E968A0"/>
    <w:rsid w:val="00E973BE"/>
    <w:rsid w:val="00EA0C91"/>
    <w:rsid w:val="00EA14EC"/>
    <w:rsid w:val="00EA2341"/>
    <w:rsid w:val="00EA25B8"/>
    <w:rsid w:val="00EA6A93"/>
    <w:rsid w:val="00EB01EE"/>
    <w:rsid w:val="00EB021B"/>
    <w:rsid w:val="00EB02F2"/>
    <w:rsid w:val="00EB0369"/>
    <w:rsid w:val="00EB0701"/>
    <w:rsid w:val="00EB1186"/>
    <w:rsid w:val="00EB1521"/>
    <w:rsid w:val="00EB1B22"/>
    <w:rsid w:val="00EB25E6"/>
    <w:rsid w:val="00EB3B76"/>
    <w:rsid w:val="00EB3EDD"/>
    <w:rsid w:val="00EB4714"/>
    <w:rsid w:val="00EB6022"/>
    <w:rsid w:val="00EB6186"/>
    <w:rsid w:val="00EC03D8"/>
    <w:rsid w:val="00EC0A60"/>
    <w:rsid w:val="00EC13C7"/>
    <w:rsid w:val="00EC20A3"/>
    <w:rsid w:val="00EC3516"/>
    <w:rsid w:val="00EC3983"/>
    <w:rsid w:val="00EC3E3D"/>
    <w:rsid w:val="00EC408F"/>
    <w:rsid w:val="00EC453F"/>
    <w:rsid w:val="00EC4AC4"/>
    <w:rsid w:val="00EC4B7C"/>
    <w:rsid w:val="00EC4D49"/>
    <w:rsid w:val="00EC5140"/>
    <w:rsid w:val="00EC549B"/>
    <w:rsid w:val="00EC5735"/>
    <w:rsid w:val="00EC57A4"/>
    <w:rsid w:val="00EC6296"/>
    <w:rsid w:val="00EC6411"/>
    <w:rsid w:val="00EC68D2"/>
    <w:rsid w:val="00ED0C96"/>
    <w:rsid w:val="00ED1376"/>
    <w:rsid w:val="00ED361B"/>
    <w:rsid w:val="00ED429C"/>
    <w:rsid w:val="00ED48DB"/>
    <w:rsid w:val="00ED5027"/>
    <w:rsid w:val="00ED537D"/>
    <w:rsid w:val="00ED6732"/>
    <w:rsid w:val="00ED7CF0"/>
    <w:rsid w:val="00EE11AE"/>
    <w:rsid w:val="00EE170E"/>
    <w:rsid w:val="00EE1C5B"/>
    <w:rsid w:val="00EE24BC"/>
    <w:rsid w:val="00EE26F5"/>
    <w:rsid w:val="00EE27CE"/>
    <w:rsid w:val="00EE2D2E"/>
    <w:rsid w:val="00EE2EFB"/>
    <w:rsid w:val="00EE37A5"/>
    <w:rsid w:val="00EE3C60"/>
    <w:rsid w:val="00EE427E"/>
    <w:rsid w:val="00EE4612"/>
    <w:rsid w:val="00EE6C98"/>
    <w:rsid w:val="00EE7868"/>
    <w:rsid w:val="00EE7ADE"/>
    <w:rsid w:val="00EF1771"/>
    <w:rsid w:val="00EF218F"/>
    <w:rsid w:val="00EF2C6C"/>
    <w:rsid w:val="00EF367F"/>
    <w:rsid w:val="00EF3F81"/>
    <w:rsid w:val="00EF48C3"/>
    <w:rsid w:val="00EF5BA0"/>
    <w:rsid w:val="00F006CC"/>
    <w:rsid w:val="00F0088D"/>
    <w:rsid w:val="00F00A82"/>
    <w:rsid w:val="00F01829"/>
    <w:rsid w:val="00F01DEC"/>
    <w:rsid w:val="00F021B5"/>
    <w:rsid w:val="00F03192"/>
    <w:rsid w:val="00F031B7"/>
    <w:rsid w:val="00F04730"/>
    <w:rsid w:val="00F05B7D"/>
    <w:rsid w:val="00F0611A"/>
    <w:rsid w:val="00F06D05"/>
    <w:rsid w:val="00F0704F"/>
    <w:rsid w:val="00F10A0C"/>
    <w:rsid w:val="00F11FAF"/>
    <w:rsid w:val="00F123D5"/>
    <w:rsid w:val="00F12A0A"/>
    <w:rsid w:val="00F13503"/>
    <w:rsid w:val="00F14045"/>
    <w:rsid w:val="00F143AC"/>
    <w:rsid w:val="00F146F5"/>
    <w:rsid w:val="00F14B0B"/>
    <w:rsid w:val="00F161DC"/>
    <w:rsid w:val="00F200FE"/>
    <w:rsid w:val="00F20626"/>
    <w:rsid w:val="00F20DAD"/>
    <w:rsid w:val="00F20F01"/>
    <w:rsid w:val="00F216D9"/>
    <w:rsid w:val="00F218E0"/>
    <w:rsid w:val="00F22376"/>
    <w:rsid w:val="00F224DB"/>
    <w:rsid w:val="00F22D86"/>
    <w:rsid w:val="00F23590"/>
    <w:rsid w:val="00F23817"/>
    <w:rsid w:val="00F2572D"/>
    <w:rsid w:val="00F25992"/>
    <w:rsid w:val="00F259A7"/>
    <w:rsid w:val="00F25E3E"/>
    <w:rsid w:val="00F3076A"/>
    <w:rsid w:val="00F309FB"/>
    <w:rsid w:val="00F30BF7"/>
    <w:rsid w:val="00F3213F"/>
    <w:rsid w:val="00F3234B"/>
    <w:rsid w:val="00F33B80"/>
    <w:rsid w:val="00F36F66"/>
    <w:rsid w:val="00F371F6"/>
    <w:rsid w:val="00F37C55"/>
    <w:rsid w:val="00F4000A"/>
    <w:rsid w:val="00F41EEE"/>
    <w:rsid w:val="00F423AD"/>
    <w:rsid w:val="00F43287"/>
    <w:rsid w:val="00F43E9A"/>
    <w:rsid w:val="00F44345"/>
    <w:rsid w:val="00F44595"/>
    <w:rsid w:val="00F44796"/>
    <w:rsid w:val="00F4766B"/>
    <w:rsid w:val="00F47E4B"/>
    <w:rsid w:val="00F50429"/>
    <w:rsid w:val="00F510FA"/>
    <w:rsid w:val="00F5128B"/>
    <w:rsid w:val="00F51931"/>
    <w:rsid w:val="00F525DE"/>
    <w:rsid w:val="00F53104"/>
    <w:rsid w:val="00F53C18"/>
    <w:rsid w:val="00F543E2"/>
    <w:rsid w:val="00F54BF5"/>
    <w:rsid w:val="00F54D02"/>
    <w:rsid w:val="00F55B90"/>
    <w:rsid w:val="00F570FC"/>
    <w:rsid w:val="00F57121"/>
    <w:rsid w:val="00F57126"/>
    <w:rsid w:val="00F573FB"/>
    <w:rsid w:val="00F611DA"/>
    <w:rsid w:val="00F62A38"/>
    <w:rsid w:val="00F658F9"/>
    <w:rsid w:val="00F65EE6"/>
    <w:rsid w:val="00F6648B"/>
    <w:rsid w:val="00F66BAE"/>
    <w:rsid w:val="00F67B9D"/>
    <w:rsid w:val="00F719F3"/>
    <w:rsid w:val="00F72CE1"/>
    <w:rsid w:val="00F74D7B"/>
    <w:rsid w:val="00F75474"/>
    <w:rsid w:val="00F75905"/>
    <w:rsid w:val="00F75935"/>
    <w:rsid w:val="00F76183"/>
    <w:rsid w:val="00F76653"/>
    <w:rsid w:val="00F7696B"/>
    <w:rsid w:val="00F77366"/>
    <w:rsid w:val="00F77566"/>
    <w:rsid w:val="00F77EF8"/>
    <w:rsid w:val="00F80805"/>
    <w:rsid w:val="00F811F6"/>
    <w:rsid w:val="00F81326"/>
    <w:rsid w:val="00F813FD"/>
    <w:rsid w:val="00F81DE7"/>
    <w:rsid w:val="00F82246"/>
    <w:rsid w:val="00F82554"/>
    <w:rsid w:val="00F8258B"/>
    <w:rsid w:val="00F82F5E"/>
    <w:rsid w:val="00F834EF"/>
    <w:rsid w:val="00F846D2"/>
    <w:rsid w:val="00F85383"/>
    <w:rsid w:val="00F85389"/>
    <w:rsid w:val="00F856DD"/>
    <w:rsid w:val="00F85BFF"/>
    <w:rsid w:val="00F860DF"/>
    <w:rsid w:val="00F86301"/>
    <w:rsid w:val="00F873B4"/>
    <w:rsid w:val="00F87FD7"/>
    <w:rsid w:val="00F91078"/>
    <w:rsid w:val="00F914E0"/>
    <w:rsid w:val="00F9156F"/>
    <w:rsid w:val="00F917C1"/>
    <w:rsid w:val="00F91B56"/>
    <w:rsid w:val="00F9272E"/>
    <w:rsid w:val="00F9301D"/>
    <w:rsid w:val="00F938A7"/>
    <w:rsid w:val="00F93F81"/>
    <w:rsid w:val="00F946A9"/>
    <w:rsid w:val="00F9485B"/>
    <w:rsid w:val="00F948A6"/>
    <w:rsid w:val="00F95349"/>
    <w:rsid w:val="00F961F0"/>
    <w:rsid w:val="00F97511"/>
    <w:rsid w:val="00FA09CC"/>
    <w:rsid w:val="00FA0EED"/>
    <w:rsid w:val="00FA1822"/>
    <w:rsid w:val="00FA2F86"/>
    <w:rsid w:val="00FA369E"/>
    <w:rsid w:val="00FA542D"/>
    <w:rsid w:val="00FA5ED3"/>
    <w:rsid w:val="00FA5EEB"/>
    <w:rsid w:val="00FA6205"/>
    <w:rsid w:val="00FA65F0"/>
    <w:rsid w:val="00FB00DD"/>
    <w:rsid w:val="00FB23BC"/>
    <w:rsid w:val="00FB47C8"/>
    <w:rsid w:val="00FB4B18"/>
    <w:rsid w:val="00FB4D8D"/>
    <w:rsid w:val="00FB5920"/>
    <w:rsid w:val="00FB5B38"/>
    <w:rsid w:val="00FB6622"/>
    <w:rsid w:val="00FB67AE"/>
    <w:rsid w:val="00FB6F06"/>
    <w:rsid w:val="00FB7484"/>
    <w:rsid w:val="00FB75AC"/>
    <w:rsid w:val="00FC1ABE"/>
    <w:rsid w:val="00FC1AF4"/>
    <w:rsid w:val="00FC3F3F"/>
    <w:rsid w:val="00FC4862"/>
    <w:rsid w:val="00FC4968"/>
    <w:rsid w:val="00FC6649"/>
    <w:rsid w:val="00FC6C2C"/>
    <w:rsid w:val="00FC7110"/>
    <w:rsid w:val="00FD06A4"/>
    <w:rsid w:val="00FD06EC"/>
    <w:rsid w:val="00FD0E9E"/>
    <w:rsid w:val="00FD1119"/>
    <w:rsid w:val="00FD12B3"/>
    <w:rsid w:val="00FD133D"/>
    <w:rsid w:val="00FD17CD"/>
    <w:rsid w:val="00FD2A4F"/>
    <w:rsid w:val="00FD2F48"/>
    <w:rsid w:val="00FD35AA"/>
    <w:rsid w:val="00FD4589"/>
    <w:rsid w:val="00FD4653"/>
    <w:rsid w:val="00FD6A5A"/>
    <w:rsid w:val="00FD7CFB"/>
    <w:rsid w:val="00FD7F9A"/>
    <w:rsid w:val="00FD7FFE"/>
    <w:rsid w:val="00FE18B7"/>
    <w:rsid w:val="00FE1A83"/>
    <w:rsid w:val="00FE1EFA"/>
    <w:rsid w:val="00FE29E2"/>
    <w:rsid w:val="00FE431A"/>
    <w:rsid w:val="00FE4526"/>
    <w:rsid w:val="00FE5147"/>
    <w:rsid w:val="00FE5ACB"/>
    <w:rsid w:val="00FE7079"/>
    <w:rsid w:val="00FF0543"/>
    <w:rsid w:val="00FF1176"/>
    <w:rsid w:val="00FF4127"/>
    <w:rsid w:val="00FF422B"/>
    <w:rsid w:val="00FF5320"/>
    <w:rsid w:val="00FF56B4"/>
    <w:rsid w:val="00FF5B64"/>
    <w:rsid w:val="00FF5E54"/>
    <w:rsid w:val="00FF5EF5"/>
    <w:rsid w:val="00FF60EC"/>
    <w:rsid w:val="01063575"/>
    <w:rsid w:val="01087A2D"/>
    <w:rsid w:val="012F162B"/>
    <w:rsid w:val="0150476F"/>
    <w:rsid w:val="0179A29F"/>
    <w:rsid w:val="018B9220"/>
    <w:rsid w:val="0194DF1D"/>
    <w:rsid w:val="01E9DDF1"/>
    <w:rsid w:val="0256E06F"/>
    <w:rsid w:val="025C4C4B"/>
    <w:rsid w:val="027670D1"/>
    <w:rsid w:val="03021B42"/>
    <w:rsid w:val="03481FBD"/>
    <w:rsid w:val="035E4E16"/>
    <w:rsid w:val="03EA3103"/>
    <w:rsid w:val="03EF2E9C"/>
    <w:rsid w:val="043B2F16"/>
    <w:rsid w:val="043D8B23"/>
    <w:rsid w:val="04704748"/>
    <w:rsid w:val="04744FC1"/>
    <w:rsid w:val="04BAA921"/>
    <w:rsid w:val="0534A627"/>
    <w:rsid w:val="053D855E"/>
    <w:rsid w:val="06185CCF"/>
    <w:rsid w:val="06219647"/>
    <w:rsid w:val="06332ECE"/>
    <w:rsid w:val="06441AB2"/>
    <w:rsid w:val="0682079D"/>
    <w:rsid w:val="078B334C"/>
    <w:rsid w:val="07D2D759"/>
    <w:rsid w:val="07DFB964"/>
    <w:rsid w:val="07F0BC6E"/>
    <w:rsid w:val="08090FAE"/>
    <w:rsid w:val="08C2E595"/>
    <w:rsid w:val="08FA0D5A"/>
    <w:rsid w:val="09471E32"/>
    <w:rsid w:val="09739A67"/>
    <w:rsid w:val="097F0F09"/>
    <w:rsid w:val="0995D986"/>
    <w:rsid w:val="099D4A26"/>
    <w:rsid w:val="09C26A0E"/>
    <w:rsid w:val="09C27316"/>
    <w:rsid w:val="09CB52FB"/>
    <w:rsid w:val="09CF3FD9"/>
    <w:rsid w:val="0A2BA226"/>
    <w:rsid w:val="0A2EA914"/>
    <w:rsid w:val="0A93A510"/>
    <w:rsid w:val="0AC6697B"/>
    <w:rsid w:val="0B1EDB79"/>
    <w:rsid w:val="0B54E9EA"/>
    <w:rsid w:val="0B7A75A0"/>
    <w:rsid w:val="0B9BFFBD"/>
    <w:rsid w:val="0BDDF214"/>
    <w:rsid w:val="0BF8ABF1"/>
    <w:rsid w:val="0CBB8579"/>
    <w:rsid w:val="0CC2A0E9"/>
    <w:rsid w:val="0D15A6FA"/>
    <w:rsid w:val="0D2E11D3"/>
    <w:rsid w:val="0D9E337C"/>
    <w:rsid w:val="0E3FA96B"/>
    <w:rsid w:val="0E614809"/>
    <w:rsid w:val="0EC9BF96"/>
    <w:rsid w:val="0EF9D3EC"/>
    <w:rsid w:val="0F0BDA35"/>
    <w:rsid w:val="0F610426"/>
    <w:rsid w:val="0F64678E"/>
    <w:rsid w:val="0F652C30"/>
    <w:rsid w:val="0F6BB646"/>
    <w:rsid w:val="0FBD010A"/>
    <w:rsid w:val="10A937FC"/>
    <w:rsid w:val="110449ED"/>
    <w:rsid w:val="112486BA"/>
    <w:rsid w:val="113614E7"/>
    <w:rsid w:val="11C17373"/>
    <w:rsid w:val="11E31AD4"/>
    <w:rsid w:val="11F54A52"/>
    <w:rsid w:val="12804C83"/>
    <w:rsid w:val="12A3597F"/>
    <w:rsid w:val="12D310AC"/>
    <w:rsid w:val="12D6AF61"/>
    <w:rsid w:val="12F8545B"/>
    <w:rsid w:val="130AC8D4"/>
    <w:rsid w:val="131CF05B"/>
    <w:rsid w:val="1364F78C"/>
    <w:rsid w:val="137D7083"/>
    <w:rsid w:val="13977659"/>
    <w:rsid w:val="13EFFFA4"/>
    <w:rsid w:val="13F00A5B"/>
    <w:rsid w:val="13FC5829"/>
    <w:rsid w:val="14092696"/>
    <w:rsid w:val="14182103"/>
    <w:rsid w:val="1439B604"/>
    <w:rsid w:val="14466FFB"/>
    <w:rsid w:val="1451491E"/>
    <w:rsid w:val="147A580A"/>
    <w:rsid w:val="14BBE067"/>
    <w:rsid w:val="14CC34AB"/>
    <w:rsid w:val="1511A99C"/>
    <w:rsid w:val="151443DE"/>
    <w:rsid w:val="152C9CCD"/>
    <w:rsid w:val="1531D389"/>
    <w:rsid w:val="15469508"/>
    <w:rsid w:val="1557A2FA"/>
    <w:rsid w:val="158A5AE7"/>
    <w:rsid w:val="15A33C25"/>
    <w:rsid w:val="15B1C5FD"/>
    <w:rsid w:val="15BE460C"/>
    <w:rsid w:val="15E7BF2D"/>
    <w:rsid w:val="16A89947"/>
    <w:rsid w:val="16C15054"/>
    <w:rsid w:val="16F28A62"/>
    <w:rsid w:val="17039E65"/>
    <w:rsid w:val="1750A695"/>
    <w:rsid w:val="176545C3"/>
    <w:rsid w:val="179F6CB1"/>
    <w:rsid w:val="17B02ED0"/>
    <w:rsid w:val="17E88B84"/>
    <w:rsid w:val="1864FAF2"/>
    <w:rsid w:val="186AFA3D"/>
    <w:rsid w:val="18C4068B"/>
    <w:rsid w:val="199871A3"/>
    <w:rsid w:val="19B7D4D4"/>
    <w:rsid w:val="19DAFECD"/>
    <w:rsid w:val="1A273076"/>
    <w:rsid w:val="1A2B7C67"/>
    <w:rsid w:val="1A590AEB"/>
    <w:rsid w:val="1A8EA549"/>
    <w:rsid w:val="1A9DFBB3"/>
    <w:rsid w:val="1AB15E45"/>
    <w:rsid w:val="1AB628F7"/>
    <w:rsid w:val="1B0A6A39"/>
    <w:rsid w:val="1B143381"/>
    <w:rsid w:val="1B77C2D0"/>
    <w:rsid w:val="1BA4D981"/>
    <w:rsid w:val="1BEE8105"/>
    <w:rsid w:val="1C5C39B2"/>
    <w:rsid w:val="1C7929D1"/>
    <w:rsid w:val="1C8EF74A"/>
    <w:rsid w:val="1C9D465D"/>
    <w:rsid w:val="1CC999BA"/>
    <w:rsid w:val="1CD504FC"/>
    <w:rsid w:val="1CF41711"/>
    <w:rsid w:val="1D116AA6"/>
    <w:rsid w:val="1D335FDC"/>
    <w:rsid w:val="1D797D1C"/>
    <w:rsid w:val="1DEC7ADA"/>
    <w:rsid w:val="1DEE311B"/>
    <w:rsid w:val="1E29F501"/>
    <w:rsid w:val="1EB8BF44"/>
    <w:rsid w:val="1EBCAAAD"/>
    <w:rsid w:val="1EC64C79"/>
    <w:rsid w:val="1F3FDB9F"/>
    <w:rsid w:val="1F5E112B"/>
    <w:rsid w:val="1F8B7DEF"/>
    <w:rsid w:val="2049C0F2"/>
    <w:rsid w:val="205D3B38"/>
    <w:rsid w:val="206859B6"/>
    <w:rsid w:val="20E2085F"/>
    <w:rsid w:val="2103A345"/>
    <w:rsid w:val="2104143B"/>
    <w:rsid w:val="21289963"/>
    <w:rsid w:val="216E5AC5"/>
    <w:rsid w:val="218FD1CC"/>
    <w:rsid w:val="21C1BD07"/>
    <w:rsid w:val="21CD52BB"/>
    <w:rsid w:val="21EF4C6D"/>
    <w:rsid w:val="22105083"/>
    <w:rsid w:val="22168275"/>
    <w:rsid w:val="22A1F119"/>
    <w:rsid w:val="22A2CE71"/>
    <w:rsid w:val="234C2B2B"/>
    <w:rsid w:val="235C49A1"/>
    <w:rsid w:val="236C9673"/>
    <w:rsid w:val="237EFFBA"/>
    <w:rsid w:val="23AB582D"/>
    <w:rsid w:val="23B68713"/>
    <w:rsid w:val="2413380B"/>
    <w:rsid w:val="2415DD3F"/>
    <w:rsid w:val="2432CCAE"/>
    <w:rsid w:val="244EDBAA"/>
    <w:rsid w:val="2480464C"/>
    <w:rsid w:val="24E87FAF"/>
    <w:rsid w:val="252300F4"/>
    <w:rsid w:val="2556E82F"/>
    <w:rsid w:val="255C3081"/>
    <w:rsid w:val="256AC795"/>
    <w:rsid w:val="2577963E"/>
    <w:rsid w:val="257D7E61"/>
    <w:rsid w:val="25B14D1C"/>
    <w:rsid w:val="25BF1B06"/>
    <w:rsid w:val="25CCBA6E"/>
    <w:rsid w:val="25FEC758"/>
    <w:rsid w:val="263E0D75"/>
    <w:rsid w:val="265EBBFA"/>
    <w:rsid w:val="268CD47D"/>
    <w:rsid w:val="269AFC79"/>
    <w:rsid w:val="26A31412"/>
    <w:rsid w:val="26A3E900"/>
    <w:rsid w:val="26BBA98C"/>
    <w:rsid w:val="26BD119A"/>
    <w:rsid w:val="26FDAE94"/>
    <w:rsid w:val="270E2E09"/>
    <w:rsid w:val="272CB3C1"/>
    <w:rsid w:val="275A7E2B"/>
    <w:rsid w:val="27DC8E35"/>
    <w:rsid w:val="27ED167A"/>
    <w:rsid w:val="2816F173"/>
    <w:rsid w:val="2874D237"/>
    <w:rsid w:val="288F1017"/>
    <w:rsid w:val="2900C54A"/>
    <w:rsid w:val="2970265A"/>
    <w:rsid w:val="29B1683E"/>
    <w:rsid w:val="2A33B6AC"/>
    <w:rsid w:val="2A496DB7"/>
    <w:rsid w:val="2A590BAC"/>
    <w:rsid w:val="2AE139BB"/>
    <w:rsid w:val="2AECE575"/>
    <w:rsid w:val="2B27938B"/>
    <w:rsid w:val="2B3C4141"/>
    <w:rsid w:val="2B7BCEDD"/>
    <w:rsid w:val="2BFCB198"/>
    <w:rsid w:val="2C148960"/>
    <w:rsid w:val="2C287950"/>
    <w:rsid w:val="2C971A9C"/>
    <w:rsid w:val="2CC0874A"/>
    <w:rsid w:val="2CF82AEB"/>
    <w:rsid w:val="2CFB12ED"/>
    <w:rsid w:val="2D11C5E1"/>
    <w:rsid w:val="2D5323EC"/>
    <w:rsid w:val="2D56BFE9"/>
    <w:rsid w:val="2DA03AD0"/>
    <w:rsid w:val="2DA72D1A"/>
    <w:rsid w:val="2DAFE0C7"/>
    <w:rsid w:val="2DCC46B9"/>
    <w:rsid w:val="2DE3E233"/>
    <w:rsid w:val="2DEA7E8E"/>
    <w:rsid w:val="2DF7BDAF"/>
    <w:rsid w:val="2E39433E"/>
    <w:rsid w:val="2E567FE2"/>
    <w:rsid w:val="2E70F180"/>
    <w:rsid w:val="2EE3FA80"/>
    <w:rsid w:val="2F145E6E"/>
    <w:rsid w:val="2F40F683"/>
    <w:rsid w:val="2F551A61"/>
    <w:rsid w:val="2F56DC4F"/>
    <w:rsid w:val="2F58753B"/>
    <w:rsid w:val="2F692FD8"/>
    <w:rsid w:val="2F835EC8"/>
    <w:rsid w:val="2FC4942D"/>
    <w:rsid w:val="2FDC21A0"/>
    <w:rsid w:val="306D8536"/>
    <w:rsid w:val="30E22E7D"/>
    <w:rsid w:val="3136392A"/>
    <w:rsid w:val="3166FDE8"/>
    <w:rsid w:val="3168DB98"/>
    <w:rsid w:val="31713A35"/>
    <w:rsid w:val="317CEA4F"/>
    <w:rsid w:val="318120C4"/>
    <w:rsid w:val="31A486F4"/>
    <w:rsid w:val="31D6FE52"/>
    <w:rsid w:val="31DE99DC"/>
    <w:rsid w:val="31DF96D1"/>
    <w:rsid w:val="31E55379"/>
    <w:rsid w:val="31F254F0"/>
    <w:rsid w:val="322D097C"/>
    <w:rsid w:val="324E74A1"/>
    <w:rsid w:val="326B51ED"/>
    <w:rsid w:val="327465D3"/>
    <w:rsid w:val="32753B3E"/>
    <w:rsid w:val="32A0CFF6"/>
    <w:rsid w:val="32F160F0"/>
    <w:rsid w:val="331B0A3D"/>
    <w:rsid w:val="3365AD84"/>
    <w:rsid w:val="33938258"/>
    <w:rsid w:val="339FE1AC"/>
    <w:rsid w:val="33B0B6BD"/>
    <w:rsid w:val="33C3E176"/>
    <w:rsid w:val="34284B85"/>
    <w:rsid w:val="3461E9C0"/>
    <w:rsid w:val="346D6F8C"/>
    <w:rsid w:val="3498ADF4"/>
    <w:rsid w:val="35153716"/>
    <w:rsid w:val="354FECCC"/>
    <w:rsid w:val="3563B3DB"/>
    <w:rsid w:val="3594478A"/>
    <w:rsid w:val="35EA136D"/>
    <w:rsid w:val="35F2F67E"/>
    <w:rsid w:val="361DA809"/>
    <w:rsid w:val="362D90F7"/>
    <w:rsid w:val="363204CC"/>
    <w:rsid w:val="3692D43B"/>
    <w:rsid w:val="3710D37D"/>
    <w:rsid w:val="3726B5CD"/>
    <w:rsid w:val="376C6C59"/>
    <w:rsid w:val="3789F92C"/>
    <w:rsid w:val="37FB9F88"/>
    <w:rsid w:val="380562C7"/>
    <w:rsid w:val="38308C13"/>
    <w:rsid w:val="38359477"/>
    <w:rsid w:val="38487D73"/>
    <w:rsid w:val="38719E40"/>
    <w:rsid w:val="38734BE6"/>
    <w:rsid w:val="387DFC27"/>
    <w:rsid w:val="38AEDA36"/>
    <w:rsid w:val="38E01C6E"/>
    <w:rsid w:val="38E30F60"/>
    <w:rsid w:val="38E863E2"/>
    <w:rsid w:val="39078BD9"/>
    <w:rsid w:val="398E66C9"/>
    <w:rsid w:val="39A66344"/>
    <w:rsid w:val="39A75426"/>
    <w:rsid w:val="39F41808"/>
    <w:rsid w:val="39FB8250"/>
    <w:rsid w:val="3A5DFF3F"/>
    <w:rsid w:val="3A9F05E2"/>
    <w:rsid w:val="3B01C6FD"/>
    <w:rsid w:val="3B0A34D6"/>
    <w:rsid w:val="3B1E6D38"/>
    <w:rsid w:val="3B2277E6"/>
    <w:rsid w:val="3B362480"/>
    <w:rsid w:val="3B3854B5"/>
    <w:rsid w:val="3B467907"/>
    <w:rsid w:val="3B479929"/>
    <w:rsid w:val="3B715CFB"/>
    <w:rsid w:val="3B7796DB"/>
    <w:rsid w:val="3BA2347E"/>
    <w:rsid w:val="3CAD6EF9"/>
    <w:rsid w:val="3CBCB3D0"/>
    <w:rsid w:val="3CD798EB"/>
    <w:rsid w:val="3CDB203E"/>
    <w:rsid w:val="3CFEB980"/>
    <w:rsid w:val="3D70BB04"/>
    <w:rsid w:val="3DBE9054"/>
    <w:rsid w:val="3E03E464"/>
    <w:rsid w:val="3E41497A"/>
    <w:rsid w:val="3E4C9FCE"/>
    <w:rsid w:val="3E51B8E5"/>
    <w:rsid w:val="3E7E9147"/>
    <w:rsid w:val="3E874B1C"/>
    <w:rsid w:val="3E878879"/>
    <w:rsid w:val="3E9199F7"/>
    <w:rsid w:val="3EDE33A7"/>
    <w:rsid w:val="3EE7D729"/>
    <w:rsid w:val="3EFECFF0"/>
    <w:rsid w:val="3FA7FC9A"/>
    <w:rsid w:val="3FF922DF"/>
    <w:rsid w:val="4061C06D"/>
    <w:rsid w:val="40692800"/>
    <w:rsid w:val="40898F7C"/>
    <w:rsid w:val="40D6E5C2"/>
    <w:rsid w:val="41154428"/>
    <w:rsid w:val="412665F5"/>
    <w:rsid w:val="41279FD4"/>
    <w:rsid w:val="4157552C"/>
    <w:rsid w:val="4180817A"/>
    <w:rsid w:val="41B5D04E"/>
    <w:rsid w:val="41BE2393"/>
    <w:rsid w:val="42C4E2F0"/>
    <w:rsid w:val="435F4BCA"/>
    <w:rsid w:val="438B0B8D"/>
    <w:rsid w:val="43B47571"/>
    <w:rsid w:val="43F0F45D"/>
    <w:rsid w:val="4403A191"/>
    <w:rsid w:val="4418F7F6"/>
    <w:rsid w:val="4424B1F1"/>
    <w:rsid w:val="442EBE57"/>
    <w:rsid w:val="4455E053"/>
    <w:rsid w:val="44781C8D"/>
    <w:rsid w:val="447AAF6A"/>
    <w:rsid w:val="44E538FD"/>
    <w:rsid w:val="44F07E68"/>
    <w:rsid w:val="44FA42EF"/>
    <w:rsid w:val="45065F5E"/>
    <w:rsid w:val="458A94B0"/>
    <w:rsid w:val="459B56EC"/>
    <w:rsid w:val="45BB1B0C"/>
    <w:rsid w:val="46304122"/>
    <w:rsid w:val="46439E93"/>
    <w:rsid w:val="4654864E"/>
    <w:rsid w:val="4655D07D"/>
    <w:rsid w:val="466C05C6"/>
    <w:rsid w:val="46749DD6"/>
    <w:rsid w:val="4674B32E"/>
    <w:rsid w:val="46962EE2"/>
    <w:rsid w:val="46A49225"/>
    <w:rsid w:val="46D994D5"/>
    <w:rsid w:val="46F42BBD"/>
    <w:rsid w:val="47118AC2"/>
    <w:rsid w:val="472569CF"/>
    <w:rsid w:val="4727CAD6"/>
    <w:rsid w:val="47373C51"/>
    <w:rsid w:val="47565D14"/>
    <w:rsid w:val="4782362F"/>
    <w:rsid w:val="47BC6759"/>
    <w:rsid w:val="47F9F6CB"/>
    <w:rsid w:val="483EB5F3"/>
    <w:rsid w:val="48B24B71"/>
    <w:rsid w:val="48C8E4B4"/>
    <w:rsid w:val="490AA981"/>
    <w:rsid w:val="4952F718"/>
    <w:rsid w:val="49645835"/>
    <w:rsid w:val="497BCE3F"/>
    <w:rsid w:val="4995611A"/>
    <w:rsid w:val="49C86C3B"/>
    <w:rsid w:val="49D754D7"/>
    <w:rsid w:val="49ED1280"/>
    <w:rsid w:val="49F7E010"/>
    <w:rsid w:val="4A050BED"/>
    <w:rsid w:val="4A59C3B1"/>
    <w:rsid w:val="4ACEFC0A"/>
    <w:rsid w:val="4AD2423C"/>
    <w:rsid w:val="4B1D4764"/>
    <w:rsid w:val="4B461659"/>
    <w:rsid w:val="4B8EE060"/>
    <w:rsid w:val="4B924352"/>
    <w:rsid w:val="4BBCC0C8"/>
    <w:rsid w:val="4BEA1829"/>
    <w:rsid w:val="4C0F8EC6"/>
    <w:rsid w:val="4C441ABA"/>
    <w:rsid w:val="4C729A4E"/>
    <w:rsid w:val="4CA81462"/>
    <w:rsid w:val="4CC11D8E"/>
    <w:rsid w:val="4D0930E4"/>
    <w:rsid w:val="4D1BDAAC"/>
    <w:rsid w:val="4D6FF0BC"/>
    <w:rsid w:val="4D84887A"/>
    <w:rsid w:val="4E1CD8E8"/>
    <w:rsid w:val="4E48F670"/>
    <w:rsid w:val="4E8C1F86"/>
    <w:rsid w:val="4E8DC3E2"/>
    <w:rsid w:val="4E94EB1A"/>
    <w:rsid w:val="4EAD197B"/>
    <w:rsid w:val="4ECF9CC7"/>
    <w:rsid w:val="4EF17771"/>
    <w:rsid w:val="4F177560"/>
    <w:rsid w:val="4F2FF5F5"/>
    <w:rsid w:val="4F36CF6B"/>
    <w:rsid w:val="4F4EFFD4"/>
    <w:rsid w:val="4F66330C"/>
    <w:rsid w:val="4F7CEB62"/>
    <w:rsid w:val="4F97CC36"/>
    <w:rsid w:val="4FB2E4D5"/>
    <w:rsid w:val="4FC7DC62"/>
    <w:rsid w:val="5024313E"/>
    <w:rsid w:val="503EE4F6"/>
    <w:rsid w:val="50402EB1"/>
    <w:rsid w:val="5050CD9F"/>
    <w:rsid w:val="50C32761"/>
    <w:rsid w:val="50D407BC"/>
    <w:rsid w:val="50F72EC0"/>
    <w:rsid w:val="50FA6ECA"/>
    <w:rsid w:val="5104089E"/>
    <w:rsid w:val="510DDA2D"/>
    <w:rsid w:val="512C2D0D"/>
    <w:rsid w:val="51A37481"/>
    <w:rsid w:val="51B632D5"/>
    <w:rsid w:val="51B7C66F"/>
    <w:rsid w:val="5215C140"/>
    <w:rsid w:val="5231806A"/>
    <w:rsid w:val="52353AC6"/>
    <w:rsid w:val="525D8866"/>
    <w:rsid w:val="52F8023D"/>
    <w:rsid w:val="530D1348"/>
    <w:rsid w:val="5399E754"/>
    <w:rsid w:val="53CFD82B"/>
    <w:rsid w:val="53D7856A"/>
    <w:rsid w:val="53EB8021"/>
    <w:rsid w:val="540F622D"/>
    <w:rsid w:val="543AB9DE"/>
    <w:rsid w:val="546271EF"/>
    <w:rsid w:val="547055C4"/>
    <w:rsid w:val="549E7CF4"/>
    <w:rsid w:val="54C0BFEA"/>
    <w:rsid w:val="550754AE"/>
    <w:rsid w:val="55084553"/>
    <w:rsid w:val="550FD613"/>
    <w:rsid w:val="55245693"/>
    <w:rsid w:val="554305EE"/>
    <w:rsid w:val="55A08AA8"/>
    <w:rsid w:val="55A5464F"/>
    <w:rsid w:val="561AE09A"/>
    <w:rsid w:val="56585D15"/>
    <w:rsid w:val="56622819"/>
    <w:rsid w:val="566697ED"/>
    <w:rsid w:val="5667D21F"/>
    <w:rsid w:val="568C61E1"/>
    <w:rsid w:val="569296E3"/>
    <w:rsid w:val="56D0BC22"/>
    <w:rsid w:val="573485E2"/>
    <w:rsid w:val="573960B7"/>
    <w:rsid w:val="57550329"/>
    <w:rsid w:val="57650901"/>
    <w:rsid w:val="576C6966"/>
    <w:rsid w:val="577F09D6"/>
    <w:rsid w:val="57A551F7"/>
    <w:rsid w:val="580CC875"/>
    <w:rsid w:val="581BF1AA"/>
    <w:rsid w:val="58659F81"/>
    <w:rsid w:val="586CF58F"/>
    <w:rsid w:val="5895C52C"/>
    <w:rsid w:val="58A7E900"/>
    <w:rsid w:val="58AC182B"/>
    <w:rsid w:val="58CD8211"/>
    <w:rsid w:val="58CDA930"/>
    <w:rsid w:val="58D22F23"/>
    <w:rsid w:val="58EC3DB7"/>
    <w:rsid w:val="596909B4"/>
    <w:rsid w:val="5990C82C"/>
    <w:rsid w:val="59CB8E59"/>
    <w:rsid w:val="59DCE919"/>
    <w:rsid w:val="59EFC636"/>
    <w:rsid w:val="5A01FBC4"/>
    <w:rsid w:val="5A2FFDC0"/>
    <w:rsid w:val="5A4B2150"/>
    <w:rsid w:val="5A904C62"/>
    <w:rsid w:val="5AA39EC1"/>
    <w:rsid w:val="5ABAF880"/>
    <w:rsid w:val="5AF1DB69"/>
    <w:rsid w:val="5B5A0769"/>
    <w:rsid w:val="5C196AE5"/>
    <w:rsid w:val="5C61FA22"/>
    <w:rsid w:val="5C6834BE"/>
    <w:rsid w:val="5C6FE508"/>
    <w:rsid w:val="5CD1BF16"/>
    <w:rsid w:val="5D6A6C87"/>
    <w:rsid w:val="5DBB769E"/>
    <w:rsid w:val="5DE33F8A"/>
    <w:rsid w:val="5DE3E972"/>
    <w:rsid w:val="5E1F1BD5"/>
    <w:rsid w:val="5E54EE63"/>
    <w:rsid w:val="5E76C978"/>
    <w:rsid w:val="5EB3C6C3"/>
    <w:rsid w:val="5EC3C158"/>
    <w:rsid w:val="5F055704"/>
    <w:rsid w:val="5F32A96B"/>
    <w:rsid w:val="5F572696"/>
    <w:rsid w:val="5F5CE01A"/>
    <w:rsid w:val="5FC7ACB3"/>
    <w:rsid w:val="5FCD17EA"/>
    <w:rsid w:val="6094B1EB"/>
    <w:rsid w:val="609F7FD1"/>
    <w:rsid w:val="60AFFF03"/>
    <w:rsid w:val="60E6FBAF"/>
    <w:rsid w:val="617561ED"/>
    <w:rsid w:val="62845D5F"/>
    <w:rsid w:val="628A3B9A"/>
    <w:rsid w:val="63D17ABE"/>
    <w:rsid w:val="64187AAE"/>
    <w:rsid w:val="642990FC"/>
    <w:rsid w:val="646DFA1D"/>
    <w:rsid w:val="64EE9F8B"/>
    <w:rsid w:val="64F29C28"/>
    <w:rsid w:val="650F45D0"/>
    <w:rsid w:val="65184A55"/>
    <w:rsid w:val="65535495"/>
    <w:rsid w:val="657A19E5"/>
    <w:rsid w:val="65953F0E"/>
    <w:rsid w:val="65C2E52E"/>
    <w:rsid w:val="66070A7F"/>
    <w:rsid w:val="6611089A"/>
    <w:rsid w:val="66425C61"/>
    <w:rsid w:val="664B370F"/>
    <w:rsid w:val="665458CB"/>
    <w:rsid w:val="66B161D1"/>
    <w:rsid w:val="66F33720"/>
    <w:rsid w:val="67430A64"/>
    <w:rsid w:val="678034D3"/>
    <w:rsid w:val="67CCC571"/>
    <w:rsid w:val="68093B55"/>
    <w:rsid w:val="681D4DCF"/>
    <w:rsid w:val="684ACE33"/>
    <w:rsid w:val="684B2F5C"/>
    <w:rsid w:val="68645168"/>
    <w:rsid w:val="688E0B40"/>
    <w:rsid w:val="68959810"/>
    <w:rsid w:val="68DF9697"/>
    <w:rsid w:val="69205CCB"/>
    <w:rsid w:val="6929A108"/>
    <w:rsid w:val="692C18BB"/>
    <w:rsid w:val="6939B83F"/>
    <w:rsid w:val="696C1845"/>
    <w:rsid w:val="696E1247"/>
    <w:rsid w:val="697B58F1"/>
    <w:rsid w:val="69A90056"/>
    <w:rsid w:val="69FAF2D9"/>
    <w:rsid w:val="6A166C7D"/>
    <w:rsid w:val="6A1CE860"/>
    <w:rsid w:val="6A32D12F"/>
    <w:rsid w:val="6A860412"/>
    <w:rsid w:val="6A9CC2A5"/>
    <w:rsid w:val="6AA80AF1"/>
    <w:rsid w:val="6ABED7CC"/>
    <w:rsid w:val="6AE6B95B"/>
    <w:rsid w:val="6AEB26CF"/>
    <w:rsid w:val="6AECA9EC"/>
    <w:rsid w:val="6B149CF1"/>
    <w:rsid w:val="6B158881"/>
    <w:rsid w:val="6B1A660D"/>
    <w:rsid w:val="6B2E336B"/>
    <w:rsid w:val="6B562A68"/>
    <w:rsid w:val="6B8ABD5E"/>
    <w:rsid w:val="6BB7BB53"/>
    <w:rsid w:val="6C675B3A"/>
    <w:rsid w:val="6CBCEC18"/>
    <w:rsid w:val="6CC992EB"/>
    <w:rsid w:val="6D00CD4D"/>
    <w:rsid w:val="6D0A4796"/>
    <w:rsid w:val="6D272F1A"/>
    <w:rsid w:val="6D4800A1"/>
    <w:rsid w:val="6D9E9AA1"/>
    <w:rsid w:val="6DB48648"/>
    <w:rsid w:val="6E1662A8"/>
    <w:rsid w:val="6E2BF25F"/>
    <w:rsid w:val="6E8CA207"/>
    <w:rsid w:val="6ED0E7C5"/>
    <w:rsid w:val="6F43B2DA"/>
    <w:rsid w:val="6F803610"/>
    <w:rsid w:val="6F933ED6"/>
    <w:rsid w:val="6F9EC283"/>
    <w:rsid w:val="6FC5E190"/>
    <w:rsid w:val="7002F348"/>
    <w:rsid w:val="70280E54"/>
    <w:rsid w:val="702F0BF4"/>
    <w:rsid w:val="7049344F"/>
    <w:rsid w:val="704B322B"/>
    <w:rsid w:val="7050B807"/>
    <w:rsid w:val="707DF129"/>
    <w:rsid w:val="70C84CE6"/>
    <w:rsid w:val="70DDD559"/>
    <w:rsid w:val="716AF493"/>
    <w:rsid w:val="71FFEF04"/>
    <w:rsid w:val="720FAABC"/>
    <w:rsid w:val="722A22DD"/>
    <w:rsid w:val="72723725"/>
    <w:rsid w:val="72A45446"/>
    <w:rsid w:val="7316D814"/>
    <w:rsid w:val="73196021"/>
    <w:rsid w:val="734621EB"/>
    <w:rsid w:val="7347854F"/>
    <w:rsid w:val="73563EF8"/>
    <w:rsid w:val="73CC9E15"/>
    <w:rsid w:val="746EFFBD"/>
    <w:rsid w:val="74BCB0AC"/>
    <w:rsid w:val="74D0269F"/>
    <w:rsid w:val="74DC413A"/>
    <w:rsid w:val="752E6AF1"/>
    <w:rsid w:val="7541EDF6"/>
    <w:rsid w:val="754702AE"/>
    <w:rsid w:val="757AB2F3"/>
    <w:rsid w:val="757AD398"/>
    <w:rsid w:val="7585A98F"/>
    <w:rsid w:val="75A77407"/>
    <w:rsid w:val="75DDF443"/>
    <w:rsid w:val="762249C5"/>
    <w:rsid w:val="7658A405"/>
    <w:rsid w:val="76AC4D72"/>
    <w:rsid w:val="76B0D29B"/>
    <w:rsid w:val="76B5D40F"/>
    <w:rsid w:val="76BD055B"/>
    <w:rsid w:val="76C16E0A"/>
    <w:rsid w:val="76E0C63B"/>
    <w:rsid w:val="76E3C25C"/>
    <w:rsid w:val="771723A2"/>
    <w:rsid w:val="7722B3F7"/>
    <w:rsid w:val="776BBE1E"/>
    <w:rsid w:val="77D3E841"/>
    <w:rsid w:val="78496ABE"/>
    <w:rsid w:val="787974ED"/>
    <w:rsid w:val="788BF2C8"/>
    <w:rsid w:val="78BBD896"/>
    <w:rsid w:val="78CAAE62"/>
    <w:rsid w:val="78F2A0AF"/>
    <w:rsid w:val="79073701"/>
    <w:rsid w:val="793B455B"/>
    <w:rsid w:val="794AFB26"/>
    <w:rsid w:val="797E54F5"/>
    <w:rsid w:val="79C6C240"/>
    <w:rsid w:val="79D5C5DC"/>
    <w:rsid w:val="79DAA64C"/>
    <w:rsid w:val="79F435B9"/>
    <w:rsid w:val="7A112D0B"/>
    <w:rsid w:val="7A2E3046"/>
    <w:rsid w:val="7A43884B"/>
    <w:rsid w:val="7A5A3949"/>
    <w:rsid w:val="7A5E5876"/>
    <w:rsid w:val="7A79CC79"/>
    <w:rsid w:val="7AB14C47"/>
    <w:rsid w:val="7ABAC4B6"/>
    <w:rsid w:val="7AC26C0D"/>
    <w:rsid w:val="7AF0BCA8"/>
    <w:rsid w:val="7AF496DF"/>
    <w:rsid w:val="7B23FB27"/>
    <w:rsid w:val="7B264AA6"/>
    <w:rsid w:val="7B2D5B55"/>
    <w:rsid w:val="7B6F79A2"/>
    <w:rsid w:val="7B885158"/>
    <w:rsid w:val="7B950621"/>
    <w:rsid w:val="7BAD5062"/>
    <w:rsid w:val="7BE7DB33"/>
    <w:rsid w:val="7CB983D1"/>
    <w:rsid w:val="7CD425ED"/>
    <w:rsid w:val="7CDA70E9"/>
    <w:rsid w:val="7CEBB621"/>
    <w:rsid w:val="7CFBBDD8"/>
    <w:rsid w:val="7D42D6A3"/>
    <w:rsid w:val="7D7A0756"/>
    <w:rsid w:val="7DFE2431"/>
    <w:rsid w:val="7E2E8D92"/>
    <w:rsid w:val="7E6BD5D9"/>
    <w:rsid w:val="7E728F32"/>
    <w:rsid w:val="7E87CC2A"/>
    <w:rsid w:val="7EA68C60"/>
    <w:rsid w:val="7EB72C85"/>
    <w:rsid w:val="7EBBBB4E"/>
    <w:rsid w:val="7ECA38B9"/>
    <w:rsid w:val="7EE8C803"/>
    <w:rsid w:val="7F0E1404"/>
    <w:rsid w:val="7F14CCD2"/>
    <w:rsid w:val="7FA96EE3"/>
    <w:rsid w:val="7FB59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F906"/>
  <w14:defaultImageDpi w14:val="32767"/>
  <w15:chartTrackingRefBased/>
  <w15:docId w15:val="{D5CC83F2-054C-4F21-90EC-B4184C05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2"/>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6"/>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6"/>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6"/>
      </w:numPr>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 w:type="character" w:styleId="PlaceholderText">
    <w:name w:val="Placeholder Text"/>
    <w:basedOn w:val="DefaultParagraphFont"/>
    <w:uiPriority w:val="99"/>
    <w:semiHidden/>
    <w:rsid w:val="00566CF6"/>
    <w:rPr>
      <w:color w:val="808080"/>
    </w:rPr>
  </w:style>
  <w:style w:type="paragraph" w:customStyle="1" w:styleId="DJCSbody">
    <w:name w:val="DJCS body"/>
    <w:link w:val="DJCSbodyChar"/>
    <w:qFormat/>
    <w:rsid w:val="00114EB2"/>
    <w:pPr>
      <w:spacing w:after="120" w:line="250" w:lineRule="atLeast"/>
      <w:ind w:left="851"/>
    </w:pPr>
    <w:rPr>
      <w:rFonts w:ascii="Arial" w:eastAsia="Times" w:hAnsi="Arial" w:cs="Times New Roman"/>
      <w:sz w:val="22"/>
      <w:szCs w:val="20"/>
      <w:lang w:val="en-AU"/>
    </w:rPr>
  </w:style>
  <w:style w:type="character" w:customStyle="1" w:styleId="DJCSbodyChar">
    <w:name w:val="DJCS body Char"/>
    <w:basedOn w:val="DefaultParagraphFont"/>
    <w:link w:val="DJCSbody"/>
    <w:rsid w:val="00114EB2"/>
    <w:rPr>
      <w:rFonts w:ascii="Arial" w:eastAsia="Times" w:hAnsi="Arial" w:cs="Times New Roman"/>
      <w:sz w:val="22"/>
      <w:szCs w:val="20"/>
      <w:lang w:val="en-AU"/>
    </w:rPr>
  </w:style>
  <w:style w:type="character" w:customStyle="1" w:styleId="normaltextrun">
    <w:name w:val="normaltextrun"/>
    <w:basedOn w:val="DefaultParagraphFont"/>
    <w:rsid w:val="006D603F"/>
  </w:style>
  <w:style w:type="character" w:styleId="Emphasis">
    <w:name w:val="Emphasis"/>
    <w:basedOn w:val="DefaultParagraphFont"/>
    <w:uiPriority w:val="20"/>
    <w:qFormat/>
    <w:rsid w:val="00032331"/>
    <w:rPr>
      <w:i/>
      <w:iCs/>
    </w:rPr>
  </w:style>
  <w:style w:type="character" w:customStyle="1" w:styleId="rpl-text-label">
    <w:name w:val="rpl-text-label"/>
    <w:basedOn w:val="DefaultParagraphFont"/>
    <w:rsid w:val="00D329E8"/>
  </w:style>
  <w:style w:type="character" w:customStyle="1" w:styleId="rpl-text-icongroup">
    <w:name w:val="rpl-text-icon__group"/>
    <w:basedOn w:val="DefaultParagraphFont"/>
    <w:rsid w:val="00D329E8"/>
  </w:style>
  <w:style w:type="character" w:customStyle="1" w:styleId="highlightedtext-926">
    <w:name w:val="highlightedtext-926"/>
    <w:basedOn w:val="DefaultParagraphFont"/>
    <w:rsid w:val="009551F5"/>
  </w:style>
  <w:style w:type="character" w:customStyle="1" w:styleId="text-446">
    <w:name w:val="text-446"/>
    <w:basedOn w:val="DefaultParagraphFont"/>
    <w:rsid w:val="009551F5"/>
  </w:style>
  <w:style w:type="character" w:customStyle="1" w:styleId="cf01">
    <w:name w:val="cf01"/>
    <w:basedOn w:val="DefaultParagraphFont"/>
    <w:rsid w:val="005915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186142332">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551771843">
      <w:bodyDiv w:val="1"/>
      <w:marLeft w:val="0"/>
      <w:marRight w:val="0"/>
      <w:marTop w:val="0"/>
      <w:marBottom w:val="0"/>
      <w:divBdr>
        <w:top w:val="none" w:sz="0" w:space="0" w:color="auto"/>
        <w:left w:val="none" w:sz="0" w:space="0" w:color="auto"/>
        <w:bottom w:val="none" w:sz="0" w:space="0" w:color="auto"/>
        <w:right w:val="none" w:sz="0" w:space="0" w:color="auto"/>
      </w:divBdr>
    </w:div>
    <w:div w:id="648443601">
      <w:bodyDiv w:val="1"/>
      <w:marLeft w:val="0"/>
      <w:marRight w:val="0"/>
      <w:marTop w:val="0"/>
      <w:marBottom w:val="0"/>
      <w:divBdr>
        <w:top w:val="none" w:sz="0" w:space="0" w:color="auto"/>
        <w:left w:val="none" w:sz="0" w:space="0" w:color="auto"/>
        <w:bottom w:val="none" w:sz="0" w:space="0" w:color="auto"/>
        <w:right w:val="none" w:sz="0" w:space="0" w:color="auto"/>
      </w:divBdr>
    </w:div>
    <w:div w:id="650905954">
      <w:bodyDiv w:val="1"/>
      <w:marLeft w:val="0"/>
      <w:marRight w:val="0"/>
      <w:marTop w:val="0"/>
      <w:marBottom w:val="0"/>
      <w:divBdr>
        <w:top w:val="none" w:sz="0" w:space="0" w:color="auto"/>
        <w:left w:val="none" w:sz="0" w:space="0" w:color="auto"/>
        <w:bottom w:val="none" w:sz="0" w:space="0" w:color="auto"/>
        <w:right w:val="none" w:sz="0" w:space="0" w:color="auto"/>
      </w:divBdr>
    </w:div>
    <w:div w:id="678776745">
      <w:bodyDiv w:val="1"/>
      <w:marLeft w:val="0"/>
      <w:marRight w:val="0"/>
      <w:marTop w:val="0"/>
      <w:marBottom w:val="0"/>
      <w:divBdr>
        <w:top w:val="none" w:sz="0" w:space="0" w:color="auto"/>
        <w:left w:val="none" w:sz="0" w:space="0" w:color="auto"/>
        <w:bottom w:val="none" w:sz="0" w:space="0" w:color="auto"/>
        <w:right w:val="none" w:sz="0" w:space="0" w:color="auto"/>
      </w:divBdr>
    </w:div>
    <w:div w:id="736978153">
      <w:bodyDiv w:val="1"/>
      <w:marLeft w:val="0"/>
      <w:marRight w:val="0"/>
      <w:marTop w:val="0"/>
      <w:marBottom w:val="0"/>
      <w:divBdr>
        <w:top w:val="none" w:sz="0" w:space="0" w:color="auto"/>
        <w:left w:val="none" w:sz="0" w:space="0" w:color="auto"/>
        <w:bottom w:val="none" w:sz="0" w:space="0" w:color="auto"/>
        <w:right w:val="none" w:sz="0" w:space="0" w:color="auto"/>
      </w:divBdr>
    </w:div>
    <w:div w:id="752432570">
      <w:bodyDiv w:val="1"/>
      <w:marLeft w:val="0"/>
      <w:marRight w:val="0"/>
      <w:marTop w:val="0"/>
      <w:marBottom w:val="0"/>
      <w:divBdr>
        <w:top w:val="none" w:sz="0" w:space="0" w:color="auto"/>
        <w:left w:val="none" w:sz="0" w:space="0" w:color="auto"/>
        <w:bottom w:val="none" w:sz="0" w:space="0" w:color="auto"/>
        <w:right w:val="none" w:sz="0" w:space="0" w:color="auto"/>
      </w:divBdr>
    </w:div>
    <w:div w:id="823158798">
      <w:bodyDiv w:val="1"/>
      <w:marLeft w:val="0"/>
      <w:marRight w:val="0"/>
      <w:marTop w:val="0"/>
      <w:marBottom w:val="0"/>
      <w:divBdr>
        <w:top w:val="none" w:sz="0" w:space="0" w:color="auto"/>
        <w:left w:val="none" w:sz="0" w:space="0" w:color="auto"/>
        <w:bottom w:val="none" w:sz="0" w:space="0" w:color="auto"/>
        <w:right w:val="none" w:sz="0" w:space="0" w:color="auto"/>
      </w:divBdr>
      <w:divsChild>
        <w:div w:id="1537278697">
          <w:marLeft w:val="547"/>
          <w:marRight w:val="0"/>
          <w:marTop w:val="0"/>
          <w:marBottom w:val="0"/>
          <w:divBdr>
            <w:top w:val="none" w:sz="0" w:space="0" w:color="auto"/>
            <w:left w:val="none" w:sz="0" w:space="0" w:color="auto"/>
            <w:bottom w:val="none" w:sz="0" w:space="0" w:color="auto"/>
            <w:right w:val="none" w:sz="0" w:space="0" w:color="auto"/>
          </w:divBdr>
        </w:div>
      </w:divsChild>
    </w:div>
    <w:div w:id="834303676">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57106971">
      <w:bodyDiv w:val="1"/>
      <w:marLeft w:val="0"/>
      <w:marRight w:val="0"/>
      <w:marTop w:val="0"/>
      <w:marBottom w:val="0"/>
      <w:divBdr>
        <w:top w:val="none" w:sz="0" w:space="0" w:color="auto"/>
        <w:left w:val="none" w:sz="0" w:space="0" w:color="auto"/>
        <w:bottom w:val="none" w:sz="0" w:space="0" w:color="auto"/>
        <w:right w:val="none" w:sz="0" w:space="0" w:color="auto"/>
      </w:divBdr>
    </w:div>
    <w:div w:id="987899567">
      <w:bodyDiv w:val="1"/>
      <w:marLeft w:val="0"/>
      <w:marRight w:val="0"/>
      <w:marTop w:val="0"/>
      <w:marBottom w:val="0"/>
      <w:divBdr>
        <w:top w:val="none" w:sz="0" w:space="0" w:color="auto"/>
        <w:left w:val="none" w:sz="0" w:space="0" w:color="auto"/>
        <w:bottom w:val="none" w:sz="0" w:space="0" w:color="auto"/>
        <w:right w:val="none" w:sz="0" w:space="0" w:color="auto"/>
      </w:divBdr>
    </w:div>
    <w:div w:id="1005204568">
      <w:bodyDiv w:val="1"/>
      <w:marLeft w:val="0"/>
      <w:marRight w:val="0"/>
      <w:marTop w:val="0"/>
      <w:marBottom w:val="0"/>
      <w:divBdr>
        <w:top w:val="none" w:sz="0" w:space="0" w:color="auto"/>
        <w:left w:val="none" w:sz="0" w:space="0" w:color="auto"/>
        <w:bottom w:val="none" w:sz="0" w:space="0" w:color="auto"/>
        <w:right w:val="none" w:sz="0" w:space="0" w:color="auto"/>
      </w:divBdr>
    </w:div>
    <w:div w:id="1100682133">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206017748">
      <w:bodyDiv w:val="1"/>
      <w:marLeft w:val="0"/>
      <w:marRight w:val="0"/>
      <w:marTop w:val="0"/>
      <w:marBottom w:val="0"/>
      <w:divBdr>
        <w:top w:val="none" w:sz="0" w:space="0" w:color="auto"/>
        <w:left w:val="none" w:sz="0" w:space="0" w:color="auto"/>
        <w:bottom w:val="none" w:sz="0" w:space="0" w:color="auto"/>
        <w:right w:val="none" w:sz="0" w:space="0" w:color="auto"/>
      </w:divBdr>
    </w:div>
    <w:div w:id="1285621769">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40892527">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449818801">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597013924">
      <w:bodyDiv w:val="1"/>
      <w:marLeft w:val="0"/>
      <w:marRight w:val="0"/>
      <w:marTop w:val="0"/>
      <w:marBottom w:val="0"/>
      <w:divBdr>
        <w:top w:val="none" w:sz="0" w:space="0" w:color="auto"/>
        <w:left w:val="none" w:sz="0" w:space="0" w:color="auto"/>
        <w:bottom w:val="none" w:sz="0" w:space="0" w:color="auto"/>
        <w:right w:val="none" w:sz="0" w:space="0" w:color="auto"/>
      </w:divBdr>
    </w:div>
    <w:div w:id="1610969286">
      <w:bodyDiv w:val="1"/>
      <w:marLeft w:val="0"/>
      <w:marRight w:val="0"/>
      <w:marTop w:val="0"/>
      <w:marBottom w:val="0"/>
      <w:divBdr>
        <w:top w:val="none" w:sz="0" w:space="0" w:color="auto"/>
        <w:left w:val="none" w:sz="0" w:space="0" w:color="auto"/>
        <w:bottom w:val="none" w:sz="0" w:space="0" w:color="auto"/>
        <w:right w:val="none" w:sz="0" w:space="0" w:color="auto"/>
      </w:divBdr>
    </w:div>
    <w:div w:id="1615748441">
      <w:bodyDiv w:val="1"/>
      <w:marLeft w:val="0"/>
      <w:marRight w:val="0"/>
      <w:marTop w:val="0"/>
      <w:marBottom w:val="0"/>
      <w:divBdr>
        <w:top w:val="none" w:sz="0" w:space="0" w:color="auto"/>
        <w:left w:val="none" w:sz="0" w:space="0" w:color="auto"/>
        <w:bottom w:val="none" w:sz="0" w:space="0" w:color="auto"/>
        <w:right w:val="none" w:sz="0" w:space="0" w:color="auto"/>
      </w:divBdr>
    </w:div>
    <w:div w:id="1731147264">
      <w:bodyDiv w:val="1"/>
      <w:marLeft w:val="0"/>
      <w:marRight w:val="0"/>
      <w:marTop w:val="0"/>
      <w:marBottom w:val="0"/>
      <w:divBdr>
        <w:top w:val="none" w:sz="0" w:space="0" w:color="auto"/>
        <w:left w:val="none" w:sz="0" w:space="0" w:color="auto"/>
        <w:bottom w:val="none" w:sz="0" w:space="0" w:color="auto"/>
        <w:right w:val="none" w:sz="0" w:space="0" w:color="auto"/>
      </w:divBdr>
    </w:div>
    <w:div w:id="1732116898">
      <w:bodyDiv w:val="1"/>
      <w:marLeft w:val="0"/>
      <w:marRight w:val="0"/>
      <w:marTop w:val="0"/>
      <w:marBottom w:val="0"/>
      <w:divBdr>
        <w:top w:val="none" w:sz="0" w:space="0" w:color="auto"/>
        <w:left w:val="none" w:sz="0" w:space="0" w:color="auto"/>
        <w:bottom w:val="none" w:sz="0" w:space="0" w:color="auto"/>
        <w:right w:val="none" w:sz="0" w:space="0" w:color="auto"/>
      </w:divBdr>
    </w:div>
    <w:div w:id="1802919214">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ha.vic.gov.au/ndis-mental-health-toolk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urgent-short-term-and-transformative-change-required-criminal-justice-and-child-protection-syste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6" ma:contentTypeDescription="Create a new document." ma:contentTypeScope="" ma:versionID="d4036ebd60c301f18eb857620fef34c1">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a66a6518db4b1bdad0c8b2fa307e5fda"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ad703-2d9b-4b4a-901b-4e1e25f667a0}"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SharedWithUsers xmlns="e90065c7-7f7f-4df0-a469-5749d80eada3">
      <UserInfo>
        <DisplayName>Ammar Zafar</DisplayName>
        <AccountId>570</AccountId>
        <AccountType/>
      </UserInfo>
      <UserInfo>
        <DisplayName>Vanessa Hirst</DisplayName>
        <AccountId>14</AccountId>
        <AccountType/>
      </UserInfo>
      <UserInfo>
        <DisplayName>Matthew Dale</DisplayName>
        <AccountId>16</AccountId>
        <AccountType/>
      </UserInfo>
      <UserInfo>
        <DisplayName>Megan Panayi</DisplayName>
        <AccountId>343</AccountId>
        <AccountType/>
      </UserInfo>
      <UserInfo>
        <DisplayName>Chris Sheard</DisplayName>
        <AccountId>7</AccountId>
        <AccountType/>
      </UserInfo>
      <UserInfo>
        <DisplayName>Martha Arkalis</DisplayName>
        <AccountId>157</AccountId>
        <AccountType/>
      </UserInfo>
      <UserInfo>
        <DisplayName>Liz Borgia</DisplayName>
        <AccountId>175</AccountId>
        <AccountType/>
      </UserInfo>
      <UserInfo>
        <DisplayName>Kayleigh Elborn</DisplayName>
        <AccountId>579</AccountId>
        <AccountType/>
      </UserInfo>
      <UserInfo>
        <DisplayName>Cameron Hume</DisplayName>
        <AccountId>21</AccountId>
        <AccountType/>
      </UserInfo>
      <UserInfo>
        <DisplayName>Rowan McRae</DisplayName>
        <AccountId>33</AccountId>
        <AccountType/>
      </UserInfo>
    </SharedWithUsers>
  </documentManagement>
</p:properties>
</file>

<file path=customXml/itemProps1.xml><?xml version="1.0" encoding="utf-8"?>
<ds:datastoreItem xmlns:ds="http://schemas.openxmlformats.org/officeDocument/2006/customXml" ds:itemID="{1155BD34-4C78-4625-B136-09FD1AD3B37F}">
  <ds:schemaRefs>
    <ds:schemaRef ds:uri="http://schemas.microsoft.com/sharepoint/v3/contenttype/forms"/>
  </ds:schemaRefs>
</ds:datastoreItem>
</file>

<file path=customXml/itemProps2.xml><?xml version="1.0" encoding="utf-8"?>
<ds:datastoreItem xmlns:ds="http://schemas.openxmlformats.org/officeDocument/2006/customXml" ds:itemID="{51A7AA7B-E8EB-4DEC-9104-A7D3A23D9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917E8-0BD7-45B1-987B-6179B3619891}">
  <ds:schemaRefs>
    <ds:schemaRef ds:uri="http://schemas.openxmlformats.org/officeDocument/2006/bibliography"/>
  </ds:schemaRefs>
</ds:datastoreItem>
</file>

<file path=customXml/itemProps4.xml><?xml version="1.0" encoding="utf-8"?>
<ds:datastoreItem xmlns:ds="http://schemas.openxmlformats.org/officeDocument/2006/customXml" ds:itemID="{CA1A29B2-146B-4362-9462-0EA11FBBE540}">
  <ds:schemaRefs>
    <ds:schemaRef ds:uri="http://purl.org/dc/elements/1.1/"/>
    <ds:schemaRef ds:uri="http://schemas.microsoft.com/office/2006/documentManagement/types"/>
    <ds:schemaRef ds:uri="68c7d542-4e7f-4a13-a678-0dc97ca94df5"/>
    <ds:schemaRef ds:uri="http://schemas.microsoft.com/office/2006/metadata/properties"/>
    <ds:schemaRef ds:uri="http://purl.org/dc/terms/"/>
    <ds:schemaRef ds:uri="http://purl.org/dc/dcmitype/"/>
    <ds:schemaRef ds:uri="e90065c7-7f7f-4df0-a469-5749d80eada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VLA Generic (Fact Sheet).dotx</Template>
  <TotalTime>2838</TotalTime>
  <Pages>5</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Victoria Legal Aid 2022–23 Quarter Two Report </vt:lpstr>
    </vt:vector>
  </TitlesOfParts>
  <Company>Victoria Legal Aid</Company>
  <LinksUpToDate>false</LinksUpToDate>
  <CharactersWithSpaces>12034</CharactersWithSpaces>
  <SharedDoc>false</SharedDoc>
  <HLinks>
    <vt:vector size="12" baseType="variant">
      <vt:variant>
        <vt:i4>3342449</vt:i4>
      </vt:variant>
      <vt:variant>
        <vt:i4>6</vt:i4>
      </vt:variant>
      <vt:variant>
        <vt:i4>0</vt:i4>
      </vt:variant>
      <vt:variant>
        <vt:i4>5</vt:i4>
      </vt:variant>
      <vt:variant>
        <vt:lpwstr>https://www.imha.vic.gov.au/ndis-mental-health-toolkit</vt:lpwstr>
      </vt:variant>
      <vt:variant>
        <vt:lpwstr/>
      </vt:variant>
      <vt:variant>
        <vt:i4>3473469</vt:i4>
      </vt:variant>
      <vt:variant>
        <vt:i4>3</vt:i4>
      </vt:variant>
      <vt:variant>
        <vt:i4>0</vt:i4>
      </vt:variant>
      <vt:variant>
        <vt:i4>5</vt:i4>
      </vt:variant>
      <vt:variant>
        <vt:lpwstr>https://www.legalaid.vic.gov.au/urgent-short-term-and-transformative-change-required-criminal-justice-and-child-protection-systems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2022–23 Quarter Two Report </dc:title>
  <dc:subject/>
  <dc:creator>Victoria Legal Aid</dc:creator>
  <cp:keywords/>
  <dc:description/>
  <cp:lastPrinted>2020-02-07T03:56:00Z</cp:lastPrinted>
  <dcterms:created xsi:type="dcterms:W3CDTF">2020-12-24T02:11:00Z</dcterms:created>
  <dcterms:modified xsi:type="dcterms:W3CDTF">2023-03-29T23:53:00Z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0x01010034BBC6DB36EDF94C89C7B7A43F71F587</vt:lpwstr>
  </property>
  <property fmtid="{D5CDD505-2E9C-101B-9397-08002B2CF9AE}" pid="3" name="MSIP_Label_9150236c-7dbd-4fa5-957d-8e3e9c46dc34_Enabled">
    <vt:lpwstr>true</vt:lpwstr>
  </property>
  <property fmtid="{D5CDD505-2E9C-101B-9397-08002B2CF9AE}" pid="4" name="MSIP_Label_9150236c-7dbd-4fa5-957d-8e3e9c46dc34_SetDate">
    <vt:lpwstr>2022-09-20T06:24:51Z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c2447eb9-b69e-401e-9b5e-9746304edce4</vt:lpwstr>
  </property>
  <property fmtid="{D5CDD505-2E9C-101B-9397-08002B2CF9AE}" pid="9" name="MSIP_Label_9150236c-7dbd-4fa5-957d-8e3e9c46dc34_ContentBits">
    <vt:lpwstr>1</vt:lpwstr>
  </property>
  <property fmtid="{D5CDD505-2E9C-101B-9397-08002B2CF9AE}" pid="10" name="MediaServiceImageTags">
    <vt:lpwstr/>
  </property>
</Properties>
</file>