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BB3D" w14:textId="150F1E17" w:rsidR="008A7471" w:rsidRDefault="008A7471" w:rsidP="008A7471">
      <w:pPr>
        <w:pStyle w:val="Heading1"/>
        <w:rPr>
          <w:sz w:val="24"/>
          <w:szCs w:val="24"/>
        </w:rPr>
      </w:pPr>
      <w:r>
        <w:t>Victoria Legal Aid 202</w:t>
      </w:r>
      <w:r w:rsidR="00B22546">
        <w:t>3</w:t>
      </w:r>
      <w:r>
        <w:t>–2</w:t>
      </w:r>
      <w:r w:rsidR="00B22546">
        <w:t>4</w:t>
      </w:r>
      <w:r>
        <w:t xml:space="preserve"> Quarter </w:t>
      </w:r>
      <w:r w:rsidR="00B22546">
        <w:t>One</w:t>
      </w:r>
      <w:r>
        <w:t xml:space="preserve"> Report </w:t>
      </w:r>
      <w:r>
        <w:br/>
      </w:r>
      <w:r w:rsidR="00B22546">
        <w:rPr>
          <w:sz w:val="24"/>
          <w:szCs w:val="24"/>
        </w:rPr>
        <w:t>July</w:t>
      </w:r>
      <w:r w:rsidRPr="6B8ABD5E">
        <w:rPr>
          <w:sz w:val="24"/>
          <w:szCs w:val="24"/>
        </w:rPr>
        <w:t xml:space="preserve"> – </w:t>
      </w:r>
      <w:r w:rsidR="00B22546">
        <w:rPr>
          <w:sz w:val="24"/>
          <w:szCs w:val="24"/>
        </w:rPr>
        <w:t>September</w:t>
      </w:r>
      <w:r>
        <w:rPr>
          <w:sz w:val="24"/>
          <w:szCs w:val="24"/>
        </w:rPr>
        <w:t xml:space="preserve"> </w:t>
      </w:r>
      <w:r w:rsidRPr="6B8ABD5E">
        <w:rPr>
          <w:sz w:val="24"/>
          <w:szCs w:val="24"/>
        </w:rPr>
        <w:t>20</w:t>
      </w:r>
      <w:r>
        <w:rPr>
          <w:sz w:val="24"/>
          <w:szCs w:val="24"/>
        </w:rPr>
        <w:t>23</w:t>
      </w:r>
    </w:p>
    <w:p w14:paraId="61DF8922" w14:textId="6ABDF0C0" w:rsidR="008A7471" w:rsidRDefault="008A7471" w:rsidP="00B22546">
      <w:pPr>
        <w:pStyle w:val="Heading2"/>
      </w:pPr>
      <w:r>
        <w:t xml:space="preserve">Message from the </w:t>
      </w:r>
      <w:r w:rsidR="00AF1DE6">
        <w:t xml:space="preserve">Acting </w:t>
      </w:r>
      <w:r w:rsidRPr="001F0CF5">
        <w:t>CEO</w:t>
      </w:r>
    </w:p>
    <w:p w14:paraId="0955D797" w14:textId="12CDC7AB" w:rsidR="00D40CD8" w:rsidRPr="00657160" w:rsidRDefault="00D40CD8" w:rsidP="00D40CD8">
      <w:pPr>
        <w:rPr>
          <w:lang w:eastAsia="en-AU"/>
        </w:rPr>
      </w:pPr>
      <w:r w:rsidRPr="00273784">
        <w:rPr>
          <w:rFonts w:cs="Arial"/>
        </w:rPr>
        <w:t xml:space="preserve">We continue to prioritise achieving better outcomes for First Nations people in the legal system by following the lead, expertise, and solutions of First Nations people themselves. In October we released our third </w:t>
      </w:r>
      <w:hyperlink r:id="rId11" w:history="1">
        <w:r w:rsidRPr="00273784">
          <w:rPr>
            <w:rStyle w:val="Hyperlink"/>
            <w:rFonts w:cs="Arial"/>
          </w:rPr>
          <w:t>Reconciliation Action Plan</w:t>
        </w:r>
      </w:hyperlink>
      <w:r>
        <w:rPr>
          <w:rFonts w:cs="Arial"/>
          <w:color w:val="011A3C"/>
        </w:rPr>
        <w:t xml:space="preserve"> </w:t>
      </w:r>
      <w:r w:rsidRPr="00476EC7">
        <w:rPr>
          <w:rFonts w:cs="Arial"/>
        </w:rPr>
        <w:t xml:space="preserve">to guide our work in building stronger relationships with </w:t>
      </w:r>
      <w:r>
        <w:rPr>
          <w:rFonts w:cs="Arial"/>
        </w:rPr>
        <w:t>First Nations communities and Aboriginal community-controlled organisations.</w:t>
      </w:r>
      <w:r w:rsidRPr="00E943A8">
        <w:rPr>
          <w:rFonts w:cs="Arial"/>
        </w:rPr>
        <w:t xml:space="preserve"> We have a responsibility within the legal assistance sector to improve the cultural safety and responsiveness of our workplaces and services for First Nations people.</w:t>
      </w:r>
      <w:r w:rsidR="000E0791">
        <w:rPr>
          <w:rFonts w:cs="Arial"/>
        </w:rPr>
        <w:t xml:space="preserve"> We recognise the importance of </w:t>
      </w:r>
      <w:r w:rsidR="008F2474">
        <w:rPr>
          <w:rFonts w:cs="Arial"/>
        </w:rPr>
        <w:t>increasing opportunities for First Nations people at Victoria Legal Aid (VLA)</w:t>
      </w:r>
      <w:r w:rsidR="00A31DBB">
        <w:rPr>
          <w:rFonts w:cs="Arial"/>
        </w:rPr>
        <w:t>. A diverse workforce is essential to achieving services that are culturally safe and responsive</w:t>
      </w:r>
      <w:r w:rsidR="00230F9C">
        <w:rPr>
          <w:rFonts w:cs="Arial"/>
        </w:rPr>
        <w:t>.</w:t>
      </w:r>
      <w:r w:rsidR="00D70A23">
        <w:rPr>
          <w:rFonts w:cs="Arial"/>
        </w:rPr>
        <w:t xml:space="preserve"> </w:t>
      </w:r>
      <w:r w:rsidR="00A31DBB">
        <w:rPr>
          <w:rFonts w:cs="Arial"/>
        </w:rPr>
        <w:t xml:space="preserve"> </w:t>
      </w:r>
    </w:p>
    <w:p w14:paraId="4FBF83E7" w14:textId="7B71A0C4" w:rsidR="00657160" w:rsidRDefault="008C0C14" w:rsidP="008A7471">
      <w:pPr>
        <w:rPr>
          <w:rFonts w:cs="Arial"/>
        </w:rPr>
      </w:pPr>
      <w:r w:rsidRPr="008C0C14">
        <w:rPr>
          <w:lang w:eastAsia="en-AU"/>
        </w:rPr>
        <w:t xml:space="preserve">October </w:t>
      </w:r>
      <w:r w:rsidR="008539CF">
        <w:rPr>
          <w:lang w:eastAsia="en-AU"/>
        </w:rPr>
        <w:t>w</w:t>
      </w:r>
      <w:r w:rsidRPr="008C0C14">
        <w:rPr>
          <w:lang w:eastAsia="en-AU"/>
        </w:rPr>
        <w:t xml:space="preserve">as Mental Health </w:t>
      </w:r>
      <w:r w:rsidR="00007954">
        <w:rPr>
          <w:lang w:eastAsia="en-AU"/>
        </w:rPr>
        <w:t>Month</w:t>
      </w:r>
      <w:r w:rsidR="00150B98">
        <w:rPr>
          <w:lang w:eastAsia="en-AU"/>
        </w:rPr>
        <w:t>,</w:t>
      </w:r>
      <w:r w:rsidR="00007954">
        <w:rPr>
          <w:lang w:eastAsia="en-AU"/>
        </w:rPr>
        <w:t xml:space="preserve"> and </w:t>
      </w:r>
      <w:hyperlink r:id="rId12" w:history="1">
        <w:r w:rsidR="00007954" w:rsidRPr="00327794">
          <w:rPr>
            <w:rStyle w:val="Hyperlink"/>
            <w:lang w:eastAsia="en-AU"/>
          </w:rPr>
          <w:t>our vision</w:t>
        </w:r>
      </w:hyperlink>
      <w:r w:rsidR="00007954">
        <w:rPr>
          <w:lang w:eastAsia="en-AU"/>
        </w:rPr>
        <w:t xml:space="preserve"> for Victoria’s mental health system is that </w:t>
      </w:r>
      <w:r w:rsidR="0052333D">
        <w:rPr>
          <w:lang w:eastAsia="en-AU"/>
        </w:rPr>
        <w:t xml:space="preserve">people get the support they </w:t>
      </w:r>
      <w:r w:rsidR="00DC4A69">
        <w:rPr>
          <w:lang w:eastAsia="en-AU"/>
        </w:rPr>
        <w:t>want when</w:t>
      </w:r>
      <w:r w:rsidR="0052333D">
        <w:rPr>
          <w:lang w:eastAsia="en-AU"/>
        </w:rPr>
        <w:t xml:space="preserve"> they want it. Through the work of our lawyers </w:t>
      </w:r>
      <w:r w:rsidR="005C3462">
        <w:rPr>
          <w:lang w:eastAsia="en-AU"/>
        </w:rPr>
        <w:t>at Mental Health Tribunals</w:t>
      </w:r>
      <w:r w:rsidR="00150B98">
        <w:rPr>
          <w:lang w:eastAsia="en-AU"/>
        </w:rPr>
        <w:t>,</w:t>
      </w:r>
      <w:r w:rsidR="005C3462">
        <w:rPr>
          <w:lang w:eastAsia="en-AU"/>
        </w:rPr>
        <w:t xml:space="preserve"> and our Independent Mental Health </w:t>
      </w:r>
      <w:r w:rsidR="00225411">
        <w:rPr>
          <w:lang w:eastAsia="en-AU"/>
        </w:rPr>
        <w:t>A</w:t>
      </w:r>
      <w:r w:rsidR="005C3462">
        <w:rPr>
          <w:lang w:eastAsia="en-AU"/>
        </w:rPr>
        <w:t>dvocates</w:t>
      </w:r>
      <w:r w:rsidR="00225411">
        <w:rPr>
          <w:lang w:eastAsia="en-AU"/>
        </w:rPr>
        <w:t xml:space="preserve"> (IMHA)</w:t>
      </w:r>
      <w:r w:rsidR="00150B98">
        <w:rPr>
          <w:lang w:eastAsia="en-AU"/>
        </w:rPr>
        <w:t>,</w:t>
      </w:r>
      <w:r w:rsidR="005C3462">
        <w:rPr>
          <w:lang w:eastAsia="en-AU"/>
        </w:rPr>
        <w:t xml:space="preserve"> </w:t>
      </w:r>
      <w:r w:rsidR="00DC4A69">
        <w:rPr>
          <w:lang w:eastAsia="en-AU"/>
        </w:rPr>
        <w:t xml:space="preserve">we have seen how compulsory assessment and treatment </w:t>
      </w:r>
      <w:r w:rsidR="00EA056D">
        <w:rPr>
          <w:lang w:eastAsia="en-AU"/>
        </w:rPr>
        <w:t xml:space="preserve">operates and the harmful impacts </w:t>
      </w:r>
      <w:r w:rsidR="002325A4">
        <w:rPr>
          <w:lang w:eastAsia="en-AU"/>
        </w:rPr>
        <w:t>of</w:t>
      </w:r>
      <w:r w:rsidR="00EA056D">
        <w:rPr>
          <w:lang w:eastAsia="en-AU"/>
        </w:rPr>
        <w:t xml:space="preserve"> removing </w:t>
      </w:r>
      <w:r w:rsidR="009570E2">
        <w:rPr>
          <w:lang w:eastAsia="en-AU"/>
        </w:rPr>
        <w:t>the voices and views of people undergoing treatment</w:t>
      </w:r>
      <w:r w:rsidR="00EA056D">
        <w:rPr>
          <w:lang w:eastAsia="en-AU"/>
        </w:rPr>
        <w:t>.</w:t>
      </w:r>
      <w:r w:rsidR="0090225D">
        <w:rPr>
          <w:lang w:eastAsia="en-AU"/>
        </w:rPr>
        <w:t xml:space="preserve"> </w:t>
      </w:r>
      <w:r w:rsidR="0090225D" w:rsidRPr="0090225D">
        <w:rPr>
          <w:rFonts w:cs="Arial"/>
        </w:rPr>
        <w:t>Working towards the elimination of compulsory treatment will provide a framework to achieve a right</w:t>
      </w:r>
      <w:r w:rsidR="00E9361F">
        <w:rPr>
          <w:rFonts w:cs="Arial"/>
        </w:rPr>
        <w:t>s</w:t>
      </w:r>
      <w:r w:rsidR="0090225D" w:rsidRPr="0090225D">
        <w:rPr>
          <w:rFonts w:cs="Arial"/>
        </w:rPr>
        <w:t>-based mental health system and we are committed to working with the sector to achieve this change.</w:t>
      </w:r>
      <w:r w:rsidR="00D331A5">
        <w:rPr>
          <w:rFonts w:cs="Arial"/>
        </w:rPr>
        <w:t xml:space="preserve"> </w:t>
      </w:r>
      <w:r w:rsidR="00225411" w:rsidRPr="00225411">
        <w:rPr>
          <w:lang w:eastAsia="en-AU"/>
        </w:rPr>
        <w:t>Each year, IMHA provides thousands of information and referral services, and directly advocates on behalf of consumers or supports their self-advocacy to ensure their voices are heard.</w:t>
      </w:r>
      <w:r w:rsidR="00AF2934">
        <w:rPr>
          <w:lang w:eastAsia="en-AU"/>
        </w:rPr>
        <w:t xml:space="preserve"> We are also working with </w:t>
      </w:r>
      <w:r w:rsidR="00F45E6B">
        <w:rPr>
          <w:lang w:eastAsia="en-AU"/>
        </w:rPr>
        <w:t>the Victorian Aboriginal Legal Service and the Mental Health</w:t>
      </w:r>
      <w:r w:rsidR="00B6371A">
        <w:rPr>
          <w:lang w:eastAsia="en-AU"/>
        </w:rPr>
        <w:t xml:space="preserve"> Legal Centre to develop a new legal services model to support more consumer</w:t>
      </w:r>
      <w:r w:rsidR="00E402A8">
        <w:rPr>
          <w:lang w:eastAsia="en-AU"/>
        </w:rPr>
        <w:t>s</w:t>
      </w:r>
      <w:r w:rsidR="00B6371A">
        <w:rPr>
          <w:lang w:eastAsia="en-AU"/>
        </w:rPr>
        <w:t xml:space="preserve"> appearing before the Mental Health Tribunal.</w:t>
      </w:r>
      <w:r w:rsidR="00F45E6B">
        <w:rPr>
          <w:lang w:eastAsia="en-AU"/>
        </w:rPr>
        <w:t xml:space="preserve"> </w:t>
      </w:r>
    </w:p>
    <w:p w14:paraId="44FF5674" w14:textId="1EFFC1C7" w:rsidR="00B22546" w:rsidRDefault="005B3FDD" w:rsidP="008A7471">
      <w:pPr>
        <w:rPr>
          <w:rFonts w:cs="Arial"/>
        </w:rPr>
      </w:pPr>
      <w:r>
        <w:t xml:space="preserve">The </w:t>
      </w:r>
      <w:r w:rsidR="004B6119">
        <w:t>F</w:t>
      </w:r>
      <w:r>
        <w:t xml:space="preserve">ederal </w:t>
      </w:r>
      <w:r w:rsidR="004B6119">
        <w:t>G</w:t>
      </w:r>
      <w:r>
        <w:t>overnment</w:t>
      </w:r>
      <w:r w:rsidR="00C453F6">
        <w:t xml:space="preserve"> has</w:t>
      </w:r>
      <w:r>
        <w:t xml:space="preserve"> announced th</w:t>
      </w:r>
      <w:r w:rsidR="00C453F6">
        <w:t>ree new pilot programs</w:t>
      </w:r>
      <w:r w:rsidR="007E22FD">
        <w:t>, including one in Victoria,</w:t>
      </w:r>
      <w:r w:rsidR="00C453F6">
        <w:t xml:space="preserve"> to provide legal services for </w:t>
      </w:r>
      <w:r w:rsidR="00723D0D">
        <w:t>sexual violence</w:t>
      </w:r>
      <w:r w:rsidR="00C453F6">
        <w:t xml:space="preserve"> </w:t>
      </w:r>
      <w:r w:rsidR="00126C38">
        <w:t>victim</w:t>
      </w:r>
      <w:r w:rsidR="00E402A8">
        <w:t>-</w:t>
      </w:r>
      <w:r w:rsidR="00126C38">
        <w:t xml:space="preserve">survivors. These pilots aim to improve </w:t>
      </w:r>
      <w:r w:rsidR="00D70449">
        <w:t xml:space="preserve">the justice system </w:t>
      </w:r>
      <w:r w:rsidR="00CE7885">
        <w:t xml:space="preserve">so that victims are not retraumatised. </w:t>
      </w:r>
      <w:r w:rsidR="00EA3CF1">
        <w:t>The Victims Legal Service</w:t>
      </w:r>
      <w:r w:rsidR="00CD0180">
        <w:t xml:space="preserve"> (VLS)</w:t>
      </w:r>
      <w:r w:rsidR="00E11114">
        <w:t xml:space="preserve">, which is run in partnership with </w:t>
      </w:r>
      <w:r w:rsidR="0097402A">
        <w:t xml:space="preserve">Aboriginal </w:t>
      </w:r>
      <w:r w:rsidR="004570D8">
        <w:t>legal service providers and community legal centres</w:t>
      </w:r>
      <w:r w:rsidR="00B254EC">
        <w:t>,</w:t>
      </w:r>
      <w:r w:rsidR="00EA3CF1">
        <w:t xml:space="preserve"> will be</w:t>
      </w:r>
      <w:r w:rsidR="00E11114">
        <w:t xml:space="preserve"> expanded</w:t>
      </w:r>
      <w:r w:rsidR="00742CA9">
        <w:t xml:space="preserve"> to </w:t>
      </w:r>
      <w:r w:rsidR="00F25D43" w:rsidRPr="00F25D43">
        <w:t>provide legal information for victim</w:t>
      </w:r>
      <w:r w:rsidR="00BE281C">
        <w:t xml:space="preserve"> </w:t>
      </w:r>
      <w:r w:rsidR="00F25D43" w:rsidRPr="00F25D43">
        <w:t>survivors of sexual assault through the existing VLS Helpline, and targeted advice and case work for victim</w:t>
      </w:r>
      <w:r w:rsidR="00BE281C">
        <w:t xml:space="preserve"> </w:t>
      </w:r>
      <w:r w:rsidR="00F25D43" w:rsidRPr="00F25D43">
        <w:t xml:space="preserve">survivors seeking to protect confidential communications. </w:t>
      </w:r>
      <w:r w:rsidR="00F25D43">
        <w:t>T</w:t>
      </w:r>
      <w:r w:rsidR="00F25D43" w:rsidRPr="00F25D43">
        <w:t xml:space="preserve">ailored support for </w:t>
      </w:r>
      <w:r w:rsidR="00CD4F18">
        <w:t>First Nations</w:t>
      </w:r>
      <w:r w:rsidR="00F25D43" w:rsidRPr="00F25D43">
        <w:t xml:space="preserve"> victim</w:t>
      </w:r>
      <w:r w:rsidR="00BE281C">
        <w:t xml:space="preserve"> </w:t>
      </w:r>
      <w:r w:rsidR="00F25D43" w:rsidRPr="00F25D43">
        <w:t>survivors to report sexual assault to police</w:t>
      </w:r>
      <w:r w:rsidR="00F25D43">
        <w:t xml:space="preserve"> will also be provided</w:t>
      </w:r>
      <w:r w:rsidR="00CD0F0B">
        <w:t xml:space="preserve"> by </w:t>
      </w:r>
      <w:proofErr w:type="spellStart"/>
      <w:r w:rsidR="00CD0F0B">
        <w:t>Djirra</w:t>
      </w:r>
      <w:proofErr w:type="spellEnd"/>
      <w:r w:rsidR="00F25D43" w:rsidRPr="00F25D43">
        <w:t>.</w:t>
      </w:r>
    </w:p>
    <w:p w14:paraId="46B87678" w14:textId="038601CB" w:rsidR="00980FBF" w:rsidRDefault="00980FBF" w:rsidP="00980FBF">
      <w:pPr>
        <w:rPr>
          <w:lang w:eastAsia="en-AU"/>
        </w:rPr>
      </w:pPr>
      <w:r w:rsidRPr="135553B2">
        <w:rPr>
          <w:lang w:eastAsia="en-AU"/>
        </w:rPr>
        <w:t>In early October thousands of residents in Gippsland were advised to evacuate their homes as flood water rose just days after the region had experienced bushfires. Our Bairnsdale and Morwell offices were temporarily closed, and our regional management team worked closely with the courts</w:t>
      </w:r>
      <w:r w:rsidR="007650ED">
        <w:rPr>
          <w:lang w:eastAsia="en-AU"/>
        </w:rPr>
        <w:t xml:space="preserve">, </w:t>
      </w:r>
      <w:r w:rsidRPr="135553B2">
        <w:rPr>
          <w:lang w:eastAsia="en-AU"/>
        </w:rPr>
        <w:t xml:space="preserve">community legal centres </w:t>
      </w:r>
      <w:r w:rsidR="656EF165" w:rsidRPr="135553B2">
        <w:rPr>
          <w:lang w:eastAsia="en-AU"/>
        </w:rPr>
        <w:t xml:space="preserve">and private practitioners </w:t>
      </w:r>
      <w:r w:rsidRPr="135553B2">
        <w:rPr>
          <w:lang w:eastAsia="en-AU"/>
        </w:rPr>
        <w:t xml:space="preserve">to arrange </w:t>
      </w:r>
      <w:r w:rsidR="005B6584" w:rsidRPr="135553B2">
        <w:rPr>
          <w:lang w:eastAsia="en-AU"/>
        </w:rPr>
        <w:t xml:space="preserve">access to </w:t>
      </w:r>
      <w:r w:rsidR="08BA1701" w:rsidRPr="135553B2">
        <w:rPr>
          <w:lang w:eastAsia="en-AU"/>
        </w:rPr>
        <w:t xml:space="preserve">remote </w:t>
      </w:r>
      <w:r w:rsidRPr="135553B2">
        <w:rPr>
          <w:lang w:eastAsia="en-AU"/>
        </w:rPr>
        <w:t xml:space="preserve">court appearances and local services. Victoria, and the rest of Australia, is seeing increasingly severe and frequent weather events that are being caused by climate change. We will shortly launch our first Climate Change Strategy, which will ensure we are reducing our greenhouse gas emissions and environmental impact whilst looking for opportunities to achieve better outcomes for clients who are adversely affected by the impacts of climate change and extreme weather events. </w:t>
      </w:r>
    </w:p>
    <w:p w14:paraId="5616E0BC" w14:textId="77777777" w:rsidR="00980FBF" w:rsidRDefault="00980FBF" w:rsidP="008A7471"/>
    <w:p w14:paraId="486A4091" w14:textId="6455F8C3" w:rsidR="00B22546" w:rsidRPr="00992162" w:rsidRDefault="00965A9B" w:rsidP="008A7471">
      <w:pPr>
        <w:rPr>
          <w:b/>
          <w:bCs/>
        </w:rPr>
      </w:pPr>
      <w:r>
        <w:rPr>
          <w:b/>
          <w:bCs/>
        </w:rPr>
        <w:t xml:space="preserve">Joanna </w:t>
      </w:r>
      <w:r w:rsidR="00D40CD8">
        <w:rPr>
          <w:b/>
          <w:bCs/>
        </w:rPr>
        <w:t>Fletcher</w:t>
      </w:r>
      <w:r w:rsidR="00D876AB" w:rsidRPr="00D67354">
        <w:br/>
      </w:r>
      <w:r w:rsidR="00D40CD8">
        <w:t xml:space="preserve">Acting </w:t>
      </w:r>
      <w:r w:rsidR="00D876AB" w:rsidRPr="00D67354">
        <w:t>Chief Executive Officer</w:t>
      </w:r>
    </w:p>
    <w:p w14:paraId="09B2BF83" w14:textId="7B62B5F2" w:rsidR="007D54C7" w:rsidRPr="006C76C7" w:rsidRDefault="00366E11" w:rsidP="007D54C7">
      <w:pPr>
        <w:pStyle w:val="Heading2"/>
      </w:pPr>
      <w:r w:rsidRPr="006C76C7">
        <w:rPr>
          <w:sz w:val="24"/>
          <w:szCs w:val="24"/>
        </w:rPr>
        <w:lastRenderedPageBreak/>
        <w:t xml:space="preserve">Client and Community </w:t>
      </w:r>
      <w:r w:rsidR="00137131" w:rsidRPr="006C76C7">
        <w:rPr>
          <w:sz w:val="24"/>
          <w:szCs w:val="24"/>
        </w:rPr>
        <w:t>Services</w:t>
      </w:r>
    </w:p>
    <w:p w14:paraId="00D52765" w14:textId="71022D19" w:rsidR="007D54C7" w:rsidRDefault="1C6D551F" w:rsidP="007D54C7">
      <w:r>
        <w:t xml:space="preserve">Our services are targeted to people facing disadvantage who have the greatest legal need. We tailor our services to people’s diverse needs and capabilities and recognise that many people and communities experience barriers </w:t>
      </w:r>
      <w:r w:rsidR="00082332">
        <w:t>to</w:t>
      </w:r>
      <w:r>
        <w:t xml:space="preserve"> accessing justice.</w:t>
      </w:r>
      <w:r w:rsidR="005A757A">
        <w:t xml:space="preserve"> We provide a mix of high intensity legal services</w:t>
      </w:r>
      <w:r w:rsidR="007F696B">
        <w:t>, early intervention and preventative services</w:t>
      </w:r>
      <w:r w:rsidR="00992162">
        <w:t>,</w:t>
      </w:r>
      <w:r w:rsidR="007F696B">
        <w:t xml:space="preserve"> </w:t>
      </w:r>
      <w:r w:rsidR="00992162">
        <w:t>and</w:t>
      </w:r>
      <w:r w:rsidR="007F696B">
        <w:t xml:space="preserve"> non-legal specialist resolution and advocacy services.</w:t>
      </w:r>
    </w:p>
    <w:p w14:paraId="08A7B84F" w14:textId="04B0E596" w:rsidR="00760E55" w:rsidRPr="00760E55" w:rsidRDefault="00760E55" w:rsidP="00760E55">
      <w:pPr>
        <w:pStyle w:val="Heading2"/>
        <w:rPr>
          <w:b w:val="0"/>
          <w:bCs w:val="0"/>
        </w:rPr>
      </w:pPr>
      <w:r w:rsidRPr="00760E55">
        <w:rPr>
          <w:b w:val="0"/>
          <w:bCs w:val="0"/>
          <w:sz w:val="24"/>
          <w:szCs w:val="24"/>
        </w:rPr>
        <w:t>Client Services</w:t>
      </w:r>
    </w:p>
    <w:p w14:paraId="2477EC14" w14:textId="77777777" w:rsidR="009B49EE" w:rsidRDefault="004B5354" w:rsidP="001F5D5F">
      <w:pPr>
        <w:rPr>
          <w:lang w:eastAsia="en-AU"/>
        </w:rPr>
      </w:pPr>
      <w:r w:rsidRPr="04AE52AE">
        <w:rPr>
          <w:lang w:eastAsia="en-AU"/>
        </w:rPr>
        <w:t xml:space="preserve">In </w:t>
      </w:r>
      <w:r w:rsidR="00AE1C3D" w:rsidRPr="04AE52AE">
        <w:rPr>
          <w:lang w:eastAsia="en-AU"/>
        </w:rPr>
        <w:t>quarter one</w:t>
      </w:r>
      <w:r w:rsidR="002B54CC" w:rsidRPr="04AE52AE">
        <w:rPr>
          <w:lang w:eastAsia="en-AU"/>
        </w:rPr>
        <w:t xml:space="preserve"> 2023–24 </w:t>
      </w:r>
      <w:r w:rsidR="004F59F0" w:rsidRPr="04AE52AE">
        <w:rPr>
          <w:lang w:eastAsia="en-AU"/>
        </w:rPr>
        <w:t>we saw 2</w:t>
      </w:r>
      <w:r w:rsidR="00D76B76">
        <w:rPr>
          <w:lang w:eastAsia="en-AU"/>
        </w:rPr>
        <w:t>9</w:t>
      </w:r>
      <w:r w:rsidR="004F59F0" w:rsidRPr="04AE52AE">
        <w:rPr>
          <w:lang w:eastAsia="en-AU"/>
        </w:rPr>
        <w:t>,</w:t>
      </w:r>
      <w:r w:rsidR="007C049C">
        <w:rPr>
          <w:lang w:eastAsia="en-AU"/>
        </w:rPr>
        <w:t>7</w:t>
      </w:r>
      <w:r w:rsidR="00D76B76">
        <w:rPr>
          <w:lang w:eastAsia="en-AU"/>
        </w:rPr>
        <w:t>19</w:t>
      </w:r>
      <w:r w:rsidR="004F59F0" w:rsidRPr="04AE52AE">
        <w:rPr>
          <w:lang w:eastAsia="en-AU"/>
        </w:rPr>
        <w:t xml:space="preserve"> unique clients</w:t>
      </w:r>
      <w:r w:rsidR="000168A4" w:rsidRPr="04AE52AE">
        <w:rPr>
          <w:lang w:eastAsia="en-AU"/>
        </w:rPr>
        <w:t xml:space="preserve"> (Table 1.1)</w:t>
      </w:r>
      <w:r w:rsidR="004F59F0" w:rsidRPr="04AE52AE">
        <w:rPr>
          <w:lang w:eastAsia="en-AU"/>
        </w:rPr>
        <w:t>.</w:t>
      </w:r>
      <w:r w:rsidR="00F65CF9" w:rsidRPr="04AE52AE">
        <w:rPr>
          <w:lang w:eastAsia="en-AU"/>
        </w:rPr>
        <w:t xml:space="preserve"> This </w:t>
      </w:r>
      <w:r w:rsidR="00AE1C3D" w:rsidRPr="04AE52AE">
        <w:rPr>
          <w:lang w:eastAsia="en-AU"/>
        </w:rPr>
        <w:t>76 per cent increase from quarter four 2022–23</w:t>
      </w:r>
      <w:r w:rsidR="008D52F9" w:rsidRPr="04AE52AE">
        <w:rPr>
          <w:lang w:eastAsia="en-AU"/>
        </w:rPr>
        <w:t xml:space="preserve"> is due to </w:t>
      </w:r>
      <w:r w:rsidR="000D751B" w:rsidRPr="04AE52AE">
        <w:rPr>
          <w:lang w:eastAsia="en-AU"/>
        </w:rPr>
        <w:t xml:space="preserve">the beginning of the new financial year as clients are counted the first </w:t>
      </w:r>
      <w:r w:rsidR="00F654E1" w:rsidRPr="04AE52AE">
        <w:rPr>
          <w:lang w:eastAsia="en-AU"/>
        </w:rPr>
        <w:t>time</w:t>
      </w:r>
      <w:r w:rsidR="00F654E1">
        <w:rPr>
          <w:lang w:eastAsia="en-AU"/>
        </w:rPr>
        <w:t xml:space="preserve"> </w:t>
      </w:r>
      <w:r w:rsidR="000D751B" w:rsidRPr="04AE52AE">
        <w:rPr>
          <w:lang w:eastAsia="en-AU"/>
        </w:rPr>
        <w:t xml:space="preserve">we see them. </w:t>
      </w:r>
      <w:r w:rsidR="00750D97" w:rsidRPr="04AE52AE">
        <w:rPr>
          <w:lang w:eastAsia="en-AU"/>
        </w:rPr>
        <w:t xml:space="preserve">There was a one percent </w:t>
      </w:r>
      <w:r w:rsidR="00D76B76">
        <w:rPr>
          <w:lang w:eastAsia="en-AU"/>
        </w:rPr>
        <w:t>de</w:t>
      </w:r>
      <w:r w:rsidR="00750D97" w:rsidRPr="04AE52AE">
        <w:rPr>
          <w:lang w:eastAsia="en-AU"/>
        </w:rPr>
        <w:t xml:space="preserve">crease in unique clients compared to quarter one </w:t>
      </w:r>
      <w:r w:rsidR="00634D3F">
        <w:br/>
      </w:r>
      <w:r w:rsidR="00750D97" w:rsidRPr="04AE52AE">
        <w:rPr>
          <w:lang w:eastAsia="en-AU"/>
        </w:rPr>
        <w:t>2022–23 (</w:t>
      </w:r>
      <w:r w:rsidR="005A708C">
        <w:rPr>
          <w:lang w:eastAsia="en-AU"/>
        </w:rPr>
        <w:t>30</w:t>
      </w:r>
      <w:r w:rsidR="00806D98" w:rsidRPr="04AE52AE">
        <w:rPr>
          <w:lang w:eastAsia="en-AU"/>
        </w:rPr>
        <w:t>,</w:t>
      </w:r>
      <w:r w:rsidR="005A708C">
        <w:rPr>
          <w:lang w:eastAsia="en-AU"/>
        </w:rPr>
        <w:t>125</w:t>
      </w:r>
      <w:r w:rsidR="00806D98" w:rsidRPr="04AE52AE">
        <w:rPr>
          <w:lang w:eastAsia="en-AU"/>
        </w:rPr>
        <w:t>).</w:t>
      </w:r>
      <w:r w:rsidR="005A708C">
        <w:rPr>
          <w:lang w:eastAsia="en-AU"/>
        </w:rPr>
        <w:t xml:space="preserve"> </w:t>
      </w:r>
    </w:p>
    <w:p w14:paraId="2C31923E" w14:textId="42E4834A" w:rsidR="00BC1FA3" w:rsidRDefault="007F2E17" w:rsidP="006B2CC0">
      <w:pPr>
        <w:rPr>
          <w:lang w:eastAsia="en-AU"/>
        </w:rPr>
      </w:pPr>
      <w:r>
        <w:rPr>
          <w:lang w:eastAsia="en-AU"/>
        </w:rPr>
        <w:t xml:space="preserve">Despite this small decrease in unique clients </w:t>
      </w:r>
      <w:r w:rsidR="00F654E1">
        <w:rPr>
          <w:lang w:eastAsia="en-AU"/>
        </w:rPr>
        <w:t>compared to the previous financial year, we have seen an overall increase of client services</w:t>
      </w:r>
      <w:r w:rsidR="00BD2761">
        <w:rPr>
          <w:lang w:eastAsia="en-AU"/>
        </w:rPr>
        <w:t xml:space="preserve"> by six per cent</w:t>
      </w:r>
      <w:r w:rsidR="00F654E1">
        <w:rPr>
          <w:lang w:eastAsia="en-AU"/>
        </w:rPr>
        <w:t>.</w:t>
      </w:r>
      <w:r w:rsidR="00BC1FA3">
        <w:rPr>
          <w:lang w:eastAsia="en-AU"/>
        </w:rPr>
        <w:t xml:space="preserve"> Th</w:t>
      </w:r>
      <w:r w:rsidR="00EB7064">
        <w:rPr>
          <w:lang w:eastAsia="en-AU"/>
        </w:rPr>
        <w:t xml:space="preserve">is means the </w:t>
      </w:r>
      <w:r w:rsidR="00BC1FA3">
        <w:rPr>
          <w:lang w:eastAsia="en-AU"/>
        </w:rPr>
        <w:t>number of services</w:t>
      </w:r>
      <w:r w:rsidR="00536BF8">
        <w:rPr>
          <w:lang w:eastAsia="en-AU"/>
        </w:rPr>
        <w:t xml:space="preserve"> per client </w:t>
      </w:r>
      <w:r w:rsidR="0076140F">
        <w:rPr>
          <w:lang w:eastAsia="en-AU"/>
        </w:rPr>
        <w:t>has increased compared to quarter one 2022</w:t>
      </w:r>
      <w:r w:rsidR="0076140F" w:rsidRPr="04AE52AE">
        <w:rPr>
          <w:lang w:eastAsia="en-AU"/>
        </w:rPr>
        <w:t>–</w:t>
      </w:r>
      <w:r w:rsidR="0076140F">
        <w:rPr>
          <w:lang w:eastAsia="en-AU"/>
        </w:rPr>
        <w:t>23</w:t>
      </w:r>
      <w:r w:rsidR="009D03C8">
        <w:rPr>
          <w:lang w:eastAsia="en-AU"/>
        </w:rPr>
        <w:t xml:space="preserve">. </w:t>
      </w:r>
      <w:r w:rsidR="00903E7A">
        <w:rPr>
          <w:lang w:eastAsia="en-AU"/>
        </w:rPr>
        <w:t>When</w:t>
      </w:r>
      <w:r w:rsidR="00105467">
        <w:rPr>
          <w:lang w:eastAsia="en-AU"/>
        </w:rPr>
        <w:t xml:space="preserve"> comparing the current quarter to the same time last year,</w:t>
      </w:r>
      <w:r w:rsidR="00903E7A">
        <w:rPr>
          <w:lang w:eastAsia="en-AU"/>
        </w:rPr>
        <w:t xml:space="preserve"> </w:t>
      </w:r>
      <w:r w:rsidR="00885C94">
        <w:rPr>
          <w:lang w:eastAsia="en-AU"/>
        </w:rPr>
        <w:t xml:space="preserve">we delivered </w:t>
      </w:r>
      <w:r w:rsidR="000C5254">
        <w:rPr>
          <w:lang w:eastAsia="en-AU"/>
        </w:rPr>
        <w:t>eight percent more advice services</w:t>
      </w:r>
      <w:r w:rsidR="00FA1F2E">
        <w:rPr>
          <w:lang w:eastAsia="en-AU"/>
        </w:rPr>
        <w:t xml:space="preserve"> (7,794)</w:t>
      </w:r>
      <w:r w:rsidR="00B2377C">
        <w:rPr>
          <w:lang w:eastAsia="en-AU"/>
        </w:rPr>
        <w:t xml:space="preserve"> and grants of legal assistance (9,650)</w:t>
      </w:r>
      <w:r w:rsidR="00580F99">
        <w:rPr>
          <w:lang w:eastAsia="en-AU"/>
        </w:rPr>
        <w:t>,</w:t>
      </w:r>
      <w:r w:rsidR="00F56FDF">
        <w:rPr>
          <w:lang w:eastAsia="en-AU"/>
        </w:rPr>
        <w:t xml:space="preserve"> and</w:t>
      </w:r>
      <w:r w:rsidR="000C5254">
        <w:rPr>
          <w:lang w:eastAsia="en-AU"/>
        </w:rPr>
        <w:t xml:space="preserve"> 18.5 per cent more duty lawyer services</w:t>
      </w:r>
      <w:r w:rsidR="00FA1F2E">
        <w:rPr>
          <w:lang w:eastAsia="en-AU"/>
        </w:rPr>
        <w:t xml:space="preserve"> (18,950)</w:t>
      </w:r>
      <w:r w:rsidR="00C66322">
        <w:rPr>
          <w:lang w:eastAsia="en-AU"/>
        </w:rPr>
        <w:t>.</w:t>
      </w:r>
      <w:r w:rsidR="0071553E">
        <w:rPr>
          <w:lang w:eastAsia="en-AU"/>
        </w:rPr>
        <w:t xml:space="preserve"> </w:t>
      </w:r>
      <w:r w:rsidR="00833C71">
        <w:rPr>
          <w:lang w:eastAsia="en-AU"/>
        </w:rPr>
        <w:t>When comparing the current quarter</w:t>
      </w:r>
      <w:r w:rsidR="0033741B">
        <w:rPr>
          <w:lang w:eastAsia="en-AU"/>
        </w:rPr>
        <w:t xml:space="preserve"> to the preceding quarter</w:t>
      </w:r>
      <w:r w:rsidR="00833C71">
        <w:rPr>
          <w:lang w:eastAsia="en-AU"/>
        </w:rPr>
        <w:t>, it is important to note that i</w:t>
      </w:r>
      <w:r w:rsidR="00BC1FA3" w:rsidRPr="04AE52AE">
        <w:rPr>
          <w:lang w:eastAsia="en-AU"/>
        </w:rPr>
        <w:t xml:space="preserve">n 2022–23 we identified some inconsistencies with how we collect data that contributed to some underreporting of our services. </w:t>
      </w:r>
      <w:r w:rsidR="00753031">
        <w:rPr>
          <w:lang w:eastAsia="en-AU"/>
        </w:rPr>
        <w:t>End of year c</w:t>
      </w:r>
      <w:r w:rsidR="00866D72">
        <w:rPr>
          <w:lang w:eastAsia="en-AU"/>
        </w:rPr>
        <w:t xml:space="preserve">onservative adjustments were </w:t>
      </w:r>
      <w:r w:rsidR="003B154A">
        <w:rPr>
          <w:lang w:eastAsia="en-AU"/>
        </w:rPr>
        <w:t xml:space="preserve">made </w:t>
      </w:r>
      <w:r w:rsidR="00BC1FA3" w:rsidRPr="04AE52AE">
        <w:rPr>
          <w:lang w:eastAsia="en-AU"/>
        </w:rPr>
        <w:t>to legal</w:t>
      </w:r>
      <w:r w:rsidR="003B154A">
        <w:rPr>
          <w:lang w:eastAsia="en-AU"/>
        </w:rPr>
        <w:t xml:space="preserve"> information,</w:t>
      </w:r>
      <w:r w:rsidR="00BC1FA3" w:rsidRPr="04AE52AE">
        <w:rPr>
          <w:lang w:eastAsia="en-AU"/>
        </w:rPr>
        <w:t xml:space="preserve"> advice and duty lawyer services</w:t>
      </w:r>
      <w:r w:rsidR="00BC1FA3">
        <w:rPr>
          <w:lang w:eastAsia="en-AU"/>
        </w:rPr>
        <w:t xml:space="preserve"> in quarter four</w:t>
      </w:r>
      <w:r w:rsidR="00BC1FA3" w:rsidRPr="04AE52AE">
        <w:rPr>
          <w:lang w:eastAsia="en-AU"/>
        </w:rPr>
        <w:t xml:space="preserve"> </w:t>
      </w:r>
      <w:r w:rsidR="00753031">
        <w:rPr>
          <w:lang w:eastAsia="en-AU"/>
        </w:rPr>
        <w:t>which accounts for the majority of the discrepancy between these two quarters.</w:t>
      </w:r>
    </w:p>
    <w:p w14:paraId="5502E99C" w14:textId="66F5C0FA" w:rsidR="00B2377C" w:rsidRPr="006B2CC0" w:rsidRDefault="00B2377C" w:rsidP="006B2CC0">
      <w:pPr>
        <w:rPr>
          <w:lang w:eastAsia="en-AU"/>
        </w:rPr>
      </w:pPr>
      <w:r>
        <w:rPr>
          <w:lang w:eastAsia="en-AU"/>
        </w:rPr>
        <w:t xml:space="preserve">There was a five per cent decrease in the number of Grants of Legal Assistance in quarter one compared to the previous quarter. There continues to be a slightly lower number of </w:t>
      </w:r>
      <w:r w:rsidR="00C42A63">
        <w:rPr>
          <w:lang w:eastAsia="en-AU"/>
        </w:rPr>
        <w:t xml:space="preserve">grant </w:t>
      </w:r>
      <w:r>
        <w:rPr>
          <w:lang w:eastAsia="en-AU"/>
        </w:rPr>
        <w:t xml:space="preserve">applications being made whilst there are ongoing recruitment challenges in other parts of the system, and general reductions in crime reflected in the crime statistics. </w:t>
      </w:r>
      <w:r w:rsidRPr="00157397">
        <w:rPr>
          <w:lang w:eastAsia="en-AU"/>
        </w:rPr>
        <w:t>We continue to process and approve grants of legal assistance as they are received.</w:t>
      </w:r>
    </w:p>
    <w:p w14:paraId="0A107D44" w14:textId="0D81AC09" w:rsidR="007D54C7" w:rsidRPr="00742E79" w:rsidRDefault="007D54C7" w:rsidP="007D54C7">
      <w:pPr>
        <w:keepNext/>
        <w:rPr>
          <w:b/>
          <w:bCs/>
          <w:sz w:val="20"/>
          <w:szCs w:val="20"/>
        </w:rPr>
      </w:pPr>
      <w:r w:rsidRPr="00742E79">
        <w:rPr>
          <w:b/>
          <w:bCs/>
          <w:sz w:val="20"/>
          <w:szCs w:val="20"/>
        </w:rPr>
        <w:t xml:space="preserve">Table 1.1 </w:t>
      </w:r>
      <w:bookmarkStart w:id="0" w:name="_Hlk147494133"/>
      <w:r w:rsidRPr="00742E79">
        <w:rPr>
          <w:b/>
          <w:bCs/>
          <w:sz w:val="20"/>
          <w:szCs w:val="20"/>
        </w:rPr>
        <w:t>Unique client count</w:t>
      </w:r>
      <w:r w:rsidR="00405967">
        <w:rPr>
          <w:b/>
          <w:bCs/>
          <w:sz w:val="20"/>
          <w:szCs w:val="20"/>
        </w:rPr>
        <w:t xml:space="preserve"> and services</w:t>
      </w:r>
      <w:bookmarkEnd w:id="0"/>
    </w:p>
    <w:tbl>
      <w:tblPr>
        <w:tblStyle w:val="PlainTable2"/>
        <w:tblW w:w="4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80"/>
        <w:gridCol w:w="1702"/>
        <w:gridCol w:w="1559"/>
        <w:gridCol w:w="1559"/>
      </w:tblGrid>
      <w:tr w:rsidR="00B0725E" w:rsidRPr="000E7EED" w14:paraId="3C2F4698" w14:textId="77777777" w:rsidTr="04AE52AE">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2165" w:type="pct"/>
            <w:shd w:val="clear" w:color="auto" w:fill="B59CC0"/>
          </w:tcPr>
          <w:p w14:paraId="35A259EB" w14:textId="7B299750" w:rsidR="007D54C7" w:rsidRPr="000E7EED" w:rsidRDefault="007D54C7" w:rsidP="007D54C7">
            <w:pPr>
              <w:rPr>
                <w:color w:val="000000" w:themeColor="text1"/>
              </w:rPr>
            </w:pPr>
            <w:bookmarkStart w:id="1" w:name="_Hlk31869858"/>
            <w:r w:rsidRPr="000E7EED">
              <w:rPr>
                <w:b/>
                <w:color w:val="000000" w:themeColor="text1"/>
              </w:rPr>
              <w:t>Client</w:t>
            </w:r>
            <w:r w:rsidR="00D17C72">
              <w:rPr>
                <w:b/>
                <w:color w:val="000000" w:themeColor="text1"/>
              </w:rPr>
              <w:t>s and Client</w:t>
            </w:r>
            <w:r w:rsidR="005D3DF4">
              <w:rPr>
                <w:b/>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1001" w:type="pct"/>
            <w:shd w:val="clear" w:color="auto" w:fill="B59CC0"/>
          </w:tcPr>
          <w:p w14:paraId="422FB804" w14:textId="77777777" w:rsidR="007D54C7" w:rsidRDefault="007D54C7" w:rsidP="007D54C7">
            <w:pPr>
              <w:jc w:val="center"/>
              <w:rPr>
                <w:b/>
                <w:color w:val="000000" w:themeColor="text1"/>
              </w:rPr>
            </w:pPr>
            <w:r w:rsidRPr="55245693">
              <w:rPr>
                <w:b/>
                <w:color w:val="000000" w:themeColor="text1"/>
              </w:rPr>
              <w:t>Q</w:t>
            </w:r>
            <w:r>
              <w:rPr>
                <w:b/>
                <w:color w:val="000000" w:themeColor="text1"/>
              </w:rPr>
              <w:t>4</w:t>
            </w:r>
          </w:p>
          <w:p w14:paraId="7B526D67" w14:textId="3BB341B4" w:rsidR="007D54C7" w:rsidRPr="000E7EED" w:rsidRDefault="007D54C7" w:rsidP="007D54C7">
            <w:pPr>
              <w:jc w:val="center"/>
              <w:rPr>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917" w:type="pct"/>
            <w:shd w:val="clear" w:color="auto" w:fill="B59CC0"/>
          </w:tcPr>
          <w:p w14:paraId="14F117C2" w14:textId="77777777" w:rsidR="007D54C7" w:rsidRPr="000E7EED" w:rsidRDefault="007D54C7" w:rsidP="007D54C7">
            <w:pPr>
              <w:jc w:val="center"/>
              <w:rPr>
                <w:b/>
                <w:color w:val="000000" w:themeColor="text1"/>
              </w:rPr>
            </w:pPr>
            <w:r w:rsidRPr="55245693">
              <w:rPr>
                <w:b/>
                <w:color w:val="000000" w:themeColor="text1"/>
              </w:rPr>
              <w:t>Q</w:t>
            </w:r>
            <w:r>
              <w:rPr>
                <w:b/>
                <w:color w:val="000000" w:themeColor="text1"/>
              </w:rPr>
              <w:t>1</w:t>
            </w:r>
          </w:p>
          <w:p w14:paraId="2A71D822" w14:textId="0029321D" w:rsidR="007D54C7" w:rsidRPr="00A76427" w:rsidRDefault="007D54C7" w:rsidP="007D54C7">
            <w:pPr>
              <w:jc w:val="center"/>
              <w:rPr>
                <w:b/>
                <w:color w:val="000000" w:themeColor="text1"/>
              </w:rPr>
            </w:pPr>
            <w:r w:rsidRPr="000E7EED">
              <w:rPr>
                <w:b/>
                <w:color w:val="000000" w:themeColor="text1"/>
              </w:rPr>
              <w:t>20</w:t>
            </w:r>
            <w:r>
              <w:rPr>
                <w:b/>
                <w:color w:val="000000" w:themeColor="text1"/>
              </w:rPr>
              <w:t>23-24</w:t>
            </w:r>
          </w:p>
        </w:tc>
        <w:tc>
          <w:tcPr>
            <w:cnfStyle w:val="000001000000" w:firstRow="0" w:lastRow="0" w:firstColumn="0" w:lastColumn="0" w:oddVBand="0" w:evenVBand="1" w:oddHBand="0" w:evenHBand="0" w:firstRowFirstColumn="0" w:firstRowLastColumn="0" w:lastRowFirstColumn="0" w:lastRowLastColumn="0"/>
            <w:tcW w:w="917" w:type="pct"/>
            <w:shd w:val="clear" w:color="auto" w:fill="B59CC0"/>
          </w:tcPr>
          <w:p w14:paraId="2A132997" w14:textId="523CC73D" w:rsidR="007D54C7" w:rsidRPr="55245693" w:rsidRDefault="007D54C7" w:rsidP="007D54C7">
            <w:pPr>
              <w:jc w:val="center"/>
              <w:rPr>
                <w:b/>
                <w:color w:val="000000" w:themeColor="text1"/>
              </w:rPr>
            </w:pPr>
            <w:r w:rsidRPr="55245693">
              <w:rPr>
                <w:b/>
                <w:color w:val="000000" w:themeColor="text1"/>
              </w:rPr>
              <w:t>Q</w:t>
            </w:r>
            <w:r>
              <w:rPr>
                <w:b/>
                <w:color w:val="000000" w:themeColor="text1"/>
              </w:rPr>
              <w:t xml:space="preserve">2 </w:t>
            </w:r>
            <w:r w:rsidRPr="000E7EED">
              <w:rPr>
                <w:b/>
                <w:color w:val="000000" w:themeColor="text1"/>
              </w:rPr>
              <w:t>20</w:t>
            </w:r>
            <w:r>
              <w:rPr>
                <w:b/>
                <w:color w:val="000000" w:themeColor="text1"/>
              </w:rPr>
              <w:t>23-24 projection</w:t>
            </w:r>
          </w:p>
        </w:tc>
      </w:tr>
      <w:tr w:rsidR="007D54C7" w:rsidRPr="000E7EED" w14:paraId="1024ED09" w14:textId="77777777" w:rsidTr="04AE52AE">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7CB40CA8" w14:textId="77777777" w:rsidR="007D54C7" w:rsidRPr="000E7EED" w:rsidRDefault="007D54C7" w:rsidP="007D54C7">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001" w:type="pct"/>
          </w:tcPr>
          <w:p w14:paraId="22568843" w14:textId="1045DE97" w:rsidR="007D54C7" w:rsidRPr="000E7EED" w:rsidRDefault="007D54C7" w:rsidP="20026E5A">
            <w:pPr>
              <w:jc w:val="center"/>
            </w:pPr>
            <w:r>
              <w:t>17,</w:t>
            </w:r>
            <w:r w:rsidR="6130A845">
              <w:t>028</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tcPr>
          <w:p w14:paraId="06E55F3D" w14:textId="1B0BDDEC" w:rsidR="20026E5A" w:rsidRDefault="00D76B76" w:rsidP="20026E5A">
            <w:pPr>
              <w:jc w:val="center"/>
            </w:pPr>
            <w:r>
              <w:t>29,719</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63644C3C" w14:textId="7E9CA83B" w:rsidR="20026E5A" w:rsidRDefault="20026E5A" w:rsidP="20026E5A">
            <w:pPr>
              <w:jc w:val="center"/>
            </w:pPr>
            <w:r w:rsidRPr="00D759A1">
              <w:rPr>
                <w:rFonts w:eastAsia="Arial"/>
              </w:rPr>
              <w:t>2</w:t>
            </w:r>
            <w:r w:rsidR="0076324D" w:rsidRPr="00D759A1">
              <w:rPr>
                <w:rFonts w:eastAsia="Arial"/>
              </w:rPr>
              <w:t>2</w:t>
            </w:r>
            <w:r w:rsidRPr="00D759A1">
              <w:rPr>
                <w:rFonts w:eastAsia="Arial"/>
              </w:rPr>
              <w:t>,</w:t>
            </w:r>
            <w:r w:rsidR="0076324D" w:rsidRPr="00D759A1">
              <w:rPr>
                <w:rFonts w:eastAsia="Arial"/>
              </w:rPr>
              <w:t>500</w:t>
            </w:r>
          </w:p>
        </w:tc>
      </w:tr>
      <w:tr w:rsidR="005D3DF4" w:rsidRPr="000E7EED" w14:paraId="3A943EE1" w14:textId="77777777" w:rsidTr="00D759A1">
        <w:trPr>
          <w:cnfStyle w:val="000000010000" w:firstRow="0" w:lastRow="0" w:firstColumn="0" w:lastColumn="0" w:oddVBand="0" w:evenVBand="0" w:oddHBand="0" w:evenHBand="1"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0C259E51" w14:textId="7C35AA9C" w:rsidR="005D3DF4" w:rsidRPr="000E7EED" w:rsidRDefault="005D3DF4" w:rsidP="005D3DF4">
            <w:pPr>
              <w:rPr>
                <w:color w:val="000000" w:themeColor="text1"/>
              </w:rPr>
            </w:pPr>
            <w:r>
              <w:rPr>
                <w:color w:val="000000" w:themeColor="text1"/>
              </w:rPr>
              <w:t>Legal Advice</w:t>
            </w:r>
            <w:r w:rsidR="00A177D9">
              <w:rPr>
                <w:color w:val="000000" w:themeColor="text1"/>
              </w:rPr>
              <w:t xml:space="preserve"> and Minor Work</w:t>
            </w:r>
            <w:r>
              <w:rPr>
                <w:color w:val="000000" w:themeColor="text1"/>
              </w:rPr>
              <w:t xml:space="preserve"> sessions</w:t>
            </w:r>
            <w:r w:rsidR="001C197A">
              <w:rPr>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1A3746CB" w14:textId="14A116D6" w:rsidR="005D3DF4" w:rsidRDefault="001C2094" w:rsidP="005D3DF4">
            <w:pPr>
              <w:jc w:val="center"/>
            </w:pPr>
            <w:r>
              <w:rPr>
                <w:color w:val="000000" w:themeColor="text1"/>
              </w:rPr>
              <w:t>9,625</w:t>
            </w:r>
            <w:r w:rsidR="00BC7A28">
              <w:rPr>
                <w:rStyle w:val="FootnoteReference"/>
                <w:color w:val="000000" w:themeColor="text1"/>
              </w:rPr>
              <w:footnoteReference w:id="3"/>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01940BB5" w14:textId="73D7E96A" w:rsidR="20026E5A" w:rsidRDefault="20026E5A" w:rsidP="20026E5A">
            <w:pPr>
              <w:jc w:val="center"/>
            </w:pPr>
            <w:r w:rsidRPr="20026E5A">
              <w:rPr>
                <w:rFonts w:eastAsia="Arial" w:cs="Arial"/>
                <w:color w:val="000000" w:themeColor="text1"/>
                <w:szCs w:val="22"/>
              </w:rPr>
              <w:t>8,</w:t>
            </w:r>
            <w:r w:rsidR="0012449A">
              <w:rPr>
                <w:rFonts w:eastAsia="Arial" w:cs="Arial"/>
                <w:color w:val="000000" w:themeColor="text1"/>
                <w:szCs w:val="22"/>
              </w:rPr>
              <w:t>904</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vAlign w:val="center"/>
          </w:tcPr>
          <w:p w14:paraId="3BA6459F" w14:textId="785A296C" w:rsidR="20026E5A" w:rsidRDefault="20026E5A" w:rsidP="00D759A1">
            <w:pPr>
              <w:jc w:val="center"/>
            </w:pPr>
            <w:r w:rsidRPr="00D759A1">
              <w:rPr>
                <w:rFonts w:eastAsia="Arial"/>
              </w:rPr>
              <w:t>8,6</w:t>
            </w:r>
            <w:r w:rsidR="0076324D" w:rsidRPr="00D759A1">
              <w:rPr>
                <w:rFonts w:eastAsia="Arial"/>
              </w:rPr>
              <w:t>00</w:t>
            </w:r>
          </w:p>
        </w:tc>
      </w:tr>
      <w:tr w:rsidR="005D3DF4" w:rsidRPr="000E7EED" w14:paraId="753735E8" w14:textId="77777777" w:rsidTr="04AE52AE">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715D6923" w14:textId="621C034F" w:rsidR="005D3DF4" w:rsidRDefault="005D3DF4" w:rsidP="005D3DF4">
            <w:pPr>
              <w:rPr>
                <w:color w:val="000000" w:themeColor="text1"/>
              </w:rPr>
            </w:pPr>
            <w:r w:rsidRPr="06441AB2">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279759E1" w14:textId="49D4D460" w:rsidR="005D3DF4" w:rsidRDefault="43AF4983" w:rsidP="005D3DF4">
            <w:pPr>
              <w:jc w:val="center"/>
              <w:rPr>
                <w:color w:val="000000" w:themeColor="text1"/>
              </w:rPr>
            </w:pPr>
            <w:r w:rsidRPr="20026E5A">
              <w:rPr>
                <w:color w:val="000000" w:themeColor="text1"/>
              </w:rPr>
              <w:t>31,237</w:t>
            </w:r>
            <w:r w:rsidR="00390234">
              <w:rPr>
                <w:rStyle w:val="FootnoteReference"/>
                <w:color w:val="000000" w:themeColor="text1"/>
              </w:rPr>
              <w:footnoteReference w:id="4"/>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225B783B" w14:textId="71E9162B" w:rsidR="20026E5A" w:rsidRDefault="1D0D8D67" w:rsidP="79F055BD">
            <w:pPr>
              <w:jc w:val="center"/>
              <w:rPr>
                <w:rFonts w:eastAsia="Arial" w:cs="Arial"/>
                <w:color w:val="000000" w:themeColor="text1"/>
                <w:szCs w:val="22"/>
              </w:rPr>
            </w:pPr>
            <w:r w:rsidRPr="79F055BD">
              <w:rPr>
                <w:rFonts w:eastAsia="Arial" w:cs="Arial"/>
                <w:color w:val="000000" w:themeColor="text1"/>
                <w:szCs w:val="22"/>
              </w:rPr>
              <w:t>22,456</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792B687D" w14:textId="610FF7F9" w:rsidR="20026E5A" w:rsidRDefault="20026E5A" w:rsidP="20026E5A">
            <w:pPr>
              <w:jc w:val="center"/>
            </w:pPr>
            <w:r w:rsidRPr="20026E5A">
              <w:rPr>
                <w:rFonts w:eastAsia="Arial" w:cs="Arial"/>
                <w:szCs w:val="22"/>
              </w:rPr>
              <w:t>2</w:t>
            </w:r>
            <w:r w:rsidR="0076324D">
              <w:rPr>
                <w:rFonts w:eastAsia="Arial" w:cs="Arial"/>
                <w:szCs w:val="22"/>
              </w:rPr>
              <w:t>2,000</w:t>
            </w:r>
          </w:p>
        </w:tc>
      </w:tr>
      <w:tr w:rsidR="005D3DF4" w:rsidRPr="000E7EED" w14:paraId="4F364408" w14:textId="77777777" w:rsidTr="04AE52AE">
        <w:trPr>
          <w:cnfStyle w:val="000000010000" w:firstRow="0" w:lastRow="0" w:firstColumn="0" w:lastColumn="0" w:oddVBand="0" w:evenVBand="0" w:oddHBand="0" w:evenHBand="1"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165" w:type="pct"/>
          </w:tcPr>
          <w:p w14:paraId="55483340" w14:textId="6FDCC277" w:rsidR="005D3DF4" w:rsidRPr="06441AB2" w:rsidRDefault="005D3DF4" w:rsidP="005D3DF4">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001" w:type="pct"/>
            <w:vAlign w:val="center"/>
          </w:tcPr>
          <w:p w14:paraId="4DE312B0" w14:textId="197BDDB5" w:rsidR="005D3DF4" w:rsidRDefault="5CDAA625" w:rsidP="005D3DF4">
            <w:pPr>
              <w:jc w:val="center"/>
              <w:rPr>
                <w:color w:val="000000" w:themeColor="text1"/>
              </w:rPr>
            </w:pPr>
            <w:r w:rsidRPr="20026E5A">
              <w:rPr>
                <w:color w:val="000000" w:themeColor="text1"/>
              </w:rPr>
              <w:t>10,876</w:t>
            </w:r>
          </w:p>
        </w:tc>
        <w:tc>
          <w:tcPr>
            <w:cnfStyle w:val="000010000000" w:firstRow="0" w:lastRow="0" w:firstColumn="0" w:lastColumn="0" w:oddVBand="1" w:evenVBand="0" w:oddHBand="0" w:evenHBand="0" w:firstRowFirstColumn="0" w:firstRowLastColumn="0" w:lastRowFirstColumn="0" w:lastRowLastColumn="0"/>
            <w:tcW w:w="917" w:type="pct"/>
            <w:shd w:val="clear" w:color="auto" w:fill="D9D9D9" w:themeFill="background1" w:themeFillShade="D9"/>
            <w:vAlign w:val="center"/>
          </w:tcPr>
          <w:p w14:paraId="6AD2BBA0" w14:textId="0BDAD37B" w:rsidR="20026E5A" w:rsidRDefault="20026E5A" w:rsidP="20026E5A">
            <w:pPr>
              <w:jc w:val="center"/>
            </w:pPr>
            <w:r w:rsidRPr="20026E5A">
              <w:rPr>
                <w:rFonts w:eastAsia="Arial" w:cs="Arial"/>
                <w:color w:val="000000" w:themeColor="text1"/>
                <w:szCs w:val="22"/>
              </w:rPr>
              <w:t>10,3</w:t>
            </w:r>
            <w:r w:rsidR="00CF047F">
              <w:rPr>
                <w:rFonts w:eastAsia="Arial" w:cs="Arial"/>
                <w:color w:val="000000" w:themeColor="text1"/>
                <w:szCs w:val="22"/>
              </w:rPr>
              <w:t>60</w:t>
            </w:r>
          </w:p>
        </w:tc>
        <w:tc>
          <w:tcPr>
            <w:cnfStyle w:val="000001000000" w:firstRow="0" w:lastRow="0" w:firstColumn="0" w:lastColumn="0" w:oddVBand="0" w:evenVBand="1" w:oddHBand="0" w:evenHBand="0" w:firstRowFirstColumn="0" w:firstRowLastColumn="0" w:lastRowFirstColumn="0" w:lastRowLastColumn="0"/>
            <w:tcW w:w="917" w:type="pct"/>
            <w:shd w:val="clear" w:color="auto" w:fill="auto"/>
          </w:tcPr>
          <w:p w14:paraId="3879CF02" w14:textId="4A049971" w:rsidR="20026E5A" w:rsidRDefault="20026E5A" w:rsidP="20026E5A">
            <w:pPr>
              <w:jc w:val="center"/>
            </w:pPr>
            <w:r w:rsidRPr="20026E5A">
              <w:rPr>
                <w:rFonts w:eastAsia="Arial" w:cs="Arial"/>
                <w:szCs w:val="22"/>
              </w:rPr>
              <w:t>1</w:t>
            </w:r>
            <w:r w:rsidR="0076324D">
              <w:rPr>
                <w:rFonts w:eastAsia="Arial" w:cs="Arial"/>
                <w:szCs w:val="22"/>
              </w:rPr>
              <w:t>1,000</w:t>
            </w:r>
          </w:p>
        </w:tc>
      </w:tr>
    </w:tbl>
    <w:bookmarkEnd w:id="1"/>
    <w:p w14:paraId="748C3638" w14:textId="566F180F" w:rsidR="00157397" w:rsidRPr="00760E55" w:rsidRDefault="00157397" w:rsidP="00157397">
      <w:pPr>
        <w:pStyle w:val="Heading2"/>
        <w:rPr>
          <w:b w:val="0"/>
          <w:bCs w:val="0"/>
        </w:rPr>
      </w:pPr>
      <w:r>
        <w:rPr>
          <w:b w:val="0"/>
          <w:bCs w:val="0"/>
          <w:sz w:val="24"/>
          <w:szCs w:val="24"/>
        </w:rPr>
        <w:lastRenderedPageBreak/>
        <w:t>Community</w:t>
      </w:r>
      <w:r w:rsidRPr="00760E55">
        <w:rPr>
          <w:b w:val="0"/>
          <w:bCs w:val="0"/>
          <w:sz w:val="24"/>
          <w:szCs w:val="24"/>
        </w:rPr>
        <w:t xml:space="preserve"> Services</w:t>
      </w:r>
    </w:p>
    <w:p w14:paraId="6B97E694" w14:textId="624914BF" w:rsidR="00491E3C" w:rsidRDefault="00422688" w:rsidP="00366E11">
      <w:r>
        <w:t xml:space="preserve">As part of our Digital Legal Aid program, we have transitioned our Legal Help services onto a new delivery platform, Genesys, to help deliver better quality services and long-term efficiencies. This platform has helped see a </w:t>
      </w:r>
      <w:r w:rsidR="004E4F7D">
        <w:t>6.5 per cent increase in the number of Legal Help sessions delivered</w:t>
      </w:r>
      <w:r w:rsidR="00FD4550">
        <w:t xml:space="preserve"> (Table 1.2)</w:t>
      </w:r>
      <w:r w:rsidR="006B6997">
        <w:t xml:space="preserve"> in quarter one</w:t>
      </w:r>
      <w:r w:rsidR="00513517">
        <w:t>,</w:t>
      </w:r>
      <w:r w:rsidR="006A6622">
        <w:t xml:space="preserve"> and the wait time reduce to eight minutes</w:t>
      </w:r>
      <w:r w:rsidR="00D80BB1">
        <w:t xml:space="preserve">. </w:t>
      </w:r>
      <w:r w:rsidR="00D80BB1">
        <w:rPr>
          <w:lang w:eastAsia="en-AU"/>
        </w:rPr>
        <w:t>The adjustment made to information sessions delivered in</w:t>
      </w:r>
      <w:r w:rsidR="00D80BB1">
        <w:t xml:space="preserve"> quarter four </w:t>
      </w:r>
      <w:r w:rsidR="00D80BB1" w:rsidRPr="00E02F2A">
        <w:rPr>
          <w:rFonts w:cs="Arial"/>
          <w:szCs w:val="22"/>
        </w:rPr>
        <w:t>2022</w:t>
      </w:r>
      <w:r w:rsidR="005A3A6C">
        <w:rPr>
          <w:rFonts w:cs="Arial"/>
          <w:szCs w:val="22"/>
        </w:rPr>
        <w:t>–</w:t>
      </w:r>
      <w:r w:rsidR="00D80BB1" w:rsidRPr="00E02F2A">
        <w:rPr>
          <w:rFonts w:cs="Arial"/>
          <w:szCs w:val="22"/>
        </w:rPr>
        <w:t>23</w:t>
      </w:r>
      <w:r w:rsidR="00D80BB1">
        <w:rPr>
          <w:rFonts w:cs="Arial"/>
          <w:szCs w:val="22"/>
        </w:rPr>
        <w:t xml:space="preserve"> accounts for the </w:t>
      </w:r>
      <w:r w:rsidR="001600C6">
        <w:rPr>
          <w:rFonts w:cs="Arial"/>
          <w:szCs w:val="22"/>
        </w:rPr>
        <w:t xml:space="preserve">eight per cent decrease in sessions </w:t>
      </w:r>
      <w:r w:rsidR="00FD4550">
        <w:rPr>
          <w:rFonts w:cs="Arial"/>
          <w:szCs w:val="22"/>
        </w:rPr>
        <w:t>(Table 1.2)</w:t>
      </w:r>
      <w:r w:rsidR="001600C6">
        <w:rPr>
          <w:rFonts w:cs="Arial"/>
          <w:szCs w:val="22"/>
        </w:rPr>
        <w:t>.</w:t>
      </w:r>
      <w:r w:rsidR="00D80BB1">
        <w:t xml:space="preserve"> </w:t>
      </w:r>
      <w:r w:rsidR="00C63245">
        <w:rPr>
          <w:lang w:eastAsia="en-AU"/>
        </w:rPr>
        <w:t>Twenty-four</w:t>
      </w:r>
      <w:r w:rsidR="00491E3C">
        <w:rPr>
          <w:lang w:eastAsia="en-AU"/>
        </w:rPr>
        <w:t xml:space="preserve"> </w:t>
      </w:r>
      <w:r w:rsidR="006A6622">
        <w:rPr>
          <w:lang w:eastAsia="en-AU"/>
        </w:rPr>
        <w:t>p</w:t>
      </w:r>
      <w:r w:rsidR="00491E3C">
        <w:rPr>
          <w:lang w:eastAsia="en-AU"/>
        </w:rPr>
        <w:t>er cent more information services</w:t>
      </w:r>
      <w:r w:rsidR="001600C6">
        <w:rPr>
          <w:lang w:eastAsia="en-AU"/>
        </w:rPr>
        <w:t xml:space="preserve"> have been delivered compared to </w:t>
      </w:r>
      <w:r w:rsidR="006A6622">
        <w:rPr>
          <w:lang w:eastAsia="en-AU"/>
        </w:rPr>
        <w:t>quarter one 2022–23</w:t>
      </w:r>
      <w:r w:rsidR="00523B5F">
        <w:rPr>
          <w:lang w:eastAsia="en-AU"/>
        </w:rPr>
        <w:t xml:space="preserve"> (</w:t>
      </w:r>
      <w:r w:rsidR="00043F10">
        <w:rPr>
          <w:lang w:eastAsia="en-AU"/>
        </w:rPr>
        <w:t>26,650)</w:t>
      </w:r>
      <w:r w:rsidR="006A6622">
        <w:rPr>
          <w:lang w:eastAsia="en-AU"/>
        </w:rPr>
        <w:t>.</w:t>
      </w:r>
    </w:p>
    <w:p w14:paraId="2323627B" w14:textId="6D96CCFA" w:rsidR="007D54C7" w:rsidRDefault="007D54C7" w:rsidP="00366E11">
      <w:pPr>
        <w:rPr>
          <w:rFonts w:cs="Arial"/>
          <w:szCs w:val="22"/>
        </w:rPr>
      </w:pPr>
      <w:r w:rsidRPr="00E02F2A">
        <w:rPr>
          <w:lang w:eastAsia="en-AU"/>
        </w:rPr>
        <w:t xml:space="preserve">In quarter one </w:t>
      </w:r>
      <w:r w:rsidRPr="00E02F2A">
        <w:rPr>
          <w:rFonts w:cs="Arial"/>
          <w:szCs w:val="22"/>
        </w:rPr>
        <w:t xml:space="preserve">2023–24 we </w:t>
      </w:r>
      <w:r w:rsidR="00300FDB" w:rsidRPr="00E02F2A">
        <w:rPr>
          <w:rFonts w:cs="Arial"/>
          <w:szCs w:val="22"/>
        </w:rPr>
        <w:t xml:space="preserve">provided </w:t>
      </w:r>
      <w:r w:rsidR="00DE4605" w:rsidRPr="00E02F2A">
        <w:rPr>
          <w:rFonts w:cs="Arial"/>
          <w:szCs w:val="22"/>
        </w:rPr>
        <w:t>62 community legal education sessions</w:t>
      </w:r>
      <w:r w:rsidR="00FD4550">
        <w:rPr>
          <w:rFonts w:cs="Arial"/>
          <w:szCs w:val="22"/>
        </w:rPr>
        <w:t xml:space="preserve"> (Table 1.2)</w:t>
      </w:r>
      <w:r w:rsidR="00DE4605" w:rsidRPr="00E02F2A">
        <w:rPr>
          <w:rFonts w:cs="Arial"/>
          <w:szCs w:val="22"/>
        </w:rPr>
        <w:t xml:space="preserve">. </w:t>
      </w:r>
      <w:r w:rsidR="007F333F" w:rsidRPr="00E02F2A">
        <w:rPr>
          <w:rFonts w:cs="Arial"/>
          <w:szCs w:val="22"/>
        </w:rPr>
        <w:t>In 2022</w:t>
      </w:r>
      <w:r w:rsidR="00D81A0A">
        <w:rPr>
          <w:rFonts w:cs="Arial"/>
          <w:szCs w:val="22"/>
        </w:rPr>
        <w:t>–</w:t>
      </w:r>
      <w:r w:rsidR="007F333F" w:rsidRPr="00E02F2A">
        <w:rPr>
          <w:rFonts w:cs="Arial"/>
          <w:szCs w:val="22"/>
        </w:rPr>
        <w:t xml:space="preserve">23, the CLE team concentrated on </w:t>
      </w:r>
      <w:r w:rsidR="00E02F2A" w:rsidRPr="00E02F2A">
        <w:rPr>
          <w:rFonts w:cs="Arial"/>
          <w:szCs w:val="22"/>
        </w:rPr>
        <w:t>implementing</w:t>
      </w:r>
      <w:r w:rsidR="00D13D19" w:rsidRPr="00E02F2A">
        <w:rPr>
          <w:rFonts w:cs="Arial"/>
          <w:szCs w:val="22"/>
        </w:rPr>
        <w:t xml:space="preserve"> a regional CLE model where our regional offices are responsible for CLE sessions with the support of the </w:t>
      </w:r>
      <w:r w:rsidR="00E02F2A" w:rsidRPr="00E02F2A">
        <w:rPr>
          <w:rFonts w:cs="Arial"/>
          <w:szCs w:val="22"/>
        </w:rPr>
        <w:t>centralised</w:t>
      </w:r>
      <w:r w:rsidR="00D13D19" w:rsidRPr="00E02F2A">
        <w:rPr>
          <w:rFonts w:cs="Arial"/>
          <w:szCs w:val="22"/>
        </w:rPr>
        <w:t xml:space="preserve"> CLE team. This model has resulted in more regional sessions being </w:t>
      </w:r>
      <w:r w:rsidR="00E02F2A" w:rsidRPr="00E02F2A">
        <w:rPr>
          <w:rFonts w:cs="Arial"/>
          <w:szCs w:val="22"/>
        </w:rPr>
        <w:t>delivered and</w:t>
      </w:r>
      <w:r w:rsidR="00D13D19" w:rsidRPr="00E02F2A">
        <w:rPr>
          <w:rFonts w:cs="Arial"/>
          <w:szCs w:val="22"/>
        </w:rPr>
        <w:t xml:space="preserve"> has seen a </w:t>
      </w:r>
      <w:r w:rsidR="00E02F2A" w:rsidRPr="00E02F2A">
        <w:rPr>
          <w:rFonts w:cs="Arial"/>
          <w:szCs w:val="22"/>
        </w:rPr>
        <w:t xml:space="preserve">fifteen percent increase </w:t>
      </w:r>
      <w:r w:rsidR="0080691C">
        <w:rPr>
          <w:rFonts w:cs="Arial"/>
          <w:szCs w:val="22"/>
        </w:rPr>
        <w:t>in</w:t>
      </w:r>
      <w:r w:rsidR="00E02F2A" w:rsidRPr="00E02F2A">
        <w:rPr>
          <w:rFonts w:cs="Arial"/>
          <w:szCs w:val="22"/>
        </w:rPr>
        <w:t xml:space="preserve"> CLE sessions from </w:t>
      </w:r>
      <w:r w:rsidR="005B6506">
        <w:rPr>
          <w:rFonts w:cs="Arial"/>
          <w:szCs w:val="22"/>
        </w:rPr>
        <w:t>quarter four</w:t>
      </w:r>
      <w:r w:rsidR="00E02F2A" w:rsidRPr="00E02F2A">
        <w:rPr>
          <w:rFonts w:cs="Arial"/>
          <w:szCs w:val="22"/>
        </w:rPr>
        <w:t xml:space="preserve"> 2022</w:t>
      </w:r>
      <w:r w:rsidR="008470C8">
        <w:rPr>
          <w:rFonts w:cs="Arial"/>
          <w:szCs w:val="22"/>
        </w:rPr>
        <w:t>–</w:t>
      </w:r>
      <w:r w:rsidR="00E02F2A" w:rsidRPr="00E02F2A">
        <w:rPr>
          <w:rFonts w:cs="Arial"/>
          <w:szCs w:val="22"/>
        </w:rPr>
        <w:t xml:space="preserve">23 to </w:t>
      </w:r>
      <w:r w:rsidR="005B6506">
        <w:rPr>
          <w:rFonts w:cs="Arial"/>
          <w:szCs w:val="22"/>
        </w:rPr>
        <w:t>quarter one</w:t>
      </w:r>
      <w:r w:rsidR="00E02F2A" w:rsidRPr="00E02F2A">
        <w:rPr>
          <w:rFonts w:cs="Arial"/>
          <w:szCs w:val="22"/>
        </w:rPr>
        <w:t xml:space="preserve"> 2023</w:t>
      </w:r>
      <w:r w:rsidR="008470C8">
        <w:rPr>
          <w:rFonts w:cs="Arial"/>
          <w:szCs w:val="22"/>
        </w:rPr>
        <w:t>–</w:t>
      </w:r>
      <w:r w:rsidR="00E02F2A" w:rsidRPr="00E02F2A">
        <w:rPr>
          <w:rFonts w:cs="Arial"/>
          <w:szCs w:val="22"/>
        </w:rPr>
        <w:t>24.</w:t>
      </w:r>
      <w:r w:rsidR="009D5D1D" w:rsidRPr="00E02F2A">
        <w:rPr>
          <w:rFonts w:cs="Arial"/>
          <w:szCs w:val="22"/>
        </w:rPr>
        <w:t xml:space="preserve"> </w:t>
      </w:r>
    </w:p>
    <w:p w14:paraId="262048A4" w14:textId="49E1767B" w:rsidR="00425C66" w:rsidRPr="00E02F2A" w:rsidRDefault="006A6622" w:rsidP="00366E11">
      <w:pPr>
        <w:rPr>
          <w:rFonts w:cs="Arial"/>
          <w:szCs w:val="22"/>
        </w:rPr>
      </w:pPr>
      <w:r>
        <w:rPr>
          <w:rFonts w:cs="Arial"/>
          <w:szCs w:val="22"/>
        </w:rPr>
        <w:t>Google ha</w:t>
      </w:r>
      <w:r w:rsidR="008470C8">
        <w:rPr>
          <w:rFonts w:cs="Arial"/>
          <w:szCs w:val="22"/>
        </w:rPr>
        <w:t>s</w:t>
      </w:r>
      <w:r>
        <w:rPr>
          <w:rFonts w:cs="Arial"/>
          <w:szCs w:val="22"/>
        </w:rPr>
        <w:t xml:space="preserve"> been making changes to the way they track </w:t>
      </w:r>
      <w:r w:rsidR="002729E8">
        <w:rPr>
          <w:rFonts w:cs="Arial"/>
          <w:szCs w:val="22"/>
        </w:rPr>
        <w:t xml:space="preserve">users and user data. This has had a flow on impact on the analytics available to measure our website performance. In line with the recommendations made by Google, we have updated our performance measure to </w:t>
      </w:r>
      <w:r w:rsidR="007E0BD1">
        <w:rPr>
          <w:rFonts w:cs="Arial"/>
          <w:szCs w:val="22"/>
        </w:rPr>
        <w:t>‘</w:t>
      </w:r>
      <w:r w:rsidR="002729E8">
        <w:rPr>
          <w:rFonts w:cs="Arial"/>
          <w:szCs w:val="22"/>
        </w:rPr>
        <w:t xml:space="preserve">Engaged </w:t>
      </w:r>
      <w:r w:rsidR="007E0BD1">
        <w:rPr>
          <w:rFonts w:cs="Arial"/>
          <w:szCs w:val="22"/>
        </w:rPr>
        <w:t>sessions of legal information website pages’ from the previous measure of ‘website sessions’</w:t>
      </w:r>
      <w:r w:rsidR="00FD4550">
        <w:rPr>
          <w:rFonts w:cs="Arial"/>
          <w:szCs w:val="22"/>
        </w:rPr>
        <w:t xml:space="preserve"> (Table 1.2)</w:t>
      </w:r>
      <w:r w:rsidR="007E0BD1">
        <w:rPr>
          <w:rFonts w:cs="Arial"/>
          <w:szCs w:val="22"/>
        </w:rPr>
        <w:t>. The new measure only counts sessions that last longer than ten seconds or where a user has been actively engaged with the content. This measure provides us with a better understanding of</w:t>
      </w:r>
      <w:r w:rsidR="00FD4550">
        <w:rPr>
          <w:rFonts w:cs="Arial"/>
          <w:szCs w:val="22"/>
        </w:rPr>
        <w:t xml:space="preserve"> how our website content is being used.</w:t>
      </w:r>
      <w:r w:rsidR="00DE206D">
        <w:rPr>
          <w:rFonts w:cs="Arial"/>
          <w:szCs w:val="22"/>
        </w:rPr>
        <w:t xml:space="preserve"> </w:t>
      </w:r>
      <w:r w:rsidR="00425C66">
        <w:rPr>
          <w:rFonts w:cs="Arial"/>
          <w:szCs w:val="22"/>
        </w:rPr>
        <w:t xml:space="preserve">There is currently not enough historical data available for </w:t>
      </w:r>
      <w:r w:rsidR="00DE206D">
        <w:rPr>
          <w:rFonts w:cs="Arial"/>
          <w:szCs w:val="22"/>
        </w:rPr>
        <w:t xml:space="preserve">this new measure </w:t>
      </w:r>
      <w:r w:rsidR="003B2EF8">
        <w:rPr>
          <w:rFonts w:cs="Arial"/>
          <w:szCs w:val="22"/>
        </w:rPr>
        <w:t xml:space="preserve">to </w:t>
      </w:r>
      <w:r w:rsidR="00DE206D">
        <w:rPr>
          <w:rFonts w:cs="Arial"/>
          <w:szCs w:val="22"/>
        </w:rPr>
        <w:t>be able to make quarterly projections.</w:t>
      </w:r>
    </w:p>
    <w:p w14:paraId="0A35A050" w14:textId="7526B44D" w:rsidR="006D20E9" w:rsidRPr="006D20E9" w:rsidRDefault="006D20E9" w:rsidP="006D20E9">
      <w:pPr>
        <w:pStyle w:val="Heading3"/>
        <w:rPr>
          <w:rFonts w:cs="Times New Roman"/>
          <w:sz w:val="20"/>
          <w:szCs w:val="22"/>
          <w:lang w:eastAsia="en-US"/>
        </w:rPr>
      </w:pPr>
      <w:r w:rsidRPr="00742E79">
        <w:rPr>
          <w:rFonts w:cs="Times New Roman"/>
          <w:sz w:val="20"/>
          <w:szCs w:val="22"/>
          <w:lang w:eastAsia="en-US"/>
        </w:rPr>
        <w:t>Table 1.</w:t>
      </w:r>
      <w:r>
        <w:rPr>
          <w:rFonts w:cs="Times New Roman"/>
          <w:sz w:val="20"/>
          <w:szCs w:val="22"/>
          <w:lang w:eastAsia="en-US"/>
        </w:rPr>
        <w:t>2</w:t>
      </w:r>
      <w:r w:rsidRPr="00742E79">
        <w:rPr>
          <w:rFonts w:cs="Times New Roman"/>
          <w:sz w:val="20"/>
          <w:szCs w:val="22"/>
          <w:lang w:eastAsia="en-US"/>
        </w:rPr>
        <w:t xml:space="preserve"> Community information and education services</w:t>
      </w:r>
    </w:p>
    <w:tbl>
      <w:tblPr>
        <w:tblStyle w:val="PlainTable2"/>
        <w:tblW w:w="4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76"/>
        <w:gridCol w:w="1747"/>
        <w:gridCol w:w="1513"/>
        <w:gridCol w:w="1610"/>
      </w:tblGrid>
      <w:tr w:rsidR="00B0725E" w:rsidRPr="00A76427" w14:paraId="552FA901" w14:textId="77777777" w:rsidTr="04AE52AE">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shd w:val="clear" w:color="auto" w:fill="B59CC0"/>
          </w:tcPr>
          <w:p w14:paraId="3083506E" w14:textId="2E748352" w:rsidR="006D20E9" w:rsidRPr="000E7EED" w:rsidRDefault="006D20E9" w:rsidP="000315EB">
            <w:pPr>
              <w:rPr>
                <w:color w:val="000000" w:themeColor="text1"/>
              </w:rPr>
            </w:pPr>
            <w:r>
              <w:rPr>
                <w:b/>
                <w:color w:val="000000" w:themeColor="text1"/>
              </w:rPr>
              <w:t>Community</w:t>
            </w:r>
            <w:r w:rsidR="00D17C72">
              <w:rPr>
                <w:b/>
                <w:color w:val="000000" w:themeColor="text1"/>
              </w:rPr>
              <w:t xml:space="preserve"> information and education</w:t>
            </w:r>
            <w:r>
              <w:rPr>
                <w:b/>
                <w:color w:val="000000" w:themeColor="text1"/>
              </w:rPr>
              <w:t xml:space="preserve"> Services</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B59CC0"/>
          </w:tcPr>
          <w:p w14:paraId="38B15804" w14:textId="77777777" w:rsidR="006D20E9" w:rsidRDefault="006D20E9" w:rsidP="000315EB">
            <w:pPr>
              <w:jc w:val="center"/>
              <w:rPr>
                <w:b/>
                <w:color w:val="000000" w:themeColor="text1"/>
              </w:rPr>
            </w:pPr>
            <w:r w:rsidRPr="55245693">
              <w:rPr>
                <w:b/>
                <w:color w:val="000000" w:themeColor="text1"/>
              </w:rPr>
              <w:t>Q</w:t>
            </w:r>
            <w:r>
              <w:rPr>
                <w:b/>
                <w:color w:val="000000" w:themeColor="text1"/>
              </w:rPr>
              <w:t>4</w:t>
            </w:r>
          </w:p>
          <w:p w14:paraId="068A52F2" w14:textId="77777777" w:rsidR="006D20E9" w:rsidRPr="55245693" w:rsidRDefault="006D20E9" w:rsidP="000315EB">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B59CC0"/>
          </w:tcPr>
          <w:p w14:paraId="039CB7F4" w14:textId="77777777" w:rsidR="006D20E9" w:rsidRPr="000E7EED" w:rsidRDefault="006D20E9" w:rsidP="000315EB">
            <w:pPr>
              <w:jc w:val="center"/>
              <w:rPr>
                <w:b/>
                <w:color w:val="000000" w:themeColor="text1"/>
              </w:rPr>
            </w:pPr>
            <w:r w:rsidRPr="55245693">
              <w:rPr>
                <w:b/>
                <w:color w:val="000000" w:themeColor="text1"/>
              </w:rPr>
              <w:t>Q</w:t>
            </w:r>
            <w:r>
              <w:rPr>
                <w:b/>
                <w:color w:val="000000" w:themeColor="text1"/>
              </w:rPr>
              <w:t>1</w:t>
            </w:r>
          </w:p>
          <w:p w14:paraId="2E49BB4C" w14:textId="77777777" w:rsidR="006D20E9" w:rsidRPr="000E7EED" w:rsidRDefault="006D20E9" w:rsidP="000315EB">
            <w:pPr>
              <w:jc w:val="center"/>
              <w:rPr>
                <w:color w:val="000000" w:themeColor="text1"/>
              </w:rPr>
            </w:pPr>
            <w:r w:rsidRPr="000E7EED">
              <w:rPr>
                <w:b/>
                <w:color w:val="000000" w:themeColor="text1"/>
              </w:rPr>
              <w:t>20</w:t>
            </w:r>
            <w:r>
              <w:rPr>
                <w:b/>
                <w:color w:val="000000" w:themeColor="text1"/>
              </w:rPr>
              <w:t>23-24</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B59CC0"/>
          </w:tcPr>
          <w:p w14:paraId="5DA31A2A" w14:textId="77777777" w:rsidR="006D20E9" w:rsidRPr="00A76427" w:rsidRDefault="006D20E9" w:rsidP="000315EB">
            <w:pPr>
              <w:jc w:val="center"/>
              <w:rPr>
                <w:b/>
                <w:color w:val="000000" w:themeColor="text1"/>
              </w:rPr>
            </w:pPr>
            <w:r w:rsidRPr="55245693">
              <w:rPr>
                <w:b/>
                <w:color w:val="000000" w:themeColor="text1"/>
              </w:rPr>
              <w:t>Q</w:t>
            </w:r>
            <w:r>
              <w:rPr>
                <w:b/>
                <w:color w:val="000000" w:themeColor="text1"/>
              </w:rPr>
              <w:t xml:space="preserve">2 </w:t>
            </w:r>
            <w:r w:rsidRPr="000E7EED">
              <w:rPr>
                <w:b/>
                <w:color w:val="000000" w:themeColor="text1"/>
              </w:rPr>
              <w:t>20</w:t>
            </w:r>
            <w:r>
              <w:rPr>
                <w:b/>
                <w:color w:val="000000" w:themeColor="text1"/>
              </w:rPr>
              <w:t>23-24 projection</w:t>
            </w:r>
          </w:p>
        </w:tc>
      </w:tr>
      <w:tr w:rsidR="006D20E9" w:rsidRPr="00E94FBD" w14:paraId="50D7A9F0" w14:textId="77777777" w:rsidTr="04AE52AE">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20736CD9" w14:textId="77777777" w:rsidR="006D20E9" w:rsidRPr="001F0CF5" w:rsidRDefault="006D20E9" w:rsidP="000315EB">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vAlign w:val="center"/>
          </w:tcPr>
          <w:p w14:paraId="07238060" w14:textId="12BC1CED" w:rsidR="006D20E9" w:rsidRPr="000E7EED" w:rsidRDefault="00880CDE" w:rsidP="20026E5A">
            <w:pPr>
              <w:jc w:val="center"/>
              <w:rPr>
                <w:color w:val="000000" w:themeColor="text1"/>
              </w:rPr>
            </w:pPr>
            <w:r>
              <w:rPr>
                <w:rStyle w:val="normaltextrun"/>
                <w:rFonts w:cs="Arial"/>
              </w:rPr>
              <w:t>35,280</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2DD957" w14:textId="5BB3E83D" w:rsidR="20026E5A" w:rsidRDefault="20026E5A" w:rsidP="04AE52AE">
            <w:pPr>
              <w:jc w:val="center"/>
              <w:rPr>
                <w:rFonts w:eastAsia="Arial" w:cs="Arial"/>
                <w:color w:val="000000" w:themeColor="text1"/>
              </w:rPr>
            </w:pPr>
            <w:r w:rsidRPr="04AE52AE">
              <w:rPr>
                <w:rFonts w:eastAsia="Arial" w:cs="Arial"/>
                <w:color w:val="000000" w:themeColor="text1"/>
              </w:rPr>
              <w:t>3</w:t>
            </w:r>
            <w:r w:rsidR="29B166E6" w:rsidRPr="04AE52AE">
              <w:rPr>
                <w:rFonts w:eastAsia="Arial" w:cs="Arial"/>
                <w:color w:val="000000" w:themeColor="text1"/>
              </w:rPr>
              <w:t>7,5</w:t>
            </w:r>
            <w:r w:rsidRPr="04AE52AE">
              <w:rPr>
                <w:rFonts w:eastAsia="Arial" w:cs="Arial"/>
                <w:color w:val="000000" w:themeColor="text1"/>
              </w:rPr>
              <w:t>64</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2CA4C" w14:textId="47B92B23" w:rsidR="006D20E9" w:rsidRPr="00E94FBD" w:rsidRDefault="330FF620" w:rsidP="20026E5A">
            <w:pPr>
              <w:jc w:val="center"/>
            </w:pPr>
            <w:r w:rsidRPr="20026E5A">
              <w:rPr>
                <w:rFonts w:eastAsia="Arial" w:cs="Arial"/>
                <w:szCs w:val="22"/>
              </w:rPr>
              <w:t>3</w:t>
            </w:r>
            <w:r w:rsidR="00E74960">
              <w:rPr>
                <w:rFonts w:eastAsia="Arial" w:cs="Arial"/>
                <w:szCs w:val="22"/>
              </w:rPr>
              <w:t>3,000</w:t>
            </w:r>
          </w:p>
        </w:tc>
      </w:tr>
      <w:tr w:rsidR="006D20E9" w:rsidRPr="00110497" w14:paraId="27700744" w14:textId="77777777" w:rsidTr="04AE52AE">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left w:val="single" w:sz="4" w:space="0" w:color="auto"/>
              <w:bottom w:val="single" w:sz="4" w:space="0" w:color="auto"/>
              <w:right w:val="single" w:sz="4" w:space="0" w:color="auto"/>
            </w:tcBorders>
          </w:tcPr>
          <w:p w14:paraId="7C9F3E57" w14:textId="77777777" w:rsidR="006D20E9" w:rsidRDefault="006D20E9" w:rsidP="000315EB">
            <w:pPr>
              <w:rPr>
                <w:color w:val="000000" w:themeColor="text1"/>
              </w:rPr>
            </w:pPr>
            <w:r>
              <w:rPr>
                <w:color w:val="000000" w:themeColor="text1"/>
              </w:rPr>
              <w:t>Combined average wait time (minutes)</w:t>
            </w:r>
          </w:p>
        </w:tc>
        <w:tc>
          <w:tcPr>
            <w:cnfStyle w:val="000001000000" w:firstRow="0" w:lastRow="0" w:firstColumn="0" w:lastColumn="0" w:oddVBand="0" w:evenVBand="1" w:oddHBand="0" w:evenHBand="0" w:firstRowFirstColumn="0" w:firstRowLastColumn="0" w:lastRowFirstColumn="0" w:lastRowLastColumn="0"/>
            <w:tcW w:w="1747" w:type="dxa"/>
            <w:tcBorders>
              <w:left w:val="single" w:sz="4" w:space="0" w:color="auto"/>
              <w:bottom w:val="single" w:sz="4" w:space="0" w:color="auto"/>
              <w:right w:val="single" w:sz="4" w:space="0" w:color="auto"/>
            </w:tcBorders>
            <w:vAlign w:val="center"/>
          </w:tcPr>
          <w:p w14:paraId="04278DDD" w14:textId="39F3B5AE" w:rsidR="006D20E9" w:rsidRDefault="006D20E9" w:rsidP="20026E5A">
            <w:pPr>
              <w:jc w:val="center"/>
              <w:rPr>
                <w:color w:val="000000" w:themeColor="text1"/>
              </w:rPr>
            </w:pPr>
            <w:r w:rsidRPr="20026E5A">
              <w:rPr>
                <w:rStyle w:val="normaltextrun"/>
                <w:rFonts w:cs="Arial"/>
              </w:rPr>
              <w:t>8:</w:t>
            </w:r>
            <w:r w:rsidR="65B28695" w:rsidRPr="20026E5A">
              <w:rPr>
                <w:rStyle w:val="normaltextrun"/>
                <w:rFonts w:cs="Arial"/>
              </w:rPr>
              <w:t>5</w:t>
            </w:r>
            <w:r w:rsidRPr="20026E5A">
              <w:rPr>
                <w:rStyle w:val="normaltextrun"/>
                <w:rFonts w:cs="Arial"/>
              </w:rPr>
              <w:t>4</w:t>
            </w:r>
          </w:p>
        </w:tc>
        <w:tc>
          <w:tcPr>
            <w:cnfStyle w:val="000010000000" w:firstRow="0" w:lastRow="0" w:firstColumn="0" w:lastColumn="0" w:oddVBand="1" w:evenVBand="0" w:oddHBand="0" w:evenHBand="0" w:firstRowFirstColumn="0" w:firstRowLastColumn="0" w:lastRowFirstColumn="0" w:lastRowLastColumn="0"/>
            <w:tcW w:w="1513" w:type="dxa"/>
            <w:tcBorders>
              <w:left w:val="single" w:sz="4" w:space="0" w:color="auto"/>
              <w:bottom w:val="single" w:sz="4" w:space="0" w:color="auto"/>
              <w:right w:val="single" w:sz="4" w:space="0" w:color="auto"/>
            </w:tcBorders>
            <w:shd w:val="clear" w:color="auto" w:fill="D0CECE" w:themeFill="background2" w:themeFillShade="E6"/>
            <w:vAlign w:val="center"/>
          </w:tcPr>
          <w:p w14:paraId="7C7A0D4E" w14:textId="5A61D5A8" w:rsidR="006D20E9" w:rsidRDefault="00CC1F04" w:rsidP="20026E5A">
            <w:pPr>
              <w:jc w:val="center"/>
            </w:pPr>
            <w:r>
              <w:rPr>
                <w:rFonts w:eastAsia="Arial" w:cs="Arial"/>
                <w:szCs w:val="22"/>
              </w:rPr>
              <w:t>8</w:t>
            </w:r>
            <w:r w:rsidR="7790BA8D" w:rsidRPr="20026E5A">
              <w:rPr>
                <w:rFonts w:eastAsia="Arial" w:cs="Arial"/>
                <w:szCs w:val="22"/>
              </w:rPr>
              <w:t>:00</w:t>
            </w:r>
          </w:p>
        </w:tc>
        <w:tc>
          <w:tcPr>
            <w:cnfStyle w:val="000001000000" w:firstRow="0" w:lastRow="0" w:firstColumn="0" w:lastColumn="0" w:oddVBand="0" w:evenVBand="1" w:oddHBand="0" w:evenHBand="0" w:firstRowFirstColumn="0" w:firstRowLastColumn="0" w:lastRowFirstColumn="0" w:lastRowLastColumn="0"/>
            <w:tcW w:w="1610" w:type="dxa"/>
            <w:tcBorders>
              <w:left w:val="single" w:sz="4" w:space="0" w:color="auto"/>
              <w:bottom w:val="single" w:sz="4" w:space="0" w:color="auto"/>
              <w:right w:val="single" w:sz="4" w:space="0" w:color="auto"/>
            </w:tcBorders>
            <w:shd w:val="clear" w:color="auto" w:fill="FFFFFF" w:themeFill="background1"/>
            <w:vAlign w:val="center"/>
          </w:tcPr>
          <w:p w14:paraId="715D681D" w14:textId="6B7863A8" w:rsidR="006D20E9" w:rsidRPr="00110497" w:rsidRDefault="7790BA8D" w:rsidP="20026E5A">
            <w:pPr>
              <w:jc w:val="center"/>
            </w:pPr>
            <w:r w:rsidRPr="20026E5A">
              <w:rPr>
                <w:rFonts w:eastAsia="Arial" w:cs="Arial"/>
                <w:szCs w:val="22"/>
              </w:rPr>
              <w:t>9:00</w:t>
            </w:r>
          </w:p>
        </w:tc>
      </w:tr>
      <w:tr w:rsidR="006D20E9" w:rsidRPr="00110497" w14:paraId="547B0B28" w14:textId="77777777" w:rsidTr="04AE52AE">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0FD37062" w14:textId="77777777" w:rsidR="006D20E9" w:rsidRDefault="006D20E9" w:rsidP="000315EB">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tcPr>
          <w:p w14:paraId="3D8B0750" w14:textId="45EBCCF1" w:rsidR="006D20E9" w:rsidRDefault="006D20E9" w:rsidP="20026E5A">
            <w:pPr>
              <w:jc w:val="center"/>
              <w:rPr>
                <w:rStyle w:val="normaltextrun"/>
                <w:rFonts w:cs="Arial"/>
              </w:rPr>
            </w:pPr>
            <w:r>
              <w:t>35,835</w:t>
            </w:r>
            <w:r w:rsidR="00623789">
              <w:rPr>
                <w:rStyle w:val="FootnoteReference"/>
              </w:rPr>
              <w:footnoteReference w:id="5"/>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A46C3F" w14:textId="4E5A2C82" w:rsidR="00D533FE" w:rsidRPr="00D533FE" w:rsidRDefault="1A8C6160" w:rsidP="00D533FE">
            <w:pPr>
              <w:jc w:val="center"/>
              <w:rPr>
                <w:rFonts w:eastAsia="Arial" w:cs="Arial"/>
                <w:szCs w:val="22"/>
              </w:rPr>
            </w:pPr>
            <w:r w:rsidRPr="20026E5A">
              <w:rPr>
                <w:rFonts w:eastAsia="Arial" w:cs="Arial"/>
                <w:szCs w:val="22"/>
              </w:rPr>
              <w:t>3</w:t>
            </w:r>
            <w:r w:rsidR="00D533FE">
              <w:rPr>
                <w:rFonts w:eastAsia="Arial" w:cs="Arial"/>
                <w:szCs w:val="22"/>
              </w:rPr>
              <w:t>2</w:t>
            </w:r>
            <w:r w:rsidRPr="20026E5A">
              <w:rPr>
                <w:rFonts w:eastAsia="Arial" w:cs="Arial"/>
                <w:szCs w:val="22"/>
              </w:rPr>
              <w:t>,</w:t>
            </w:r>
            <w:r w:rsidR="00D533FE">
              <w:rPr>
                <w:rFonts w:eastAsia="Arial" w:cs="Arial"/>
                <w:szCs w:val="22"/>
              </w:rPr>
              <w:t>046</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95ABE" w14:textId="1412170A" w:rsidR="006D20E9" w:rsidRPr="00110497" w:rsidRDefault="1A8C6160" w:rsidP="20026E5A">
            <w:pPr>
              <w:jc w:val="center"/>
            </w:pPr>
            <w:r w:rsidRPr="20026E5A">
              <w:rPr>
                <w:rFonts w:eastAsia="Arial" w:cs="Arial"/>
                <w:szCs w:val="22"/>
              </w:rPr>
              <w:t>26,380</w:t>
            </w:r>
          </w:p>
        </w:tc>
      </w:tr>
      <w:tr w:rsidR="006D20E9" w:rsidRPr="00110497" w14:paraId="1795B5BF" w14:textId="77777777" w:rsidTr="04AE52AE">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676" w:type="dxa"/>
            <w:tcBorders>
              <w:top w:val="single" w:sz="4" w:space="0" w:color="auto"/>
              <w:left w:val="single" w:sz="4" w:space="0" w:color="auto"/>
              <w:bottom w:val="single" w:sz="4" w:space="0" w:color="auto"/>
              <w:right w:val="single" w:sz="4" w:space="0" w:color="auto"/>
            </w:tcBorders>
          </w:tcPr>
          <w:p w14:paraId="0F67D919" w14:textId="77777777" w:rsidR="006D20E9" w:rsidRDefault="006D20E9" w:rsidP="000315EB">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vAlign w:val="center"/>
          </w:tcPr>
          <w:p w14:paraId="1E004636" w14:textId="2F108A1F" w:rsidR="006D20E9" w:rsidRDefault="5915102A" w:rsidP="20026E5A">
            <w:pPr>
              <w:jc w:val="center"/>
              <w:rPr>
                <w:rStyle w:val="normaltextrun"/>
                <w:rFonts w:cs="Arial"/>
              </w:rPr>
            </w:pPr>
            <w:r w:rsidRPr="20026E5A">
              <w:rPr>
                <w:rStyle w:val="normaltextrun"/>
                <w:rFonts w:cs="Arial"/>
              </w:rPr>
              <w:t>54</w:t>
            </w:r>
          </w:p>
        </w:tc>
        <w:tc>
          <w:tcPr>
            <w:cnfStyle w:val="000010000000" w:firstRow="0" w:lastRow="0" w:firstColumn="0" w:lastColumn="0" w:oddVBand="1"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924CF4" w14:textId="7675068A" w:rsidR="006D20E9" w:rsidRDefault="00300FDB" w:rsidP="000315EB">
            <w:pPr>
              <w:jc w:val="center"/>
            </w:pPr>
            <w:r>
              <w:t>62</w:t>
            </w:r>
          </w:p>
        </w:tc>
        <w:tc>
          <w:tcPr>
            <w:cnfStyle w:val="000001000000" w:firstRow="0" w:lastRow="0" w:firstColumn="0" w:lastColumn="0" w:oddVBand="0" w:evenVBand="1" w:oddHBand="0" w:evenHBand="0" w:firstRowFirstColumn="0" w:firstRowLastColumn="0" w:lastRowFirstColumn="0" w:lastRowLastColumn="0"/>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EDD20" w14:textId="545B371F" w:rsidR="006D20E9" w:rsidRPr="00110497" w:rsidRDefault="00300FDB" w:rsidP="000315EB">
            <w:pPr>
              <w:jc w:val="center"/>
              <w:rPr>
                <w:rStyle w:val="normaltextrun"/>
                <w:rFonts w:cs="Arial"/>
                <w:szCs w:val="22"/>
              </w:rPr>
            </w:pPr>
            <w:r>
              <w:rPr>
                <w:rStyle w:val="normaltextrun"/>
                <w:rFonts w:cs="Arial"/>
                <w:szCs w:val="22"/>
              </w:rPr>
              <w:t>60</w:t>
            </w:r>
          </w:p>
        </w:tc>
      </w:tr>
      <w:tr w:rsidR="006D20E9" w:rsidRPr="00110497" w14:paraId="03C74500" w14:textId="77777777" w:rsidTr="04AE52AE">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3676" w:type="dxa"/>
            <w:tcBorders>
              <w:left w:val="single" w:sz="4" w:space="0" w:color="auto"/>
              <w:bottom w:val="single" w:sz="4" w:space="0" w:color="auto"/>
              <w:right w:val="single" w:sz="4" w:space="0" w:color="auto"/>
            </w:tcBorders>
          </w:tcPr>
          <w:p w14:paraId="656A1ECD" w14:textId="417C785A" w:rsidR="006D20E9" w:rsidRDefault="008470E5" w:rsidP="000315EB">
            <w:pPr>
              <w:rPr>
                <w:color w:val="000000" w:themeColor="text1"/>
              </w:rPr>
            </w:pPr>
            <w:r>
              <w:rPr>
                <w:rStyle w:val="normaltextrun"/>
                <w:rFonts w:cs="Arial"/>
                <w:color w:val="000000"/>
                <w:szCs w:val="22"/>
                <w:shd w:val="clear" w:color="auto" w:fill="FFFFFF"/>
              </w:rPr>
              <w:t>Engaged sessions</w:t>
            </w:r>
            <w:r>
              <w:rPr>
                <w:rStyle w:val="FootnoteReference"/>
                <w:rFonts w:cs="Arial"/>
                <w:color w:val="000000"/>
                <w:szCs w:val="22"/>
                <w:shd w:val="clear" w:color="auto" w:fill="FFFFFF"/>
              </w:rPr>
              <w:footnoteReference w:id="6"/>
            </w:r>
            <w:r w:rsidR="006D20E9">
              <w:rPr>
                <w:rStyle w:val="normaltextrun"/>
                <w:rFonts w:cs="Arial"/>
                <w:color w:val="000000"/>
                <w:szCs w:val="22"/>
                <w:shd w:val="clear" w:color="auto" w:fill="FFFFFF"/>
              </w:rPr>
              <w:t xml:space="preserve"> of legal information </w:t>
            </w:r>
            <w:r w:rsidR="006D20E9">
              <w:rPr>
                <w:rStyle w:val="findhit"/>
                <w:rFonts w:cs="Arial"/>
                <w:color w:val="000000"/>
                <w:szCs w:val="22"/>
              </w:rPr>
              <w:t>website</w:t>
            </w:r>
            <w:r w:rsidR="006D20E9">
              <w:rPr>
                <w:rStyle w:val="normaltextrun"/>
                <w:rFonts w:cs="Arial"/>
                <w:color w:val="000000"/>
                <w:szCs w:val="22"/>
                <w:shd w:val="clear" w:color="auto" w:fill="FFFFFF"/>
              </w:rPr>
              <w:t xml:space="preserve"> pages</w:t>
            </w:r>
          </w:p>
        </w:tc>
        <w:tc>
          <w:tcPr>
            <w:cnfStyle w:val="000001000000" w:firstRow="0" w:lastRow="0" w:firstColumn="0" w:lastColumn="0" w:oddVBand="0" w:evenVBand="1" w:oddHBand="0" w:evenHBand="0" w:firstRowFirstColumn="0" w:firstRowLastColumn="0" w:lastRowFirstColumn="0" w:lastRowLastColumn="0"/>
            <w:tcW w:w="1747" w:type="dxa"/>
            <w:tcBorders>
              <w:left w:val="single" w:sz="4" w:space="0" w:color="auto"/>
              <w:bottom w:val="single" w:sz="4" w:space="0" w:color="auto"/>
              <w:right w:val="single" w:sz="4" w:space="0" w:color="auto"/>
            </w:tcBorders>
            <w:vAlign w:val="center"/>
          </w:tcPr>
          <w:p w14:paraId="332C8414" w14:textId="29811627" w:rsidR="006D20E9" w:rsidRDefault="00FD4550" w:rsidP="20026E5A">
            <w:pPr>
              <w:jc w:val="center"/>
              <w:rPr>
                <w:rStyle w:val="normaltextrun"/>
                <w:rFonts w:cs="Arial"/>
              </w:rPr>
            </w:pPr>
            <w:r>
              <w:rPr>
                <w:rStyle w:val="normaltextrun"/>
                <w:rFonts w:cs="Arial"/>
              </w:rPr>
              <w:t>N/A</w:t>
            </w:r>
          </w:p>
        </w:tc>
        <w:tc>
          <w:tcPr>
            <w:cnfStyle w:val="000010000000" w:firstRow="0" w:lastRow="0" w:firstColumn="0" w:lastColumn="0" w:oddVBand="1" w:evenVBand="0" w:oddHBand="0" w:evenHBand="0" w:firstRowFirstColumn="0" w:firstRowLastColumn="0" w:lastRowFirstColumn="0" w:lastRowLastColumn="0"/>
            <w:tcW w:w="1513" w:type="dxa"/>
            <w:tcBorders>
              <w:left w:val="single" w:sz="4" w:space="0" w:color="auto"/>
              <w:bottom w:val="single" w:sz="4" w:space="0" w:color="auto"/>
              <w:right w:val="single" w:sz="4" w:space="0" w:color="auto"/>
            </w:tcBorders>
            <w:shd w:val="clear" w:color="auto" w:fill="D0CECE" w:themeFill="background2" w:themeFillShade="E6"/>
            <w:vAlign w:val="center"/>
          </w:tcPr>
          <w:p w14:paraId="4DD3B26E" w14:textId="342AFC73" w:rsidR="006D20E9" w:rsidRDefault="00F536A3" w:rsidP="000315EB">
            <w:pPr>
              <w:jc w:val="center"/>
            </w:pPr>
            <w:r>
              <w:t>260,525</w:t>
            </w:r>
          </w:p>
        </w:tc>
        <w:tc>
          <w:tcPr>
            <w:cnfStyle w:val="000001000000" w:firstRow="0" w:lastRow="0" w:firstColumn="0" w:lastColumn="0" w:oddVBand="0" w:evenVBand="1" w:oddHBand="0" w:evenHBand="0" w:firstRowFirstColumn="0" w:firstRowLastColumn="0" w:lastRowFirstColumn="0" w:lastRowLastColumn="0"/>
            <w:tcW w:w="1610" w:type="dxa"/>
            <w:tcBorders>
              <w:left w:val="single" w:sz="4" w:space="0" w:color="auto"/>
              <w:bottom w:val="single" w:sz="4" w:space="0" w:color="auto"/>
              <w:right w:val="single" w:sz="4" w:space="0" w:color="auto"/>
            </w:tcBorders>
            <w:shd w:val="clear" w:color="auto" w:fill="FFFFFF" w:themeFill="background1"/>
            <w:vAlign w:val="center"/>
          </w:tcPr>
          <w:p w14:paraId="4D710485" w14:textId="42A2AFED" w:rsidR="006D20E9" w:rsidRPr="00110497" w:rsidRDefault="00425C66" w:rsidP="000315EB">
            <w:pPr>
              <w:jc w:val="center"/>
              <w:rPr>
                <w:rStyle w:val="normaltextrun"/>
                <w:rFonts w:cs="Arial"/>
                <w:szCs w:val="22"/>
              </w:rPr>
            </w:pPr>
            <w:r>
              <w:rPr>
                <w:rStyle w:val="normaltextrun"/>
                <w:rFonts w:cs="Arial"/>
                <w:szCs w:val="22"/>
              </w:rPr>
              <w:t>N/A</w:t>
            </w:r>
          </w:p>
        </w:tc>
      </w:tr>
    </w:tbl>
    <w:p w14:paraId="7DD92650" w14:textId="77777777" w:rsidR="00A11B08" w:rsidRDefault="00A11B08" w:rsidP="00A11B08">
      <w:pPr>
        <w:rPr>
          <w:lang w:eastAsia="en-AU"/>
        </w:rPr>
      </w:pPr>
    </w:p>
    <w:p w14:paraId="535AF8EB" w14:textId="4BAFCA36" w:rsidR="00513440" w:rsidRPr="002E4ECC" w:rsidRDefault="00645B94" w:rsidP="00A11B08">
      <w:pPr>
        <w:rPr>
          <w:lang w:eastAsia="en-AU"/>
        </w:rPr>
      </w:pPr>
      <w:r>
        <w:rPr>
          <w:lang w:eastAsia="en-AU"/>
        </w:rPr>
        <w:t>VLA also provides specialist non-legal services that help people</w:t>
      </w:r>
      <w:r w:rsidR="003436A1">
        <w:rPr>
          <w:lang w:eastAsia="en-AU"/>
        </w:rPr>
        <w:t xml:space="preserve"> advocate for themselves</w:t>
      </w:r>
      <w:r>
        <w:rPr>
          <w:lang w:eastAsia="en-AU"/>
        </w:rPr>
        <w:t xml:space="preserve"> and inform</w:t>
      </w:r>
      <w:r w:rsidR="003436A1">
        <w:rPr>
          <w:lang w:eastAsia="en-AU"/>
        </w:rPr>
        <w:t xml:space="preserve"> people and</w:t>
      </w:r>
      <w:r>
        <w:rPr>
          <w:lang w:eastAsia="en-AU"/>
        </w:rPr>
        <w:t xml:space="preserve"> communities</w:t>
      </w:r>
      <w:r w:rsidR="003436A1">
        <w:rPr>
          <w:lang w:eastAsia="en-AU"/>
        </w:rPr>
        <w:t xml:space="preserve"> of their rights</w:t>
      </w:r>
      <w:r w:rsidR="000B1BAA">
        <w:rPr>
          <w:lang w:eastAsia="en-AU"/>
        </w:rPr>
        <w:t xml:space="preserve"> when it comes to both the mental health and the child protection systems.</w:t>
      </w:r>
      <w:r>
        <w:rPr>
          <w:lang w:eastAsia="en-AU"/>
        </w:rPr>
        <w:t xml:space="preserve"> </w:t>
      </w:r>
      <w:r w:rsidR="00FA119E">
        <w:rPr>
          <w:lang w:eastAsia="en-AU"/>
        </w:rPr>
        <w:t xml:space="preserve">Our Independent Mental Health Advocacy service (IMHA) is expanding to meet the demands </w:t>
      </w:r>
      <w:r w:rsidR="00FA119E">
        <w:rPr>
          <w:lang w:eastAsia="en-AU"/>
        </w:rPr>
        <w:lastRenderedPageBreak/>
        <w:t xml:space="preserve">of the </w:t>
      </w:r>
      <w:r w:rsidR="00286CAE">
        <w:rPr>
          <w:lang w:eastAsia="en-AU"/>
        </w:rPr>
        <w:t>new</w:t>
      </w:r>
      <w:r w:rsidR="00DC286B">
        <w:rPr>
          <w:lang w:eastAsia="en-AU"/>
        </w:rPr>
        <w:t xml:space="preserve"> opt-out system for people undergoing compulsory assessment and treatment</w:t>
      </w:r>
      <w:r w:rsidR="002E4ECC">
        <w:rPr>
          <w:lang w:eastAsia="en-AU"/>
        </w:rPr>
        <w:t xml:space="preserve"> under the </w:t>
      </w:r>
      <w:r w:rsidR="002E4ECC">
        <w:rPr>
          <w:i/>
          <w:iCs/>
          <w:lang w:eastAsia="en-AU"/>
        </w:rPr>
        <w:t xml:space="preserve">Mental Health and Wellbeing Act </w:t>
      </w:r>
      <w:r w:rsidR="002E4ECC">
        <w:rPr>
          <w:lang w:eastAsia="en-AU"/>
        </w:rPr>
        <w:t>(202</w:t>
      </w:r>
      <w:r w:rsidR="00F939DA">
        <w:rPr>
          <w:lang w:eastAsia="en-AU"/>
        </w:rPr>
        <w:t>2</w:t>
      </w:r>
      <w:r w:rsidR="002E4ECC">
        <w:rPr>
          <w:lang w:eastAsia="en-AU"/>
        </w:rPr>
        <w:t>)</w:t>
      </w:r>
      <w:r w:rsidR="00F939DA">
        <w:rPr>
          <w:lang w:eastAsia="en-AU"/>
        </w:rPr>
        <w:t>. To support these changes, we have introduced a new repo</w:t>
      </w:r>
      <w:r w:rsidR="00F25AF3">
        <w:rPr>
          <w:lang w:eastAsia="en-AU"/>
        </w:rPr>
        <w:t>r</w:t>
      </w:r>
      <w:r w:rsidR="00F939DA">
        <w:rPr>
          <w:lang w:eastAsia="en-AU"/>
        </w:rPr>
        <w:t>ting system.</w:t>
      </w:r>
      <w:r w:rsidR="002577B4">
        <w:rPr>
          <w:lang w:eastAsia="en-AU"/>
        </w:rPr>
        <w:t xml:space="preserve"> </w:t>
      </w:r>
      <w:r w:rsidR="00433FD9">
        <w:rPr>
          <w:lang w:eastAsia="en-AU"/>
        </w:rPr>
        <w:t>In quarter one 2023</w:t>
      </w:r>
      <w:r w:rsidR="00433FD9" w:rsidRPr="0017501A">
        <w:rPr>
          <w:rFonts w:cs="Arial"/>
          <w:szCs w:val="22"/>
        </w:rPr>
        <w:t>–2</w:t>
      </w:r>
      <w:r w:rsidR="00433FD9">
        <w:rPr>
          <w:rFonts w:cs="Arial"/>
          <w:szCs w:val="22"/>
        </w:rPr>
        <w:t xml:space="preserve">4 </w:t>
      </w:r>
      <w:r w:rsidR="00433FD9">
        <w:rPr>
          <w:lang w:eastAsia="en-AU"/>
        </w:rPr>
        <w:t>t</w:t>
      </w:r>
      <w:r w:rsidR="002577B4">
        <w:rPr>
          <w:lang w:eastAsia="en-AU"/>
        </w:rPr>
        <w:t xml:space="preserve">here was a </w:t>
      </w:r>
      <w:r w:rsidR="00325353">
        <w:rPr>
          <w:lang w:eastAsia="en-AU"/>
        </w:rPr>
        <w:t>17.5</w:t>
      </w:r>
      <w:r w:rsidR="002577B4">
        <w:rPr>
          <w:lang w:eastAsia="en-AU"/>
        </w:rPr>
        <w:t xml:space="preserve"> per cent decrease in the number of IMHA information and referral services delivered</w:t>
      </w:r>
      <w:r w:rsidR="00433FD9">
        <w:rPr>
          <w:lang w:eastAsia="en-AU"/>
        </w:rPr>
        <w:t xml:space="preserve"> compared to quarter four 2022</w:t>
      </w:r>
      <w:r w:rsidR="004867C2" w:rsidRPr="0017501A">
        <w:rPr>
          <w:rFonts w:cs="Arial"/>
          <w:szCs w:val="22"/>
        </w:rPr>
        <w:t>–2</w:t>
      </w:r>
      <w:r w:rsidR="004867C2">
        <w:rPr>
          <w:rFonts w:cs="Arial"/>
          <w:szCs w:val="22"/>
        </w:rPr>
        <w:t>3 (Table 1.3)</w:t>
      </w:r>
      <w:r w:rsidR="00FC5AE5">
        <w:rPr>
          <w:lang w:eastAsia="en-AU"/>
        </w:rPr>
        <w:t>.</w:t>
      </w:r>
      <w:r w:rsidR="00230CE7">
        <w:rPr>
          <w:lang w:eastAsia="en-AU"/>
        </w:rPr>
        <w:t xml:space="preserve"> The </w:t>
      </w:r>
      <w:r w:rsidR="00066921">
        <w:rPr>
          <w:lang w:eastAsia="en-AU"/>
        </w:rPr>
        <w:t xml:space="preserve">expansion of IMHA services and the </w:t>
      </w:r>
      <w:r w:rsidR="00230CE7">
        <w:rPr>
          <w:lang w:eastAsia="en-AU"/>
        </w:rPr>
        <w:t>new database has required staff to undergo training</w:t>
      </w:r>
      <w:r w:rsidR="009D6855">
        <w:rPr>
          <w:lang w:eastAsia="en-AU"/>
        </w:rPr>
        <w:t xml:space="preserve">, which has resulted in lower levels of data entry for </w:t>
      </w:r>
      <w:r w:rsidR="00141544">
        <w:rPr>
          <w:lang w:eastAsia="en-AU"/>
        </w:rPr>
        <w:t xml:space="preserve">information and referral services </w:t>
      </w:r>
      <w:r w:rsidR="009D6855">
        <w:rPr>
          <w:lang w:eastAsia="en-AU"/>
        </w:rPr>
        <w:t>this quarter.</w:t>
      </w:r>
      <w:r w:rsidR="00FC5AE5">
        <w:rPr>
          <w:lang w:eastAsia="en-AU"/>
        </w:rPr>
        <w:t xml:space="preserve"> There was a</w:t>
      </w:r>
      <w:r w:rsidR="007420CD">
        <w:rPr>
          <w:lang w:eastAsia="en-AU"/>
        </w:rPr>
        <w:t xml:space="preserve">n increase </w:t>
      </w:r>
      <w:r w:rsidR="0023242D">
        <w:rPr>
          <w:lang w:eastAsia="en-AU"/>
        </w:rPr>
        <w:t>of 6.5 per cent</w:t>
      </w:r>
      <w:r w:rsidR="007A643A">
        <w:rPr>
          <w:lang w:eastAsia="en-AU"/>
        </w:rPr>
        <w:t xml:space="preserve"> </w:t>
      </w:r>
      <w:r w:rsidR="0023242D">
        <w:rPr>
          <w:lang w:eastAsia="en-AU"/>
        </w:rPr>
        <w:t>in our</w:t>
      </w:r>
      <w:r w:rsidR="008B6FFE">
        <w:rPr>
          <w:lang w:eastAsia="en-AU"/>
        </w:rPr>
        <w:t xml:space="preserve"> </w:t>
      </w:r>
      <w:r w:rsidR="007A643A">
        <w:rPr>
          <w:lang w:eastAsia="en-AU"/>
        </w:rPr>
        <w:t xml:space="preserve">higher intensity </w:t>
      </w:r>
      <w:r w:rsidR="007420CD">
        <w:rPr>
          <w:lang w:eastAsia="en-AU"/>
        </w:rPr>
        <w:t>IMHA advocacy and self</w:t>
      </w:r>
      <w:r w:rsidR="00AD45BF">
        <w:rPr>
          <w:lang w:eastAsia="en-AU"/>
        </w:rPr>
        <w:t>-</w:t>
      </w:r>
      <w:r w:rsidR="007420CD">
        <w:rPr>
          <w:lang w:eastAsia="en-AU"/>
        </w:rPr>
        <w:t>advocacy services.</w:t>
      </w:r>
      <w:r w:rsidR="00A5608C">
        <w:rPr>
          <w:lang w:eastAsia="en-AU"/>
        </w:rPr>
        <w:t xml:space="preserve"> The data entry of these higher intensity services </w:t>
      </w:r>
      <w:r w:rsidR="00141544">
        <w:rPr>
          <w:lang w:eastAsia="en-AU"/>
        </w:rPr>
        <w:t xml:space="preserve">is </w:t>
      </w:r>
      <w:r w:rsidR="00A5608C">
        <w:rPr>
          <w:lang w:eastAsia="en-AU"/>
        </w:rPr>
        <w:t xml:space="preserve">prioritised </w:t>
      </w:r>
      <w:r w:rsidR="00353D3E">
        <w:rPr>
          <w:lang w:eastAsia="en-AU"/>
        </w:rPr>
        <w:t>due to the nature of the services delivered.</w:t>
      </w:r>
      <w:r w:rsidR="00F939DA">
        <w:rPr>
          <w:lang w:eastAsia="en-AU"/>
        </w:rPr>
        <w:t xml:space="preserve"> </w:t>
      </w:r>
    </w:p>
    <w:p w14:paraId="352E9D11" w14:textId="6F5CA0BF" w:rsidR="00877598" w:rsidRPr="000B1BAA" w:rsidRDefault="00A11B08" w:rsidP="000B1BAA">
      <w:pPr>
        <w:rPr>
          <w:rFonts w:cs="Arial"/>
          <w:i/>
          <w:iCs/>
          <w:szCs w:val="22"/>
        </w:rPr>
      </w:pPr>
      <w:r w:rsidRPr="0017501A">
        <w:rPr>
          <w:lang w:eastAsia="en-AU"/>
        </w:rPr>
        <w:t xml:space="preserve">In quarter one </w:t>
      </w:r>
      <w:r w:rsidRPr="0017501A">
        <w:rPr>
          <w:rFonts w:cs="Arial"/>
          <w:szCs w:val="22"/>
        </w:rPr>
        <w:t>2023–2</w:t>
      </w:r>
      <w:r>
        <w:rPr>
          <w:rFonts w:cs="Arial"/>
          <w:szCs w:val="22"/>
        </w:rPr>
        <w:t xml:space="preserve">4 there was a 16 per cent increase in the number of </w:t>
      </w:r>
      <w:r w:rsidR="00660B59">
        <w:rPr>
          <w:rFonts w:cs="Arial"/>
          <w:szCs w:val="22"/>
        </w:rPr>
        <w:t xml:space="preserve">Independent </w:t>
      </w:r>
      <w:r>
        <w:rPr>
          <w:rFonts w:cs="Arial"/>
          <w:szCs w:val="22"/>
        </w:rPr>
        <w:t xml:space="preserve">Family Advocacy and Support (IFAS) information and referral </w:t>
      </w:r>
      <w:r w:rsidR="00645B94">
        <w:rPr>
          <w:rFonts w:cs="Arial"/>
          <w:szCs w:val="22"/>
        </w:rPr>
        <w:t>sessions (Table 1.3)</w:t>
      </w:r>
      <w:r w:rsidR="00F02A68">
        <w:rPr>
          <w:rFonts w:cs="Arial"/>
          <w:szCs w:val="22"/>
        </w:rPr>
        <w:t>.</w:t>
      </w:r>
      <w:r w:rsidR="00D86AD4">
        <w:rPr>
          <w:rFonts w:cs="Arial"/>
          <w:szCs w:val="22"/>
        </w:rPr>
        <w:t xml:space="preserve"> </w:t>
      </w:r>
      <w:r w:rsidR="00B745CF">
        <w:t>IFAS currently is not state-wide, and we have seen an increase in the number of enquiries coming from people outside the regions that IFAS covers. When someone is not eligible due to their location, we provide information and referrals to other support services. There was</w:t>
      </w:r>
      <w:r w:rsidR="00D86AD4">
        <w:rPr>
          <w:rFonts w:cs="Arial"/>
          <w:szCs w:val="22"/>
        </w:rPr>
        <w:t xml:space="preserve"> a </w:t>
      </w:r>
      <w:r w:rsidR="00406FDB" w:rsidRPr="00406FDB">
        <w:rPr>
          <w:rFonts w:cs="Arial"/>
          <w:szCs w:val="22"/>
        </w:rPr>
        <w:t>14 per cent decrease in</w:t>
      </w:r>
      <w:r w:rsidR="00406FDB">
        <w:rPr>
          <w:rFonts w:cs="Arial"/>
          <w:szCs w:val="22"/>
        </w:rPr>
        <w:t xml:space="preserve"> </w:t>
      </w:r>
      <w:r w:rsidR="00A9522C">
        <w:rPr>
          <w:rFonts w:cs="Arial"/>
          <w:szCs w:val="22"/>
        </w:rPr>
        <w:t>advocacy and self-advocacy services</w:t>
      </w:r>
      <w:r w:rsidR="00B745CF">
        <w:rPr>
          <w:rFonts w:cs="Arial"/>
          <w:szCs w:val="22"/>
        </w:rPr>
        <w:t xml:space="preserve"> (Table 1.3)</w:t>
      </w:r>
      <w:r w:rsidR="004F19C8">
        <w:rPr>
          <w:rFonts w:cs="Arial"/>
          <w:szCs w:val="22"/>
        </w:rPr>
        <w:t xml:space="preserve"> as this service was </w:t>
      </w:r>
      <w:r w:rsidR="004F19C8">
        <w:t>impacted by staff vacancies</w:t>
      </w:r>
      <w:r w:rsidR="00A9522C">
        <w:rPr>
          <w:rFonts w:cs="Arial"/>
          <w:szCs w:val="22"/>
        </w:rPr>
        <w:t xml:space="preserve">. The IFAS program is </w:t>
      </w:r>
      <w:r w:rsidR="00141544">
        <w:rPr>
          <w:rFonts w:cs="Arial"/>
          <w:szCs w:val="22"/>
        </w:rPr>
        <w:t>now</w:t>
      </w:r>
      <w:r w:rsidR="00A9522C">
        <w:rPr>
          <w:rFonts w:cs="Arial"/>
          <w:szCs w:val="22"/>
        </w:rPr>
        <w:t xml:space="preserve"> close to </w:t>
      </w:r>
      <w:r w:rsidR="00362CBB">
        <w:rPr>
          <w:rFonts w:cs="Arial"/>
          <w:szCs w:val="22"/>
        </w:rPr>
        <w:t>being fully staffed</w:t>
      </w:r>
      <w:r w:rsidR="00660B59">
        <w:rPr>
          <w:rFonts w:cs="Arial"/>
          <w:szCs w:val="22"/>
        </w:rPr>
        <w:t>,</w:t>
      </w:r>
      <w:r w:rsidR="00362CBB">
        <w:rPr>
          <w:rFonts w:cs="Arial"/>
          <w:szCs w:val="22"/>
        </w:rPr>
        <w:t xml:space="preserve"> which should start to see these figures increase.</w:t>
      </w:r>
      <w:r>
        <w:rPr>
          <w:rFonts w:cs="Arial"/>
          <w:szCs w:val="22"/>
        </w:rPr>
        <w:t xml:space="preserve"> </w:t>
      </w:r>
    </w:p>
    <w:p w14:paraId="42F7AB52" w14:textId="51F81446" w:rsidR="000B2451" w:rsidRPr="00742E79" w:rsidRDefault="006D20E9" w:rsidP="000B2451">
      <w:pPr>
        <w:pStyle w:val="Heading3"/>
        <w:rPr>
          <w:rFonts w:cs="Times New Roman"/>
          <w:sz w:val="20"/>
          <w:szCs w:val="22"/>
          <w:lang w:eastAsia="en-US"/>
        </w:rPr>
      </w:pPr>
      <w:r>
        <w:rPr>
          <w:rFonts w:cs="Times New Roman"/>
          <w:sz w:val="20"/>
          <w:szCs w:val="22"/>
          <w:lang w:eastAsia="en-US"/>
        </w:rPr>
        <w:t>T</w:t>
      </w:r>
      <w:r w:rsidR="000B2451" w:rsidRPr="00742E79">
        <w:rPr>
          <w:rFonts w:cs="Times New Roman"/>
          <w:sz w:val="20"/>
          <w:szCs w:val="22"/>
          <w:lang w:eastAsia="en-US"/>
        </w:rPr>
        <w:t xml:space="preserve">able 1.3 Specialist </w:t>
      </w:r>
      <w:r w:rsidR="00742E79" w:rsidRPr="00742E79">
        <w:rPr>
          <w:rFonts w:cs="Times New Roman"/>
          <w:sz w:val="20"/>
          <w:szCs w:val="22"/>
          <w:lang w:eastAsia="en-US"/>
        </w:rPr>
        <w:t>r</w:t>
      </w:r>
      <w:r w:rsidR="000B2451" w:rsidRPr="00742E79">
        <w:rPr>
          <w:rFonts w:cs="Times New Roman"/>
          <w:sz w:val="20"/>
          <w:szCs w:val="22"/>
          <w:lang w:eastAsia="en-US"/>
        </w:rPr>
        <w:t>esolution and advocacy services</w:t>
      </w:r>
    </w:p>
    <w:tbl>
      <w:tblPr>
        <w:tblpPr w:leftFromText="180" w:rightFromText="180" w:vertAnchor="text" w:horzAnchor="margin" w:tblpY="156"/>
        <w:tblW w:w="4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31"/>
        <w:gridCol w:w="1700"/>
        <w:gridCol w:w="1843"/>
        <w:gridCol w:w="1844"/>
      </w:tblGrid>
      <w:tr w:rsidR="000B2451" w14:paraId="399FB816" w14:textId="77777777" w:rsidTr="20026E5A">
        <w:trPr>
          <w:cantSplit/>
          <w:trHeight w:val="361"/>
          <w:tblHeader/>
        </w:trPr>
        <w:tc>
          <w:tcPr>
            <w:tcW w:w="1722" w:type="pct"/>
            <w:shd w:val="clear" w:color="auto" w:fill="B59CC0"/>
            <w:hideMark/>
          </w:tcPr>
          <w:p w14:paraId="3274427B" w14:textId="77777777" w:rsidR="000B2451" w:rsidRDefault="000B2451" w:rsidP="000B2451">
            <w:pPr>
              <w:rPr>
                <w:b/>
                <w:color w:val="000000" w:themeColor="text1"/>
                <w:lang w:eastAsia="en-AU"/>
              </w:rPr>
            </w:pPr>
            <w:bookmarkStart w:id="2" w:name="_Hlk115865842"/>
            <w:r w:rsidRPr="006B69F9">
              <w:rPr>
                <w:b/>
                <w:bCs/>
                <w:color w:val="000000" w:themeColor="text1"/>
                <w:szCs w:val="20"/>
                <w:lang w:eastAsia="en-AU"/>
              </w:rPr>
              <w:t>Specialist resolution and advocacy services</w:t>
            </w:r>
          </w:p>
        </w:tc>
        <w:tc>
          <w:tcPr>
            <w:tcW w:w="1034" w:type="pct"/>
            <w:shd w:val="clear" w:color="auto" w:fill="B59CC0"/>
          </w:tcPr>
          <w:p w14:paraId="5E91A755" w14:textId="77777777" w:rsidR="000B2451" w:rsidRDefault="000B2451" w:rsidP="000B2451">
            <w:pPr>
              <w:jc w:val="center"/>
              <w:rPr>
                <w:b/>
                <w:color w:val="000000" w:themeColor="text1"/>
              </w:rPr>
            </w:pPr>
            <w:r w:rsidRPr="55245693">
              <w:rPr>
                <w:b/>
                <w:color w:val="000000" w:themeColor="text1"/>
              </w:rPr>
              <w:t>Q</w:t>
            </w:r>
            <w:r>
              <w:rPr>
                <w:b/>
                <w:color w:val="000000" w:themeColor="text1"/>
              </w:rPr>
              <w:t>4</w:t>
            </w:r>
          </w:p>
          <w:p w14:paraId="46DFE681" w14:textId="14CD61B7" w:rsidR="000B2451" w:rsidRDefault="000B2451" w:rsidP="000B2451">
            <w:pPr>
              <w:jc w:val="center"/>
              <w:rPr>
                <w:b/>
                <w:color w:val="000000" w:themeColor="text1"/>
                <w:lang w:eastAsia="en-AU"/>
              </w:rPr>
            </w:pPr>
            <w:r w:rsidRPr="000E7EED">
              <w:rPr>
                <w:b/>
                <w:color w:val="000000" w:themeColor="text1"/>
              </w:rPr>
              <w:t>20</w:t>
            </w:r>
            <w:r>
              <w:rPr>
                <w:b/>
                <w:color w:val="000000" w:themeColor="text1"/>
              </w:rPr>
              <w:t>22-23</w:t>
            </w:r>
          </w:p>
        </w:tc>
        <w:tc>
          <w:tcPr>
            <w:tcW w:w="1121" w:type="pct"/>
            <w:shd w:val="clear" w:color="auto" w:fill="B59CC0"/>
          </w:tcPr>
          <w:p w14:paraId="443C9DA8" w14:textId="77777777" w:rsidR="000B2451" w:rsidRPr="000E7EED" w:rsidRDefault="000B2451" w:rsidP="000B2451">
            <w:pPr>
              <w:jc w:val="center"/>
              <w:rPr>
                <w:b/>
                <w:color w:val="000000" w:themeColor="text1"/>
              </w:rPr>
            </w:pPr>
            <w:r w:rsidRPr="55245693">
              <w:rPr>
                <w:b/>
                <w:color w:val="000000" w:themeColor="text1"/>
              </w:rPr>
              <w:t>Q</w:t>
            </w:r>
            <w:r>
              <w:rPr>
                <w:b/>
                <w:color w:val="000000" w:themeColor="text1"/>
              </w:rPr>
              <w:t>1</w:t>
            </w:r>
          </w:p>
          <w:p w14:paraId="476BCC67" w14:textId="64790AC6" w:rsidR="000B2451" w:rsidRDefault="000B2451" w:rsidP="000B2451">
            <w:pPr>
              <w:jc w:val="center"/>
              <w:rPr>
                <w:b/>
                <w:color w:val="000000" w:themeColor="text1"/>
                <w:lang w:eastAsia="en-AU"/>
              </w:rPr>
            </w:pPr>
            <w:r w:rsidRPr="000E7EED">
              <w:rPr>
                <w:b/>
                <w:color w:val="000000" w:themeColor="text1"/>
              </w:rPr>
              <w:t>20</w:t>
            </w:r>
            <w:r>
              <w:rPr>
                <w:b/>
                <w:color w:val="000000" w:themeColor="text1"/>
              </w:rPr>
              <w:t>23-24</w:t>
            </w:r>
          </w:p>
        </w:tc>
        <w:tc>
          <w:tcPr>
            <w:tcW w:w="1122" w:type="pct"/>
            <w:shd w:val="clear" w:color="auto" w:fill="B59CC0"/>
          </w:tcPr>
          <w:p w14:paraId="0D8D5A3F" w14:textId="01468567" w:rsidR="000B2451" w:rsidRDefault="000B2451" w:rsidP="000B2451">
            <w:pPr>
              <w:jc w:val="center"/>
              <w:rPr>
                <w:b/>
                <w:color w:val="000000" w:themeColor="text1"/>
              </w:rPr>
            </w:pPr>
            <w:r w:rsidRPr="55245693">
              <w:rPr>
                <w:b/>
                <w:color w:val="000000" w:themeColor="text1"/>
              </w:rPr>
              <w:t>Q</w:t>
            </w:r>
            <w:r>
              <w:rPr>
                <w:b/>
                <w:color w:val="000000" w:themeColor="text1"/>
              </w:rPr>
              <w:t xml:space="preserve">2 </w:t>
            </w:r>
            <w:r w:rsidRPr="000E7EED">
              <w:rPr>
                <w:b/>
                <w:color w:val="000000" w:themeColor="text1"/>
              </w:rPr>
              <w:t>20</w:t>
            </w:r>
            <w:r>
              <w:rPr>
                <w:b/>
                <w:color w:val="000000" w:themeColor="text1"/>
              </w:rPr>
              <w:t>23-24 projection</w:t>
            </w:r>
          </w:p>
        </w:tc>
      </w:tr>
      <w:tr w:rsidR="00FA119E" w14:paraId="7909C84B" w14:textId="77777777" w:rsidTr="20026E5A">
        <w:trPr>
          <w:trHeight w:val="531"/>
        </w:trPr>
        <w:tc>
          <w:tcPr>
            <w:tcW w:w="1722" w:type="pct"/>
            <w:tcBorders>
              <w:bottom w:val="single" w:sz="4" w:space="0" w:color="7F7F7F" w:themeColor="text1" w:themeTint="80"/>
            </w:tcBorders>
            <w:hideMark/>
          </w:tcPr>
          <w:p w14:paraId="3F65F357" w14:textId="77777777" w:rsidR="00FA119E" w:rsidRDefault="00FA119E" w:rsidP="00FA119E">
            <w:pPr>
              <w:rPr>
                <w:color w:val="000000" w:themeColor="text1"/>
                <w:lang w:eastAsia="en-AU"/>
              </w:rPr>
            </w:pPr>
            <w:r>
              <w:rPr>
                <w:color w:val="000000" w:themeColor="text1"/>
                <w:lang w:eastAsia="en-AU"/>
              </w:rPr>
              <w:t>IMHA information and referral sessions</w:t>
            </w:r>
          </w:p>
        </w:tc>
        <w:tc>
          <w:tcPr>
            <w:tcW w:w="1034"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45353828" w14:textId="59EF21DE" w:rsidR="00FA119E" w:rsidRDefault="00FA119E" w:rsidP="00FA119E">
            <w:pPr>
              <w:jc w:val="center"/>
              <w:rPr>
                <w:lang w:eastAsia="en-AU"/>
              </w:rPr>
            </w:pPr>
            <w:r w:rsidRPr="000212D1">
              <w:rPr>
                <w:color w:val="000000" w:themeColor="text1"/>
                <w:szCs w:val="20"/>
              </w:rPr>
              <w:t>6,041</w:t>
            </w:r>
          </w:p>
        </w:tc>
        <w:tc>
          <w:tcPr>
            <w:tcW w:w="1121" w:type="pct"/>
            <w:tcBorders>
              <w:bottom w:val="single" w:sz="4" w:space="0" w:color="7F7F7F" w:themeColor="text1" w:themeTint="80"/>
            </w:tcBorders>
            <w:shd w:val="clear" w:color="auto" w:fill="D9D9D9" w:themeFill="background1" w:themeFillShade="D9"/>
            <w:vAlign w:val="center"/>
          </w:tcPr>
          <w:p w14:paraId="25B8316C" w14:textId="08381143" w:rsidR="00FA119E" w:rsidRPr="000212D1" w:rsidRDefault="00FA119E" w:rsidP="00FA119E">
            <w:pPr>
              <w:jc w:val="center"/>
              <w:rPr>
                <w:color w:val="000000" w:themeColor="text1"/>
                <w:lang w:eastAsia="en-AU"/>
              </w:rPr>
            </w:pPr>
            <w:r>
              <w:rPr>
                <w:color w:val="000000" w:themeColor="text1"/>
                <w:lang w:eastAsia="en-AU"/>
              </w:rPr>
              <w:t>5,563</w:t>
            </w:r>
          </w:p>
        </w:tc>
        <w:tc>
          <w:tcPr>
            <w:tcW w:w="1122" w:type="pct"/>
            <w:tcBorders>
              <w:bottom w:val="single" w:sz="4" w:space="0" w:color="7F7F7F" w:themeColor="text1" w:themeTint="80"/>
            </w:tcBorders>
            <w:vAlign w:val="center"/>
          </w:tcPr>
          <w:p w14:paraId="264CBC60" w14:textId="530BAD10" w:rsidR="00FA119E" w:rsidRPr="000212D1" w:rsidRDefault="00FA119E" w:rsidP="00FA119E">
            <w:pPr>
              <w:jc w:val="center"/>
              <w:rPr>
                <w:color w:val="000000" w:themeColor="text1"/>
                <w:lang w:eastAsia="en-AU"/>
              </w:rPr>
            </w:pPr>
            <w:r>
              <w:rPr>
                <w:lang w:eastAsia="en-AU"/>
              </w:rPr>
              <w:t>6,000</w:t>
            </w:r>
          </w:p>
        </w:tc>
      </w:tr>
      <w:tr w:rsidR="00FA119E" w14:paraId="767A9D32" w14:textId="77777777" w:rsidTr="20026E5A">
        <w:trPr>
          <w:trHeight w:val="531"/>
        </w:trPr>
        <w:tc>
          <w:tcPr>
            <w:tcW w:w="1722" w:type="pct"/>
            <w:tcBorders>
              <w:bottom w:val="single" w:sz="4" w:space="0" w:color="7F7F7F" w:themeColor="text1" w:themeTint="80"/>
            </w:tcBorders>
          </w:tcPr>
          <w:p w14:paraId="0755CC6D" w14:textId="77777777" w:rsidR="00FA119E" w:rsidRDefault="00FA119E" w:rsidP="00FA119E">
            <w:pPr>
              <w:rPr>
                <w:color w:val="000000" w:themeColor="text1"/>
                <w:lang w:eastAsia="en-AU"/>
              </w:rPr>
            </w:pPr>
            <w:r>
              <w:rPr>
                <w:color w:val="000000" w:themeColor="text1"/>
                <w:lang w:eastAsia="en-AU"/>
              </w:rPr>
              <w:t>IMHA advocacy and self-advocacy</w:t>
            </w:r>
          </w:p>
        </w:tc>
        <w:tc>
          <w:tcPr>
            <w:tcW w:w="1034"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019029B9" w14:textId="1DAE36D7" w:rsidR="00FA119E" w:rsidRPr="003E5897" w:rsidRDefault="00FA119E" w:rsidP="00FA119E">
            <w:pPr>
              <w:jc w:val="center"/>
              <w:rPr>
                <w:lang w:eastAsia="en-AU"/>
              </w:rPr>
            </w:pPr>
            <w:r w:rsidRPr="000212D1">
              <w:rPr>
                <w:color w:val="000000" w:themeColor="text1"/>
                <w:szCs w:val="20"/>
              </w:rPr>
              <w:t>4,457</w:t>
            </w:r>
          </w:p>
        </w:tc>
        <w:tc>
          <w:tcPr>
            <w:tcW w:w="1121" w:type="pct"/>
            <w:tcBorders>
              <w:bottom w:val="single" w:sz="4" w:space="0" w:color="7F7F7F" w:themeColor="text1" w:themeTint="80"/>
            </w:tcBorders>
            <w:shd w:val="clear" w:color="auto" w:fill="D9D9D9" w:themeFill="background1" w:themeFillShade="D9"/>
            <w:vAlign w:val="center"/>
          </w:tcPr>
          <w:p w14:paraId="129D538F" w14:textId="62940167" w:rsidR="00FA119E" w:rsidRPr="000212D1" w:rsidRDefault="00FA119E" w:rsidP="00FA119E">
            <w:pPr>
              <w:jc w:val="center"/>
              <w:rPr>
                <w:color w:val="000000" w:themeColor="text1"/>
                <w:lang w:eastAsia="en-AU"/>
              </w:rPr>
            </w:pPr>
            <w:r>
              <w:rPr>
                <w:color w:val="000000" w:themeColor="text1"/>
                <w:lang w:eastAsia="en-AU"/>
              </w:rPr>
              <w:t>4,745</w:t>
            </w:r>
          </w:p>
        </w:tc>
        <w:tc>
          <w:tcPr>
            <w:tcW w:w="1122" w:type="pct"/>
            <w:tcBorders>
              <w:bottom w:val="single" w:sz="4" w:space="0" w:color="7F7F7F" w:themeColor="text1" w:themeTint="80"/>
            </w:tcBorders>
            <w:vAlign w:val="center"/>
          </w:tcPr>
          <w:p w14:paraId="389B5504" w14:textId="1D17DA01" w:rsidR="00FA119E" w:rsidRPr="000212D1" w:rsidRDefault="00FA119E" w:rsidP="00FA119E">
            <w:pPr>
              <w:jc w:val="center"/>
              <w:rPr>
                <w:color w:val="000000" w:themeColor="text1"/>
                <w:lang w:eastAsia="en-AU"/>
              </w:rPr>
            </w:pPr>
            <w:r>
              <w:rPr>
                <w:color w:val="000000" w:themeColor="text1"/>
                <w:lang w:eastAsia="en-AU"/>
              </w:rPr>
              <w:t>4,000</w:t>
            </w:r>
          </w:p>
        </w:tc>
      </w:tr>
      <w:tr w:rsidR="000B2451" w14:paraId="75AA9DF1" w14:textId="77777777" w:rsidTr="20026E5A">
        <w:trPr>
          <w:trHeight w:val="194"/>
        </w:trPr>
        <w:tc>
          <w:tcPr>
            <w:tcW w:w="1722" w:type="pct"/>
            <w:tcBorders>
              <w:top w:val="single" w:sz="4" w:space="0" w:color="auto"/>
              <w:bottom w:val="single" w:sz="4" w:space="0" w:color="auto"/>
            </w:tcBorders>
            <w:hideMark/>
          </w:tcPr>
          <w:p w14:paraId="58ED7E13" w14:textId="77777777" w:rsidR="000B2451" w:rsidRDefault="000B2451" w:rsidP="000B2451">
            <w:pPr>
              <w:rPr>
                <w:color w:val="000000" w:themeColor="text1"/>
                <w:lang w:eastAsia="en-AU"/>
              </w:rPr>
            </w:pPr>
            <w:r>
              <w:rPr>
                <w:color w:val="000000" w:themeColor="text1"/>
                <w:lang w:eastAsia="en-AU"/>
              </w:rPr>
              <w:t xml:space="preserve">IFAS information and referral sessions </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A0A82EF" w14:textId="47715371" w:rsidR="000B2451" w:rsidRDefault="536096FA" w:rsidP="000B2451">
            <w:pPr>
              <w:jc w:val="center"/>
              <w:rPr>
                <w:color w:val="000000" w:themeColor="text1"/>
                <w:lang w:eastAsia="en-AU"/>
              </w:rPr>
            </w:pPr>
            <w:r w:rsidRPr="20026E5A">
              <w:rPr>
                <w:color w:val="000000" w:themeColor="text1"/>
                <w:lang w:eastAsia="en-AU"/>
              </w:rPr>
              <w:t>487</w:t>
            </w:r>
          </w:p>
        </w:tc>
        <w:tc>
          <w:tcPr>
            <w:tcW w:w="1121" w:type="pct"/>
            <w:tcBorders>
              <w:top w:val="single" w:sz="4" w:space="0" w:color="auto"/>
              <w:bottom w:val="single" w:sz="4" w:space="0" w:color="auto"/>
            </w:tcBorders>
            <w:shd w:val="clear" w:color="auto" w:fill="D9D9D9" w:themeFill="background1" w:themeFillShade="D9"/>
            <w:vAlign w:val="center"/>
          </w:tcPr>
          <w:p w14:paraId="704DD11B" w14:textId="0C53BEB4" w:rsidR="000B2451" w:rsidRDefault="006156DE" w:rsidP="000B2451">
            <w:pPr>
              <w:jc w:val="center"/>
              <w:rPr>
                <w:color w:val="000000" w:themeColor="text1"/>
                <w:lang w:eastAsia="en-AU"/>
              </w:rPr>
            </w:pPr>
            <w:r>
              <w:rPr>
                <w:color w:val="000000" w:themeColor="text1"/>
                <w:lang w:eastAsia="en-AU"/>
              </w:rPr>
              <w:t>564</w:t>
            </w:r>
          </w:p>
        </w:tc>
        <w:tc>
          <w:tcPr>
            <w:tcW w:w="1122" w:type="pct"/>
            <w:tcBorders>
              <w:top w:val="single" w:sz="4" w:space="0" w:color="auto"/>
              <w:bottom w:val="single" w:sz="4" w:space="0" w:color="auto"/>
            </w:tcBorders>
            <w:vAlign w:val="center"/>
          </w:tcPr>
          <w:p w14:paraId="745BE12E" w14:textId="60B798AE" w:rsidR="000B2451" w:rsidRPr="000212D1" w:rsidRDefault="006156DE" w:rsidP="000B2451">
            <w:pPr>
              <w:jc w:val="center"/>
              <w:rPr>
                <w:color w:val="000000" w:themeColor="text1"/>
                <w:lang w:eastAsia="en-AU"/>
              </w:rPr>
            </w:pPr>
            <w:r>
              <w:rPr>
                <w:color w:val="000000" w:themeColor="text1"/>
                <w:lang w:eastAsia="en-AU"/>
              </w:rPr>
              <w:t>600</w:t>
            </w:r>
          </w:p>
        </w:tc>
      </w:tr>
      <w:tr w:rsidR="000B2451" w14:paraId="27C6E0AE" w14:textId="77777777" w:rsidTr="20026E5A">
        <w:trPr>
          <w:trHeight w:val="194"/>
        </w:trPr>
        <w:tc>
          <w:tcPr>
            <w:tcW w:w="1722" w:type="pct"/>
            <w:tcBorders>
              <w:top w:val="single" w:sz="4" w:space="0" w:color="auto"/>
              <w:bottom w:val="single" w:sz="4" w:space="0" w:color="auto"/>
            </w:tcBorders>
          </w:tcPr>
          <w:p w14:paraId="2D7A19F1" w14:textId="77777777" w:rsidR="000B2451" w:rsidRDefault="000B2451" w:rsidP="000B2451">
            <w:pPr>
              <w:rPr>
                <w:color w:val="000000" w:themeColor="text1"/>
                <w:lang w:eastAsia="en-AU"/>
              </w:rPr>
            </w:pPr>
            <w:r>
              <w:rPr>
                <w:color w:val="000000" w:themeColor="text1"/>
                <w:lang w:eastAsia="en-AU"/>
              </w:rPr>
              <w:t>IFAS advocacy and self-advocacy</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04201E6" w14:textId="27934945" w:rsidR="000B2451" w:rsidRPr="006C14A7" w:rsidRDefault="4AA87F61" w:rsidP="000B2451">
            <w:pPr>
              <w:jc w:val="center"/>
              <w:rPr>
                <w:lang w:eastAsia="en-AU"/>
              </w:rPr>
            </w:pPr>
            <w:r w:rsidRPr="20026E5A">
              <w:rPr>
                <w:lang w:eastAsia="en-AU"/>
              </w:rPr>
              <w:t>891</w:t>
            </w:r>
          </w:p>
        </w:tc>
        <w:tc>
          <w:tcPr>
            <w:tcW w:w="1121" w:type="pct"/>
            <w:tcBorders>
              <w:top w:val="single" w:sz="4" w:space="0" w:color="auto"/>
              <w:bottom w:val="single" w:sz="4" w:space="0" w:color="auto"/>
            </w:tcBorders>
            <w:shd w:val="clear" w:color="auto" w:fill="D9D9D9" w:themeFill="background1" w:themeFillShade="D9"/>
            <w:vAlign w:val="center"/>
          </w:tcPr>
          <w:p w14:paraId="3F4FBC1B" w14:textId="1BD4ABA0" w:rsidR="000B2451" w:rsidRPr="000212D1" w:rsidRDefault="006156DE" w:rsidP="000B2451">
            <w:pPr>
              <w:jc w:val="center"/>
              <w:rPr>
                <w:color w:val="000000" w:themeColor="text1"/>
                <w:lang w:eastAsia="en-AU"/>
              </w:rPr>
            </w:pPr>
            <w:r>
              <w:rPr>
                <w:color w:val="000000" w:themeColor="text1"/>
                <w:lang w:eastAsia="en-AU"/>
              </w:rPr>
              <w:t>768</w:t>
            </w:r>
          </w:p>
        </w:tc>
        <w:tc>
          <w:tcPr>
            <w:tcW w:w="1122" w:type="pct"/>
            <w:tcBorders>
              <w:top w:val="single" w:sz="4" w:space="0" w:color="auto"/>
              <w:bottom w:val="single" w:sz="4" w:space="0" w:color="auto"/>
            </w:tcBorders>
            <w:vAlign w:val="center"/>
          </w:tcPr>
          <w:p w14:paraId="70F032B2" w14:textId="04DE0ED7" w:rsidR="000B2451" w:rsidRPr="000212D1" w:rsidRDefault="006156DE" w:rsidP="000B2451">
            <w:pPr>
              <w:jc w:val="center"/>
              <w:rPr>
                <w:color w:val="000000" w:themeColor="text1"/>
                <w:lang w:eastAsia="en-AU"/>
              </w:rPr>
            </w:pPr>
            <w:r>
              <w:rPr>
                <w:color w:val="000000" w:themeColor="text1"/>
                <w:lang w:eastAsia="en-AU"/>
              </w:rPr>
              <w:t>800</w:t>
            </w:r>
          </w:p>
        </w:tc>
      </w:tr>
      <w:bookmarkEnd w:id="2"/>
    </w:tbl>
    <w:p w14:paraId="20B7FE96" w14:textId="77777777" w:rsidR="000B2451" w:rsidRDefault="000B2451" w:rsidP="007D54C7">
      <w:pPr>
        <w:keepNext/>
        <w:rPr>
          <w:b/>
          <w:bCs/>
          <w:i/>
          <w:iCs/>
          <w:lang w:eastAsia="en-AU"/>
        </w:rPr>
      </w:pPr>
    </w:p>
    <w:p w14:paraId="5EAC8DF8" w14:textId="77777777" w:rsidR="000B2451" w:rsidRDefault="000B2451" w:rsidP="007D54C7">
      <w:pPr>
        <w:keepNext/>
        <w:rPr>
          <w:b/>
          <w:bCs/>
          <w:i/>
          <w:iCs/>
          <w:lang w:eastAsia="en-AU"/>
        </w:rPr>
      </w:pPr>
    </w:p>
    <w:p w14:paraId="58F9451C" w14:textId="77777777" w:rsidR="000B2451" w:rsidRDefault="000B2451" w:rsidP="007D54C7">
      <w:pPr>
        <w:keepNext/>
        <w:rPr>
          <w:b/>
          <w:bCs/>
          <w:i/>
          <w:iCs/>
          <w:lang w:eastAsia="en-AU"/>
        </w:rPr>
      </w:pPr>
    </w:p>
    <w:p w14:paraId="5A356527" w14:textId="77777777" w:rsidR="000B2451" w:rsidRDefault="000B2451" w:rsidP="007D54C7">
      <w:pPr>
        <w:keepNext/>
        <w:rPr>
          <w:b/>
          <w:bCs/>
          <w:i/>
          <w:iCs/>
          <w:lang w:eastAsia="en-AU"/>
        </w:rPr>
      </w:pPr>
    </w:p>
    <w:p w14:paraId="533C8454" w14:textId="77777777" w:rsidR="000B2451" w:rsidRDefault="000B2451" w:rsidP="007D54C7">
      <w:pPr>
        <w:keepNext/>
        <w:rPr>
          <w:b/>
          <w:bCs/>
          <w:i/>
          <w:iCs/>
          <w:lang w:eastAsia="en-AU"/>
        </w:rPr>
      </w:pPr>
    </w:p>
    <w:p w14:paraId="58534E44" w14:textId="77777777" w:rsidR="00AF45C2" w:rsidRDefault="00AF45C2" w:rsidP="004867C2">
      <w:pPr>
        <w:pStyle w:val="Heading2"/>
        <w:rPr>
          <w:rFonts w:eastAsia="Arial Bold"/>
        </w:rPr>
      </w:pPr>
    </w:p>
    <w:p w14:paraId="69E946F1" w14:textId="77777777" w:rsidR="00AF45C2" w:rsidRDefault="00AF45C2" w:rsidP="004867C2">
      <w:pPr>
        <w:pStyle w:val="Heading2"/>
        <w:rPr>
          <w:rFonts w:eastAsia="Arial Bold"/>
        </w:rPr>
      </w:pPr>
    </w:p>
    <w:p w14:paraId="5F08D519" w14:textId="77777777" w:rsidR="00AF45C2" w:rsidRDefault="00AF45C2" w:rsidP="004867C2">
      <w:pPr>
        <w:pStyle w:val="Heading2"/>
        <w:rPr>
          <w:rFonts w:eastAsia="Arial Bold"/>
        </w:rPr>
      </w:pPr>
    </w:p>
    <w:p w14:paraId="7605D83F" w14:textId="77777777" w:rsidR="00AF45C2" w:rsidRDefault="00AF45C2" w:rsidP="004867C2">
      <w:pPr>
        <w:pStyle w:val="Heading2"/>
        <w:rPr>
          <w:rFonts w:eastAsia="Arial Bold"/>
        </w:rPr>
      </w:pPr>
    </w:p>
    <w:p w14:paraId="696AF058" w14:textId="77777777" w:rsidR="00AF45C2" w:rsidRDefault="00AF45C2">
      <w:pPr>
        <w:spacing w:after="0" w:line="240" w:lineRule="auto"/>
        <w:rPr>
          <w:rFonts w:eastAsia="Arial Bold" w:cs="Arial"/>
          <w:b/>
          <w:bCs/>
          <w:iCs/>
          <w:color w:val="971A4B"/>
          <w:sz w:val="28"/>
          <w:szCs w:val="28"/>
          <w:lang w:eastAsia="en-AU"/>
        </w:rPr>
      </w:pPr>
      <w:r>
        <w:rPr>
          <w:rFonts w:eastAsia="Arial Bold"/>
        </w:rPr>
        <w:br w:type="page"/>
      </w:r>
    </w:p>
    <w:p w14:paraId="68ACD45D" w14:textId="5945E4E4" w:rsidR="00A40949" w:rsidRPr="004867C2" w:rsidRDefault="1FBE55FE" w:rsidP="004867C2">
      <w:pPr>
        <w:pStyle w:val="Heading2"/>
        <w:rPr>
          <w:rFonts w:cs="Times New Roman"/>
          <w:i/>
        </w:rPr>
      </w:pPr>
      <w:r w:rsidRPr="79F055BD">
        <w:rPr>
          <w:rFonts w:eastAsia="Arial Bold"/>
        </w:rPr>
        <w:lastRenderedPageBreak/>
        <w:t>Financial Summary</w:t>
      </w:r>
    </w:p>
    <w:p w14:paraId="4FFAB2D0" w14:textId="78F7FD8D" w:rsidR="76D1A5AF" w:rsidRPr="00F45FA0" w:rsidRDefault="76D1A5AF" w:rsidP="00F45FA0">
      <w:pPr>
        <w:rPr>
          <w:lang w:eastAsia="en-AU"/>
        </w:rPr>
      </w:pPr>
      <w:bookmarkStart w:id="3" w:name="_Hlk151977460"/>
      <w:r w:rsidRPr="00F45FA0">
        <w:rPr>
          <w:lang w:eastAsia="en-AU"/>
        </w:rPr>
        <w:t xml:space="preserve">Our operating position for </w:t>
      </w:r>
      <w:r w:rsidR="00AD45BF" w:rsidRPr="00F45FA0">
        <w:rPr>
          <w:lang w:eastAsia="en-AU"/>
        </w:rPr>
        <w:t>quarter one</w:t>
      </w:r>
      <w:r w:rsidR="586D0B08" w:rsidRPr="00F45FA0">
        <w:rPr>
          <w:lang w:eastAsia="en-AU"/>
        </w:rPr>
        <w:t xml:space="preserve"> in </w:t>
      </w:r>
      <w:r w:rsidRPr="00F45FA0">
        <w:rPr>
          <w:lang w:eastAsia="en-AU"/>
        </w:rPr>
        <w:t>202</w:t>
      </w:r>
      <w:r w:rsidR="75CC2B37" w:rsidRPr="00F45FA0">
        <w:rPr>
          <w:lang w:eastAsia="en-AU"/>
        </w:rPr>
        <w:t>3</w:t>
      </w:r>
      <w:r w:rsidRPr="00F45FA0">
        <w:rPr>
          <w:lang w:eastAsia="en-AU"/>
        </w:rPr>
        <w:t>–2</w:t>
      </w:r>
      <w:r w:rsidR="6F669E10" w:rsidRPr="00F45FA0">
        <w:rPr>
          <w:lang w:eastAsia="en-AU"/>
        </w:rPr>
        <w:t>4</w:t>
      </w:r>
      <w:r w:rsidRPr="00F45FA0">
        <w:rPr>
          <w:lang w:eastAsia="en-AU"/>
        </w:rPr>
        <w:t xml:space="preserve"> was a </w:t>
      </w:r>
      <w:r w:rsidR="4A1F7DD4" w:rsidRPr="00F45FA0">
        <w:rPr>
          <w:lang w:eastAsia="en-AU"/>
        </w:rPr>
        <w:t xml:space="preserve">small </w:t>
      </w:r>
      <w:r w:rsidRPr="00F45FA0">
        <w:rPr>
          <w:lang w:eastAsia="en-AU"/>
        </w:rPr>
        <w:t>deficit of $</w:t>
      </w:r>
      <w:r w:rsidR="509A09F7" w:rsidRPr="00F45FA0">
        <w:rPr>
          <w:lang w:eastAsia="en-AU"/>
        </w:rPr>
        <w:t>0.3</w:t>
      </w:r>
      <w:r w:rsidRPr="00F45FA0">
        <w:rPr>
          <w:lang w:eastAsia="en-AU"/>
        </w:rPr>
        <w:t xml:space="preserve"> million</w:t>
      </w:r>
      <w:r w:rsidR="00F45FA0" w:rsidRPr="00F45FA0">
        <w:rPr>
          <w:lang w:eastAsia="en-AU"/>
        </w:rPr>
        <w:t>.</w:t>
      </w:r>
      <w:r w:rsidR="00DE78C3">
        <w:rPr>
          <w:lang w:eastAsia="en-AU"/>
        </w:rPr>
        <w:t xml:space="preserve"> </w:t>
      </w:r>
      <w:bookmarkEnd w:id="3"/>
      <w:r w:rsidR="00DE78C3">
        <w:rPr>
          <w:lang w:eastAsia="en-AU"/>
        </w:rPr>
        <w:t>Demand for services exceeds our core funding, and w</w:t>
      </w:r>
      <w:r w:rsidR="00DE78C3" w:rsidRPr="00F45FA0">
        <w:rPr>
          <w:lang w:eastAsia="en-AU"/>
        </w:rPr>
        <w:t>e continue to advocate for a demand-based funding model</w:t>
      </w:r>
      <w:r w:rsidR="00DE78C3">
        <w:rPr>
          <w:lang w:eastAsia="en-AU"/>
        </w:rPr>
        <w:t>.</w:t>
      </w:r>
      <w:r w:rsidR="00DE78C3" w:rsidRPr="00F45FA0">
        <w:rPr>
          <w:lang w:eastAsia="en-AU"/>
        </w:rPr>
        <w:t xml:space="preserve"> In 2023–24, demand for our services is expected to continue to increase—aligned with projected court activity—resulting in future projected financial deficits.</w:t>
      </w:r>
      <w:r w:rsidR="002722E4">
        <w:rPr>
          <w:lang w:eastAsia="en-AU"/>
        </w:rPr>
        <w:t xml:space="preserve"> </w:t>
      </w:r>
      <w:r w:rsidR="00AF45C2">
        <w:rPr>
          <w:lang w:eastAsia="en-AU"/>
        </w:rPr>
        <w:t>Our</w:t>
      </w:r>
      <w:r w:rsidR="3AFF7F01" w:rsidRPr="00F45FA0">
        <w:rPr>
          <w:lang w:eastAsia="en-AU"/>
        </w:rPr>
        <w:t xml:space="preserve"> expectation</w:t>
      </w:r>
      <w:r w:rsidR="00AF45C2">
        <w:rPr>
          <w:lang w:eastAsia="en-AU"/>
        </w:rPr>
        <w:t>, and what we have budg</w:t>
      </w:r>
      <w:r w:rsidR="00B45C07">
        <w:rPr>
          <w:lang w:eastAsia="en-AU"/>
        </w:rPr>
        <w:t>eted for,</w:t>
      </w:r>
      <w:r w:rsidR="3AFF7F01" w:rsidRPr="00F45FA0">
        <w:rPr>
          <w:lang w:eastAsia="en-AU"/>
        </w:rPr>
        <w:t xml:space="preserve"> is that this</w:t>
      </w:r>
      <w:r w:rsidR="002722E4">
        <w:rPr>
          <w:lang w:eastAsia="en-AU"/>
        </w:rPr>
        <w:t xml:space="preserve"> small</w:t>
      </w:r>
      <w:r w:rsidR="3AFF7F01" w:rsidRPr="00F45FA0">
        <w:rPr>
          <w:lang w:eastAsia="en-AU"/>
        </w:rPr>
        <w:t xml:space="preserve"> deficit will increase to $17.0m by the end of the financial year.</w:t>
      </w:r>
      <w:r w:rsidRPr="00F45FA0">
        <w:rPr>
          <w:lang w:eastAsia="en-AU"/>
        </w:rPr>
        <w:t xml:space="preserve"> </w:t>
      </w:r>
      <w:r w:rsidR="244313DD" w:rsidRPr="00F45FA0">
        <w:rPr>
          <w:lang w:eastAsia="en-AU"/>
        </w:rPr>
        <w:t>O</w:t>
      </w:r>
      <w:r w:rsidRPr="00F45FA0">
        <w:rPr>
          <w:lang w:eastAsia="en-AU"/>
        </w:rPr>
        <w:t xml:space="preserve">ur cash balance </w:t>
      </w:r>
      <w:r w:rsidR="71772ED1" w:rsidRPr="00F45FA0">
        <w:rPr>
          <w:lang w:eastAsia="en-AU"/>
        </w:rPr>
        <w:t>remains</w:t>
      </w:r>
      <w:r w:rsidRPr="00F45FA0">
        <w:rPr>
          <w:lang w:eastAsia="en-AU"/>
        </w:rPr>
        <w:t xml:space="preserve"> unusually high due to reduced court activity during the pandemic</w:t>
      </w:r>
      <w:r w:rsidR="00D66297">
        <w:rPr>
          <w:lang w:eastAsia="en-AU"/>
        </w:rPr>
        <w:t>, and i</w:t>
      </w:r>
      <w:r w:rsidRPr="00F45FA0">
        <w:rPr>
          <w:lang w:eastAsia="en-AU"/>
        </w:rPr>
        <w:t xml:space="preserve">n the short term we will use these funds to meet demand and our deferred grant commitments. </w:t>
      </w:r>
      <w:r w:rsidR="00B05ACF">
        <w:rPr>
          <w:lang w:eastAsia="en-AU"/>
        </w:rPr>
        <w:t>Our</w:t>
      </w:r>
      <w:r w:rsidR="00B05ACF" w:rsidRPr="00F45FA0">
        <w:rPr>
          <w:lang w:eastAsia="en-AU"/>
        </w:rPr>
        <w:t xml:space="preserve"> </w:t>
      </w:r>
      <w:r w:rsidRPr="00F45FA0">
        <w:rPr>
          <w:lang w:eastAsia="en-AU"/>
        </w:rPr>
        <w:t xml:space="preserve">cash reserves need to be carefully managed to ensure we can continue to meet our existing commitments. </w:t>
      </w:r>
    </w:p>
    <w:p w14:paraId="33ADE62D" w14:textId="72C8F317" w:rsidR="3F95CFCF" w:rsidRPr="00F45FA0" w:rsidRDefault="3F95CFCF" w:rsidP="79F055BD">
      <w:pPr>
        <w:rPr>
          <w:lang w:eastAsia="en-AU"/>
        </w:rPr>
      </w:pPr>
      <w:r w:rsidRPr="00F45FA0">
        <w:rPr>
          <w:lang w:eastAsia="en-AU"/>
        </w:rPr>
        <w:t>Longer term projections continue to highlight that core funding is insufficient to meet the projected demand. Without additional funding, we will need to consider service reductions. Any service reductions would be for court-based services, following consultation with sector partners. We continue to work with the Victorian Department of Justice and Community Safety to resolve these financial sustainability challenges</w:t>
      </w:r>
      <w:r w:rsidR="00A00A31">
        <w:rPr>
          <w:lang w:eastAsia="en-AU"/>
        </w:rPr>
        <w:t>.</w:t>
      </w:r>
    </w:p>
    <w:p w14:paraId="495BD9FD" w14:textId="764D41EE" w:rsidR="00A40949" w:rsidRPr="00A40949" w:rsidRDefault="1FBE55FE" w:rsidP="00A40949">
      <w:pPr>
        <w:pStyle w:val="Heading3"/>
        <w:rPr>
          <w:sz w:val="20"/>
          <w:szCs w:val="20"/>
        </w:rPr>
      </w:pPr>
      <w:bookmarkStart w:id="4" w:name="_Hlk33006424"/>
      <w:bookmarkStart w:id="5" w:name="_Hlk25835001"/>
      <w:r w:rsidRPr="79F055BD">
        <w:rPr>
          <w:rStyle w:val="Heading3Char"/>
          <w:b/>
          <w:bCs/>
          <w:sz w:val="20"/>
          <w:szCs w:val="20"/>
        </w:rPr>
        <w:t>Table 2.1 Total revenue breakdown ($’000</w:t>
      </w:r>
      <w:r w:rsidRPr="79F055BD">
        <w:rPr>
          <w:sz w:val="20"/>
          <w:szCs w:val="20"/>
        </w:rPr>
        <w:t xml:space="preserve">) </w:t>
      </w:r>
    </w:p>
    <w:tbl>
      <w:tblPr>
        <w:tblStyle w:val="PlainTable2"/>
        <w:tblW w:w="0" w:type="auto"/>
        <w:tblLayout w:type="fixed"/>
        <w:tblLook w:val="0620" w:firstRow="1" w:lastRow="0" w:firstColumn="0" w:lastColumn="0" w:noHBand="1" w:noVBand="1"/>
      </w:tblPr>
      <w:tblGrid>
        <w:gridCol w:w="3862"/>
        <w:gridCol w:w="1524"/>
        <w:gridCol w:w="1562"/>
        <w:gridCol w:w="1577"/>
      </w:tblGrid>
      <w:tr w:rsidR="00B0725E" w14:paraId="2DC8B148" w14:textId="77777777" w:rsidTr="79F055BD">
        <w:trPr>
          <w:cnfStyle w:val="100000000000" w:firstRow="1" w:lastRow="0" w:firstColumn="0" w:lastColumn="0" w:oddVBand="0" w:evenVBand="0" w:oddHBand="0" w:evenHBand="0" w:firstRowFirstColumn="0" w:firstRowLastColumn="0" w:lastRowFirstColumn="0" w:lastRowLastColumn="0"/>
          <w:trHeight w:val="300"/>
        </w:trPr>
        <w:tc>
          <w:tcPr>
            <w:tcW w:w="3862"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74BA40F2" w14:textId="39E6D731" w:rsidR="79F055BD" w:rsidRDefault="79F055BD" w:rsidP="79F055BD">
            <w:bookmarkStart w:id="6" w:name="_Hlk10632113"/>
            <w:bookmarkEnd w:id="4"/>
            <w:bookmarkEnd w:id="5"/>
            <w:bookmarkEnd w:id="6"/>
            <w:r w:rsidRPr="79F055BD">
              <w:rPr>
                <w:rFonts w:eastAsia="Arial" w:cs="Arial"/>
                <w:b/>
                <w:color w:val="000000" w:themeColor="text1"/>
                <w:szCs w:val="22"/>
              </w:rPr>
              <w:t>Revenue</w:t>
            </w:r>
          </w:p>
        </w:tc>
        <w:tc>
          <w:tcPr>
            <w:tcW w:w="1524"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6C332900" w14:textId="05FE5703" w:rsidR="79F055BD" w:rsidRDefault="79F055BD" w:rsidP="79F055BD">
            <w:pPr>
              <w:jc w:val="center"/>
            </w:pPr>
            <w:r w:rsidRPr="79F055BD">
              <w:rPr>
                <w:rFonts w:eastAsia="Arial" w:cs="Arial"/>
                <w:b/>
                <w:color w:val="000000" w:themeColor="text1"/>
                <w:szCs w:val="22"/>
              </w:rPr>
              <w:t>Q4</w:t>
            </w:r>
          </w:p>
          <w:p w14:paraId="1ACCC4B5" w14:textId="65DC7647" w:rsidR="79F055BD" w:rsidRDefault="79F055BD" w:rsidP="79F055BD">
            <w:pPr>
              <w:jc w:val="center"/>
            </w:pPr>
            <w:r w:rsidRPr="79F055BD">
              <w:rPr>
                <w:rFonts w:eastAsia="Arial" w:cs="Arial"/>
                <w:b/>
                <w:color w:val="000000" w:themeColor="text1"/>
                <w:szCs w:val="22"/>
              </w:rPr>
              <w:t>2022-23</w:t>
            </w:r>
          </w:p>
        </w:tc>
        <w:tc>
          <w:tcPr>
            <w:tcW w:w="1562"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256FAD31" w14:textId="25A72E15" w:rsidR="79F055BD" w:rsidRDefault="79F055BD" w:rsidP="79F055BD">
            <w:pPr>
              <w:jc w:val="center"/>
            </w:pPr>
            <w:r w:rsidRPr="79F055BD">
              <w:rPr>
                <w:rFonts w:eastAsia="Arial" w:cs="Arial"/>
                <w:b/>
                <w:color w:val="000000" w:themeColor="text1"/>
                <w:szCs w:val="22"/>
              </w:rPr>
              <w:t>Q1</w:t>
            </w:r>
          </w:p>
          <w:p w14:paraId="147E6570" w14:textId="4F02FAE3" w:rsidR="79F055BD" w:rsidRDefault="79F055BD" w:rsidP="79F055BD">
            <w:pPr>
              <w:jc w:val="center"/>
            </w:pPr>
            <w:r w:rsidRPr="79F055BD">
              <w:rPr>
                <w:rFonts w:eastAsia="Arial" w:cs="Arial"/>
                <w:b/>
                <w:color w:val="000000" w:themeColor="text1"/>
                <w:szCs w:val="22"/>
              </w:rPr>
              <w:t>2023-24</w:t>
            </w:r>
          </w:p>
        </w:tc>
        <w:tc>
          <w:tcPr>
            <w:tcW w:w="1577"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66434658" w14:textId="2E9CC687" w:rsidR="79F055BD" w:rsidRDefault="79F055BD" w:rsidP="79F055BD">
            <w:pPr>
              <w:jc w:val="center"/>
            </w:pPr>
            <w:r w:rsidRPr="79F055BD">
              <w:rPr>
                <w:rFonts w:eastAsia="Arial" w:cs="Arial"/>
                <w:b/>
                <w:color w:val="000000" w:themeColor="text1"/>
                <w:szCs w:val="22"/>
              </w:rPr>
              <w:t>Q2 2023-24</w:t>
            </w:r>
          </w:p>
          <w:p w14:paraId="62B75977" w14:textId="706A866D" w:rsidR="79F055BD" w:rsidRDefault="79F055BD" w:rsidP="79F055BD">
            <w:pPr>
              <w:jc w:val="center"/>
            </w:pPr>
            <w:r w:rsidRPr="79F055BD">
              <w:rPr>
                <w:rFonts w:eastAsia="Arial" w:cs="Arial"/>
                <w:b/>
                <w:color w:val="000000" w:themeColor="text1"/>
                <w:szCs w:val="22"/>
              </w:rPr>
              <w:t>projection</w:t>
            </w:r>
          </w:p>
        </w:tc>
      </w:tr>
      <w:tr w:rsidR="79F055BD" w14:paraId="2CBB5AEC" w14:textId="77777777" w:rsidTr="79F055BD">
        <w:trPr>
          <w:trHeight w:val="300"/>
        </w:trPr>
        <w:tc>
          <w:tcPr>
            <w:tcW w:w="3862"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3D9BF713" w14:textId="179CCD5B" w:rsidR="79F055BD" w:rsidRDefault="79F055BD" w:rsidP="79F055BD">
            <w:r w:rsidRPr="79F055BD">
              <w:rPr>
                <w:rFonts w:eastAsia="Arial" w:cs="Arial"/>
                <w:color w:val="000000" w:themeColor="text1"/>
                <w:szCs w:val="22"/>
              </w:rPr>
              <w:t>Commonwealth – grants</w:t>
            </w:r>
          </w:p>
        </w:tc>
        <w:tc>
          <w:tcPr>
            <w:tcW w:w="1524"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5657048F" w14:textId="0A95F533" w:rsidR="79F055BD" w:rsidRDefault="79F055BD" w:rsidP="79F055BD">
            <w:pPr>
              <w:jc w:val="right"/>
            </w:pPr>
            <w:r w:rsidRPr="79F055BD">
              <w:rPr>
                <w:rFonts w:eastAsia="Arial" w:cs="Arial"/>
                <w:szCs w:val="22"/>
              </w:rPr>
              <w:t>24,224</w:t>
            </w:r>
          </w:p>
        </w:tc>
        <w:tc>
          <w:tcPr>
            <w:tcW w:w="1562" w:type="dxa"/>
            <w:tcBorders>
              <w:top w:val="single" w:sz="8" w:space="0" w:color="44546A" w:themeColor="text2"/>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66762D" w14:textId="15A533F3" w:rsidR="79F055BD" w:rsidRDefault="79F055BD" w:rsidP="79F055BD">
            <w:pPr>
              <w:jc w:val="right"/>
            </w:pPr>
            <w:r w:rsidRPr="79F055BD">
              <w:rPr>
                <w:rFonts w:eastAsia="Arial" w:cs="Arial"/>
                <w:color w:val="000000" w:themeColor="text1"/>
                <w:szCs w:val="22"/>
              </w:rPr>
              <w:t>23,518</w:t>
            </w:r>
          </w:p>
        </w:tc>
        <w:tc>
          <w:tcPr>
            <w:tcW w:w="1577"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07D97416" w14:textId="0B55B8AD" w:rsidR="79F055BD" w:rsidRDefault="79F055BD" w:rsidP="79F055BD">
            <w:pPr>
              <w:jc w:val="right"/>
            </w:pPr>
            <w:r w:rsidRPr="79F055BD">
              <w:rPr>
                <w:rFonts w:eastAsia="Arial" w:cs="Arial"/>
                <w:szCs w:val="22"/>
              </w:rPr>
              <w:t>24,181</w:t>
            </w:r>
          </w:p>
        </w:tc>
      </w:tr>
      <w:tr w:rsidR="79F055BD" w14:paraId="291D6551"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556893E5" w14:textId="64B05F80" w:rsidR="79F055BD" w:rsidRDefault="79F055BD" w:rsidP="79F055BD">
            <w:r w:rsidRPr="79F055BD">
              <w:rPr>
                <w:rFonts w:eastAsia="Arial" w:cs="Arial"/>
                <w:color w:val="000000" w:themeColor="text1"/>
                <w:szCs w:val="22"/>
              </w:rPr>
              <w:t>ECCCF income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03764FE" w14:textId="5A4CDC68" w:rsidR="79F055BD" w:rsidRDefault="79F055BD" w:rsidP="79F055BD">
            <w:pPr>
              <w:jc w:val="right"/>
            </w:pPr>
            <w:r w:rsidRPr="79F055BD">
              <w:rPr>
                <w:rFonts w:eastAsia="Arial" w:cs="Arial"/>
                <w:szCs w:val="22"/>
              </w:rPr>
              <w:t>420</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776739" w14:textId="6FD21C26" w:rsidR="79F055BD" w:rsidRDefault="79F055BD" w:rsidP="79F055BD">
            <w:pPr>
              <w:jc w:val="right"/>
            </w:pPr>
            <w:r w:rsidRPr="79F055BD">
              <w:rPr>
                <w:rFonts w:eastAsia="Arial" w:cs="Arial"/>
                <w:color w:val="000000" w:themeColor="text1"/>
                <w:szCs w:val="22"/>
              </w:rPr>
              <w:t>0</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00A9C1C4" w14:textId="359800BD" w:rsidR="79F055BD" w:rsidRDefault="79F055BD" w:rsidP="79F055BD">
            <w:pPr>
              <w:jc w:val="right"/>
            </w:pPr>
            <w:r w:rsidRPr="79F055BD">
              <w:rPr>
                <w:rFonts w:eastAsia="Arial" w:cs="Arial"/>
                <w:szCs w:val="22"/>
              </w:rPr>
              <w:t>0</w:t>
            </w:r>
          </w:p>
        </w:tc>
      </w:tr>
      <w:tr w:rsidR="79F055BD" w14:paraId="047A9D04"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7173B51F" w14:textId="0D5BDFB4" w:rsidR="79F055BD" w:rsidRDefault="79F055BD" w:rsidP="79F055BD">
            <w:r w:rsidRPr="79F055BD">
              <w:rPr>
                <w:rFonts w:eastAsia="Arial" w:cs="Arial"/>
                <w:color w:val="000000" w:themeColor="text1"/>
                <w:szCs w:val="22"/>
              </w:rPr>
              <w:t>State – grants</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4A8F6649" w14:textId="1FAA23BB" w:rsidR="79F055BD" w:rsidRDefault="79F055BD" w:rsidP="79F055BD">
            <w:pPr>
              <w:jc w:val="right"/>
            </w:pPr>
            <w:r w:rsidRPr="79F055BD">
              <w:rPr>
                <w:rFonts w:eastAsia="Arial" w:cs="Arial"/>
                <w:szCs w:val="22"/>
              </w:rPr>
              <w:t>52,740</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180415" w14:textId="054C32BA" w:rsidR="79F055BD" w:rsidRDefault="79F055BD" w:rsidP="79F055BD">
            <w:pPr>
              <w:jc w:val="right"/>
            </w:pPr>
            <w:r w:rsidRPr="79F055BD">
              <w:rPr>
                <w:rFonts w:eastAsia="Arial" w:cs="Arial"/>
                <w:color w:val="000000" w:themeColor="text1"/>
                <w:szCs w:val="22"/>
              </w:rPr>
              <w:t>45,523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6D1D4CD8" w14:textId="721D27D7" w:rsidR="79F055BD" w:rsidRDefault="79F055BD" w:rsidP="79F055BD">
            <w:pPr>
              <w:jc w:val="right"/>
            </w:pPr>
            <w:r w:rsidRPr="79F055BD">
              <w:rPr>
                <w:rFonts w:eastAsia="Arial" w:cs="Arial"/>
                <w:szCs w:val="22"/>
              </w:rPr>
              <w:t>43,558</w:t>
            </w:r>
          </w:p>
        </w:tc>
      </w:tr>
      <w:tr w:rsidR="79F055BD" w14:paraId="2C1F8B03"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1A7A04FE" w14:textId="2D4681E1" w:rsidR="79F055BD" w:rsidRDefault="79F055BD" w:rsidP="79F055BD">
            <w:r w:rsidRPr="79F055BD">
              <w:rPr>
                <w:rFonts w:eastAsia="Arial" w:cs="Arial"/>
                <w:color w:val="000000" w:themeColor="text1"/>
                <w:szCs w:val="22"/>
              </w:rPr>
              <w:t>Public Purpose Fund</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CF33335" w14:textId="5A648C5C" w:rsidR="79F055BD" w:rsidRDefault="79F055BD" w:rsidP="79F055BD">
            <w:pPr>
              <w:jc w:val="right"/>
            </w:pPr>
            <w:r w:rsidRPr="79F055BD">
              <w:rPr>
                <w:rFonts w:eastAsia="Arial" w:cs="Arial"/>
                <w:szCs w:val="22"/>
              </w:rPr>
              <w:t>6,364</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E27A68" w14:textId="09393CA5" w:rsidR="79F055BD" w:rsidRDefault="79F055BD" w:rsidP="79F055BD">
            <w:pPr>
              <w:jc w:val="right"/>
            </w:pPr>
            <w:r w:rsidRPr="79F055BD">
              <w:rPr>
                <w:rFonts w:eastAsia="Arial" w:cs="Arial"/>
                <w:color w:val="000000" w:themeColor="text1"/>
                <w:szCs w:val="22"/>
              </w:rPr>
              <w:t>10,975</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27C07EEA" w14:textId="59EF52FD" w:rsidR="79F055BD" w:rsidRDefault="79F055BD" w:rsidP="79F055BD">
            <w:pPr>
              <w:jc w:val="right"/>
            </w:pPr>
            <w:r w:rsidRPr="79F055BD">
              <w:rPr>
                <w:rFonts w:eastAsia="Arial" w:cs="Arial"/>
                <w:szCs w:val="22"/>
              </w:rPr>
              <w:t>11,785</w:t>
            </w:r>
          </w:p>
        </w:tc>
      </w:tr>
      <w:tr w:rsidR="79F055BD" w14:paraId="5CB4B8E9"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291675ED" w14:textId="56F006FE" w:rsidR="79F055BD" w:rsidRDefault="79F055BD" w:rsidP="79F055BD">
            <w:r w:rsidRPr="79F055BD">
              <w:rPr>
                <w:rFonts w:eastAsia="Arial" w:cs="Arial"/>
                <w:color w:val="000000" w:themeColor="text1"/>
                <w:szCs w:val="22"/>
              </w:rPr>
              <w:t>Case revenue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0097D7EF" w14:textId="5AE921BB" w:rsidR="79F055BD" w:rsidRDefault="79F055BD" w:rsidP="79F055BD">
            <w:pPr>
              <w:jc w:val="right"/>
            </w:pPr>
            <w:r w:rsidRPr="79F055BD">
              <w:rPr>
                <w:rFonts w:eastAsia="Arial" w:cs="Arial"/>
                <w:szCs w:val="22"/>
              </w:rPr>
              <w:t>1,025</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9E8C5E" w14:textId="38EF7815" w:rsidR="79F055BD" w:rsidRDefault="79F055BD" w:rsidP="79F055BD">
            <w:pPr>
              <w:jc w:val="right"/>
            </w:pPr>
            <w:r w:rsidRPr="79F055BD">
              <w:rPr>
                <w:rFonts w:eastAsia="Arial" w:cs="Arial"/>
                <w:color w:val="000000" w:themeColor="text1"/>
                <w:szCs w:val="22"/>
              </w:rPr>
              <w:t>1,004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6558A962" w14:textId="6CA4BBA8" w:rsidR="79F055BD" w:rsidRDefault="79F055BD" w:rsidP="79F055BD">
            <w:pPr>
              <w:jc w:val="right"/>
            </w:pPr>
            <w:r w:rsidRPr="79F055BD">
              <w:rPr>
                <w:rFonts w:eastAsia="Arial" w:cs="Arial"/>
                <w:szCs w:val="22"/>
              </w:rPr>
              <w:t>1,419</w:t>
            </w:r>
          </w:p>
        </w:tc>
      </w:tr>
      <w:tr w:rsidR="79F055BD" w14:paraId="0CACA9F8"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14:paraId="6372B91C" w14:textId="0D538202" w:rsidR="79F055BD" w:rsidRDefault="79F055BD" w:rsidP="79F055BD">
            <w:r w:rsidRPr="79F055BD">
              <w:rPr>
                <w:rFonts w:eastAsia="Arial" w:cs="Arial"/>
                <w:color w:val="000000" w:themeColor="text1"/>
                <w:szCs w:val="22"/>
              </w:rPr>
              <w:t>Other income</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024B09AD" w14:textId="72B4FB6D" w:rsidR="79F055BD" w:rsidRDefault="79F055BD" w:rsidP="79F055BD">
            <w:pPr>
              <w:jc w:val="right"/>
            </w:pPr>
            <w:r w:rsidRPr="79F055BD">
              <w:rPr>
                <w:rFonts w:eastAsia="Arial" w:cs="Arial"/>
                <w:szCs w:val="22"/>
              </w:rPr>
              <w:t>1,244</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D1B201" w14:textId="56BE2174" w:rsidR="79F055BD" w:rsidRDefault="79F055BD" w:rsidP="79F055BD">
            <w:pPr>
              <w:jc w:val="right"/>
            </w:pPr>
            <w:r w:rsidRPr="79F055BD">
              <w:rPr>
                <w:rFonts w:eastAsia="Arial" w:cs="Arial"/>
                <w:color w:val="000000" w:themeColor="text1"/>
                <w:szCs w:val="22"/>
              </w:rPr>
              <w:t>1,462</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30CA028B" w14:textId="0F14B8F2" w:rsidR="79F055BD" w:rsidRDefault="79F055BD" w:rsidP="79F055BD">
            <w:pPr>
              <w:jc w:val="right"/>
            </w:pPr>
            <w:r w:rsidRPr="79F055BD">
              <w:rPr>
                <w:rFonts w:eastAsia="Arial" w:cs="Arial"/>
                <w:szCs w:val="22"/>
              </w:rPr>
              <w:t>875</w:t>
            </w:r>
          </w:p>
        </w:tc>
      </w:tr>
      <w:tr w:rsidR="79F055BD" w14:paraId="53EB9308" w14:textId="77777777" w:rsidTr="79F055BD">
        <w:trPr>
          <w:trHeight w:val="300"/>
        </w:trPr>
        <w:tc>
          <w:tcPr>
            <w:tcW w:w="38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026508" w14:textId="764AAA0E" w:rsidR="79F055BD" w:rsidRDefault="79F055BD" w:rsidP="79F055BD">
            <w:r w:rsidRPr="79F055BD">
              <w:rPr>
                <w:rFonts w:eastAsia="Arial" w:cs="Arial"/>
                <w:b/>
                <w:bCs/>
                <w:color w:val="000000" w:themeColor="text1"/>
                <w:szCs w:val="22"/>
              </w:rPr>
              <w:t>Total revenue</w:t>
            </w:r>
          </w:p>
        </w:tc>
        <w:tc>
          <w:tcPr>
            <w:tcW w:w="15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2F448D5" w14:textId="42047F1F" w:rsidR="79F055BD" w:rsidRDefault="79F055BD" w:rsidP="79F055BD">
            <w:pPr>
              <w:jc w:val="right"/>
            </w:pPr>
            <w:r w:rsidRPr="79F055BD">
              <w:rPr>
                <w:rFonts w:eastAsia="Arial" w:cs="Arial"/>
                <w:b/>
                <w:bCs/>
                <w:color w:val="000000" w:themeColor="text1"/>
                <w:szCs w:val="22"/>
              </w:rPr>
              <w:t>86,017</w:t>
            </w:r>
          </w:p>
        </w:tc>
        <w:tc>
          <w:tcPr>
            <w:tcW w:w="15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F2B29E" w14:textId="38501C42" w:rsidR="79F055BD" w:rsidRDefault="79F055BD" w:rsidP="79F055BD">
            <w:pPr>
              <w:jc w:val="right"/>
            </w:pPr>
            <w:r w:rsidRPr="79F055BD">
              <w:rPr>
                <w:rFonts w:eastAsia="Arial" w:cs="Arial"/>
                <w:b/>
                <w:bCs/>
                <w:color w:val="000000" w:themeColor="text1"/>
                <w:szCs w:val="22"/>
              </w:rPr>
              <w:t>82,282</w:t>
            </w:r>
          </w:p>
        </w:tc>
        <w:tc>
          <w:tcPr>
            <w:tcW w:w="15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1E8ECC6" w14:textId="16E8D667" w:rsidR="79F055BD" w:rsidRDefault="79F055BD" w:rsidP="79F055BD">
            <w:pPr>
              <w:jc w:val="right"/>
            </w:pPr>
            <w:r w:rsidRPr="79F055BD">
              <w:rPr>
                <w:rFonts w:eastAsia="Arial" w:cs="Arial"/>
                <w:b/>
                <w:bCs/>
                <w:color w:val="000000" w:themeColor="text1"/>
                <w:szCs w:val="22"/>
              </w:rPr>
              <w:t>81,818</w:t>
            </w:r>
          </w:p>
        </w:tc>
      </w:tr>
    </w:tbl>
    <w:p w14:paraId="7550E513" w14:textId="378FB2EC" w:rsidR="5B207A96" w:rsidRDefault="5B207A96" w:rsidP="79F055BD">
      <w:pPr>
        <w:pStyle w:val="Heading3"/>
      </w:pPr>
      <w:r w:rsidRPr="79F055BD">
        <w:rPr>
          <w:rFonts w:eastAsia="Arial"/>
          <w:sz w:val="20"/>
          <w:szCs w:val="20"/>
        </w:rPr>
        <w:t>Table 2.2 Total expenditure breakdown ($’000)</w:t>
      </w:r>
    </w:p>
    <w:tbl>
      <w:tblPr>
        <w:tblStyle w:val="PlainTable2"/>
        <w:tblW w:w="0" w:type="auto"/>
        <w:tblLayout w:type="fixed"/>
        <w:tblLook w:val="0620" w:firstRow="1" w:lastRow="0" w:firstColumn="0" w:lastColumn="0" w:noHBand="1" w:noVBand="1"/>
      </w:tblPr>
      <w:tblGrid>
        <w:gridCol w:w="3750"/>
        <w:gridCol w:w="1485"/>
        <w:gridCol w:w="1695"/>
        <w:gridCol w:w="1560"/>
      </w:tblGrid>
      <w:tr w:rsidR="00B0725E" w14:paraId="0D51CC49" w14:textId="77777777" w:rsidTr="79F055BD">
        <w:trPr>
          <w:cnfStyle w:val="100000000000" w:firstRow="1" w:lastRow="0" w:firstColumn="0" w:lastColumn="0" w:oddVBand="0" w:evenVBand="0" w:oddHBand="0" w:evenHBand="0" w:firstRowFirstColumn="0" w:firstRowLastColumn="0" w:lastRowFirstColumn="0" w:lastRowLastColumn="0"/>
          <w:trHeight w:val="300"/>
        </w:trPr>
        <w:tc>
          <w:tcPr>
            <w:tcW w:w="3750"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40C29D61" w14:textId="09E1922F" w:rsidR="79F055BD" w:rsidRDefault="79F055BD" w:rsidP="79F055BD">
            <w:r w:rsidRPr="79F055BD">
              <w:rPr>
                <w:rFonts w:eastAsia="Arial" w:cs="Arial"/>
                <w:b/>
                <w:color w:val="000000" w:themeColor="text1"/>
                <w:szCs w:val="22"/>
              </w:rPr>
              <w:t>Expenditure</w:t>
            </w:r>
          </w:p>
        </w:tc>
        <w:tc>
          <w:tcPr>
            <w:tcW w:w="1485"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738CA610" w14:textId="03E868AC" w:rsidR="79F055BD" w:rsidRDefault="79F055BD" w:rsidP="79F055BD">
            <w:pPr>
              <w:jc w:val="center"/>
            </w:pPr>
            <w:r w:rsidRPr="79F055BD">
              <w:rPr>
                <w:rFonts w:eastAsia="Arial" w:cs="Arial"/>
                <w:b/>
                <w:color w:val="000000" w:themeColor="text1"/>
                <w:szCs w:val="22"/>
              </w:rPr>
              <w:t>Q4</w:t>
            </w:r>
          </w:p>
          <w:p w14:paraId="6208E09B" w14:textId="7FEE61F8" w:rsidR="79F055BD" w:rsidRDefault="79F055BD" w:rsidP="79F055BD">
            <w:pPr>
              <w:jc w:val="center"/>
            </w:pPr>
            <w:r w:rsidRPr="79F055BD">
              <w:rPr>
                <w:rFonts w:eastAsia="Arial" w:cs="Arial"/>
                <w:b/>
                <w:color w:val="000000" w:themeColor="text1"/>
                <w:szCs w:val="22"/>
              </w:rPr>
              <w:t>2022-23</w:t>
            </w:r>
          </w:p>
        </w:tc>
        <w:tc>
          <w:tcPr>
            <w:tcW w:w="1695"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2BC5FCF2" w14:textId="4FA06600" w:rsidR="79F055BD" w:rsidRDefault="79F055BD" w:rsidP="79F055BD">
            <w:pPr>
              <w:jc w:val="center"/>
            </w:pPr>
            <w:r w:rsidRPr="79F055BD">
              <w:rPr>
                <w:rFonts w:eastAsia="Arial" w:cs="Arial"/>
                <w:b/>
                <w:color w:val="000000" w:themeColor="text1"/>
                <w:szCs w:val="22"/>
              </w:rPr>
              <w:t>Q1</w:t>
            </w:r>
          </w:p>
          <w:p w14:paraId="02B54AFF" w14:textId="23FA4A98" w:rsidR="79F055BD" w:rsidRDefault="79F055BD" w:rsidP="79F055BD">
            <w:pPr>
              <w:jc w:val="center"/>
            </w:pPr>
            <w:r w:rsidRPr="79F055BD">
              <w:rPr>
                <w:rFonts w:eastAsia="Arial" w:cs="Arial"/>
                <w:b/>
                <w:color w:val="000000" w:themeColor="text1"/>
                <w:szCs w:val="22"/>
              </w:rPr>
              <w:t>2023-24</w:t>
            </w:r>
          </w:p>
        </w:tc>
        <w:tc>
          <w:tcPr>
            <w:tcW w:w="1560" w:type="dxa"/>
            <w:tcBorders>
              <w:top w:val="single" w:sz="8" w:space="0" w:color="44546A" w:themeColor="text2"/>
              <w:left w:val="single" w:sz="8" w:space="0" w:color="auto"/>
              <w:bottom w:val="single" w:sz="8" w:space="0" w:color="44546A" w:themeColor="text2"/>
              <w:right w:val="single" w:sz="8" w:space="0" w:color="auto"/>
            </w:tcBorders>
            <w:shd w:val="clear" w:color="auto" w:fill="C3AFCC"/>
            <w:tcMar>
              <w:left w:w="108" w:type="dxa"/>
              <w:right w:w="108" w:type="dxa"/>
            </w:tcMar>
          </w:tcPr>
          <w:p w14:paraId="62ADF0A3" w14:textId="6E5BE5AD" w:rsidR="79F055BD" w:rsidRDefault="79F055BD" w:rsidP="79F055BD">
            <w:pPr>
              <w:jc w:val="center"/>
            </w:pPr>
            <w:r w:rsidRPr="79F055BD">
              <w:rPr>
                <w:rFonts w:eastAsia="Arial" w:cs="Arial"/>
                <w:b/>
                <w:color w:val="000000" w:themeColor="text1"/>
                <w:szCs w:val="22"/>
              </w:rPr>
              <w:t>Q2 2023-24</w:t>
            </w:r>
          </w:p>
          <w:p w14:paraId="54C1A0A3" w14:textId="42A5B996" w:rsidR="79F055BD" w:rsidRDefault="79F055BD" w:rsidP="79F055BD">
            <w:pPr>
              <w:jc w:val="center"/>
            </w:pPr>
            <w:r w:rsidRPr="79F055BD">
              <w:rPr>
                <w:rFonts w:eastAsia="Arial" w:cs="Arial"/>
                <w:b/>
                <w:color w:val="000000" w:themeColor="text1"/>
                <w:szCs w:val="22"/>
              </w:rPr>
              <w:t>projection</w:t>
            </w:r>
          </w:p>
        </w:tc>
      </w:tr>
      <w:tr w:rsidR="79F055BD" w14:paraId="3C03E60E" w14:textId="77777777" w:rsidTr="79F055BD">
        <w:trPr>
          <w:trHeight w:val="300"/>
        </w:trPr>
        <w:tc>
          <w:tcPr>
            <w:tcW w:w="3750"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6ECC6EB1" w14:textId="5ED74552" w:rsidR="79F055BD" w:rsidRDefault="79F055BD" w:rsidP="79F055BD">
            <w:r w:rsidRPr="79F055BD">
              <w:rPr>
                <w:rFonts w:eastAsia="Arial" w:cs="Arial"/>
                <w:color w:val="000000" w:themeColor="text1"/>
                <w:szCs w:val="22"/>
              </w:rPr>
              <w:t>Case expenditure (including ECCCF)</w:t>
            </w:r>
          </w:p>
        </w:tc>
        <w:tc>
          <w:tcPr>
            <w:tcW w:w="1485"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5EEF87BA" w14:textId="78277D90" w:rsidR="79F055BD" w:rsidRDefault="79F055BD" w:rsidP="79F055BD">
            <w:pPr>
              <w:jc w:val="right"/>
            </w:pPr>
            <w:r w:rsidRPr="79F055BD">
              <w:rPr>
                <w:rFonts w:eastAsia="Arial" w:cs="Arial"/>
                <w:szCs w:val="22"/>
              </w:rPr>
              <w:t>(32,216)</w:t>
            </w:r>
          </w:p>
        </w:tc>
        <w:tc>
          <w:tcPr>
            <w:tcW w:w="1695" w:type="dxa"/>
            <w:tcBorders>
              <w:top w:val="single" w:sz="8" w:space="0" w:color="44546A" w:themeColor="text2"/>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4FC2A7" w14:textId="33CE8C3D" w:rsidR="79F055BD" w:rsidRDefault="79F055BD" w:rsidP="79F055BD">
            <w:pPr>
              <w:jc w:val="right"/>
            </w:pPr>
            <w:r w:rsidRPr="79F055BD">
              <w:rPr>
                <w:rFonts w:eastAsia="Arial" w:cs="Arial"/>
                <w:color w:val="000000" w:themeColor="text1"/>
                <w:szCs w:val="22"/>
              </w:rPr>
              <w:t>(30,263)</w:t>
            </w:r>
          </w:p>
        </w:tc>
        <w:tc>
          <w:tcPr>
            <w:tcW w:w="1560" w:type="dxa"/>
            <w:tcBorders>
              <w:top w:val="single" w:sz="8" w:space="0" w:color="44546A" w:themeColor="text2"/>
              <w:left w:val="single" w:sz="8" w:space="0" w:color="auto"/>
              <w:bottom w:val="single" w:sz="8" w:space="0" w:color="auto"/>
              <w:right w:val="single" w:sz="8" w:space="0" w:color="auto"/>
            </w:tcBorders>
            <w:tcMar>
              <w:left w:w="108" w:type="dxa"/>
              <w:right w:w="108" w:type="dxa"/>
            </w:tcMar>
          </w:tcPr>
          <w:p w14:paraId="26C51691" w14:textId="5023B33C" w:rsidR="79F055BD" w:rsidRDefault="79F055BD" w:rsidP="79F055BD">
            <w:pPr>
              <w:jc w:val="right"/>
            </w:pPr>
            <w:r w:rsidRPr="79F055BD">
              <w:rPr>
                <w:rFonts w:eastAsia="Arial" w:cs="Arial"/>
                <w:color w:val="000000" w:themeColor="text1"/>
                <w:szCs w:val="22"/>
              </w:rPr>
              <w:t>(33,499)</w:t>
            </w:r>
          </w:p>
        </w:tc>
      </w:tr>
      <w:tr w:rsidR="79F055BD" w14:paraId="01EADF62"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5EDBA823" w14:textId="7AC37651" w:rsidR="79F055BD" w:rsidRDefault="79F055BD" w:rsidP="79F055BD">
            <w:r w:rsidRPr="79F055BD">
              <w:rPr>
                <w:rFonts w:eastAsia="Arial" w:cs="Arial"/>
                <w:color w:val="000000" w:themeColor="text1"/>
                <w:szCs w:val="22"/>
              </w:rPr>
              <w:t>Community Legal Centre payments</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30C8011" w14:textId="6ECC951E" w:rsidR="79F055BD" w:rsidRDefault="79F055BD" w:rsidP="79F055BD">
            <w:pPr>
              <w:jc w:val="right"/>
            </w:pPr>
            <w:r w:rsidRPr="79F055BD">
              <w:rPr>
                <w:rFonts w:eastAsia="Arial" w:cs="Arial"/>
                <w:szCs w:val="22"/>
              </w:rPr>
              <w:t>(19,682)</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6E0024" w14:textId="7558CD37" w:rsidR="79F055BD" w:rsidRDefault="79F055BD" w:rsidP="79F055BD">
            <w:pPr>
              <w:jc w:val="right"/>
            </w:pPr>
            <w:r w:rsidRPr="79F055BD">
              <w:rPr>
                <w:rFonts w:eastAsia="Arial" w:cs="Arial"/>
                <w:color w:val="000000" w:themeColor="text1"/>
                <w:szCs w:val="22"/>
              </w:rPr>
              <w:t>(15,222)</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4472CE0" w14:textId="43A9E6AA" w:rsidR="79F055BD" w:rsidRDefault="79F055BD" w:rsidP="79F055BD">
            <w:pPr>
              <w:jc w:val="right"/>
            </w:pPr>
            <w:r w:rsidRPr="79F055BD">
              <w:rPr>
                <w:rFonts w:eastAsia="Arial" w:cs="Arial"/>
                <w:color w:val="000000" w:themeColor="text1"/>
                <w:szCs w:val="22"/>
              </w:rPr>
              <w:t>(13,816)</w:t>
            </w:r>
          </w:p>
        </w:tc>
      </w:tr>
      <w:tr w:rsidR="79F055BD" w14:paraId="23CD723D"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28BED01C" w14:textId="0F0AB748" w:rsidR="79F055BD" w:rsidRDefault="79F055BD" w:rsidP="79F055BD">
            <w:r w:rsidRPr="79F055BD">
              <w:rPr>
                <w:rFonts w:eastAsia="Arial" w:cs="Arial"/>
                <w:color w:val="000000" w:themeColor="text1"/>
                <w:szCs w:val="22"/>
              </w:rPr>
              <w:t>Staff costs</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4EAB3BC" w14:textId="3BD4846D" w:rsidR="79F055BD" w:rsidRDefault="79F055BD" w:rsidP="79F055BD">
            <w:pPr>
              <w:jc w:val="right"/>
            </w:pPr>
            <w:r w:rsidRPr="79F055BD">
              <w:rPr>
                <w:rFonts w:eastAsia="Arial" w:cs="Arial"/>
                <w:szCs w:val="22"/>
              </w:rPr>
              <w:t>(28,578)</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059C07" w14:textId="56B28465" w:rsidR="79F055BD" w:rsidRDefault="79F055BD" w:rsidP="79F055BD">
            <w:pPr>
              <w:jc w:val="right"/>
            </w:pPr>
            <w:r w:rsidRPr="79F055BD">
              <w:rPr>
                <w:rFonts w:eastAsia="Arial" w:cs="Arial"/>
                <w:color w:val="000000" w:themeColor="text1"/>
                <w:szCs w:val="22"/>
              </w:rPr>
              <w:t>(30,543)</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FDBEBEC" w14:textId="47D4F457" w:rsidR="79F055BD" w:rsidRDefault="79F055BD" w:rsidP="79F055BD">
            <w:pPr>
              <w:jc w:val="right"/>
            </w:pPr>
            <w:r w:rsidRPr="79F055BD">
              <w:rPr>
                <w:rFonts w:eastAsia="Arial" w:cs="Arial"/>
                <w:color w:val="000000" w:themeColor="text1"/>
                <w:szCs w:val="22"/>
              </w:rPr>
              <w:t>(31,828)</w:t>
            </w:r>
          </w:p>
        </w:tc>
      </w:tr>
      <w:tr w:rsidR="79F055BD" w14:paraId="73B55BA3"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086C1CF6" w14:textId="2C4E3BDE" w:rsidR="79F055BD" w:rsidRDefault="79F055BD" w:rsidP="79F055BD">
            <w:r w:rsidRPr="79F055BD">
              <w:rPr>
                <w:rFonts w:eastAsia="Arial" w:cs="Arial"/>
                <w:color w:val="000000" w:themeColor="text1"/>
                <w:szCs w:val="22"/>
              </w:rPr>
              <w:t>Administration</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46313B" w14:textId="07EAF61B" w:rsidR="79F055BD" w:rsidRDefault="79F055BD" w:rsidP="79F055BD">
            <w:pPr>
              <w:jc w:val="right"/>
            </w:pPr>
            <w:r w:rsidRPr="79F055BD">
              <w:rPr>
                <w:rFonts w:eastAsia="Arial" w:cs="Arial"/>
                <w:szCs w:val="22"/>
              </w:rPr>
              <w:t>(5,863)</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882AD07" w14:textId="59341643" w:rsidR="79F055BD" w:rsidRDefault="79F055BD" w:rsidP="79F055BD">
            <w:pPr>
              <w:jc w:val="right"/>
            </w:pPr>
            <w:r w:rsidRPr="79F055BD">
              <w:rPr>
                <w:rFonts w:eastAsia="Arial" w:cs="Arial"/>
                <w:color w:val="000000" w:themeColor="text1"/>
                <w:szCs w:val="22"/>
              </w:rPr>
              <w:t>(5,998)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EC683A5" w14:textId="1F83CCAD" w:rsidR="79F055BD" w:rsidRDefault="79F055BD" w:rsidP="79F055BD">
            <w:pPr>
              <w:jc w:val="right"/>
            </w:pPr>
            <w:r w:rsidRPr="79F055BD">
              <w:rPr>
                <w:rFonts w:eastAsia="Arial" w:cs="Arial"/>
                <w:color w:val="000000" w:themeColor="text1"/>
                <w:szCs w:val="22"/>
              </w:rPr>
              <w:t>(7,015)</w:t>
            </w:r>
          </w:p>
        </w:tc>
      </w:tr>
      <w:tr w:rsidR="79F055BD" w14:paraId="653AF76A"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376352" w14:textId="04B96360" w:rsidR="79F055BD" w:rsidRDefault="79F055BD" w:rsidP="79F055BD">
            <w:r w:rsidRPr="79F055BD">
              <w:rPr>
                <w:rFonts w:eastAsia="Arial" w:cs="Arial"/>
                <w:b/>
                <w:bCs/>
                <w:color w:val="000000" w:themeColor="text1"/>
                <w:szCs w:val="22"/>
              </w:rPr>
              <w:t>Total expenditure</w:t>
            </w:r>
          </w:p>
        </w:tc>
        <w:tc>
          <w:tcPr>
            <w:tcW w:w="1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4E044B8" w14:textId="7EEED071" w:rsidR="79F055BD" w:rsidRDefault="79F055BD" w:rsidP="79F055BD">
            <w:pPr>
              <w:jc w:val="right"/>
            </w:pPr>
            <w:r w:rsidRPr="79F055BD">
              <w:rPr>
                <w:rFonts w:eastAsia="Arial" w:cs="Arial"/>
                <w:b/>
                <w:bCs/>
                <w:color w:val="000000" w:themeColor="text1"/>
                <w:szCs w:val="22"/>
              </w:rPr>
              <w:t>(86,340)</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EC2800E" w14:textId="40D6DDBD" w:rsidR="79F055BD" w:rsidRDefault="79F055BD" w:rsidP="79F055BD">
            <w:pPr>
              <w:jc w:val="right"/>
            </w:pPr>
            <w:r w:rsidRPr="79F055BD">
              <w:rPr>
                <w:rFonts w:eastAsia="Arial" w:cs="Arial"/>
                <w:b/>
                <w:bCs/>
                <w:color w:val="000000" w:themeColor="text1"/>
                <w:szCs w:val="22"/>
              </w:rPr>
              <w:t>(82,027)</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7F0170" w14:textId="676F5CAB" w:rsidR="79F055BD" w:rsidRDefault="79F055BD" w:rsidP="79F055BD">
            <w:pPr>
              <w:jc w:val="right"/>
            </w:pPr>
            <w:r w:rsidRPr="79F055BD">
              <w:rPr>
                <w:rFonts w:eastAsia="Arial" w:cs="Arial"/>
                <w:b/>
                <w:bCs/>
                <w:color w:val="000000" w:themeColor="text1"/>
                <w:szCs w:val="22"/>
              </w:rPr>
              <w:t>(86,158)</w:t>
            </w:r>
          </w:p>
        </w:tc>
      </w:tr>
      <w:tr w:rsidR="79F055BD" w14:paraId="5409AD85"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tcMar>
              <w:left w:w="108" w:type="dxa"/>
              <w:right w:w="108" w:type="dxa"/>
            </w:tcMar>
          </w:tcPr>
          <w:p w14:paraId="5E39314F" w14:textId="44271535" w:rsidR="79F055BD" w:rsidRDefault="79F055BD" w:rsidP="79F055BD">
            <w:r w:rsidRPr="79F055BD">
              <w:rPr>
                <w:rFonts w:eastAsia="Arial" w:cs="Arial"/>
                <w:color w:val="000000" w:themeColor="text1"/>
                <w:szCs w:val="22"/>
              </w:rPr>
              <w:t>Depreciation and Revaluation</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D1FEA7" w14:textId="1621AA98" w:rsidR="79F055BD" w:rsidRDefault="79F055BD" w:rsidP="79F055BD">
            <w:pPr>
              <w:jc w:val="right"/>
            </w:pPr>
            <w:r w:rsidRPr="79F055BD">
              <w:rPr>
                <w:rFonts w:eastAsia="Arial" w:cs="Arial"/>
                <w:szCs w:val="22"/>
              </w:rPr>
              <w:t>(832)</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D61C90" w14:textId="3FC60DED" w:rsidR="79F055BD" w:rsidRDefault="79F055BD" w:rsidP="79F055BD">
            <w:pPr>
              <w:jc w:val="right"/>
            </w:pPr>
            <w:r w:rsidRPr="79F055BD">
              <w:rPr>
                <w:rFonts w:eastAsia="Arial" w:cs="Arial"/>
                <w:color w:val="000000" w:themeColor="text1"/>
                <w:szCs w:val="22"/>
              </w:rPr>
              <w:t>(568)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26DD5D2" w14:textId="556C6F7F" w:rsidR="79F055BD" w:rsidRDefault="79F055BD" w:rsidP="79F055BD">
            <w:pPr>
              <w:jc w:val="right"/>
            </w:pPr>
            <w:r w:rsidRPr="79F055BD">
              <w:rPr>
                <w:rFonts w:eastAsia="Arial" w:cs="Arial"/>
                <w:color w:val="000000" w:themeColor="text1"/>
                <w:szCs w:val="22"/>
              </w:rPr>
              <w:t>(759)</w:t>
            </w:r>
          </w:p>
        </w:tc>
      </w:tr>
      <w:tr w:rsidR="79F055BD" w14:paraId="5E3893DE" w14:textId="77777777" w:rsidTr="79F055BD">
        <w:trPr>
          <w:trHeight w:val="300"/>
        </w:trPr>
        <w:tc>
          <w:tcPr>
            <w:tcW w:w="3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1B334D" w14:textId="7C5337CE" w:rsidR="79F055BD" w:rsidRDefault="79F055BD" w:rsidP="79F055BD">
            <w:r w:rsidRPr="79F055BD">
              <w:rPr>
                <w:rFonts w:eastAsia="Arial" w:cs="Arial"/>
                <w:b/>
                <w:bCs/>
                <w:color w:val="000000" w:themeColor="text1"/>
                <w:szCs w:val="22"/>
              </w:rPr>
              <w:t>Total Expenditure</w:t>
            </w:r>
          </w:p>
        </w:tc>
        <w:tc>
          <w:tcPr>
            <w:tcW w:w="1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51FBA9" w14:textId="4FAE2A61" w:rsidR="79F055BD" w:rsidRDefault="79F055BD" w:rsidP="79F055BD">
            <w:pPr>
              <w:jc w:val="right"/>
            </w:pPr>
            <w:r w:rsidRPr="79F055BD">
              <w:rPr>
                <w:rFonts w:eastAsia="Arial" w:cs="Arial"/>
                <w:b/>
                <w:bCs/>
                <w:color w:val="000000" w:themeColor="text1"/>
                <w:szCs w:val="22"/>
              </w:rPr>
              <w:t>(87,172)</w:t>
            </w:r>
          </w:p>
        </w:tc>
        <w:tc>
          <w:tcPr>
            <w:tcW w:w="1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5DF8E0" w14:textId="28A32301" w:rsidR="79F055BD" w:rsidRDefault="79F055BD" w:rsidP="79F055BD">
            <w:pPr>
              <w:jc w:val="right"/>
            </w:pPr>
            <w:r w:rsidRPr="79F055BD">
              <w:rPr>
                <w:rFonts w:eastAsia="Arial" w:cs="Arial"/>
                <w:b/>
                <w:bCs/>
                <w:color w:val="000000" w:themeColor="text1"/>
                <w:szCs w:val="22"/>
              </w:rPr>
              <w:t>(82,595)</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D8A639" w14:textId="1BC10EBF" w:rsidR="79F055BD" w:rsidRDefault="79F055BD" w:rsidP="79F055BD">
            <w:pPr>
              <w:jc w:val="right"/>
            </w:pPr>
            <w:r w:rsidRPr="79F055BD">
              <w:rPr>
                <w:rFonts w:eastAsia="Arial" w:cs="Arial"/>
                <w:b/>
                <w:bCs/>
                <w:color w:val="000000" w:themeColor="text1"/>
                <w:szCs w:val="22"/>
              </w:rPr>
              <w:t>(86,917)</w:t>
            </w:r>
          </w:p>
        </w:tc>
      </w:tr>
    </w:tbl>
    <w:p w14:paraId="3D6507EE" w14:textId="7F4662CB" w:rsidR="5B207A96" w:rsidRDefault="5B207A96" w:rsidP="00B66B09"/>
    <w:sectPr w:rsidR="5B207A96" w:rsidSect="00B66B09">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754A" w14:textId="77777777" w:rsidR="00C3066E" w:rsidRDefault="00C3066E">
      <w:pPr>
        <w:spacing w:after="0" w:line="240" w:lineRule="auto"/>
      </w:pPr>
      <w:r>
        <w:separator/>
      </w:r>
    </w:p>
  </w:endnote>
  <w:endnote w:type="continuationSeparator" w:id="0">
    <w:p w14:paraId="0AF27066" w14:textId="77777777" w:rsidR="00C3066E" w:rsidRDefault="00C3066E">
      <w:pPr>
        <w:spacing w:after="0" w:line="240" w:lineRule="auto"/>
      </w:pPr>
      <w:r>
        <w:continuationSeparator/>
      </w:r>
    </w:p>
  </w:endnote>
  <w:endnote w:type="continuationNotice" w:id="1">
    <w:p w14:paraId="4059139B" w14:textId="77777777" w:rsidR="00C3066E" w:rsidRDefault="00C30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1D54D7A">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C496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A8E23DE">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4C82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4010" w14:textId="77777777" w:rsidR="00C3066E" w:rsidRDefault="00C3066E">
      <w:pPr>
        <w:spacing w:after="0" w:line="240" w:lineRule="auto"/>
      </w:pPr>
      <w:r>
        <w:separator/>
      </w:r>
    </w:p>
  </w:footnote>
  <w:footnote w:type="continuationSeparator" w:id="0">
    <w:p w14:paraId="7E0DE8A8" w14:textId="77777777" w:rsidR="00C3066E" w:rsidRDefault="00C3066E">
      <w:pPr>
        <w:spacing w:after="0" w:line="240" w:lineRule="auto"/>
      </w:pPr>
      <w:r>
        <w:continuationSeparator/>
      </w:r>
    </w:p>
  </w:footnote>
  <w:footnote w:type="continuationNotice" w:id="1">
    <w:p w14:paraId="7825CCEB" w14:textId="77777777" w:rsidR="00C3066E" w:rsidRDefault="00C3066E">
      <w:pPr>
        <w:spacing w:after="0" w:line="240" w:lineRule="auto"/>
      </w:pPr>
    </w:p>
  </w:footnote>
  <w:footnote w:id="2">
    <w:p w14:paraId="73A62E49" w14:textId="17F993B6" w:rsidR="007D54C7" w:rsidRDefault="007D54C7" w:rsidP="00CB620E">
      <w:pPr>
        <w:pStyle w:val="FootnoteText"/>
        <w:ind w:left="142" w:hanging="142"/>
      </w:pPr>
      <w:r>
        <w:rPr>
          <w:rStyle w:val="FootnoteReference"/>
        </w:rPr>
        <w:footnoteRef/>
      </w:r>
      <w:r w:rsidR="00C42A63">
        <w:tab/>
      </w:r>
      <w:r>
        <w:t xml:space="preserve">A unique client is an individual who has accessed one or more of our legal services and </w:t>
      </w:r>
      <w:r w:rsidR="0000731B">
        <w:t xml:space="preserve">with whom </w:t>
      </w:r>
      <w:r>
        <w:t xml:space="preserve">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50B0BA31" w14:textId="41747390" w:rsidR="00BC7A28" w:rsidRPr="00BC7A28" w:rsidRDefault="00BC7A28">
      <w:pPr>
        <w:pStyle w:val="FootnoteText"/>
      </w:pPr>
      <w:r>
        <w:rPr>
          <w:rStyle w:val="FootnoteReference"/>
        </w:rPr>
        <w:footnoteRef/>
      </w:r>
      <w:r>
        <w:t xml:space="preserve"> </w:t>
      </w:r>
      <w:r w:rsidR="00390234" w:rsidRPr="00390234">
        <w:t>Adjusted by +741 Legal Help advice sessions.</w:t>
      </w:r>
    </w:p>
  </w:footnote>
  <w:footnote w:id="4">
    <w:p w14:paraId="04E44583" w14:textId="0D982811" w:rsidR="00390234" w:rsidRPr="00390234" w:rsidRDefault="00390234">
      <w:pPr>
        <w:pStyle w:val="FootnoteText"/>
      </w:pPr>
      <w:r>
        <w:rPr>
          <w:rStyle w:val="FootnoteReference"/>
        </w:rPr>
        <w:footnoteRef/>
      </w:r>
      <w:r>
        <w:t xml:space="preserve"> </w:t>
      </w:r>
      <w:r w:rsidR="00AB37B3" w:rsidRPr="00AB37B3">
        <w:t>Adjusted by +7,438 duty lawyer services.</w:t>
      </w:r>
    </w:p>
  </w:footnote>
  <w:footnote w:id="5">
    <w:p w14:paraId="022203A9" w14:textId="5F373AB0" w:rsidR="00623789" w:rsidRPr="00623789" w:rsidRDefault="00623789">
      <w:pPr>
        <w:pStyle w:val="FootnoteText"/>
      </w:pPr>
      <w:r>
        <w:rPr>
          <w:rStyle w:val="FootnoteReference"/>
        </w:rPr>
        <w:footnoteRef/>
      </w:r>
      <w:r>
        <w:t xml:space="preserve"> </w:t>
      </w:r>
      <w:r w:rsidR="00626C27" w:rsidRPr="00626C27">
        <w:t>Adjusted by +4,033 Legal Help information sessions.</w:t>
      </w:r>
    </w:p>
  </w:footnote>
  <w:footnote w:id="6">
    <w:p w14:paraId="5F21E3D1" w14:textId="2191C171" w:rsidR="008470E5" w:rsidRPr="008470E5" w:rsidRDefault="008470E5" w:rsidP="007650ED">
      <w:pPr>
        <w:pStyle w:val="FootnoteText"/>
        <w:ind w:left="142" w:hanging="142"/>
        <w:rPr>
          <w:lang w:val="en-GB"/>
        </w:rPr>
      </w:pPr>
      <w:r>
        <w:rPr>
          <w:rStyle w:val="FootnoteReference"/>
        </w:rPr>
        <w:footnoteRef/>
      </w:r>
      <w:r>
        <w:t xml:space="preserve"> </w:t>
      </w:r>
      <w:r w:rsidRPr="007650ED">
        <w:t>Engaged</w:t>
      </w:r>
      <w:r>
        <w:rPr>
          <w:lang w:val="en-GB"/>
        </w:rPr>
        <w:t xml:space="preserve"> sessions </w:t>
      </w:r>
      <w:r w:rsidR="00EC2A1A">
        <w:rPr>
          <w:lang w:val="en-GB"/>
        </w:rPr>
        <w:t xml:space="preserve">are </w:t>
      </w:r>
      <w:r w:rsidR="00EC2A1A" w:rsidRPr="00EC2A1A">
        <w:rPr>
          <w:lang w:val="en-GB"/>
        </w:rPr>
        <w:t xml:space="preserve">when a </w:t>
      </w:r>
      <w:r w:rsidR="00EC2A1A">
        <w:rPr>
          <w:lang w:val="en-GB"/>
        </w:rPr>
        <w:t xml:space="preserve">website </w:t>
      </w:r>
      <w:r w:rsidR="00EC2A1A" w:rsidRPr="00EC2A1A">
        <w:rPr>
          <w:lang w:val="en-GB"/>
        </w:rPr>
        <w:t>session lasts longer than ten seconds, when a session includes at least one conversion, or when a session includes two or more page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A654" w14:textId="77777777"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7F1D6F0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5D0AB9C2"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clsh="http://schemas.microsoft.com/office/drawing/2020/classificationShape" xmlns:a="http://schemas.openxmlformats.org/drawingml/2006/main">
          <w:pict w14:anchorId="37F29E2D">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51B04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2023-24 Quarter One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62341" behindDoc="1" locked="0" layoutInCell="1" allowOverlap="1" wp14:anchorId="477E8A49" wp14:editId="5C8BDF78">
          <wp:simplePos x="0" y="0"/>
          <wp:positionH relativeFrom="page">
            <wp:posOffset>0</wp:posOffset>
          </wp:positionH>
          <wp:positionV relativeFrom="page">
            <wp:posOffset>0</wp:posOffset>
          </wp:positionV>
          <wp:extent cx="7560000" cy="1270800"/>
          <wp:effectExtent l="0" t="0" r="0" b="0"/>
          <wp:wrapNone/>
          <wp:docPr id="1847288000" name="Picture 18472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6"/>
  </w:num>
  <w:num w:numId="25" w16cid:durableId="1052269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71"/>
    <w:rsid w:val="0000363D"/>
    <w:rsid w:val="0000731B"/>
    <w:rsid w:val="00007954"/>
    <w:rsid w:val="000168A4"/>
    <w:rsid w:val="000315EB"/>
    <w:rsid w:val="00043F10"/>
    <w:rsid w:val="000443F0"/>
    <w:rsid w:val="00047DF7"/>
    <w:rsid w:val="00051AAC"/>
    <w:rsid w:val="00062818"/>
    <w:rsid w:val="00065D7C"/>
    <w:rsid w:val="00066921"/>
    <w:rsid w:val="00077831"/>
    <w:rsid w:val="00082332"/>
    <w:rsid w:val="0008464D"/>
    <w:rsid w:val="00097448"/>
    <w:rsid w:val="000A0349"/>
    <w:rsid w:val="000A2FBE"/>
    <w:rsid w:val="000A3C2D"/>
    <w:rsid w:val="000B1BAA"/>
    <w:rsid w:val="000B2451"/>
    <w:rsid w:val="000C11B3"/>
    <w:rsid w:val="000C14B8"/>
    <w:rsid w:val="000C1648"/>
    <w:rsid w:val="000C3DF5"/>
    <w:rsid w:val="000C5254"/>
    <w:rsid w:val="000C7FB4"/>
    <w:rsid w:val="000D751B"/>
    <w:rsid w:val="000E0791"/>
    <w:rsid w:val="000E78F8"/>
    <w:rsid w:val="000F1F99"/>
    <w:rsid w:val="000F5D53"/>
    <w:rsid w:val="000F7632"/>
    <w:rsid w:val="000F7B6C"/>
    <w:rsid w:val="0010136E"/>
    <w:rsid w:val="00105467"/>
    <w:rsid w:val="00111796"/>
    <w:rsid w:val="00112CA5"/>
    <w:rsid w:val="00122E1E"/>
    <w:rsid w:val="0012449A"/>
    <w:rsid w:val="00125593"/>
    <w:rsid w:val="00126C38"/>
    <w:rsid w:val="00131BF1"/>
    <w:rsid w:val="00137131"/>
    <w:rsid w:val="00141544"/>
    <w:rsid w:val="00150B98"/>
    <w:rsid w:val="00157397"/>
    <w:rsid w:val="001600C6"/>
    <w:rsid w:val="0017094E"/>
    <w:rsid w:val="0017501A"/>
    <w:rsid w:val="00182147"/>
    <w:rsid w:val="00190A92"/>
    <w:rsid w:val="00192FC1"/>
    <w:rsid w:val="001A267E"/>
    <w:rsid w:val="001A27AB"/>
    <w:rsid w:val="001B337D"/>
    <w:rsid w:val="001C0014"/>
    <w:rsid w:val="001C197A"/>
    <w:rsid w:val="001C2094"/>
    <w:rsid w:val="001C4390"/>
    <w:rsid w:val="001E3077"/>
    <w:rsid w:val="001E348D"/>
    <w:rsid w:val="001E578D"/>
    <w:rsid w:val="001F5D5F"/>
    <w:rsid w:val="00200D07"/>
    <w:rsid w:val="00204ABA"/>
    <w:rsid w:val="00205C07"/>
    <w:rsid w:val="00225411"/>
    <w:rsid w:val="00230CE7"/>
    <w:rsid w:val="00230F9C"/>
    <w:rsid w:val="0023242D"/>
    <w:rsid w:val="002325A4"/>
    <w:rsid w:val="00236F1F"/>
    <w:rsid w:val="00240263"/>
    <w:rsid w:val="0024192D"/>
    <w:rsid w:val="00241A5C"/>
    <w:rsid w:val="00244242"/>
    <w:rsid w:val="00244E32"/>
    <w:rsid w:val="00247FE6"/>
    <w:rsid w:val="002508F5"/>
    <w:rsid w:val="00250E42"/>
    <w:rsid w:val="002577B4"/>
    <w:rsid w:val="00263844"/>
    <w:rsid w:val="0026665A"/>
    <w:rsid w:val="002714D4"/>
    <w:rsid w:val="002722E4"/>
    <w:rsid w:val="00272765"/>
    <w:rsid w:val="002729E8"/>
    <w:rsid w:val="00273784"/>
    <w:rsid w:val="002766CF"/>
    <w:rsid w:val="00284694"/>
    <w:rsid w:val="002863EC"/>
    <w:rsid w:val="00286C18"/>
    <w:rsid w:val="00286CAE"/>
    <w:rsid w:val="002915FB"/>
    <w:rsid w:val="002A00F7"/>
    <w:rsid w:val="002A4595"/>
    <w:rsid w:val="002A764E"/>
    <w:rsid w:val="002B2498"/>
    <w:rsid w:val="002B54CC"/>
    <w:rsid w:val="002C3253"/>
    <w:rsid w:val="002C4EF6"/>
    <w:rsid w:val="002E4ECC"/>
    <w:rsid w:val="002E65E7"/>
    <w:rsid w:val="002E6C79"/>
    <w:rsid w:val="002F3B51"/>
    <w:rsid w:val="00300E25"/>
    <w:rsid w:val="00300FDB"/>
    <w:rsid w:val="0031443C"/>
    <w:rsid w:val="00320889"/>
    <w:rsid w:val="00325353"/>
    <w:rsid w:val="00327794"/>
    <w:rsid w:val="003332EA"/>
    <w:rsid w:val="0033741B"/>
    <w:rsid w:val="003420C8"/>
    <w:rsid w:val="00342B2F"/>
    <w:rsid w:val="00343489"/>
    <w:rsid w:val="003436A1"/>
    <w:rsid w:val="0034629B"/>
    <w:rsid w:val="003538EF"/>
    <w:rsid w:val="00353D3E"/>
    <w:rsid w:val="00362CBB"/>
    <w:rsid w:val="00366E11"/>
    <w:rsid w:val="00375AE2"/>
    <w:rsid w:val="00382AE2"/>
    <w:rsid w:val="003845CA"/>
    <w:rsid w:val="00390234"/>
    <w:rsid w:val="00390468"/>
    <w:rsid w:val="00393122"/>
    <w:rsid w:val="003B0DC7"/>
    <w:rsid w:val="003B154A"/>
    <w:rsid w:val="003B1728"/>
    <w:rsid w:val="003B2EF8"/>
    <w:rsid w:val="003C0558"/>
    <w:rsid w:val="003C53C4"/>
    <w:rsid w:val="003D0F0C"/>
    <w:rsid w:val="003F47FD"/>
    <w:rsid w:val="003F4CEC"/>
    <w:rsid w:val="00402774"/>
    <w:rsid w:val="004051C8"/>
    <w:rsid w:val="00405967"/>
    <w:rsid w:val="00406FDB"/>
    <w:rsid w:val="00413795"/>
    <w:rsid w:val="004220E1"/>
    <w:rsid w:val="00422688"/>
    <w:rsid w:val="00425C66"/>
    <w:rsid w:val="00433FD9"/>
    <w:rsid w:val="00435FCB"/>
    <w:rsid w:val="00443B8E"/>
    <w:rsid w:val="004547C1"/>
    <w:rsid w:val="00454E95"/>
    <w:rsid w:val="004570D8"/>
    <w:rsid w:val="00461300"/>
    <w:rsid w:val="00461773"/>
    <w:rsid w:val="00473E11"/>
    <w:rsid w:val="00476EC7"/>
    <w:rsid w:val="00477DB9"/>
    <w:rsid w:val="004867C2"/>
    <w:rsid w:val="00486E71"/>
    <w:rsid w:val="00490944"/>
    <w:rsid w:val="00491E3C"/>
    <w:rsid w:val="00492DC3"/>
    <w:rsid w:val="004935BA"/>
    <w:rsid w:val="004A7464"/>
    <w:rsid w:val="004B5354"/>
    <w:rsid w:val="004B6119"/>
    <w:rsid w:val="004C57E9"/>
    <w:rsid w:val="004D5830"/>
    <w:rsid w:val="004D7D07"/>
    <w:rsid w:val="004E32B8"/>
    <w:rsid w:val="004E4F7D"/>
    <w:rsid w:val="004E6C05"/>
    <w:rsid w:val="004F19C8"/>
    <w:rsid w:val="004F59F0"/>
    <w:rsid w:val="004F62C5"/>
    <w:rsid w:val="00501071"/>
    <w:rsid w:val="00513440"/>
    <w:rsid w:val="00513517"/>
    <w:rsid w:val="0052333D"/>
    <w:rsid w:val="00523B5F"/>
    <w:rsid w:val="005276A4"/>
    <w:rsid w:val="00531EA3"/>
    <w:rsid w:val="005335F3"/>
    <w:rsid w:val="00536BF8"/>
    <w:rsid w:val="0054112C"/>
    <w:rsid w:val="0054252A"/>
    <w:rsid w:val="005464A3"/>
    <w:rsid w:val="00553EA4"/>
    <w:rsid w:val="00571A00"/>
    <w:rsid w:val="00572060"/>
    <w:rsid w:val="00577E89"/>
    <w:rsid w:val="00580F99"/>
    <w:rsid w:val="0058112E"/>
    <w:rsid w:val="00590BB5"/>
    <w:rsid w:val="005A3A6C"/>
    <w:rsid w:val="005A46FB"/>
    <w:rsid w:val="005A65BC"/>
    <w:rsid w:val="005A708C"/>
    <w:rsid w:val="005A757A"/>
    <w:rsid w:val="005B3FDD"/>
    <w:rsid w:val="005B6506"/>
    <w:rsid w:val="005B6584"/>
    <w:rsid w:val="005C3462"/>
    <w:rsid w:val="005C7ECF"/>
    <w:rsid w:val="005D1571"/>
    <w:rsid w:val="005D192E"/>
    <w:rsid w:val="005D3DF4"/>
    <w:rsid w:val="005E30A2"/>
    <w:rsid w:val="005E3EA6"/>
    <w:rsid w:val="005E7EB1"/>
    <w:rsid w:val="00613EDF"/>
    <w:rsid w:val="00615187"/>
    <w:rsid w:val="006156DE"/>
    <w:rsid w:val="00623789"/>
    <w:rsid w:val="00623D66"/>
    <w:rsid w:val="00626C27"/>
    <w:rsid w:val="00627BED"/>
    <w:rsid w:val="00634D3F"/>
    <w:rsid w:val="006445D3"/>
    <w:rsid w:val="00645B94"/>
    <w:rsid w:val="00657160"/>
    <w:rsid w:val="00660396"/>
    <w:rsid w:val="00660B59"/>
    <w:rsid w:val="00681A73"/>
    <w:rsid w:val="00687195"/>
    <w:rsid w:val="00694844"/>
    <w:rsid w:val="006A1EEE"/>
    <w:rsid w:val="006A6622"/>
    <w:rsid w:val="006B0F27"/>
    <w:rsid w:val="006B2CC0"/>
    <w:rsid w:val="006B6997"/>
    <w:rsid w:val="006C10AA"/>
    <w:rsid w:val="006C76C7"/>
    <w:rsid w:val="006C79B6"/>
    <w:rsid w:val="006D20E9"/>
    <w:rsid w:val="006D4C89"/>
    <w:rsid w:val="006E4D2F"/>
    <w:rsid w:val="006F0972"/>
    <w:rsid w:val="006F1E2A"/>
    <w:rsid w:val="0070242B"/>
    <w:rsid w:val="00702A3E"/>
    <w:rsid w:val="007036A4"/>
    <w:rsid w:val="007057D0"/>
    <w:rsid w:val="0071553E"/>
    <w:rsid w:val="00722DB3"/>
    <w:rsid w:val="00723D0D"/>
    <w:rsid w:val="00730398"/>
    <w:rsid w:val="00737C38"/>
    <w:rsid w:val="007420CD"/>
    <w:rsid w:val="00742CA9"/>
    <w:rsid w:val="00742E79"/>
    <w:rsid w:val="00750D97"/>
    <w:rsid w:val="0075116B"/>
    <w:rsid w:val="00753031"/>
    <w:rsid w:val="00760E55"/>
    <w:rsid w:val="0076140F"/>
    <w:rsid w:val="0076324D"/>
    <w:rsid w:val="007650ED"/>
    <w:rsid w:val="0076735D"/>
    <w:rsid w:val="007678CD"/>
    <w:rsid w:val="00774299"/>
    <w:rsid w:val="00774760"/>
    <w:rsid w:val="00776235"/>
    <w:rsid w:val="007832E3"/>
    <w:rsid w:val="007A643A"/>
    <w:rsid w:val="007A74B0"/>
    <w:rsid w:val="007B2666"/>
    <w:rsid w:val="007B640F"/>
    <w:rsid w:val="007B6802"/>
    <w:rsid w:val="007C049C"/>
    <w:rsid w:val="007D1FE9"/>
    <w:rsid w:val="007D25AC"/>
    <w:rsid w:val="007D54C7"/>
    <w:rsid w:val="007E0BD1"/>
    <w:rsid w:val="007E22FD"/>
    <w:rsid w:val="007E4AF8"/>
    <w:rsid w:val="007F2E17"/>
    <w:rsid w:val="007F333F"/>
    <w:rsid w:val="007F696B"/>
    <w:rsid w:val="007F6EE6"/>
    <w:rsid w:val="00805F3D"/>
    <w:rsid w:val="0080691C"/>
    <w:rsid w:val="00806D98"/>
    <w:rsid w:val="00833C71"/>
    <w:rsid w:val="008422C5"/>
    <w:rsid w:val="00842639"/>
    <w:rsid w:val="008470C8"/>
    <w:rsid w:val="008470E5"/>
    <w:rsid w:val="00850AB9"/>
    <w:rsid w:val="00850DCB"/>
    <w:rsid w:val="008510CB"/>
    <w:rsid w:val="008539CF"/>
    <w:rsid w:val="00863E11"/>
    <w:rsid w:val="00866D72"/>
    <w:rsid w:val="00877598"/>
    <w:rsid w:val="00880CDE"/>
    <w:rsid w:val="00882054"/>
    <w:rsid w:val="00885C94"/>
    <w:rsid w:val="00886ACC"/>
    <w:rsid w:val="0089288E"/>
    <w:rsid w:val="0089325C"/>
    <w:rsid w:val="00896CA2"/>
    <w:rsid w:val="00896DCF"/>
    <w:rsid w:val="008A0B36"/>
    <w:rsid w:val="008A3863"/>
    <w:rsid w:val="008A7471"/>
    <w:rsid w:val="008A7E8B"/>
    <w:rsid w:val="008B6FFE"/>
    <w:rsid w:val="008C0C14"/>
    <w:rsid w:val="008C2404"/>
    <w:rsid w:val="008D230F"/>
    <w:rsid w:val="008D52F9"/>
    <w:rsid w:val="008D77FC"/>
    <w:rsid w:val="008E042A"/>
    <w:rsid w:val="008E46B4"/>
    <w:rsid w:val="008F2474"/>
    <w:rsid w:val="0090225D"/>
    <w:rsid w:val="00903E7A"/>
    <w:rsid w:val="00904855"/>
    <w:rsid w:val="00941340"/>
    <w:rsid w:val="0094164F"/>
    <w:rsid w:val="00941CD1"/>
    <w:rsid w:val="00945E28"/>
    <w:rsid w:val="00951A4A"/>
    <w:rsid w:val="009570E2"/>
    <w:rsid w:val="00957143"/>
    <w:rsid w:val="00962FB7"/>
    <w:rsid w:val="00964BC6"/>
    <w:rsid w:val="00965A9B"/>
    <w:rsid w:val="0096773F"/>
    <w:rsid w:val="0097402A"/>
    <w:rsid w:val="00974801"/>
    <w:rsid w:val="00976440"/>
    <w:rsid w:val="00977FFD"/>
    <w:rsid w:val="00980FBF"/>
    <w:rsid w:val="009856BD"/>
    <w:rsid w:val="00991C73"/>
    <w:rsid w:val="00992162"/>
    <w:rsid w:val="009935B0"/>
    <w:rsid w:val="00996B3F"/>
    <w:rsid w:val="00997B27"/>
    <w:rsid w:val="009A7877"/>
    <w:rsid w:val="009B38D8"/>
    <w:rsid w:val="009B49EE"/>
    <w:rsid w:val="009C08D1"/>
    <w:rsid w:val="009C11AC"/>
    <w:rsid w:val="009C3CC9"/>
    <w:rsid w:val="009C6709"/>
    <w:rsid w:val="009D03C8"/>
    <w:rsid w:val="009D3BF1"/>
    <w:rsid w:val="009D3C85"/>
    <w:rsid w:val="009D5D1D"/>
    <w:rsid w:val="009D6855"/>
    <w:rsid w:val="009E0D7C"/>
    <w:rsid w:val="009E5117"/>
    <w:rsid w:val="009E6083"/>
    <w:rsid w:val="00A00A31"/>
    <w:rsid w:val="00A0531A"/>
    <w:rsid w:val="00A11B08"/>
    <w:rsid w:val="00A177D9"/>
    <w:rsid w:val="00A20CB4"/>
    <w:rsid w:val="00A2406E"/>
    <w:rsid w:val="00A26141"/>
    <w:rsid w:val="00A26B1E"/>
    <w:rsid w:val="00A274F0"/>
    <w:rsid w:val="00A31DBB"/>
    <w:rsid w:val="00A36737"/>
    <w:rsid w:val="00A40949"/>
    <w:rsid w:val="00A46EAF"/>
    <w:rsid w:val="00A5538B"/>
    <w:rsid w:val="00A5608C"/>
    <w:rsid w:val="00A62451"/>
    <w:rsid w:val="00A81041"/>
    <w:rsid w:val="00A84959"/>
    <w:rsid w:val="00A93708"/>
    <w:rsid w:val="00A93F8A"/>
    <w:rsid w:val="00A9522C"/>
    <w:rsid w:val="00AA3C8D"/>
    <w:rsid w:val="00AA5FA9"/>
    <w:rsid w:val="00AB37B3"/>
    <w:rsid w:val="00AB516C"/>
    <w:rsid w:val="00AC0855"/>
    <w:rsid w:val="00AC5AC2"/>
    <w:rsid w:val="00AC5CCF"/>
    <w:rsid w:val="00AD4194"/>
    <w:rsid w:val="00AD45BF"/>
    <w:rsid w:val="00AE1C3D"/>
    <w:rsid w:val="00AF18DA"/>
    <w:rsid w:val="00AF1DE6"/>
    <w:rsid w:val="00AF2934"/>
    <w:rsid w:val="00AF45C2"/>
    <w:rsid w:val="00B01854"/>
    <w:rsid w:val="00B05ACF"/>
    <w:rsid w:val="00B0605F"/>
    <w:rsid w:val="00B0725E"/>
    <w:rsid w:val="00B077C3"/>
    <w:rsid w:val="00B1062E"/>
    <w:rsid w:val="00B10686"/>
    <w:rsid w:val="00B11305"/>
    <w:rsid w:val="00B22546"/>
    <w:rsid w:val="00B2377C"/>
    <w:rsid w:val="00B254EC"/>
    <w:rsid w:val="00B32524"/>
    <w:rsid w:val="00B34FE4"/>
    <w:rsid w:val="00B40B4A"/>
    <w:rsid w:val="00B45C07"/>
    <w:rsid w:val="00B52B3F"/>
    <w:rsid w:val="00B5642F"/>
    <w:rsid w:val="00B564C1"/>
    <w:rsid w:val="00B613DE"/>
    <w:rsid w:val="00B6371A"/>
    <w:rsid w:val="00B66B09"/>
    <w:rsid w:val="00B745CF"/>
    <w:rsid w:val="00B85A1C"/>
    <w:rsid w:val="00B90695"/>
    <w:rsid w:val="00B93B1D"/>
    <w:rsid w:val="00B957C1"/>
    <w:rsid w:val="00BA150E"/>
    <w:rsid w:val="00BA784F"/>
    <w:rsid w:val="00BB2931"/>
    <w:rsid w:val="00BC1939"/>
    <w:rsid w:val="00BC1FA3"/>
    <w:rsid w:val="00BC7A28"/>
    <w:rsid w:val="00BD2761"/>
    <w:rsid w:val="00BD3F13"/>
    <w:rsid w:val="00BE0E0C"/>
    <w:rsid w:val="00BE18AB"/>
    <w:rsid w:val="00BE281C"/>
    <w:rsid w:val="00BF1962"/>
    <w:rsid w:val="00BF39E7"/>
    <w:rsid w:val="00C16561"/>
    <w:rsid w:val="00C27AF4"/>
    <w:rsid w:val="00C3066E"/>
    <w:rsid w:val="00C34481"/>
    <w:rsid w:val="00C42A63"/>
    <w:rsid w:val="00C453F6"/>
    <w:rsid w:val="00C46B60"/>
    <w:rsid w:val="00C61003"/>
    <w:rsid w:val="00C616FE"/>
    <w:rsid w:val="00C63245"/>
    <w:rsid w:val="00C66322"/>
    <w:rsid w:val="00C67576"/>
    <w:rsid w:val="00C70EC3"/>
    <w:rsid w:val="00C82F7A"/>
    <w:rsid w:val="00C8737B"/>
    <w:rsid w:val="00C931B1"/>
    <w:rsid w:val="00C96764"/>
    <w:rsid w:val="00CB620E"/>
    <w:rsid w:val="00CC1F04"/>
    <w:rsid w:val="00CD0180"/>
    <w:rsid w:val="00CD0F0B"/>
    <w:rsid w:val="00CD1AA2"/>
    <w:rsid w:val="00CD4F18"/>
    <w:rsid w:val="00CE7050"/>
    <w:rsid w:val="00CE7649"/>
    <w:rsid w:val="00CE7885"/>
    <w:rsid w:val="00CF047F"/>
    <w:rsid w:val="00CF37F0"/>
    <w:rsid w:val="00D04D84"/>
    <w:rsid w:val="00D070E6"/>
    <w:rsid w:val="00D13D19"/>
    <w:rsid w:val="00D16344"/>
    <w:rsid w:val="00D17C72"/>
    <w:rsid w:val="00D23E34"/>
    <w:rsid w:val="00D30D27"/>
    <w:rsid w:val="00D331A5"/>
    <w:rsid w:val="00D40CD8"/>
    <w:rsid w:val="00D414EB"/>
    <w:rsid w:val="00D45F34"/>
    <w:rsid w:val="00D52FF6"/>
    <w:rsid w:val="00D533FE"/>
    <w:rsid w:val="00D5357B"/>
    <w:rsid w:val="00D558D1"/>
    <w:rsid w:val="00D606B6"/>
    <w:rsid w:val="00D63A42"/>
    <w:rsid w:val="00D65BA5"/>
    <w:rsid w:val="00D66297"/>
    <w:rsid w:val="00D70449"/>
    <w:rsid w:val="00D70A23"/>
    <w:rsid w:val="00D71044"/>
    <w:rsid w:val="00D710BE"/>
    <w:rsid w:val="00D71D31"/>
    <w:rsid w:val="00D75210"/>
    <w:rsid w:val="00D759A1"/>
    <w:rsid w:val="00D76B76"/>
    <w:rsid w:val="00D80BB1"/>
    <w:rsid w:val="00D814A4"/>
    <w:rsid w:val="00D81A0A"/>
    <w:rsid w:val="00D84CAA"/>
    <w:rsid w:val="00D84D6C"/>
    <w:rsid w:val="00D86AD4"/>
    <w:rsid w:val="00D876AB"/>
    <w:rsid w:val="00D906E9"/>
    <w:rsid w:val="00D91004"/>
    <w:rsid w:val="00D916DC"/>
    <w:rsid w:val="00D91EE5"/>
    <w:rsid w:val="00D934F3"/>
    <w:rsid w:val="00D94D96"/>
    <w:rsid w:val="00DA0A40"/>
    <w:rsid w:val="00DA6491"/>
    <w:rsid w:val="00DC286B"/>
    <w:rsid w:val="00DC3E8E"/>
    <w:rsid w:val="00DC4A69"/>
    <w:rsid w:val="00DE0029"/>
    <w:rsid w:val="00DE206D"/>
    <w:rsid w:val="00DE4605"/>
    <w:rsid w:val="00DE78C3"/>
    <w:rsid w:val="00DF2A0D"/>
    <w:rsid w:val="00DF5F13"/>
    <w:rsid w:val="00DF69AE"/>
    <w:rsid w:val="00E02F2A"/>
    <w:rsid w:val="00E11114"/>
    <w:rsid w:val="00E13FD0"/>
    <w:rsid w:val="00E1419A"/>
    <w:rsid w:val="00E2260D"/>
    <w:rsid w:val="00E24229"/>
    <w:rsid w:val="00E26634"/>
    <w:rsid w:val="00E343E3"/>
    <w:rsid w:val="00E402A8"/>
    <w:rsid w:val="00E50B26"/>
    <w:rsid w:val="00E54FDA"/>
    <w:rsid w:val="00E56A02"/>
    <w:rsid w:val="00E57586"/>
    <w:rsid w:val="00E63153"/>
    <w:rsid w:val="00E654B5"/>
    <w:rsid w:val="00E74960"/>
    <w:rsid w:val="00E75E3A"/>
    <w:rsid w:val="00E75F0D"/>
    <w:rsid w:val="00E80A46"/>
    <w:rsid w:val="00E861BB"/>
    <w:rsid w:val="00E9361F"/>
    <w:rsid w:val="00E943A8"/>
    <w:rsid w:val="00EA056D"/>
    <w:rsid w:val="00EA3CF1"/>
    <w:rsid w:val="00EA4763"/>
    <w:rsid w:val="00EB2CE7"/>
    <w:rsid w:val="00EB7064"/>
    <w:rsid w:val="00EC2A1A"/>
    <w:rsid w:val="00EC7E68"/>
    <w:rsid w:val="00ED16C4"/>
    <w:rsid w:val="00ED48DB"/>
    <w:rsid w:val="00ED681F"/>
    <w:rsid w:val="00EE3F1A"/>
    <w:rsid w:val="00EE5C2C"/>
    <w:rsid w:val="00EF553E"/>
    <w:rsid w:val="00F001A6"/>
    <w:rsid w:val="00F02807"/>
    <w:rsid w:val="00F02A68"/>
    <w:rsid w:val="00F12EDB"/>
    <w:rsid w:val="00F21A91"/>
    <w:rsid w:val="00F25AF3"/>
    <w:rsid w:val="00F25D43"/>
    <w:rsid w:val="00F26EEE"/>
    <w:rsid w:val="00F3213F"/>
    <w:rsid w:val="00F42357"/>
    <w:rsid w:val="00F45E6B"/>
    <w:rsid w:val="00F45FA0"/>
    <w:rsid w:val="00F536A3"/>
    <w:rsid w:val="00F56FDF"/>
    <w:rsid w:val="00F570FC"/>
    <w:rsid w:val="00F57126"/>
    <w:rsid w:val="00F654E1"/>
    <w:rsid w:val="00F65CF9"/>
    <w:rsid w:val="00F66BAE"/>
    <w:rsid w:val="00F719F3"/>
    <w:rsid w:val="00F725B0"/>
    <w:rsid w:val="00F758C2"/>
    <w:rsid w:val="00F86D11"/>
    <w:rsid w:val="00F91B4D"/>
    <w:rsid w:val="00F939DA"/>
    <w:rsid w:val="00F945F3"/>
    <w:rsid w:val="00F955E7"/>
    <w:rsid w:val="00F961F0"/>
    <w:rsid w:val="00F96D6B"/>
    <w:rsid w:val="00FA119E"/>
    <w:rsid w:val="00FA1F2E"/>
    <w:rsid w:val="00FA7587"/>
    <w:rsid w:val="00FB23BC"/>
    <w:rsid w:val="00FB3C94"/>
    <w:rsid w:val="00FC3C62"/>
    <w:rsid w:val="00FC5AE5"/>
    <w:rsid w:val="00FD4550"/>
    <w:rsid w:val="00FE44D7"/>
    <w:rsid w:val="00FE587B"/>
    <w:rsid w:val="00FF3289"/>
    <w:rsid w:val="01AD2363"/>
    <w:rsid w:val="0454E1FA"/>
    <w:rsid w:val="04AE52AE"/>
    <w:rsid w:val="050A6452"/>
    <w:rsid w:val="063D7AC4"/>
    <w:rsid w:val="0648B521"/>
    <w:rsid w:val="07E48582"/>
    <w:rsid w:val="087296AD"/>
    <w:rsid w:val="08B89831"/>
    <w:rsid w:val="08BA1701"/>
    <w:rsid w:val="096E9975"/>
    <w:rsid w:val="0A0A0007"/>
    <w:rsid w:val="0B1C2644"/>
    <w:rsid w:val="0B70FAB6"/>
    <w:rsid w:val="0CA25C34"/>
    <w:rsid w:val="0E8BA66B"/>
    <w:rsid w:val="135553B2"/>
    <w:rsid w:val="14EBBD16"/>
    <w:rsid w:val="15084E6E"/>
    <w:rsid w:val="18619168"/>
    <w:rsid w:val="1A711443"/>
    <w:rsid w:val="1A8C6160"/>
    <w:rsid w:val="1BD59067"/>
    <w:rsid w:val="1C6D551F"/>
    <w:rsid w:val="1CCACD98"/>
    <w:rsid w:val="1D0D8D67"/>
    <w:rsid w:val="1DE0946A"/>
    <w:rsid w:val="1FBE55FE"/>
    <w:rsid w:val="20026E5A"/>
    <w:rsid w:val="214B3475"/>
    <w:rsid w:val="21E503ED"/>
    <w:rsid w:val="244313DD"/>
    <w:rsid w:val="25EBA64F"/>
    <w:rsid w:val="29B166E6"/>
    <w:rsid w:val="29FFF1A5"/>
    <w:rsid w:val="2A485F80"/>
    <w:rsid w:val="2C218585"/>
    <w:rsid w:val="2C53A985"/>
    <w:rsid w:val="2E3DF2C8"/>
    <w:rsid w:val="330FF620"/>
    <w:rsid w:val="332B4E44"/>
    <w:rsid w:val="35C7C181"/>
    <w:rsid w:val="362FD86A"/>
    <w:rsid w:val="368C6634"/>
    <w:rsid w:val="36DEA5BC"/>
    <w:rsid w:val="376DA89B"/>
    <w:rsid w:val="39283004"/>
    <w:rsid w:val="3A341E3A"/>
    <w:rsid w:val="3A7068AF"/>
    <w:rsid w:val="3A72898E"/>
    <w:rsid w:val="3AA5495D"/>
    <w:rsid w:val="3ACDD23F"/>
    <w:rsid w:val="3AFF7F01"/>
    <w:rsid w:val="3B13854D"/>
    <w:rsid w:val="3BCFEE9B"/>
    <w:rsid w:val="3BD4A979"/>
    <w:rsid w:val="3BF99237"/>
    <w:rsid w:val="3C54576B"/>
    <w:rsid w:val="3C5FD0C6"/>
    <w:rsid w:val="3E0E0AEE"/>
    <w:rsid w:val="3F95CFCF"/>
    <w:rsid w:val="43830852"/>
    <w:rsid w:val="43AF4983"/>
    <w:rsid w:val="48A64152"/>
    <w:rsid w:val="49A34F75"/>
    <w:rsid w:val="4A1F7DD4"/>
    <w:rsid w:val="4AA87F61"/>
    <w:rsid w:val="4AF34999"/>
    <w:rsid w:val="4B9607BD"/>
    <w:rsid w:val="4CC9FB47"/>
    <w:rsid w:val="4F0587E4"/>
    <w:rsid w:val="50882FE8"/>
    <w:rsid w:val="509A09F7"/>
    <w:rsid w:val="52AA09D8"/>
    <w:rsid w:val="52AEA7EA"/>
    <w:rsid w:val="536096FA"/>
    <w:rsid w:val="5523C1A6"/>
    <w:rsid w:val="553CEA03"/>
    <w:rsid w:val="58227281"/>
    <w:rsid w:val="5848D2F8"/>
    <w:rsid w:val="586D0B08"/>
    <w:rsid w:val="5915102A"/>
    <w:rsid w:val="5B207A96"/>
    <w:rsid w:val="5CB88891"/>
    <w:rsid w:val="5CDAA625"/>
    <w:rsid w:val="5E8E1349"/>
    <w:rsid w:val="5F0A70D7"/>
    <w:rsid w:val="5FDC0E7C"/>
    <w:rsid w:val="6060B3F1"/>
    <w:rsid w:val="60AFC15A"/>
    <w:rsid w:val="6130A845"/>
    <w:rsid w:val="62421199"/>
    <w:rsid w:val="62E8D344"/>
    <w:rsid w:val="647F4892"/>
    <w:rsid w:val="64AB005F"/>
    <w:rsid w:val="656EF165"/>
    <w:rsid w:val="65B28695"/>
    <w:rsid w:val="669BA56A"/>
    <w:rsid w:val="676C62BF"/>
    <w:rsid w:val="67E82FCC"/>
    <w:rsid w:val="689C60EA"/>
    <w:rsid w:val="6B57C5F1"/>
    <w:rsid w:val="6D84C440"/>
    <w:rsid w:val="6DDAF606"/>
    <w:rsid w:val="6E0D027B"/>
    <w:rsid w:val="6F4D4441"/>
    <w:rsid w:val="6F669E10"/>
    <w:rsid w:val="705242EC"/>
    <w:rsid w:val="70794B40"/>
    <w:rsid w:val="71772ED1"/>
    <w:rsid w:val="72583563"/>
    <w:rsid w:val="74C6B2D4"/>
    <w:rsid w:val="75CC2B37"/>
    <w:rsid w:val="76AC19D8"/>
    <w:rsid w:val="76D1A5AF"/>
    <w:rsid w:val="7790BA8D"/>
    <w:rsid w:val="7854855C"/>
    <w:rsid w:val="79A2117D"/>
    <w:rsid w:val="79F055BD"/>
    <w:rsid w:val="7B35F45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BBFB"/>
  <w14:defaultImageDpi w14:val="32767"/>
  <w15:chartTrackingRefBased/>
  <w15:docId w15:val="{55F7B486-8820-4D82-9F3A-2B9B33C9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aid.vic.gov.au/centring-mental-health-system-respect-rights-and-recove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reconciliation-action-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Michelle Bottomley</DisplayName>
        <AccountId>23</AccountId>
        <AccountType/>
      </UserInfo>
      <UserInfo>
        <DisplayName>Jacqueline Storey</DisplayName>
        <AccountId>45</AccountId>
        <AccountType/>
      </UserInfo>
      <UserInfo>
        <DisplayName>Manoja Wickramarathne</DisplayName>
        <AccountId>472</AccountId>
        <AccountType/>
      </UserInfo>
      <UserInfo>
        <DisplayName>Vanessa Hirst</DisplayName>
        <AccountId>14</AccountId>
        <AccountType/>
      </UserInfo>
      <UserInfo>
        <DisplayName>Aaron Rose</DisplayName>
        <AccountId>148</AccountId>
        <AccountType/>
      </UserInfo>
      <UserInfo>
        <DisplayName>Menaka KiriellaBandara</DisplayName>
        <AccountId>611</AccountId>
        <AccountType/>
      </UserInfo>
      <UserInfo>
        <DisplayName>Megan Panayi</DisplayName>
        <AccountId>343</AccountId>
        <AccountType/>
      </UserInfo>
      <UserInfo>
        <DisplayName>Chris Sheard</DisplayName>
        <AccountId>7</AccountId>
        <AccountType/>
      </UserInfo>
      <UserInfo>
        <DisplayName>Cameron Hume</DisplayName>
        <AccountId>21</AccountId>
        <AccountType/>
      </UserInfo>
      <UserInfo>
        <DisplayName>Kayleigh Elborn</DisplayName>
        <AccountId>579</AccountId>
        <AccountType/>
      </UserInfo>
      <UserInfo>
        <DisplayName>Alethea Belford</DisplayName>
        <AccountId>130</AccountId>
        <AccountType/>
      </UserInfo>
      <UserInfo>
        <DisplayName>Martha Arkalis</DisplayName>
        <AccountId>157</AccountId>
        <AccountType/>
      </UserInfo>
      <UserInfo>
        <DisplayName>Kristina Lanza</DisplayName>
        <AccountId>317</AccountId>
        <AccountType/>
      </UserInfo>
      <UserInfo>
        <DisplayName>Joanna Fletcher</DisplayName>
        <AccountId>177</AccountId>
        <AccountType/>
      </UserInfo>
      <UserInfo>
        <DisplayName>Liz Borgia</DisplayName>
        <AccountId>175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7" ma:contentTypeDescription="Create a new document." ma:contentTypeScope="" ma:versionID="c34a0edf24a07f236cddcbc175017b7b">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46c01cf5bc32f234fcd3f3afe00665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2.xml><?xml version="1.0" encoding="utf-8"?>
<ds:datastoreItem xmlns:ds="http://schemas.openxmlformats.org/officeDocument/2006/customXml" ds:itemID="{96D329AF-D008-4FD5-8701-63DC375D9D26}">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68c7d542-4e7f-4a13-a678-0dc97ca94df5"/>
    <ds:schemaRef ds:uri="http://purl.org/dc/elements/1.1/"/>
    <ds:schemaRef ds:uri="http://schemas.openxmlformats.org/package/2006/metadata/core-properties"/>
    <ds:schemaRef ds:uri="e90065c7-7f7f-4df0-a469-5749d80eada3"/>
    <ds:schemaRef ds:uri="http://www.w3.org/XML/1998/namespace"/>
  </ds:schemaRefs>
</ds:datastoreItem>
</file>

<file path=customXml/itemProps3.xml><?xml version="1.0" encoding="utf-8"?>
<ds:datastoreItem xmlns:ds="http://schemas.openxmlformats.org/officeDocument/2006/customXml" ds:itemID="{8C8EF3B5-756A-4FD7-817A-E6058030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D59C6-F897-4B36-AF31-D3D7D2CA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VLA%20generic%20(Factsheet).dotx</Template>
  <TotalTime>14</TotalTime>
  <Pages>5</Pages>
  <Words>1843</Words>
  <Characters>10506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Victoria Legal Aid 2023–24 Quarter One Report</vt:lpstr>
    </vt:vector>
  </TitlesOfParts>
  <Company>Victoria Legal Aid</Company>
  <LinksUpToDate>false</LinksUpToDate>
  <CharactersWithSpaces>12325</CharactersWithSpaces>
  <SharedDoc>false</SharedDoc>
  <HLinks>
    <vt:vector size="12" baseType="variant">
      <vt:variant>
        <vt:i4>4390930</vt:i4>
      </vt:variant>
      <vt:variant>
        <vt:i4>3</vt:i4>
      </vt:variant>
      <vt:variant>
        <vt:i4>0</vt:i4>
      </vt:variant>
      <vt:variant>
        <vt:i4>5</vt:i4>
      </vt:variant>
      <vt:variant>
        <vt:lpwstr>https://www.legalaid.vic.gov.au/centring-mental-health-system-respect-rights-and-recovery</vt:lpwstr>
      </vt:variant>
      <vt:variant>
        <vt:lpwstr/>
      </vt:variant>
      <vt:variant>
        <vt:i4>3473455</vt:i4>
      </vt:variant>
      <vt:variant>
        <vt:i4>0</vt:i4>
      </vt:variant>
      <vt:variant>
        <vt:i4>0</vt:i4>
      </vt:variant>
      <vt:variant>
        <vt:i4>5</vt:i4>
      </vt:variant>
      <vt:variant>
        <vt:lpwstr>https://www.legalaid.vic.gov.au/reconciliation-action-plan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2023–24 Quarter One Report</dc:title>
  <dc:subject/>
  <dc:creator>Victoria Legal Aid</dc:creator>
  <cp:keywords/>
  <dc:description/>
  <cp:lastPrinted>2023-01-04T18:40:00Z</cp:lastPrinted>
  <dcterms:created xsi:type="dcterms:W3CDTF">2023-08-23T17:27:00Z</dcterms:created>
  <dcterms:modified xsi:type="dcterms:W3CDTF">2023-12-21T05:05:00Z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ies>
</file>