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CBB3D" w14:textId="46A559C6" w:rsidR="008A7471" w:rsidRDefault="008A7471" w:rsidP="008A7471">
      <w:pPr>
        <w:pStyle w:val="Heading1"/>
        <w:rPr>
          <w:sz w:val="24"/>
          <w:szCs w:val="24"/>
        </w:rPr>
      </w:pPr>
      <w:r>
        <w:t>Victoria Legal Aid 202</w:t>
      </w:r>
      <w:r w:rsidR="00B22546">
        <w:t>3</w:t>
      </w:r>
      <w:r>
        <w:t>–2</w:t>
      </w:r>
      <w:r w:rsidR="00B22546">
        <w:t>4</w:t>
      </w:r>
      <w:r>
        <w:t xml:space="preserve"> Quarter </w:t>
      </w:r>
      <w:r w:rsidR="00DC3A21">
        <w:t>Two</w:t>
      </w:r>
      <w:r>
        <w:t xml:space="preserve"> Report </w:t>
      </w:r>
      <w:r>
        <w:br/>
      </w:r>
      <w:r w:rsidR="00DC3A21">
        <w:rPr>
          <w:sz w:val="24"/>
          <w:szCs w:val="24"/>
        </w:rPr>
        <w:t>October</w:t>
      </w:r>
      <w:r w:rsidRPr="6B8ABD5E">
        <w:rPr>
          <w:sz w:val="24"/>
          <w:szCs w:val="24"/>
        </w:rPr>
        <w:t xml:space="preserve"> – </w:t>
      </w:r>
      <w:r w:rsidR="00DC3A21">
        <w:rPr>
          <w:sz w:val="24"/>
          <w:szCs w:val="24"/>
        </w:rPr>
        <w:t>December</w:t>
      </w:r>
      <w:r>
        <w:rPr>
          <w:sz w:val="24"/>
          <w:szCs w:val="24"/>
        </w:rPr>
        <w:t xml:space="preserve"> </w:t>
      </w:r>
      <w:r w:rsidRPr="6B8ABD5E">
        <w:rPr>
          <w:sz w:val="24"/>
          <w:szCs w:val="24"/>
        </w:rPr>
        <w:t>20</w:t>
      </w:r>
      <w:r>
        <w:rPr>
          <w:sz w:val="24"/>
          <w:szCs w:val="24"/>
        </w:rPr>
        <w:t>23</w:t>
      </w:r>
    </w:p>
    <w:p w14:paraId="61DF8922" w14:textId="5071D333" w:rsidR="008A7471" w:rsidRDefault="008A7471" w:rsidP="00B22546">
      <w:pPr>
        <w:pStyle w:val="Heading2"/>
      </w:pPr>
      <w:r>
        <w:t xml:space="preserve">Message from the </w:t>
      </w:r>
      <w:r w:rsidRPr="001F0CF5">
        <w:t>CEO</w:t>
      </w:r>
    </w:p>
    <w:p w14:paraId="4A52FA5A" w14:textId="28F7FCE9" w:rsidR="008E2057" w:rsidRDefault="00A939A9" w:rsidP="00A939A9">
      <w:r>
        <w:t>In November</w:t>
      </w:r>
      <w:r w:rsidR="003924D7">
        <w:t xml:space="preserve">, </w:t>
      </w:r>
      <w:r w:rsidR="00452DDB">
        <w:t>Victoria Legal Aid (VLA)</w:t>
      </w:r>
      <w:r w:rsidR="003924D7">
        <w:t xml:space="preserve"> </w:t>
      </w:r>
      <w:r w:rsidR="00452DDB">
        <w:t xml:space="preserve">hosted the </w:t>
      </w:r>
      <w:r>
        <w:t xml:space="preserve">launch </w:t>
      </w:r>
      <w:r w:rsidR="00452DDB">
        <w:t>of Impact Economics</w:t>
      </w:r>
      <w:r w:rsidR="001529B6">
        <w:t>’</w:t>
      </w:r>
      <w:r>
        <w:t xml:space="preserve"> </w:t>
      </w:r>
      <w:hyperlink r:id="rId11" w:history="1">
        <w:r w:rsidRPr="00866807">
          <w:rPr>
            <w:rStyle w:val="Hyperlink"/>
          </w:rPr>
          <w:t>Justice on the Brink</w:t>
        </w:r>
      </w:hyperlink>
      <w:r>
        <w:t xml:space="preserve"> report</w:t>
      </w:r>
      <w:r w:rsidR="00452DDB">
        <w:t xml:space="preserve"> commissioned by National Legal Aid</w:t>
      </w:r>
      <w:r>
        <w:t>. The report highlighted the</w:t>
      </w:r>
      <w:r w:rsidR="000738A2">
        <w:t xml:space="preserve"> pressure </w:t>
      </w:r>
      <w:r w:rsidR="00F94B00">
        <w:t>that the</w:t>
      </w:r>
      <w:r>
        <w:t xml:space="preserve"> Legal Assistance sector is under from rising demand whilst the sector remains chronically underfunded.</w:t>
      </w:r>
      <w:r w:rsidR="00703DCF" w:rsidRPr="00703DCF">
        <w:t xml:space="preserve"> </w:t>
      </w:r>
      <w:r w:rsidR="00703DCF">
        <w:t xml:space="preserve">Legal assistance is more than just the legal and non-legal services presented in this report. It includes early intervention work, referrals and support, as well as identifying systemic issues such as our successful challenge over the lawfulness of </w:t>
      </w:r>
      <w:hyperlink r:id="rId12" w:history="1">
        <w:r w:rsidR="00703DCF" w:rsidRPr="004A0B66">
          <w:rPr>
            <w:rStyle w:val="Hyperlink"/>
          </w:rPr>
          <w:t>Robodebt</w:t>
        </w:r>
      </w:hyperlink>
      <w:r w:rsidR="00703DCF">
        <w:t>.</w:t>
      </w:r>
      <w:r w:rsidR="00F94B00">
        <w:t xml:space="preserve"> </w:t>
      </w:r>
      <w:r w:rsidR="007D61F3">
        <w:t>D</w:t>
      </w:r>
      <w:r w:rsidR="00E279B5">
        <w:t xml:space="preserve">emand for </w:t>
      </w:r>
      <w:r w:rsidR="00925186">
        <w:t>l</w:t>
      </w:r>
      <w:r w:rsidR="00E279B5">
        <w:t xml:space="preserve">egal </w:t>
      </w:r>
      <w:r w:rsidR="00925186">
        <w:t>a</w:t>
      </w:r>
      <w:r w:rsidR="00E279B5">
        <w:t xml:space="preserve">id is being driven by population growth and increasing legal need, with new data </w:t>
      </w:r>
      <w:r w:rsidR="00E44C41">
        <w:t xml:space="preserve">showing that the number of people accessing Legal Aid Commission websites, such as </w:t>
      </w:r>
      <w:r w:rsidR="00452DDB">
        <w:t>VLA’s</w:t>
      </w:r>
      <w:r w:rsidR="00E44C41">
        <w:t>),</w:t>
      </w:r>
      <w:r w:rsidR="00981C4E">
        <w:t xml:space="preserve"> has doubled </w:t>
      </w:r>
      <w:r w:rsidR="00701313">
        <w:t>or tripled in recent years.</w:t>
      </w:r>
      <w:r w:rsidR="00E44C41">
        <w:t xml:space="preserve"> </w:t>
      </w:r>
    </w:p>
    <w:p w14:paraId="34FFC71F" w14:textId="63A36073" w:rsidR="00386CE7" w:rsidRPr="00703DCF" w:rsidRDefault="00A8495D" w:rsidP="00A939A9">
      <w:r>
        <w:t xml:space="preserve">Two staff in our Geelong officer were recent </w:t>
      </w:r>
      <w:r w:rsidR="00302100">
        <w:t>w</w:t>
      </w:r>
      <w:r>
        <w:t xml:space="preserve">inners </w:t>
      </w:r>
      <w:r w:rsidR="00302100">
        <w:t xml:space="preserve">in the </w:t>
      </w:r>
      <w:hyperlink r:id="rId13" w:history="1">
        <w:r w:rsidR="00302100" w:rsidRPr="00502ACE">
          <w:rPr>
            <w:rStyle w:val="Hyperlink"/>
          </w:rPr>
          <w:t>Career Trackers 2024 Awards</w:t>
        </w:r>
      </w:hyperlink>
      <w:r w:rsidR="006B1CFC" w:rsidRPr="004D7EF1">
        <w:rPr>
          <w:rStyle w:val="Hyperlink"/>
          <w:color w:val="auto"/>
          <w:u w:val="none"/>
        </w:rPr>
        <w:t>,</w:t>
      </w:r>
      <w:r w:rsidR="00616BD6">
        <w:t xml:space="preserve"> which are</w:t>
      </w:r>
      <w:r w:rsidR="00616BD6" w:rsidRPr="00616BD6">
        <w:t xml:space="preserve"> a </w:t>
      </w:r>
      <w:r w:rsidR="00616BD6" w:rsidRPr="00703DCF">
        <w:t xml:space="preserve">celebration of </w:t>
      </w:r>
      <w:r w:rsidR="00C43FB2" w:rsidRPr="00703DCF">
        <w:t>First Nations</w:t>
      </w:r>
      <w:r w:rsidR="00616BD6" w:rsidRPr="00703DCF">
        <w:t xml:space="preserve"> excellence in the community. </w:t>
      </w:r>
      <w:r w:rsidR="00C43FB2" w:rsidRPr="00703DCF">
        <w:rPr>
          <w:rFonts w:cs="Arial"/>
        </w:rPr>
        <w:t>Aboriginal Community Engagement Officer Renee Henderson was awarded Intern of the Year and Deputy Managing Lawyer Marie Casey took out the Intern Manager of the Year.</w:t>
      </w:r>
      <w:r w:rsidR="003D4118" w:rsidRPr="00703DCF">
        <w:rPr>
          <w:rFonts w:cs="Arial"/>
        </w:rPr>
        <w:t xml:space="preserve"> We are </w:t>
      </w:r>
      <w:r w:rsidR="00DF1B26" w:rsidRPr="00703DCF">
        <w:rPr>
          <w:rFonts w:cs="Arial"/>
        </w:rPr>
        <w:t>committed</w:t>
      </w:r>
      <w:r w:rsidR="003D4118" w:rsidRPr="00703DCF">
        <w:rPr>
          <w:rFonts w:cs="Arial"/>
        </w:rPr>
        <w:t xml:space="preserve"> to supporting First Nations peoples</w:t>
      </w:r>
      <w:r w:rsidRPr="00703DCF">
        <w:t xml:space="preserve"> </w:t>
      </w:r>
      <w:r w:rsidR="00DF1B26" w:rsidRPr="00703DCF">
        <w:t xml:space="preserve">and are looking to better understand what self-determination </w:t>
      </w:r>
      <w:r w:rsidR="00795E6E" w:rsidRPr="00703DCF">
        <w:t xml:space="preserve">means for our everyday practice. This process will be led by First Nations staff, </w:t>
      </w:r>
      <w:r w:rsidR="00AB1DF9" w:rsidRPr="00703DCF">
        <w:t>stakeholder</w:t>
      </w:r>
      <w:r w:rsidR="00925186">
        <w:t>s</w:t>
      </w:r>
      <w:r w:rsidR="00AB1DF9" w:rsidRPr="00703DCF">
        <w:t>,</w:t>
      </w:r>
      <w:r w:rsidR="00795E6E" w:rsidRPr="00703DCF">
        <w:t xml:space="preserve"> and community members.</w:t>
      </w:r>
      <w:r w:rsidR="00AB1DF9" w:rsidRPr="00703DCF">
        <w:t xml:space="preserve"> </w:t>
      </w:r>
      <w:r w:rsidR="00AB1DF9" w:rsidRPr="00703DCF">
        <w:rPr>
          <w:rFonts w:cs="Arial"/>
        </w:rPr>
        <w:t>The importance of a diverse workforce is essential to achieving services that are culturally safe and responsive for our clients. First Nations staff bring unique knowledge, skills and expertise to our workforce and understand the needs and aspirations of the First Nations community.</w:t>
      </w:r>
    </w:p>
    <w:p w14:paraId="02D542ED" w14:textId="600A9208" w:rsidR="008E2057" w:rsidRDefault="008E2057" w:rsidP="00A939A9">
      <w:r>
        <w:t>We recently held a Family Law Forum</w:t>
      </w:r>
      <w:r w:rsidR="00E32A20">
        <w:t xml:space="preserve"> where more than 200 </w:t>
      </w:r>
      <w:r w:rsidR="00E32A20" w:rsidRPr="00E32A20">
        <w:t xml:space="preserve">people attended the day-long seminar either in-person or online to hear from experts to explore the latest family law issues, including recent landmark case decisions, making a recovery order </w:t>
      </w:r>
      <w:r w:rsidR="002258AD" w:rsidRPr="00E32A20">
        <w:t>application,</w:t>
      </w:r>
      <w:r w:rsidR="00E32A20" w:rsidRPr="00E32A20">
        <w:t xml:space="preserve"> and </w:t>
      </w:r>
      <w:r w:rsidR="00E32A20" w:rsidRPr="002258AD">
        <w:t>applying to the Family Law Property Program.</w:t>
      </w:r>
      <w:r>
        <w:t xml:space="preserve"> </w:t>
      </w:r>
      <w:r w:rsidR="004A4D23" w:rsidRPr="00640148">
        <w:t>Most parents on the receiving end of child support payments feel significantly or completely controlled through the scheme, prompting calls for major reform.</w:t>
      </w:r>
      <w:r w:rsidR="006A019C" w:rsidRPr="00640148">
        <w:t xml:space="preserve"> At the Forum, we heard that of 540 single parents surveyed, four out of five said they felt the Child Support Scheme was being used to control them.</w:t>
      </w:r>
      <w:r w:rsidR="00E21004">
        <w:t xml:space="preserve"> </w:t>
      </w:r>
      <w:r w:rsidR="00E21004" w:rsidRPr="00E21004">
        <w:t xml:space="preserve">The majority of those surveyed had experienced family violence and for most, the violence began during their relationship and continued after separation. The most common form of abuse was financial abuse, occurring over years or even decades, including through the withholding of </w:t>
      </w:r>
      <w:hyperlink r:id="rId14" w:history="1">
        <w:r w:rsidR="00E21004" w:rsidRPr="00E54810">
          <w:rPr>
            <w:rStyle w:val="Hyperlink"/>
          </w:rPr>
          <w:t>child support payments</w:t>
        </w:r>
      </w:hyperlink>
      <w:r w:rsidR="00E21004" w:rsidRPr="00E21004">
        <w:t>.</w:t>
      </w:r>
    </w:p>
    <w:p w14:paraId="677B0807" w14:textId="0873302C" w:rsidR="0092450B" w:rsidRDefault="005433C5" w:rsidP="008A7471">
      <w:r w:rsidRPr="005433C5">
        <w:t>We welcome additional proposed amendments to the </w:t>
      </w:r>
      <w:r w:rsidRPr="005433C5">
        <w:rPr>
          <w:i/>
          <w:iCs/>
        </w:rPr>
        <w:t xml:space="preserve">Family Law Act </w:t>
      </w:r>
      <w:r>
        <w:rPr>
          <w:i/>
          <w:iCs/>
        </w:rPr>
        <w:t>(</w:t>
      </w:r>
      <w:r w:rsidRPr="005433C5">
        <w:rPr>
          <w:i/>
          <w:iCs/>
        </w:rPr>
        <w:t>1975</w:t>
      </w:r>
      <w:r>
        <w:rPr>
          <w:i/>
          <w:iCs/>
        </w:rPr>
        <w:t>)</w:t>
      </w:r>
      <w:r w:rsidRPr="005433C5">
        <w:t> that would make it easier for victim-survivors of family violence to get fairer outcomes in disputes over property.</w:t>
      </w:r>
      <w:r>
        <w:rPr>
          <w:rFonts w:ascii="Helvetica" w:hAnsi="Helvetica" w:cs="Helvetica"/>
          <w:color w:val="606060"/>
          <w:sz w:val="23"/>
          <w:szCs w:val="23"/>
          <w:shd w:val="clear" w:color="auto" w:fill="FFFFFF"/>
        </w:rPr>
        <w:t> </w:t>
      </w:r>
      <w:r w:rsidR="000F0C95">
        <w:t xml:space="preserve">We believe that laws must be strengthened to better support victim-survivors of family violence when </w:t>
      </w:r>
      <w:r w:rsidR="00926AD2">
        <w:t xml:space="preserve">separating and dividing assets. We have made a </w:t>
      </w:r>
      <w:hyperlink r:id="rId15" w:anchor="record/66193" w:history="1">
        <w:r w:rsidR="00926AD2" w:rsidRPr="00BB65D5">
          <w:rPr>
            <w:rStyle w:val="Hyperlink"/>
          </w:rPr>
          <w:t>submission</w:t>
        </w:r>
      </w:hyperlink>
      <w:r w:rsidR="00BB65D5">
        <w:t xml:space="preserve"> to the </w:t>
      </w:r>
      <w:r w:rsidR="00CE735F">
        <w:t>Attorney</w:t>
      </w:r>
      <w:r w:rsidR="00B22FDC">
        <w:t xml:space="preserve">-General’s Department </w:t>
      </w:r>
      <w:r w:rsidR="00CE735F">
        <w:t>on the Family Law Amendment Bill</w:t>
      </w:r>
      <w:r w:rsidR="0042149B">
        <w:t>.</w:t>
      </w:r>
      <w:r w:rsidR="00B6102B">
        <w:t xml:space="preserve"> </w:t>
      </w:r>
      <w:r w:rsidR="00B6102B" w:rsidRPr="00B6102B">
        <w:t>As lawyers in some of the most complex family law matters, we see opportunities to improve how the law can help separating families and ensure the safety of victim-survivors of violence.</w:t>
      </w:r>
      <w:r w:rsidR="004A54B1">
        <w:t xml:space="preserve"> </w:t>
      </w:r>
      <w:r w:rsidR="004A54B1" w:rsidRPr="004A54B1">
        <w:t>While we support the policy intent behind the proposed changes, we have made some suggestions for changes to the exposure draft, including to clarify when economic and financial abuse should be considered in property matters and to reduce repetition.</w:t>
      </w:r>
    </w:p>
    <w:p w14:paraId="486A4091" w14:textId="1589EDF8" w:rsidR="00B22546" w:rsidRDefault="004E27BF" w:rsidP="008A7471">
      <w:r>
        <w:rPr>
          <w:b/>
          <w:bCs/>
        </w:rPr>
        <w:t>Louise Glanville</w:t>
      </w:r>
      <w:r w:rsidR="00D876AB" w:rsidRPr="00D67354">
        <w:br/>
        <w:t>Chief Executive Officer</w:t>
      </w:r>
    </w:p>
    <w:p w14:paraId="09B2BF83" w14:textId="7B62B5F2" w:rsidR="007D54C7" w:rsidRPr="006C76C7" w:rsidRDefault="00366E11" w:rsidP="007D54C7">
      <w:pPr>
        <w:pStyle w:val="Heading2"/>
      </w:pPr>
      <w:r w:rsidRPr="006C76C7">
        <w:rPr>
          <w:sz w:val="24"/>
          <w:szCs w:val="24"/>
        </w:rPr>
        <w:lastRenderedPageBreak/>
        <w:t xml:space="preserve">Client and Community </w:t>
      </w:r>
      <w:r w:rsidR="00137131" w:rsidRPr="006C76C7">
        <w:rPr>
          <w:sz w:val="24"/>
          <w:szCs w:val="24"/>
        </w:rPr>
        <w:t>Services</w:t>
      </w:r>
    </w:p>
    <w:p w14:paraId="00D52765" w14:textId="71022D19" w:rsidR="007D54C7" w:rsidRDefault="1C6D551F" w:rsidP="007D54C7">
      <w:r>
        <w:t xml:space="preserve">Our services are targeted to people facing disadvantage who have the greatest legal need. We tailor our services to people’s diverse needs and capabilities and recognise that many people and communities experience barriers </w:t>
      </w:r>
      <w:r w:rsidR="00082332">
        <w:t>to</w:t>
      </w:r>
      <w:r>
        <w:t xml:space="preserve"> accessing justice.</w:t>
      </w:r>
      <w:r w:rsidR="005A757A">
        <w:t xml:space="preserve"> We provide a mix of high intensity legal services</w:t>
      </w:r>
      <w:r w:rsidR="007F696B">
        <w:t>, early intervention and preventative services</w:t>
      </w:r>
      <w:r w:rsidR="00992162">
        <w:t>,</w:t>
      </w:r>
      <w:r w:rsidR="007F696B">
        <w:t xml:space="preserve"> </w:t>
      </w:r>
      <w:r w:rsidR="00992162">
        <w:t>and</w:t>
      </w:r>
      <w:r w:rsidR="007F696B">
        <w:t xml:space="preserve"> non-legal specialist resolution and advocacy services.</w:t>
      </w:r>
    </w:p>
    <w:p w14:paraId="08A7B84F" w14:textId="0196CF5A" w:rsidR="00760E55" w:rsidRPr="00760E55" w:rsidRDefault="00760E55" w:rsidP="00760E55">
      <w:pPr>
        <w:pStyle w:val="Heading2"/>
        <w:rPr>
          <w:b w:val="0"/>
          <w:bCs w:val="0"/>
        </w:rPr>
      </w:pPr>
      <w:r w:rsidRPr="00760E55">
        <w:rPr>
          <w:b w:val="0"/>
          <w:bCs w:val="0"/>
          <w:sz w:val="24"/>
          <w:szCs w:val="24"/>
        </w:rPr>
        <w:t>Client Services</w:t>
      </w:r>
    </w:p>
    <w:p w14:paraId="662A91DF" w14:textId="024F65DF" w:rsidR="2F842212" w:rsidRDefault="4F31D9A7" w:rsidP="2F842212">
      <w:r>
        <w:t>In quarter two 2023–24 we saw 21,174 unique clients (Table 1.1). This is a 28 per cent decrease from quarter one. Clients are counted the first time they receive a legal assistance service in a financial year and are not counted again even if they receive ongoing or future services in the same financial year. Due to the way that clients are counted, the results for our unique client count are always highest in quarter one and then decreases in the following quarters, as reflected in the current quarter and the quarter three projection.</w:t>
      </w:r>
    </w:p>
    <w:p w14:paraId="6D038260" w14:textId="3370D974" w:rsidR="2F842212" w:rsidRDefault="4F31D9A7" w:rsidP="2F842212">
      <w:r>
        <w:t xml:space="preserve">We have seen an overall increase of client services by </w:t>
      </w:r>
      <w:r w:rsidR="00CB74E9">
        <w:t>eight</w:t>
      </w:r>
      <w:r>
        <w:t xml:space="preserve"> per cent compared to the previous quarter. There was a 17 per cent increase in the number of Duty Lawyer Services in quarter two compared to the previous quarter. It is</w:t>
      </w:r>
      <w:r w:rsidR="00CB74E9">
        <w:t>,</w:t>
      </w:r>
      <w:r>
        <w:t xml:space="preserve"> however</w:t>
      </w:r>
      <w:r w:rsidR="00CB74E9">
        <w:t>,</w:t>
      </w:r>
      <w:r>
        <w:t xml:space="preserve"> important to note that in </w:t>
      </w:r>
      <w:r w:rsidR="007A0E6F">
        <w:t>2023</w:t>
      </w:r>
      <w:r>
        <w:t xml:space="preserve"> we identified some inconsistencies with how we collect data </w:t>
      </w:r>
      <w:r w:rsidR="00281BC1">
        <w:t>during the</w:t>
      </w:r>
      <w:r w:rsidR="00C27A1C">
        <w:t xml:space="preserve"> transition from legacy systems </w:t>
      </w:r>
      <w:r>
        <w:t>that contributed to some underreporting of our services.</w:t>
      </w:r>
      <w:r w:rsidR="00CA1CBF">
        <w:t xml:space="preserve"> Th</w:t>
      </w:r>
      <w:r w:rsidR="00CC131E">
        <w:t>e issues are expected to be resolved during 2024.</w:t>
      </w:r>
      <w:r>
        <w:t xml:space="preserve"> </w:t>
      </w:r>
      <w:r w:rsidR="00CC131E">
        <w:t xml:space="preserve">In the interim, </w:t>
      </w:r>
      <w:r w:rsidR="00F62785">
        <w:t>we have made some a</w:t>
      </w:r>
      <w:r>
        <w:t>djustments to</w:t>
      </w:r>
      <w:r w:rsidR="00F62785">
        <w:t xml:space="preserve"> the reported</w:t>
      </w:r>
      <w:r>
        <w:t xml:space="preserve"> duty lawyer services</w:t>
      </w:r>
      <w:r w:rsidR="0051415D">
        <w:t>.</w:t>
      </w:r>
    </w:p>
    <w:p w14:paraId="39FFDD65" w14:textId="0B36D09A" w:rsidR="27C42D3F" w:rsidRPr="007C74CE" w:rsidRDefault="4F31D9A7" w:rsidP="27C42D3F">
      <w:r>
        <w:t xml:space="preserve">There was a slightly lower number of Grants of Legal Assistance, with a decrease of </w:t>
      </w:r>
      <w:r w:rsidR="001E2D5B">
        <w:t>six</w:t>
      </w:r>
      <w:r>
        <w:t xml:space="preserve"> per cent in quarter two compared to the previous quarter. This was largely led by lower grant approvals for </w:t>
      </w:r>
      <w:r w:rsidR="24060F61">
        <w:t>Child Protection due to recruitment challenges within the system.</w:t>
      </w:r>
      <w:r>
        <w:t xml:space="preserve"> Grants approvals for Parenting Disputes were also lower in the current quarter due to an increased complexity of cases along with </w:t>
      </w:r>
      <w:r w:rsidR="36573387">
        <w:t xml:space="preserve">internal </w:t>
      </w:r>
      <w:r>
        <w:t>staff vacancies. We continue to process and approve grants of legal assistance as they are received.</w:t>
      </w:r>
    </w:p>
    <w:p w14:paraId="0A107D44" w14:textId="0D81AC09" w:rsidR="007D54C7" w:rsidRPr="00742E79" w:rsidRDefault="007D54C7" w:rsidP="007D54C7">
      <w:pPr>
        <w:keepNext/>
        <w:rPr>
          <w:b/>
          <w:bCs/>
          <w:sz w:val="20"/>
          <w:szCs w:val="20"/>
        </w:rPr>
      </w:pPr>
      <w:r w:rsidRPr="00742E79">
        <w:rPr>
          <w:b/>
          <w:bCs/>
          <w:sz w:val="20"/>
          <w:szCs w:val="20"/>
        </w:rPr>
        <w:t xml:space="preserve">Table 1.1 </w:t>
      </w:r>
      <w:bookmarkStart w:id="0" w:name="_Hlk147494133"/>
      <w:r w:rsidRPr="00742E79">
        <w:rPr>
          <w:b/>
          <w:bCs/>
          <w:sz w:val="20"/>
          <w:szCs w:val="20"/>
        </w:rPr>
        <w:t>Unique client count</w:t>
      </w:r>
      <w:r w:rsidR="00405967">
        <w:rPr>
          <w:b/>
          <w:bCs/>
          <w:sz w:val="20"/>
          <w:szCs w:val="20"/>
        </w:rPr>
        <w:t xml:space="preserve"> and services</w:t>
      </w:r>
      <w:bookmarkEnd w:id="0"/>
    </w:p>
    <w:tbl>
      <w:tblPr>
        <w:tblStyle w:val="PlainTable2"/>
        <w:tblW w:w="42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3680"/>
        <w:gridCol w:w="1702"/>
        <w:gridCol w:w="1559"/>
        <w:gridCol w:w="1559"/>
      </w:tblGrid>
      <w:tr w:rsidR="00B0725E" w:rsidRPr="000E7EED" w14:paraId="3C2F4698" w14:textId="77777777" w:rsidTr="5E1C418E">
        <w:trPr>
          <w:cnfStyle w:val="100000000000" w:firstRow="1" w:lastRow="0" w:firstColumn="0" w:lastColumn="0" w:oddVBand="0" w:evenVBand="0" w:oddHBand="0" w:evenHBand="0" w:firstRowFirstColumn="0" w:firstRowLastColumn="0" w:lastRowFirstColumn="0" w:lastRowLastColumn="0"/>
          <w:trHeight w:val="190"/>
        </w:trPr>
        <w:tc>
          <w:tcPr>
            <w:cnfStyle w:val="000010000000" w:firstRow="0" w:lastRow="0" w:firstColumn="0" w:lastColumn="0" w:oddVBand="1" w:evenVBand="0" w:oddHBand="0" w:evenHBand="0" w:firstRowFirstColumn="0" w:firstRowLastColumn="0" w:lastRowFirstColumn="0" w:lastRowLastColumn="0"/>
            <w:tcW w:w="2165" w:type="pct"/>
            <w:shd w:val="clear" w:color="auto" w:fill="B59CC0"/>
          </w:tcPr>
          <w:p w14:paraId="35A259EB" w14:textId="7B299750" w:rsidR="007D54C7" w:rsidRPr="000E7EED" w:rsidRDefault="007D54C7" w:rsidP="007D54C7">
            <w:pPr>
              <w:rPr>
                <w:color w:val="000000" w:themeColor="text1"/>
              </w:rPr>
            </w:pPr>
            <w:bookmarkStart w:id="1" w:name="_Hlk31869858"/>
            <w:r w:rsidRPr="000E7EED">
              <w:rPr>
                <w:b/>
                <w:color w:val="000000" w:themeColor="text1"/>
              </w:rPr>
              <w:t>Client</w:t>
            </w:r>
            <w:r w:rsidR="00D17C72">
              <w:rPr>
                <w:b/>
                <w:color w:val="000000" w:themeColor="text1"/>
              </w:rPr>
              <w:t>s and Client</w:t>
            </w:r>
            <w:r w:rsidR="005D3DF4">
              <w:rPr>
                <w:b/>
                <w:color w:val="000000" w:themeColor="text1"/>
              </w:rPr>
              <w:t xml:space="preserve"> Services</w:t>
            </w:r>
          </w:p>
        </w:tc>
        <w:tc>
          <w:tcPr>
            <w:cnfStyle w:val="000001000000" w:firstRow="0" w:lastRow="0" w:firstColumn="0" w:lastColumn="0" w:oddVBand="0" w:evenVBand="1" w:oddHBand="0" w:evenHBand="0" w:firstRowFirstColumn="0" w:firstRowLastColumn="0" w:lastRowFirstColumn="0" w:lastRowLastColumn="0"/>
            <w:tcW w:w="1001" w:type="pct"/>
            <w:shd w:val="clear" w:color="auto" w:fill="B59CC0"/>
          </w:tcPr>
          <w:p w14:paraId="422FB804" w14:textId="18A14229" w:rsidR="007D54C7" w:rsidRDefault="007D54C7" w:rsidP="007D54C7">
            <w:pPr>
              <w:jc w:val="center"/>
              <w:rPr>
                <w:b/>
                <w:color w:val="000000" w:themeColor="text1"/>
              </w:rPr>
            </w:pPr>
            <w:r w:rsidRPr="55245693">
              <w:rPr>
                <w:b/>
                <w:color w:val="000000" w:themeColor="text1"/>
              </w:rPr>
              <w:t>Q</w:t>
            </w:r>
            <w:r w:rsidR="004E27BF">
              <w:rPr>
                <w:b/>
                <w:color w:val="000000" w:themeColor="text1"/>
              </w:rPr>
              <w:t>1</w:t>
            </w:r>
          </w:p>
          <w:p w14:paraId="7B526D67" w14:textId="5F1A0A25" w:rsidR="007D54C7" w:rsidRPr="000E7EED" w:rsidRDefault="007D54C7" w:rsidP="007D54C7">
            <w:pPr>
              <w:jc w:val="center"/>
              <w:rPr>
                <w:color w:val="000000" w:themeColor="text1"/>
              </w:rPr>
            </w:pPr>
            <w:r w:rsidRPr="000E7EED">
              <w:rPr>
                <w:b/>
                <w:color w:val="000000" w:themeColor="text1"/>
              </w:rPr>
              <w:t>20</w:t>
            </w:r>
            <w:r>
              <w:rPr>
                <w:b/>
                <w:color w:val="000000" w:themeColor="text1"/>
              </w:rPr>
              <w:t>2</w:t>
            </w:r>
            <w:r w:rsidR="004E27BF">
              <w:rPr>
                <w:b/>
                <w:color w:val="000000" w:themeColor="text1"/>
              </w:rPr>
              <w:t>3</w:t>
            </w:r>
            <w:r>
              <w:rPr>
                <w:b/>
                <w:color w:val="000000" w:themeColor="text1"/>
              </w:rPr>
              <w:t>-2</w:t>
            </w:r>
            <w:r w:rsidR="004E27BF">
              <w:rPr>
                <w:b/>
                <w:color w:val="000000" w:themeColor="text1"/>
              </w:rPr>
              <w:t>4</w:t>
            </w:r>
          </w:p>
        </w:tc>
        <w:tc>
          <w:tcPr>
            <w:cnfStyle w:val="000010000000" w:firstRow="0" w:lastRow="0" w:firstColumn="0" w:lastColumn="0" w:oddVBand="1" w:evenVBand="0" w:oddHBand="0" w:evenHBand="0" w:firstRowFirstColumn="0" w:firstRowLastColumn="0" w:lastRowFirstColumn="0" w:lastRowLastColumn="0"/>
            <w:tcW w:w="917" w:type="pct"/>
            <w:shd w:val="clear" w:color="auto" w:fill="B59CC0"/>
          </w:tcPr>
          <w:p w14:paraId="14F117C2" w14:textId="0A583BA3" w:rsidR="007D54C7" w:rsidRPr="000E7EED" w:rsidRDefault="007D54C7" w:rsidP="007D54C7">
            <w:pPr>
              <w:jc w:val="center"/>
              <w:rPr>
                <w:b/>
                <w:color w:val="000000" w:themeColor="text1"/>
              </w:rPr>
            </w:pPr>
            <w:r w:rsidRPr="55245693">
              <w:rPr>
                <w:b/>
                <w:color w:val="000000" w:themeColor="text1"/>
              </w:rPr>
              <w:t>Q</w:t>
            </w:r>
            <w:r w:rsidR="004E27BF">
              <w:rPr>
                <w:b/>
                <w:color w:val="000000" w:themeColor="text1"/>
              </w:rPr>
              <w:t>2</w:t>
            </w:r>
          </w:p>
          <w:p w14:paraId="2A71D822" w14:textId="0029321D" w:rsidR="007D54C7" w:rsidRPr="00A76427" w:rsidRDefault="007D54C7" w:rsidP="007D54C7">
            <w:pPr>
              <w:jc w:val="center"/>
              <w:rPr>
                <w:b/>
                <w:color w:val="000000" w:themeColor="text1"/>
              </w:rPr>
            </w:pPr>
            <w:r w:rsidRPr="000E7EED">
              <w:rPr>
                <w:b/>
                <w:color w:val="000000" w:themeColor="text1"/>
              </w:rPr>
              <w:t>20</w:t>
            </w:r>
            <w:r>
              <w:rPr>
                <w:b/>
                <w:color w:val="000000" w:themeColor="text1"/>
              </w:rPr>
              <w:t>23-24</w:t>
            </w:r>
          </w:p>
        </w:tc>
        <w:tc>
          <w:tcPr>
            <w:cnfStyle w:val="000001000000" w:firstRow="0" w:lastRow="0" w:firstColumn="0" w:lastColumn="0" w:oddVBand="0" w:evenVBand="1" w:oddHBand="0" w:evenHBand="0" w:firstRowFirstColumn="0" w:firstRowLastColumn="0" w:lastRowFirstColumn="0" w:lastRowLastColumn="0"/>
            <w:tcW w:w="917" w:type="pct"/>
            <w:shd w:val="clear" w:color="auto" w:fill="B59CC0"/>
          </w:tcPr>
          <w:p w14:paraId="2A132997" w14:textId="42DA43BB" w:rsidR="007D54C7" w:rsidRPr="55245693" w:rsidRDefault="007D54C7" w:rsidP="007D54C7">
            <w:pPr>
              <w:jc w:val="center"/>
              <w:rPr>
                <w:b/>
                <w:color w:val="000000" w:themeColor="text1"/>
              </w:rPr>
            </w:pPr>
            <w:r w:rsidRPr="55245693">
              <w:rPr>
                <w:b/>
                <w:color w:val="000000" w:themeColor="text1"/>
              </w:rPr>
              <w:t>Q</w:t>
            </w:r>
            <w:r w:rsidR="004E27BF">
              <w:rPr>
                <w:b/>
                <w:color w:val="000000" w:themeColor="text1"/>
              </w:rPr>
              <w:t>3</w:t>
            </w:r>
            <w:r>
              <w:rPr>
                <w:b/>
                <w:color w:val="000000" w:themeColor="text1"/>
              </w:rPr>
              <w:t xml:space="preserve"> </w:t>
            </w:r>
            <w:r w:rsidRPr="000E7EED">
              <w:rPr>
                <w:b/>
                <w:color w:val="000000" w:themeColor="text1"/>
              </w:rPr>
              <w:t>20</w:t>
            </w:r>
            <w:r>
              <w:rPr>
                <w:b/>
                <w:color w:val="000000" w:themeColor="text1"/>
              </w:rPr>
              <w:t>23-24 projection</w:t>
            </w:r>
          </w:p>
        </w:tc>
      </w:tr>
      <w:tr w:rsidR="004E27BF" w:rsidRPr="000E7EED" w14:paraId="1024ED09" w14:textId="77777777" w:rsidTr="5E1C418E">
        <w:trPr>
          <w:cnfStyle w:val="000000100000" w:firstRow="0" w:lastRow="0" w:firstColumn="0" w:lastColumn="0" w:oddVBand="0" w:evenVBand="0" w:oddHBand="1" w:evenHBand="0" w:firstRowFirstColumn="0" w:firstRowLastColumn="0" w:lastRowFirstColumn="0" w:lastRowLastColumn="0"/>
          <w:trHeight w:val="518"/>
        </w:trPr>
        <w:tc>
          <w:tcPr>
            <w:cnfStyle w:val="000010000000" w:firstRow="0" w:lastRow="0" w:firstColumn="0" w:lastColumn="0" w:oddVBand="1" w:evenVBand="0" w:oddHBand="0" w:evenHBand="0" w:firstRowFirstColumn="0" w:firstRowLastColumn="0" w:lastRowFirstColumn="0" w:lastRowLastColumn="0"/>
            <w:tcW w:w="2165" w:type="pct"/>
          </w:tcPr>
          <w:p w14:paraId="7CB40CA8" w14:textId="77777777" w:rsidR="004E27BF" w:rsidRPr="000E7EED" w:rsidRDefault="004E27BF" w:rsidP="004E27BF">
            <w:pPr>
              <w:rPr>
                <w:color w:val="000000" w:themeColor="text1"/>
              </w:rPr>
            </w:pPr>
            <w:r w:rsidRPr="000E7EED">
              <w:rPr>
                <w:color w:val="000000" w:themeColor="text1"/>
              </w:rPr>
              <w:t>Unique clients</w:t>
            </w:r>
            <w:r w:rsidRPr="000E7EED">
              <w:rPr>
                <w:rStyle w:val="FootnoteReference"/>
                <w:color w:val="000000" w:themeColor="text1"/>
              </w:rPr>
              <w:footnoteReference w:id="2"/>
            </w:r>
          </w:p>
        </w:tc>
        <w:tc>
          <w:tcPr>
            <w:cnfStyle w:val="000001000000" w:firstRow="0" w:lastRow="0" w:firstColumn="0" w:lastColumn="0" w:oddVBand="0" w:evenVBand="1" w:oddHBand="0" w:evenHBand="0" w:firstRowFirstColumn="0" w:firstRowLastColumn="0" w:lastRowFirstColumn="0" w:lastRowLastColumn="0"/>
            <w:tcW w:w="1001" w:type="pct"/>
          </w:tcPr>
          <w:p w14:paraId="22568843" w14:textId="75D0C1FA" w:rsidR="004E27BF" w:rsidRPr="000E7EED" w:rsidRDefault="004E27BF" w:rsidP="004E27BF">
            <w:pPr>
              <w:jc w:val="center"/>
            </w:pPr>
            <w:r>
              <w:t>29,719</w:t>
            </w:r>
          </w:p>
        </w:tc>
        <w:tc>
          <w:tcPr>
            <w:cnfStyle w:val="000010000000" w:firstRow="0" w:lastRow="0" w:firstColumn="0" w:lastColumn="0" w:oddVBand="1" w:evenVBand="0" w:oddHBand="0" w:evenHBand="0" w:firstRowFirstColumn="0" w:firstRowLastColumn="0" w:lastRowFirstColumn="0" w:lastRowLastColumn="0"/>
            <w:tcW w:w="917" w:type="pct"/>
            <w:shd w:val="clear" w:color="auto" w:fill="D9D9D9" w:themeFill="background1" w:themeFillShade="D9"/>
          </w:tcPr>
          <w:p w14:paraId="06E55F3D" w14:textId="0ED63904" w:rsidR="004E27BF" w:rsidRDefault="002A26C4" w:rsidP="004E27BF">
            <w:pPr>
              <w:jc w:val="center"/>
            </w:pPr>
            <w:r>
              <w:t>21,174</w:t>
            </w:r>
          </w:p>
        </w:tc>
        <w:tc>
          <w:tcPr>
            <w:cnfStyle w:val="000001000000" w:firstRow="0" w:lastRow="0" w:firstColumn="0" w:lastColumn="0" w:oddVBand="0" w:evenVBand="1" w:oddHBand="0" w:evenHBand="0" w:firstRowFirstColumn="0" w:firstRowLastColumn="0" w:lastRowFirstColumn="0" w:lastRowLastColumn="0"/>
            <w:tcW w:w="917" w:type="pct"/>
            <w:shd w:val="clear" w:color="auto" w:fill="auto"/>
          </w:tcPr>
          <w:p w14:paraId="63644C3C" w14:textId="657C2208" w:rsidR="004E27BF" w:rsidRDefault="001E2D5B" w:rsidP="004E27BF">
            <w:pPr>
              <w:jc w:val="center"/>
            </w:pPr>
            <w:r>
              <w:t>17,000</w:t>
            </w:r>
          </w:p>
        </w:tc>
      </w:tr>
      <w:tr w:rsidR="004E27BF" w:rsidRPr="000E7EED" w14:paraId="3A943EE1" w14:textId="77777777" w:rsidTr="5E1C418E">
        <w:trPr>
          <w:cnfStyle w:val="000000010000" w:firstRow="0" w:lastRow="0" w:firstColumn="0" w:lastColumn="0" w:oddVBand="0" w:evenVBand="0" w:oddHBand="0" w:evenHBand="1" w:firstRowFirstColumn="0" w:firstRowLastColumn="0" w:lastRowFirstColumn="0" w:lastRowLastColumn="0"/>
          <w:trHeight w:val="518"/>
        </w:trPr>
        <w:tc>
          <w:tcPr>
            <w:cnfStyle w:val="000010000000" w:firstRow="0" w:lastRow="0" w:firstColumn="0" w:lastColumn="0" w:oddVBand="1" w:evenVBand="0" w:oddHBand="0" w:evenHBand="0" w:firstRowFirstColumn="0" w:firstRowLastColumn="0" w:lastRowFirstColumn="0" w:lastRowLastColumn="0"/>
            <w:tcW w:w="2165" w:type="pct"/>
          </w:tcPr>
          <w:p w14:paraId="0C259E51" w14:textId="7C35AA9C" w:rsidR="004E27BF" w:rsidRPr="000E7EED" w:rsidRDefault="004E27BF" w:rsidP="004E27BF">
            <w:pPr>
              <w:rPr>
                <w:color w:val="000000" w:themeColor="text1"/>
              </w:rPr>
            </w:pPr>
            <w:r>
              <w:rPr>
                <w:color w:val="000000" w:themeColor="text1"/>
              </w:rPr>
              <w:t xml:space="preserve">Legal Advice and Minor Work sessions </w:t>
            </w:r>
          </w:p>
        </w:tc>
        <w:tc>
          <w:tcPr>
            <w:cnfStyle w:val="000001000000" w:firstRow="0" w:lastRow="0" w:firstColumn="0" w:lastColumn="0" w:oddVBand="0" w:evenVBand="1" w:oddHBand="0" w:evenHBand="0" w:firstRowFirstColumn="0" w:firstRowLastColumn="0" w:lastRowFirstColumn="0" w:lastRowLastColumn="0"/>
            <w:tcW w:w="1001" w:type="pct"/>
            <w:vAlign w:val="center"/>
          </w:tcPr>
          <w:p w14:paraId="1A3746CB" w14:textId="1615D716" w:rsidR="004E27BF" w:rsidRDefault="004E27BF" w:rsidP="004E27BF">
            <w:pPr>
              <w:jc w:val="center"/>
            </w:pPr>
            <w:r w:rsidRPr="20026E5A">
              <w:rPr>
                <w:rFonts w:eastAsia="Arial" w:cs="Arial"/>
                <w:color w:val="000000" w:themeColor="text1"/>
                <w:szCs w:val="22"/>
              </w:rPr>
              <w:t>8,</w:t>
            </w:r>
            <w:r>
              <w:rPr>
                <w:rFonts w:eastAsia="Arial" w:cs="Arial"/>
                <w:color w:val="000000" w:themeColor="text1"/>
                <w:szCs w:val="22"/>
              </w:rPr>
              <w:t>904</w:t>
            </w:r>
          </w:p>
        </w:tc>
        <w:tc>
          <w:tcPr>
            <w:cnfStyle w:val="000010000000" w:firstRow="0" w:lastRow="0" w:firstColumn="0" w:lastColumn="0" w:oddVBand="1" w:evenVBand="0" w:oddHBand="0" w:evenHBand="0" w:firstRowFirstColumn="0" w:firstRowLastColumn="0" w:lastRowFirstColumn="0" w:lastRowLastColumn="0"/>
            <w:tcW w:w="917" w:type="pct"/>
            <w:shd w:val="clear" w:color="auto" w:fill="D9D9D9" w:themeFill="background1" w:themeFillShade="D9"/>
            <w:vAlign w:val="center"/>
          </w:tcPr>
          <w:p w14:paraId="01940BB5" w14:textId="1B62791F" w:rsidR="004E27BF" w:rsidRDefault="00DE58B3" w:rsidP="004E27BF">
            <w:pPr>
              <w:jc w:val="center"/>
            </w:pPr>
            <w:r>
              <w:t>9,211</w:t>
            </w:r>
          </w:p>
        </w:tc>
        <w:tc>
          <w:tcPr>
            <w:cnfStyle w:val="000001000000" w:firstRow="0" w:lastRow="0" w:firstColumn="0" w:lastColumn="0" w:oddVBand="0" w:evenVBand="1" w:oddHBand="0" w:evenHBand="0" w:firstRowFirstColumn="0" w:firstRowLastColumn="0" w:lastRowFirstColumn="0" w:lastRowLastColumn="0"/>
            <w:tcW w:w="917" w:type="pct"/>
            <w:shd w:val="clear" w:color="auto" w:fill="auto"/>
            <w:vAlign w:val="center"/>
          </w:tcPr>
          <w:p w14:paraId="3BA6459F" w14:textId="5A427930" w:rsidR="004E27BF" w:rsidRDefault="001E2D5B" w:rsidP="004E27BF">
            <w:pPr>
              <w:jc w:val="center"/>
            </w:pPr>
            <w:r>
              <w:t>9,000</w:t>
            </w:r>
          </w:p>
        </w:tc>
      </w:tr>
      <w:tr w:rsidR="004E27BF" w:rsidRPr="000E7EED" w14:paraId="753735E8" w14:textId="77777777" w:rsidTr="5E1C418E">
        <w:trPr>
          <w:cnfStyle w:val="000000100000" w:firstRow="0" w:lastRow="0" w:firstColumn="0" w:lastColumn="0" w:oddVBand="0" w:evenVBand="0" w:oddHBand="1" w:evenHBand="0" w:firstRowFirstColumn="0" w:firstRowLastColumn="0" w:lastRowFirstColumn="0" w:lastRowLastColumn="0"/>
          <w:trHeight w:val="518"/>
        </w:trPr>
        <w:tc>
          <w:tcPr>
            <w:cnfStyle w:val="000010000000" w:firstRow="0" w:lastRow="0" w:firstColumn="0" w:lastColumn="0" w:oddVBand="1" w:evenVBand="0" w:oddHBand="0" w:evenHBand="0" w:firstRowFirstColumn="0" w:firstRowLastColumn="0" w:lastRowFirstColumn="0" w:lastRowLastColumn="0"/>
            <w:tcW w:w="2165" w:type="pct"/>
          </w:tcPr>
          <w:p w14:paraId="715D6923" w14:textId="621C034F" w:rsidR="004E27BF" w:rsidRDefault="004E27BF" w:rsidP="004E27BF">
            <w:pPr>
              <w:rPr>
                <w:color w:val="000000" w:themeColor="text1"/>
              </w:rPr>
            </w:pPr>
            <w:r w:rsidRPr="06441AB2">
              <w:rPr>
                <w:color w:val="000000" w:themeColor="text1"/>
              </w:rPr>
              <w:t>Duty Lawyer Services</w:t>
            </w:r>
          </w:p>
        </w:tc>
        <w:tc>
          <w:tcPr>
            <w:cnfStyle w:val="000001000000" w:firstRow="0" w:lastRow="0" w:firstColumn="0" w:lastColumn="0" w:oddVBand="0" w:evenVBand="1" w:oddHBand="0" w:evenHBand="0" w:firstRowFirstColumn="0" w:firstRowLastColumn="0" w:lastRowFirstColumn="0" w:lastRowLastColumn="0"/>
            <w:tcW w:w="1001" w:type="pct"/>
            <w:vAlign w:val="center"/>
          </w:tcPr>
          <w:p w14:paraId="279759E1" w14:textId="33D96F07" w:rsidR="004E27BF" w:rsidRDefault="004E27BF" w:rsidP="004E27BF">
            <w:pPr>
              <w:jc w:val="center"/>
              <w:rPr>
                <w:color w:val="000000" w:themeColor="text1"/>
              </w:rPr>
            </w:pPr>
            <w:r w:rsidRPr="79F055BD">
              <w:rPr>
                <w:rFonts w:eastAsia="Arial" w:cs="Arial"/>
                <w:color w:val="000000" w:themeColor="text1"/>
                <w:szCs w:val="22"/>
              </w:rPr>
              <w:t>22,456</w:t>
            </w:r>
          </w:p>
        </w:tc>
        <w:tc>
          <w:tcPr>
            <w:cnfStyle w:val="000010000000" w:firstRow="0" w:lastRow="0" w:firstColumn="0" w:lastColumn="0" w:oddVBand="1" w:evenVBand="0" w:oddHBand="0" w:evenHBand="0" w:firstRowFirstColumn="0" w:firstRowLastColumn="0" w:lastRowFirstColumn="0" w:lastRowLastColumn="0"/>
            <w:tcW w:w="917" w:type="pct"/>
            <w:shd w:val="clear" w:color="auto" w:fill="D9D9D9" w:themeFill="background1" w:themeFillShade="D9"/>
            <w:vAlign w:val="center"/>
          </w:tcPr>
          <w:p w14:paraId="225B783B" w14:textId="1B6C392B" w:rsidR="00DE58B3" w:rsidRDefault="00DE58B3" w:rsidP="00DE58B3">
            <w:pPr>
              <w:jc w:val="center"/>
              <w:rPr>
                <w:rFonts w:eastAsia="Arial" w:cs="Arial"/>
                <w:color w:val="000000" w:themeColor="text1"/>
                <w:szCs w:val="22"/>
              </w:rPr>
            </w:pPr>
            <w:r>
              <w:rPr>
                <w:rFonts w:eastAsia="Arial" w:cs="Arial"/>
                <w:color w:val="000000" w:themeColor="text1"/>
                <w:szCs w:val="22"/>
              </w:rPr>
              <w:t>26,156</w:t>
            </w:r>
            <w:r w:rsidR="00FC0917">
              <w:rPr>
                <w:rStyle w:val="FootnoteReference"/>
                <w:rFonts w:eastAsia="Arial" w:cs="Arial"/>
                <w:color w:val="000000" w:themeColor="text1"/>
                <w:szCs w:val="22"/>
              </w:rPr>
              <w:footnoteReference w:id="3"/>
            </w:r>
          </w:p>
        </w:tc>
        <w:tc>
          <w:tcPr>
            <w:cnfStyle w:val="000001000000" w:firstRow="0" w:lastRow="0" w:firstColumn="0" w:lastColumn="0" w:oddVBand="0" w:evenVBand="1" w:oddHBand="0" w:evenHBand="0" w:firstRowFirstColumn="0" w:firstRowLastColumn="0" w:lastRowFirstColumn="0" w:lastRowLastColumn="0"/>
            <w:tcW w:w="917" w:type="pct"/>
            <w:shd w:val="clear" w:color="auto" w:fill="auto"/>
          </w:tcPr>
          <w:p w14:paraId="792B687D" w14:textId="12413A0F" w:rsidR="004E27BF" w:rsidRDefault="007C74CE" w:rsidP="004E27BF">
            <w:pPr>
              <w:jc w:val="center"/>
            </w:pPr>
            <w:r>
              <w:t>23,000</w:t>
            </w:r>
          </w:p>
        </w:tc>
      </w:tr>
      <w:tr w:rsidR="004E27BF" w:rsidRPr="000E7EED" w14:paraId="4F364408" w14:textId="77777777" w:rsidTr="5E1C418E">
        <w:trPr>
          <w:cnfStyle w:val="000000010000" w:firstRow="0" w:lastRow="0" w:firstColumn="0" w:lastColumn="0" w:oddVBand="0" w:evenVBand="0" w:oddHBand="0" w:evenHBand="1" w:firstRowFirstColumn="0" w:firstRowLastColumn="0" w:lastRowFirstColumn="0" w:lastRowLastColumn="0"/>
          <w:trHeight w:val="518"/>
        </w:trPr>
        <w:tc>
          <w:tcPr>
            <w:cnfStyle w:val="000010000000" w:firstRow="0" w:lastRow="0" w:firstColumn="0" w:lastColumn="0" w:oddVBand="1" w:evenVBand="0" w:oddHBand="0" w:evenHBand="0" w:firstRowFirstColumn="0" w:firstRowLastColumn="0" w:lastRowFirstColumn="0" w:lastRowLastColumn="0"/>
            <w:tcW w:w="2165" w:type="pct"/>
          </w:tcPr>
          <w:p w14:paraId="55483340" w14:textId="6FDCC277" w:rsidR="004E27BF" w:rsidRPr="06441AB2" w:rsidRDefault="004E27BF" w:rsidP="004E27BF">
            <w:pPr>
              <w:rPr>
                <w:color w:val="000000" w:themeColor="text1"/>
              </w:rPr>
            </w:pPr>
            <w:r>
              <w:rPr>
                <w:color w:val="000000" w:themeColor="text1"/>
              </w:rPr>
              <w:t>Grants of Legal Assistance</w:t>
            </w:r>
          </w:p>
        </w:tc>
        <w:tc>
          <w:tcPr>
            <w:cnfStyle w:val="000001000000" w:firstRow="0" w:lastRow="0" w:firstColumn="0" w:lastColumn="0" w:oddVBand="0" w:evenVBand="1" w:oddHBand="0" w:evenHBand="0" w:firstRowFirstColumn="0" w:firstRowLastColumn="0" w:lastRowFirstColumn="0" w:lastRowLastColumn="0"/>
            <w:tcW w:w="1001" w:type="pct"/>
            <w:vAlign w:val="center"/>
          </w:tcPr>
          <w:p w14:paraId="4DE312B0" w14:textId="0C815B94" w:rsidR="004E27BF" w:rsidRDefault="004E27BF" w:rsidP="004E27BF">
            <w:pPr>
              <w:jc w:val="center"/>
              <w:rPr>
                <w:color w:val="000000" w:themeColor="text1"/>
              </w:rPr>
            </w:pPr>
            <w:r w:rsidRPr="20026E5A">
              <w:rPr>
                <w:rFonts w:eastAsia="Arial"/>
                <w:color w:val="000000" w:themeColor="text1"/>
              </w:rPr>
              <w:t>10,</w:t>
            </w:r>
            <w:r w:rsidRPr="20026E5A">
              <w:rPr>
                <w:rFonts w:eastAsia="Arial" w:cs="Arial"/>
                <w:color w:val="000000" w:themeColor="text1"/>
                <w:szCs w:val="22"/>
              </w:rPr>
              <w:t>3</w:t>
            </w:r>
            <w:r>
              <w:rPr>
                <w:rFonts w:eastAsia="Arial" w:cs="Arial"/>
                <w:color w:val="000000" w:themeColor="text1"/>
                <w:szCs w:val="22"/>
              </w:rPr>
              <w:t>60</w:t>
            </w:r>
          </w:p>
        </w:tc>
        <w:tc>
          <w:tcPr>
            <w:cnfStyle w:val="000010000000" w:firstRow="0" w:lastRow="0" w:firstColumn="0" w:lastColumn="0" w:oddVBand="1" w:evenVBand="0" w:oddHBand="0" w:evenHBand="0" w:firstRowFirstColumn="0" w:firstRowLastColumn="0" w:lastRowFirstColumn="0" w:lastRowLastColumn="0"/>
            <w:tcW w:w="917" w:type="pct"/>
            <w:shd w:val="clear" w:color="auto" w:fill="D9D9D9" w:themeFill="background1" w:themeFillShade="D9"/>
            <w:vAlign w:val="center"/>
          </w:tcPr>
          <w:p w14:paraId="6AD2BBA0" w14:textId="33559611" w:rsidR="0082789E" w:rsidRDefault="0082789E" w:rsidP="0082789E">
            <w:pPr>
              <w:jc w:val="center"/>
            </w:pPr>
            <w:r>
              <w:t>9</w:t>
            </w:r>
            <w:r w:rsidR="00A85899">
              <w:t>,</w:t>
            </w:r>
            <w:r>
              <w:t>745</w:t>
            </w:r>
          </w:p>
        </w:tc>
        <w:tc>
          <w:tcPr>
            <w:cnfStyle w:val="000001000000" w:firstRow="0" w:lastRow="0" w:firstColumn="0" w:lastColumn="0" w:oddVBand="0" w:evenVBand="1" w:oddHBand="0" w:evenHBand="0" w:firstRowFirstColumn="0" w:firstRowLastColumn="0" w:lastRowFirstColumn="0" w:lastRowLastColumn="0"/>
            <w:tcW w:w="917" w:type="pct"/>
            <w:shd w:val="clear" w:color="auto" w:fill="auto"/>
          </w:tcPr>
          <w:p w14:paraId="3879CF02" w14:textId="658EB885" w:rsidR="004E27BF" w:rsidRDefault="007C74CE" w:rsidP="004E27BF">
            <w:pPr>
              <w:jc w:val="center"/>
            </w:pPr>
            <w:r>
              <w:t>11,000</w:t>
            </w:r>
          </w:p>
        </w:tc>
      </w:tr>
    </w:tbl>
    <w:bookmarkEnd w:id="1"/>
    <w:p w14:paraId="748C3638" w14:textId="25568FF7" w:rsidR="00157397" w:rsidRPr="00760E55" w:rsidRDefault="00157397" w:rsidP="00157397">
      <w:pPr>
        <w:pStyle w:val="Heading2"/>
        <w:rPr>
          <w:b w:val="0"/>
          <w:bCs w:val="0"/>
        </w:rPr>
      </w:pPr>
      <w:r>
        <w:rPr>
          <w:b w:val="0"/>
          <w:bCs w:val="0"/>
          <w:sz w:val="24"/>
          <w:szCs w:val="24"/>
        </w:rPr>
        <w:t>Community</w:t>
      </w:r>
      <w:r w:rsidRPr="00760E55">
        <w:rPr>
          <w:b w:val="0"/>
          <w:bCs w:val="0"/>
          <w:sz w:val="24"/>
          <w:szCs w:val="24"/>
        </w:rPr>
        <w:t xml:space="preserve"> Services</w:t>
      </w:r>
    </w:p>
    <w:p w14:paraId="56B247E5" w14:textId="622BBD90" w:rsidR="201056DB" w:rsidRDefault="201056DB" w:rsidP="00D14A4A">
      <w:r>
        <w:t xml:space="preserve">As part of our Digital Legal Aid program, we have transitioned our Legal Help services onto a new delivery platform, Genesys, to help deliver better quality services and long-term efficiencies. The </w:t>
      </w:r>
      <w:r>
        <w:lastRenderedPageBreak/>
        <w:t>platform has continued to help improve the delivery of Legal Help Services in quarter two. The number of Legal Help sessions remained steady from quarter one (Table 1.2), while the wait time significantly reduced to 6:27 minutes.</w:t>
      </w:r>
    </w:p>
    <w:p w14:paraId="3D157CCA" w14:textId="612EA2E4" w:rsidR="4D3A3B1D" w:rsidRDefault="201056DB" w:rsidP="4D3A3B1D">
      <w:r>
        <w:t xml:space="preserve">In quarter two 2023–24 we provided 45 </w:t>
      </w:r>
      <w:r w:rsidR="009F25A9">
        <w:t>C</w:t>
      </w:r>
      <w:r>
        <w:t xml:space="preserve">ommunity </w:t>
      </w:r>
      <w:r w:rsidR="009F25A9">
        <w:t>L</w:t>
      </w:r>
      <w:r>
        <w:t xml:space="preserve">egal </w:t>
      </w:r>
      <w:r w:rsidR="009F25A9">
        <w:t>E</w:t>
      </w:r>
      <w:r>
        <w:t xml:space="preserve">ducation </w:t>
      </w:r>
      <w:r w:rsidR="009F25A9">
        <w:t xml:space="preserve">(CLE) </w:t>
      </w:r>
      <w:r>
        <w:t>sessions (Table 1.2)</w:t>
      </w:r>
      <w:r w:rsidR="00FC4B5A">
        <w:t xml:space="preserve">, a </w:t>
      </w:r>
      <w:r w:rsidR="005D056C">
        <w:t>27 per cent decrease</w:t>
      </w:r>
      <w:r w:rsidR="00276D14">
        <w:t>.</w:t>
      </w:r>
      <w:r w:rsidR="005D056C">
        <w:t xml:space="preserve"> We are also projecting lower </w:t>
      </w:r>
      <w:r w:rsidR="00B31A40">
        <w:t>results for this measure in Q3.</w:t>
      </w:r>
      <w:r w:rsidR="00276D14">
        <w:t xml:space="preserve"> The community organisations and education providers we work with schedule </w:t>
      </w:r>
      <w:r w:rsidR="00C663CA">
        <w:t>fewer</w:t>
      </w:r>
      <w:r w:rsidR="00276D14">
        <w:t xml:space="preserve"> events as we near the end of the calendar year </w:t>
      </w:r>
      <w:r w:rsidR="00B31A40">
        <w:t xml:space="preserve">and the beginning of the next </w:t>
      </w:r>
      <w:r w:rsidR="00276D14">
        <w:t>due to the summer holidays.</w:t>
      </w:r>
      <w:r w:rsidR="00DB0749" w:rsidRPr="00DB0749">
        <w:t xml:space="preserve"> </w:t>
      </w:r>
      <w:r w:rsidR="00DB0749">
        <w:t xml:space="preserve">Many of the education providers we work with do not return </w:t>
      </w:r>
      <w:r w:rsidR="00C663CA">
        <w:t xml:space="preserve">until </w:t>
      </w:r>
      <w:r w:rsidR="00DB0749">
        <w:t xml:space="preserve">February and are slow to schedule </w:t>
      </w:r>
      <w:r w:rsidR="00FC4B5A">
        <w:t xml:space="preserve">events at the beginning of the school year. </w:t>
      </w:r>
      <w:r w:rsidR="00B31A40">
        <w:t xml:space="preserve">Community organisations are often closed during </w:t>
      </w:r>
      <w:r w:rsidR="00C12842">
        <w:t xml:space="preserve">January. We expect service figures to increase for this measure in quarter three and four. </w:t>
      </w:r>
    </w:p>
    <w:p w14:paraId="6CFDEA27" w14:textId="07884CE0" w:rsidR="001623E2" w:rsidRPr="001623E2" w:rsidRDefault="001623E2" w:rsidP="4D3A3B1D">
      <w:pPr>
        <w:rPr>
          <w:rFonts w:cs="Arial"/>
          <w:szCs w:val="22"/>
        </w:rPr>
      </w:pPr>
      <w:r>
        <w:rPr>
          <w:rFonts w:cs="Arial"/>
          <w:szCs w:val="22"/>
        </w:rPr>
        <w:t>Google has been making changes to the way they track user data</w:t>
      </w:r>
      <w:r w:rsidR="00054AA3">
        <w:rPr>
          <w:rFonts w:cs="Arial"/>
          <w:szCs w:val="22"/>
        </w:rPr>
        <w:t>,</w:t>
      </w:r>
      <w:r>
        <w:rPr>
          <w:rFonts w:cs="Arial"/>
          <w:szCs w:val="22"/>
        </w:rPr>
        <w:t xml:space="preserve"> which has had a flow on impact on the analytics available to measure our website performance. We updated our performance measure to ‘Engaged sessions of legal information website pages’ in 2023-24 (Table 1.2), which counts sessions that last longer than ten seconds or where a user has been actively engaged with the content. There is currently not enough historical data available for this new measure to be able to make quarterly projections.</w:t>
      </w:r>
    </w:p>
    <w:p w14:paraId="0A35A050" w14:textId="7526B44D" w:rsidR="006D20E9" w:rsidRPr="006D20E9" w:rsidRDefault="006D20E9" w:rsidP="006D20E9">
      <w:pPr>
        <w:pStyle w:val="Heading3"/>
        <w:rPr>
          <w:rFonts w:cs="Times New Roman"/>
          <w:sz w:val="20"/>
          <w:szCs w:val="22"/>
          <w:lang w:eastAsia="en-US"/>
        </w:rPr>
      </w:pPr>
      <w:r w:rsidRPr="00742E79">
        <w:rPr>
          <w:rFonts w:cs="Times New Roman"/>
          <w:sz w:val="20"/>
          <w:szCs w:val="22"/>
          <w:lang w:eastAsia="en-US"/>
        </w:rPr>
        <w:t>Table 1.</w:t>
      </w:r>
      <w:r>
        <w:rPr>
          <w:rFonts w:cs="Times New Roman"/>
          <w:sz w:val="20"/>
          <w:szCs w:val="22"/>
          <w:lang w:eastAsia="en-US"/>
        </w:rPr>
        <w:t>2</w:t>
      </w:r>
      <w:r w:rsidRPr="00742E79">
        <w:rPr>
          <w:rFonts w:cs="Times New Roman"/>
          <w:sz w:val="20"/>
          <w:szCs w:val="22"/>
          <w:lang w:eastAsia="en-US"/>
        </w:rPr>
        <w:t xml:space="preserve"> Community information and education services</w:t>
      </w:r>
    </w:p>
    <w:tbl>
      <w:tblPr>
        <w:tblStyle w:val="PlainTable2"/>
        <w:tblW w:w="424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3676"/>
        <w:gridCol w:w="1747"/>
        <w:gridCol w:w="1513"/>
        <w:gridCol w:w="1610"/>
      </w:tblGrid>
      <w:tr w:rsidR="004E27BF" w:rsidRPr="00A76427" w14:paraId="552FA901" w14:textId="77777777" w:rsidTr="04AE52AE">
        <w:trPr>
          <w:cnfStyle w:val="100000000000" w:firstRow="1" w:lastRow="0" w:firstColumn="0" w:lastColumn="0" w:oddVBand="0" w:evenVBand="0" w:oddHBand="0" w:evenHBand="0" w:firstRowFirstColumn="0" w:firstRowLastColumn="0" w:lastRowFirstColumn="0" w:lastRowLastColumn="0"/>
          <w:trHeight w:val="365"/>
        </w:trPr>
        <w:tc>
          <w:tcPr>
            <w:cnfStyle w:val="000010000000" w:firstRow="0" w:lastRow="0" w:firstColumn="0" w:lastColumn="0" w:oddVBand="1" w:evenVBand="0" w:oddHBand="0" w:evenHBand="0" w:firstRowFirstColumn="0" w:firstRowLastColumn="0" w:lastRowFirstColumn="0" w:lastRowLastColumn="0"/>
            <w:tcW w:w="3676" w:type="dxa"/>
            <w:tcBorders>
              <w:top w:val="single" w:sz="4" w:space="0" w:color="auto"/>
              <w:left w:val="single" w:sz="4" w:space="0" w:color="auto"/>
              <w:bottom w:val="single" w:sz="4" w:space="0" w:color="auto"/>
              <w:right w:val="single" w:sz="4" w:space="0" w:color="auto"/>
            </w:tcBorders>
            <w:shd w:val="clear" w:color="auto" w:fill="B59CC0"/>
          </w:tcPr>
          <w:p w14:paraId="3083506E" w14:textId="2E748352" w:rsidR="004E27BF" w:rsidRPr="000E7EED" w:rsidRDefault="004E27BF" w:rsidP="004E27BF">
            <w:pPr>
              <w:rPr>
                <w:color w:val="000000" w:themeColor="text1"/>
              </w:rPr>
            </w:pPr>
            <w:r>
              <w:rPr>
                <w:b/>
                <w:color w:val="000000" w:themeColor="text1"/>
              </w:rPr>
              <w:t>Community information and education Services</w:t>
            </w:r>
            <w:r w:rsidRPr="000E7EED">
              <w:rPr>
                <w:b/>
                <w:color w:val="000000" w:themeColor="text1"/>
              </w:rPr>
              <w:t xml:space="preserve"> </w:t>
            </w:r>
          </w:p>
        </w:tc>
        <w:tc>
          <w:tcPr>
            <w:cnfStyle w:val="000001000000" w:firstRow="0" w:lastRow="0" w:firstColumn="0" w:lastColumn="0" w:oddVBand="0" w:evenVBand="1" w:oddHBand="0" w:evenHBand="0" w:firstRowFirstColumn="0" w:firstRowLastColumn="0" w:lastRowFirstColumn="0" w:lastRowLastColumn="0"/>
            <w:tcW w:w="1747" w:type="dxa"/>
            <w:tcBorders>
              <w:top w:val="single" w:sz="4" w:space="0" w:color="auto"/>
              <w:left w:val="single" w:sz="4" w:space="0" w:color="auto"/>
              <w:bottom w:val="single" w:sz="4" w:space="0" w:color="auto"/>
              <w:right w:val="single" w:sz="4" w:space="0" w:color="auto"/>
            </w:tcBorders>
            <w:shd w:val="clear" w:color="auto" w:fill="B59CC0"/>
          </w:tcPr>
          <w:p w14:paraId="070D7C1F" w14:textId="77777777" w:rsidR="004E27BF" w:rsidRDefault="004E27BF" w:rsidP="004E27BF">
            <w:pPr>
              <w:jc w:val="center"/>
              <w:rPr>
                <w:b/>
                <w:color w:val="000000" w:themeColor="text1"/>
              </w:rPr>
            </w:pPr>
            <w:r w:rsidRPr="55245693">
              <w:rPr>
                <w:b/>
                <w:color w:val="000000" w:themeColor="text1"/>
              </w:rPr>
              <w:t>Q</w:t>
            </w:r>
            <w:r>
              <w:rPr>
                <w:b/>
                <w:color w:val="000000" w:themeColor="text1"/>
              </w:rPr>
              <w:t>1</w:t>
            </w:r>
          </w:p>
          <w:p w14:paraId="068A52F2" w14:textId="2B5F73BA" w:rsidR="004E27BF" w:rsidRPr="55245693" w:rsidRDefault="004E27BF" w:rsidP="004E27BF">
            <w:pPr>
              <w:jc w:val="center"/>
              <w:rPr>
                <w:b/>
                <w:color w:val="000000" w:themeColor="text1"/>
              </w:rPr>
            </w:pPr>
            <w:r w:rsidRPr="000E7EED">
              <w:rPr>
                <w:b/>
                <w:color w:val="000000" w:themeColor="text1"/>
              </w:rPr>
              <w:t>20</w:t>
            </w:r>
            <w:r>
              <w:rPr>
                <w:b/>
                <w:color w:val="000000" w:themeColor="text1"/>
              </w:rPr>
              <w:t>23-24</w:t>
            </w:r>
          </w:p>
        </w:tc>
        <w:tc>
          <w:tcPr>
            <w:cnfStyle w:val="000010000000" w:firstRow="0" w:lastRow="0" w:firstColumn="0" w:lastColumn="0" w:oddVBand="1" w:evenVBand="0" w:oddHBand="0" w:evenHBand="0" w:firstRowFirstColumn="0" w:firstRowLastColumn="0" w:lastRowFirstColumn="0" w:lastRowLastColumn="0"/>
            <w:tcW w:w="1513" w:type="dxa"/>
            <w:tcBorders>
              <w:top w:val="single" w:sz="4" w:space="0" w:color="auto"/>
              <w:left w:val="single" w:sz="4" w:space="0" w:color="auto"/>
              <w:bottom w:val="single" w:sz="4" w:space="0" w:color="auto"/>
              <w:right w:val="single" w:sz="4" w:space="0" w:color="auto"/>
            </w:tcBorders>
            <w:shd w:val="clear" w:color="auto" w:fill="B59CC0"/>
          </w:tcPr>
          <w:p w14:paraId="521FE866" w14:textId="77777777" w:rsidR="004E27BF" w:rsidRPr="000E7EED" w:rsidRDefault="004E27BF" w:rsidP="004E27BF">
            <w:pPr>
              <w:jc w:val="center"/>
              <w:rPr>
                <w:b/>
                <w:color w:val="000000" w:themeColor="text1"/>
              </w:rPr>
            </w:pPr>
            <w:r w:rsidRPr="55245693">
              <w:rPr>
                <w:b/>
                <w:color w:val="000000" w:themeColor="text1"/>
              </w:rPr>
              <w:t>Q</w:t>
            </w:r>
            <w:r>
              <w:rPr>
                <w:b/>
                <w:color w:val="000000" w:themeColor="text1"/>
              </w:rPr>
              <w:t>2</w:t>
            </w:r>
          </w:p>
          <w:p w14:paraId="2E49BB4C" w14:textId="77777777" w:rsidR="004E27BF" w:rsidRPr="000E7EED" w:rsidRDefault="004E27BF" w:rsidP="004E27BF">
            <w:pPr>
              <w:jc w:val="center"/>
              <w:rPr>
                <w:color w:val="000000" w:themeColor="text1"/>
              </w:rPr>
            </w:pPr>
            <w:r w:rsidRPr="000E7EED">
              <w:rPr>
                <w:b/>
                <w:color w:val="000000" w:themeColor="text1"/>
              </w:rPr>
              <w:t>20</w:t>
            </w:r>
            <w:r>
              <w:rPr>
                <w:b/>
                <w:color w:val="000000" w:themeColor="text1"/>
              </w:rPr>
              <w:t>23-24</w:t>
            </w:r>
          </w:p>
        </w:tc>
        <w:tc>
          <w:tcPr>
            <w:cnfStyle w:val="000001000000" w:firstRow="0" w:lastRow="0" w:firstColumn="0" w:lastColumn="0" w:oddVBand="0" w:evenVBand="1" w:oddHBand="0" w:evenHBand="0" w:firstRowFirstColumn="0" w:firstRowLastColumn="0" w:lastRowFirstColumn="0" w:lastRowLastColumn="0"/>
            <w:tcW w:w="1610" w:type="dxa"/>
            <w:tcBorders>
              <w:top w:val="single" w:sz="4" w:space="0" w:color="auto"/>
              <w:left w:val="single" w:sz="4" w:space="0" w:color="auto"/>
              <w:bottom w:val="single" w:sz="4" w:space="0" w:color="auto"/>
              <w:right w:val="single" w:sz="4" w:space="0" w:color="auto"/>
            </w:tcBorders>
            <w:shd w:val="clear" w:color="auto" w:fill="B59CC0"/>
          </w:tcPr>
          <w:p w14:paraId="5DA31A2A" w14:textId="18014945" w:rsidR="004E27BF" w:rsidRPr="00A76427" w:rsidRDefault="004E27BF" w:rsidP="004E27BF">
            <w:pPr>
              <w:jc w:val="center"/>
              <w:rPr>
                <w:b/>
                <w:color w:val="000000" w:themeColor="text1"/>
              </w:rPr>
            </w:pPr>
            <w:r w:rsidRPr="55245693">
              <w:rPr>
                <w:b/>
                <w:color w:val="000000" w:themeColor="text1"/>
              </w:rPr>
              <w:t>Q</w:t>
            </w:r>
            <w:r>
              <w:rPr>
                <w:b/>
                <w:color w:val="000000" w:themeColor="text1"/>
              </w:rPr>
              <w:t xml:space="preserve">3 </w:t>
            </w:r>
            <w:r w:rsidRPr="000E7EED">
              <w:rPr>
                <w:b/>
                <w:color w:val="000000" w:themeColor="text1"/>
              </w:rPr>
              <w:t>20</w:t>
            </w:r>
            <w:r>
              <w:rPr>
                <w:b/>
                <w:color w:val="000000" w:themeColor="text1"/>
              </w:rPr>
              <w:t>23-24 projection</w:t>
            </w:r>
          </w:p>
        </w:tc>
      </w:tr>
      <w:tr w:rsidR="004E27BF" w:rsidRPr="00E94FBD" w14:paraId="50D7A9F0" w14:textId="77777777" w:rsidTr="04AE52AE">
        <w:trPr>
          <w:cnfStyle w:val="000000100000" w:firstRow="0" w:lastRow="0" w:firstColumn="0" w:lastColumn="0" w:oddVBand="0" w:evenVBand="0" w:oddHBand="1" w:evenHBand="0" w:firstRowFirstColumn="0" w:firstRowLastColumn="0" w:lastRowFirstColumn="0" w:lastRowLastColumn="0"/>
          <w:trHeight w:val="581"/>
        </w:trPr>
        <w:tc>
          <w:tcPr>
            <w:cnfStyle w:val="000010000000" w:firstRow="0" w:lastRow="0" w:firstColumn="0" w:lastColumn="0" w:oddVBand="1" w:evenVBand="0" w:oddHBand="0" w:evenHBand="0" w:firstRowFirstColumn="0" w:firstRowLastColumn="0" w:lastRowFirstColumn="0" w:lastRowLastColumn="0"/>
            <w:tcW w:w="3676" w:type="dxa"/>
            <w:tcBorders>
              <w:top w:val="single" w:sz="4" w:space="0" w:color="auto"/>
              <w:left w:val="single" w:sz="4" w:space="0" w:color="auto"/>
              <w:bottom w:val="single" w:sz="4" w:space="0" w:color="auto"/>
              <w:right w:val="single" w:sz="4" w:space="0" w:color="auto"/>
            </w:tcBorders>
          </w:tcPr>
          <w:p w14:paraId="20736CD9" w14:textId="77777777" w:rsidR="004E27BF" w:rsidRPr="001F0CF5" w:rsidRDefault="004E27BF" w:rsidP="004E27BF">
            <w:pPr>
              <w:rPr>
                <w:color w:val="000000" w:themeColor="text1"/>
              </w:rPr>
            </w:pPr>
            <w:r>
              <w:rPr>
                <w:color w:val="000000" w:themeColor="text1"/>
              </w:rPr>
              <w:t>Number of Legal Help sessions delivered</w:t>
            </w:r>
          </w:p>
        </w:tc>
        <w:tc>
          <w:tcPr>
            <w:cnfStyle w:val="000001000000" w:firstRow="0" w:lastRow="0" w:firstColumn="0" w:lastColumn="0" w:oddVBand="0" w:evenVBand="1" w:oddHBand="0" w:evenHBand="0" w:firstRowFirstColumn="0" w:firstRowLastColumn="0" w:lastRowFirstColumn="0" w:lastRowLastColumn="0"/>
            <w:tcW w:w="1747" w:type="dxa"/>
            <w:tcBorders>
              <w:top w:val="single" w:sz="4" w:space="0" w:color="auto"/>
              <w:left w:val="single" w:sz="4" w:space="0" w:color="auto"/>
              <w:bottom w:val="single" w:sz="4" w:space="0" w:color="auto"/>
              <w:right w:val="single" w:sz="4" w:space="0" w:color="auto"/>
            </w:tcBorders>
            <w:vAlign w:val="center"/>
          </w:tcPr>
          <w:p w14:paraId="07238060" w14:textId="73002B37" w:rsidR="004E27BF" w:rsidRPr="000E7EED" w:rsidRDefault="004E27BF" w:rsidP="004E27BF">
            <w:pPr>
              <w:jc w:val="center"/>
              <w:rPr>
                <w:color w:val="000000" w:themeColor="text1"/>
              </w:rPr>
            </w:pPr>
            <w:r w:rsidRPr="04AE52AE">
              <w:rPr>
                <w:rFonts w:eastAsia="Arial" w:cs="Arial"/>
                <w:color w:val="000000" w:themeColor="text1"/>
              </w:rPr>
              <w:t>37,564</w:t>
            </w:r>
          </w:p>
        </w:tc>
        <w:tc>
          <w:tcPr>
            <w:cnfStyle w:val="000010000000" w:firstRow="0" w:lastRow="0" w:firstColumn="0" w:lastColumn="0" w:oddVBand="1" w:evenVBand="0" w:oddHBand="0" w:evenHBand="0" w:firstRowFirstColumn="0" w:firstRowLastColumn="0" w:lastRowFirstColumn="0" w:lastRowLastColumn="0"/>
            <w:tcW w:w="151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E2DD957" w14:textId="15970E47" w:rsidR="004E27BF" w:rsidRDefault="007224F7" w:rsidP="004E27BF">
            <w:pPr>
              <w:jc w:val="center"/>
              <w:rPr>
                <w:rFonts w:eastAsia="Arial" w:cs="Arial"/>
                <w:color w:val="000000" w:themeColor="text1"/>
              </w:rPr>
            </w:pPr>
            <w:r>
              <w:rPr>
                <w:rFonts w:eastAsia="Arial" w:cs="Arial"/>
                <w:color w:val="000000" w:themeColor="text1"/>
              </w:rPr>
              <w:t>37</w:t>
            </w:r>
            <w:r w:rsidR="00A22894">
              <w:rPr>
                <w:rFonts w:eastAsia="Arial" w:cs="Arial"/>
                <w:color w:val="000000" w:themeColor="text1"/>
              </w:rPr>
              <w:t>,400</w:t>
            </w:r>
          </w:p>
        </w:tc>
        <w:tc>
          <w:tcPr>
            <w:cnfStyle w:val="000001000000" w:firstRow="0" w:lastRow="0" w:firstColumn="0" w:lastColumn="0" w:oddVBand="0" w:evenVBand="1" w:oddHBand="0" w:evenHBand="0" w:firstRowFirstColumn="0" w:firstRowLastColumn="0" w:lastRowFirstColumn="0" w:lastRowLastColumn="0"/>
            <w:tcW w:w="1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C2CA4C" w14:textId="7A125A84" w:rsidR="004E27BF" w:rsidRPr="00E94FBD" w:rsidRDefault="00A22894" w:rsidP="004E27BF">
            <w:pPr>
              <w:jc w:val="center"/>
            </w:pPr>
            <w:r>
              <w:t>35,000</w:t>
            </w:r>
          </w:p>
        </w:tc>
      </w:tr>
      <w:tr w:rsidR="004E27BF" w:rsidRPr="00110497" w14:paraId="27700744" w14:textId="77777777" w:rsidTr="04AE52AE">
        <w:trPr>
          <w:cnfStyle w:val="000000010000" w:firstRow="0" w:lastRow="0" w:firstColumn="0" w:lastColumn="0" w:oddVBand="0" w:evenVBand="0" w:oddHBand="0" w:evenHBand="1" w:firstRowFirstColumn="0" w:firstRowLastColumn="0" w:lastRowFirstColumn="0" w:lastRowLastColumn="0"/>
          <w:trHeight w:val="581"/>
        </w:trPr>
        <w:tc>
          <w:tcPr>
            <w:cnfStyle w:val="000010000000" w:firstRow="0" w:lastRow="0" w:firstColumn="0" w:lastColumn="0" w:oddVBand="1" w:evenVBand="0" w:oddHBand="0" w:evenHBand="0" w:firstRowFirstColumn="0" w:firstRowLastColumn="0" w:lastRowFirstColumn="0" w:lastRowLastColumn="0"/>
            <w:tcW w:w="3676" w:type="dxa"/>
            <w:tcBorders>
              <w:left w:val="single" w:sz="4" w:space="0" w:color="auto"/>
              <w:bottom w:val="single" w:sz="4" w:space="0" w:color="auto"/>
              <w:right w:val="single" w:sz="4" w:space="0" w:color="auto"/>
            </w:tcBorders>
          </w:tcPr>
          <w:p w14:paraId="7C9F3E57" w14:textId="77777777" w:rsidR="004E27BF" w:rsidRDefault="004E27BF" w:rsidP="004E27BF">
            <w:pPr>
              <w:rPr>
                <w:color w:val="000000" w:themeColor="text1"/>
              </w:rPr>
            </w:pPr>
            <w:r>
              <w:rPr>
                <w:color w:val="000000" w:themeColor="text1"/>
              </w:rPr>
              <w:t>Combined average wait time (minutes)</w:t>
            </w:r>
          </w:p>
        </w:tc>
        <w:tc>
          <w:tcPr>
            <w:cnfStyle w:val="000001000000" w:firstRow="0" w:lastRow="0" w:firstColumn="0" w:lastColumn="0" w:oddVBand="0" w:evenVBand="1" w:oddHBand="0" w:evenHBand="0" w:firstRowFirstColumn="0" w:firstRowLastColumn="0" w:lastRowFirstColumn="0" w:lastRowLastColumn="0"/>
            <w:tcW w:w="1747" w:type="dxa"/>
            <w:tcBorders>
              <w:left w:val="single" w:sz="4" w:space="0" w:color="auto"/>
              <w:bottom w:val="single" w:sz="4" w:space="0" w:color="auto"/>
              <w:right w:val="single" w:sz="4" w:space="0" w:color="auto"/>
            </w:tcBorders>
            <w:vAlign w:val="center"/>
          </w:tcPr>
          <w:p w14:paraId="04278DDD" w14:textId="145F79C2" w:rsidR="004E27BF" w:rsidRDefault="004E27BF" w:rsidP="004E27BF">
            <w:pPr>
              <w:jc w:val="center"/>
              <w:rPr>
                <w:color w:val="000000" w:themeColor="text1"/>
              </w:rPr>
            </w:pPr>
            <w:r>
              <w:rPr>
                <w:rFonts w:eastAsia="Arial" w:cs="Arial"/>
                <w:szCs w:val="22"/>
              </w:rPr>
              <w:t>8</w:t>
            </w:r>
            <w:r w:rsidRPr="20026E5A">
              <w:rPr>
                <w:rFonts w:eastAsia="Arial" w:cs="Arial"/>
                <w:szCs w:val="22"/>
              </w:rPr>
              <w:t>:00</w:t>
            </w:r>
          </w:p>
        </w:tc>
        <w:tc>
          <w:tcPr>
            <w:cnfStyle w:val="000010000000" w:firstRow="0" w:lastRow="0" w:firstColumn="0" w:lastColumn="0" w:oddVBand="1" w:evenVBand="0" w:oddHBand="0" w:evenHBand="0" w:firstRowFirstColumn="0" w:firstRowLastColumn="0" w:lastRowFirstColumn="0" w:lastRowLastColumn="0"/>
            <w:tcW w:w="1513" w:type="dxa"/>
            <w:tcBorders>
              <w:left w:val="single" w:sz="4" w:space="0" w:color="auto"/>
              <w:bottom w:val="single" w:sz="4" w:space="0" w:color="auto"/>
              <w:right w:val="single" w:sz="4" w:space="0" w:color="auto"/>
            </w:tcBorders>
            <w:shd w:val="clear" w:color="auto" w:fill="D0CECE" w:themeFill="background2" w:themeFillShade="E6"/>
            <w:vAlign w:val="center"/>
          </w:tcPr>
          <w:p w14:paraId="7C7A0D4E" w14:textId="75198253" w:rsidR="004E27BF" w:rsidRDefault="00A22894" w:rsidP="004E27BF">
            <w:pPr>
              <w:jc w:val="center"/>
            </w:pPr>
            <w:r>
              <w:t>6:27</w:t>
            </w:r>
          </w:p>
        </w:tc>
        <w:tc>
          <w:tcPr>
            <w:cnfStyle w:val="000001000000" w:firstRow="0" w:lastRow="0" w:firstColumn="0" w:lastColumn="0" w:oddVBand="0" w:evenVBand="1" w:oddHBand="0" w:evenHBand="0" w:firstRowFirstColumn="0" w:firstRowLastColumn="0" w:lastRowFirstColumn="0" w:lastRowLastColumn="0"/>
            <w:tcW w:w="1610" w:type="dxa"/>
            <w:tcBorders>
              <w:left w:val="single" w:sz="4" w:space="0" w:color="auto"/>
              <w:bottom w:val="single" w:sz="4" w:space="0" w:color="auto"/>
              <w:right w:val="single" w:sz="4" w:space="0" w:color="auto"/>
            </w:tcBorders>
            <w:shd w:val="clear" w:color="auto" w:fill="FFFFFF" w:themeFill="background1"/>
            <w:vAlign w:val="center"/>
          </w:tcPr>
          <w:p w14:paraId="715D681D" w14:textId="3F4B6EDB" w:rsidR="004E27BF" w:rsidRPr="00110497" w:rsidRDefault="00A61116" w:rsidP="004E27BF">
            <w:pPr>
              <w:jc w:val="center"/>
            </w:pPr>
            <w:r>
              <w:t>9:00</w:t>
            </w:r>
          </w:p>
        </w:tc>
      </w:tr>
      <w:tr w:rsidR="004E27BF" w:rsidRPr="00110497" w14:paraId="547B0B28" w14:textId="77777777" w:rsidTr="04AE52AE">
        <w:trPr>
          <w:cnfStyle w:val="000000100000" w:firstRow="0" w:lastRow="0" w:firstColumn="0" w:lastColumn="0" w:oddVBand="0" w:evenVBand="0" w:oddHBand="1" w:evenHBand="0" w:firstRowFirstColumn="0" w:firstRowLastColumn="0" w:lastRowFirstColumn="0" w:lastRowLastColumn="0"/>
          <w:trHeight w:val="581"/>
        </w:trPr>
        <w:tc>
          <w:tcPr>
            <w:cnfStyle w:val="000010000000" w:firstRow="0" w:lastRow="0" w:firstColumn="0" w:lastColumn="0" w:oddVBand="1" w:evenVBand="0" w:oddHBand="0" w:evenHBand="0" w:firstRowFirstColumn="0" w:firstRowLastColumn="0" w:lastRowFirstColumn="0" w:lastRowLastColumn="0"/>
            <w:tcW w:w="3676" w:type="dxa"/>
            <w:tcBorders>
              <w:top w:val="single" w:sz="4" w:space="0" w:color="auto"/>
              <w:left w:val="single" w:sz="4" w:space="0" w:color="auto"/>
              <w:bottom w:val="single" w:sz="4" w:space="0" w:color="auto"/>
              <w:right w:val="single" w:sz="4" w:space="0" w:color="auto"/>
            </w:tcBorders>
          </w:tcPr>
          <w:p w14:paraId="0FD37062" w14:textId="77777777" w:rsidR="004E27BF" w:rsidRDefault="004E27BF" w:rsidP="004E27BF">
            <w:pPr>
              <w:rPr>
                <w:color w:val="000000" w:themeColor="text1"/>
              </w:rPr>
            </w:pPr>
            <w:r w:rsidRPr="000E7EED">
              <w:rPr>
                <w:color w:val="000000" w:themeColor="text1"/>
              </w:rPr>
              <w:t xml:space="preserve">Information </w:t>
            </w:r>
            <w:r>
              <w:rPr>
                <w:color w:val="000000" w:themeColor="text1"/>
              </w:rPr>
              <w:t>sessions</w:t>
            </w:r>
          </w:p>
        </w:tc>
        <w:tc>
          <w:tcPr>
            <w:cnfStyle w:val="000001000000" w:firstRow="0" w:lastRow="0" w:firstColumn="0" w:lastColumn="0" w:oddVBand="0" w:evenVBand="1" w:oddHBand="0" w:evenHBand="0" w:firstRowFirstColumn="0" w:firstRowLastColumn="0" w:lastRowFirstColumn="0" w:lastRowLastColumn="0"/>
            <w:tcW w:w="1747" w:type="dxa"/>
            <w:tcBorders>
              <w:top w:val="single" w:sz="4" w:space="0" w:color="auto"/>
              <w:left w:val="single" w:sz="4" w:space="0" w:color="auto"/>
              <w:bottom w:val="single" w:sz="4" w:space="0" w:color="auto"/>
              <w:right w:val="single" w:sz="4" w:space="0" w:color="auto"/>
            </w:tcBorders>
          </w:tcPr>
          <w:p w14:paraId="3D8B0750" w14:textId="715C77FD" w:rsidR="004E27BF" w:rsidRDefault="004E27BF" w:rsidP="004E27BF">
            <w:pPr>
              <w:jc w:val="center"/>
              <w:rPr>
                <w:rStyle w:val="normaltextrun"/>
                <w:rFonts w:cs="Arial"/>
              </w:rPr>
            </w:pPr>
            <w:r w:rsidRPr="20026E5A">
              <w:rPr>
                <w:rFonts w:eastAsia="Arial" w:cs="Arial"/>
                <w:szCs w:val="22"/>
              </w:rPr>
              <w:t>3</w:t>
            </w:r>
            <w:r>
              <w:rPr>
                <w:rFonts w:eastAsia="Arial" w:cs="Arial"/>
                <w:szCs w:val="22"/>
              </w:rPr>
              <w:t>2</w:t>
            </w:r>
            <w:r w:rsidRPr="20026E5A">
              <w:rPr>
                <w:rFonts w:eastAsia="Arial" w:cs="Arial"/>
                <w:szCs w:val="22"/>
              </w:rPr>
              <w:t>,</w:t>
            </w:r>
            <w:r>
              <w:rPr>
                <w:rFonts w:eastAsia="Arial" w:cs="Arial"/>
                <w:szCs w:val="22"/>
              </w:rPr>
              <w:t>046</w:t>
            </w:r>
          </w:p>
        </w:tc>
        <w:tc>
          <w:tcPr>
            <w:cnfStyle w:val="000010000000" w:firstRow="0" w:lastRow="0" w:firstColumn="0" w:lastColumn="0" w:oddVBand="1" w:evenVBand="0" w:oddHBand="0" w:evenHBand="0" w:firstRowFirstColumn="0" w:firstRowLastColumn="0" w:lastRowFirstColumn="0" w:lastRowLastColumn="0"/>
            <w:tcW w:w="1513"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9A46C3F" w14:textId="15252E0E" w:rsidR="004E27BF" w:rsidRPr="00D533FE" w:rsidRDefault="002C3A5E" w:rsidP="004E27BF">
            <w:pPr>
              <w:jc w:val="center"/>
              <w:rPr>
                <w:rFonts w:eastAsia="Arial" w:cs="Arial"/>
                <w:szCs w:val="22"/>
              </w:rPr>
            </w:pPr>
            <w:r>
              <w:rPr>
                <w:rFonts w:eastAsia="Arial" w:cs="Arial"/>
                <w:szCs w:val="22"/>
              </w:rPr>
              <w:t>31,515</w:t>
            </w:r>
          </w:p>
        </w:tc>
        <w:tc>
          <w:tcPr>
            <w:cnfStyle w:val="000001000000" w:firstRow="0" w:lastRow="0" w:firstColumn="0" w:lastColumn="0" w:oddVBand="0" w:evenVBand="1" w:oddHBand="0" w:evenHBand="0" w:firstRowFirstColumn="0" w:firstRowLastColumn="0" w:lastRowFirstColumn="0" w:lastRowLastColumn="0"/>
            <w:tcW w:w="1610" w:type="dxa"/>
            <w:tcBorders>
              <w:top w:val="single" w:sz="4" w:space="0" w:color="auto"/>
              <w:left w:val="single" w:sz="4" w:space="0" w:color="auto"/>
              <w:bottom w:val="single" w:sz="4" w:space="0" w:color="auto"/>
              <w:right w:val="single" w:sz="4" w:space="0" w:color="auto"/>
            </w:tcBorders>
            <w:shd w:val="clear" w:color="auto" w:fill="FFFFFF" w:themeFill="background1"/>
          </w:tcPr>
          <w:p w14:paraId="53D95ABE" w14:textId="47441225" w:rsidR="004E27BF" w:rsidRPr="00110497" w:rsidRDefault="00276D14" w:rsidP="004E27BF">
            <w:pPr>
              <w:jc w:val="center"/>
            </w:pPr>
            <w:r>
              <w:t>29,000</w:t>
            </w:r>
          </w:p>
        </w:tc>
      </w:tr>
      <w:tr w:rsidR="004E27BF" w:rsidRPr="00110497" w14:paraId="1795B5BF" w14:textId="77777777" w:rsidTr="04AE52AE">
        <w:trPr>
          <w:cnfStyle w:val="000000010000" w:firstRow="0" w:lastRow="0" w:firstColumn="0" w:lastColumn="0" w:oddVBand="0" w:evenVBand="0" w:oddHBand="0" w:evenHBand="1" w:firstRowFirstColumn="0" w:firstRowLastColumn="0" w:lastRowFirstColumn="0" w:lastRowLastColumn="0"/>
          <w:trHeight w:val="581"/>
        </w:trPr>
        <w:tc>
          <w:tcPr>
            <w:cnfStyle w:val="000010000000" w:firstRow="0" w:lastRow="0" w:firstColumn="0" w:lastColumn="0" w:oddVBand="1" w:evenVBand="0" w:oddHBand="0" w:evenHBand="0" w:firstRowFirstColumn="0" w:firstRowLastColumn="0" w:lastRowFirstColumn="0" w:lastRowLastColumn="0"/>
            <w:tcW w:w="3676" w:type="dxa"/>
            <w:tcBorders>
              <w:top w:val="single" w:sz="4" w:space="0" w:color="auto"/>
              <w:left w:val="single" w:sz="4" w:space="0" w:color="auto"/>
              <w:bottom w:val="single" w:sz="4" w:space="0" w:color="auto"/>
              <w:right w:val="single" w:sz="4" w:space="0" w:color="auto"/>
            </w:tcBorders>
          </w:tcPr>
          <w:p w14:paraId="0F67D919" w14:textId="77777777" w:rsidR="004E27BF" w:rsidRDefault="004E27BF" w:rsidP="004E27BF">
            <w:pPr>
              <w:rPr>
                <w:color w:val="000000" w:themeColor="text1"/>
              </w:rPr>
            </w:pPr>
            <w:r>
              <w:rPr>
                <w:color w:val="000000" w:themeColor="text1"/>
              </w:rPr>
              <w:t>Community Legal Education sessions</w:t>
            </w:r>
          </w:p>
        </w:tc>
        <w:tc>
          <w:tcPr>
            <w:cnfStyle w:val="000001000000" w:firstRow="0" w:lastRow="0" w:firstColumn="0" w:lastColumn="0" w:oddVBand="0" w:evenVBand="1" w:oddHBand="0" w:evenHBand="0" w:firstRowFirstColumn="0" w:firstRowLastColumn="0" w:lastRowFirstColumn="0" w:lastRowLastColumn="0"/>
            <w:tcW w:w="1747" w:type="dxa"/>
            <w:tcBorders>
              <w:top w:val="single" w:sz="4" w:space="0" w:color="auto"/>
              <w:left w:val="single" w:sz="4" w:space="0" w:color="auto"/>
              <w:bottom w:val="single" w:sz="4" w:space="0" w:color="auto"/>
              <w:right w:val="single" w:sz="4" w:space="0" w:color="auto"/>
            </w:tcBorders>
            <w:vAlign w:val="center"/>
          </w:tcPr>
          <w:p w14:paraId="1E004636" w14:textId="16AA1EC6" w:rsidR="004E27BF" w:rsidRDefault="004E27BF" w:rsidP="004E27BF">
            <w:pPr>
              <w:jc w:val="center"/>
              <w:rPr>
                <w:rStyle w:val="normaltextrun"/>
                <w:rFonts w:cs="Arial"/>
              </w:rPr>
            </w:pPr>
            <w:r>
              <w:t>62</w:t>
            </w:r>
          </w:p>
        </w:tc>
        <w:tc>
          <w:tcPr>
            <w:cnfStyle w:val="000010000000" w:firstRow="0" w:lastRow="0" w:firstColumn="0" w:lastColumn="0" w:oddVBand="1" w:evenVBand="0" w:oddHBand="0" w:evenHBand="0" w:firstRowFirstColumn="0" w:firstRowLastColumn="0" w:lastRowFirstColumn="0" w:lastRowLastColumn="0"/>
            <w:tcW w:w="151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B924CF4" w14:textId="31E44B94" w:rsidR="004E27BF" w:rsidRDefault="003B6B95" w:rsidP="004E27BF">
            <w:pPr>
              <w:jc w:val="center"/>
            </w:pPr>
            <w:r>
              <w:t>45</w:t>
            </w:r>
          </w:p>
        </w:tc>
        <w:tc>
          <w:tcPr>
            <w:cnfStyle w:val="000001000000" w:firstRow="0" w:lastRow="0" w:firstColumn="0" w:lastColumn="0" w:oddVBand="0" w:evenVBand="1" w:oddHBand="0" w:evenHBand="0" w:firstRowFirstColumn="0" w:firstRowLastColumn="0" w:lastRowFirstColumn="0" w:lastRowLastColumn="0"/>
            <w:tcW w:w="1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9EDD20" w14:textId="552C8980" w:rsidR="004E27BF" w:rsidRPr="00110497" w:rsidRDefault="003B6B95" w:rsidP="004E27BF">
            <w:pPr>
              <w:jc w:val="center"/>
              <w:rPr>
                <w:rStyle w:val="normaltextrun"/>
                <w:rFonts w:cs="Arial"/>
                <w:szCs w:val="22"/>
              </w:rPr>
            </w:pPr>
            <w:r>
              <w:rPr>
                <w:rStyle w:val="normaltextrun"/>
                <w:rFonts w:cs="Arial"/>
                <w:szCs w:val="22"/>
              </w:rPr>
              <w:t>35</w:t>
            </w:r>
          </w:p>
        </w:tc>
      </w:tr>
      <w:tr w:rsidR="004E27BF" w:rsidRPr="00110497" w14:paraId="03C74500" w14:textId="77777777" w:rsidTr="04AE52AE">
        <w:trPr>
          <w:cnfStyle w:val="000000100000" w:firstRow="0" w:lastRow="0" w:firstColumn="0" w:lastColumn="0" w:oddVBand="0" w:evenVBand="0" w:oddHBand="1" w:evenHBand="0" w:firstRowFirstColumn="0" w:firstRowLastColumn="0" w:lastRowFirstColumn="0" w:lastRowLastColumn="0"/>
          <w:trHeight w:val="50"/>
        </w:trPr>
        <w:tc>
          <w:tcPr>
            <w:cnfStyle w:val="000010000000" w:firstRow="0" w:lastRow="0" w:firstColumn="0" w:lastColumn="0" w:oddVBand="1" w:evenVBand="0" w:oddHBand="0" w:evenHBand="0" w:firstRowFirstColumn="0" w:firstRowLastColumn="0" w:lastRowFirstColumn="0" w:lastRowLastColumn="0"/>
            <w:tcW w:w="3676" w:type="dxa"/>
            <w:tcBorders>
              <w:left w:val="single" w:sz="4" w:space="0" w:color="auto"/>
              <w:bottom w:val="single" w:sz="4" w:space="0" w:color="auto"/>
              <w:right w:val="single" w:sz="4" w:space="0" w:color="auto"/>
            </w:tcBorders>
          </w:tcPr>
          <w:p w14:paraId="656A1ECD" w14:textId="417C785A" w:rsidR="004E27BF" w:rsidRDefault="004E27BF" w:rsidP="004E27BF">
            <w:pPr>
              <w:rPr>
                <w:color w:val="000000" w:themeColor="text1"/>
              </w:rPr>
            </w:pPr>
            <w:r>
              <w:rPr>
                <w:rStyle w:val="normaltextrun"/>
                <w:rFonts w:cs="Arial"/>
                <w:color w:val="000000"/>
                <w:szCs w:val="22"/>
                <w:shd w:val="clear" w:color="auto" w:fill="FFFFFF"/>
              </w:rPr>
              <w:t>Engaged sessions</w:t>
            </w:r>
            <w:r>
              <w:rPr>
                <w:rStyle w:val="FootnoteReference"/>
                <w:rFonts w:cs="Arial"/>
                <w:color w:val="000000"/>
                <w:szCs w:val="22"/>
                <w:shd w:val="clear" w:color="auto" w:fill="FFFFFF"/>
              </w:rPr>
              <w:footnoteReference w:id="4"/>
            </w:r>
            <w:r>
              <w:rPr>
                <w:rStyle w:val="normaltextrun"/>
                <w:rFonts w:cs="Arial"/>
                <w:color w:val="000000"/>
                <w:szCs w:val="22"/>
                <w:shd w:val="clear" w:color="auto" w:fill="FFFFFF"/>
              </w:rPr>
              <w:t xml:space="preserve"> of legal information </w:t>
            </w:r>
            <w:r>
              <w:rPr>
                <w:rStyle w:val="findhit"/>
                <w:rFonts w:cs="Arial"/>
                <w:color w:val="000000"/>
                <w:szCs w:val="22"/>
              </w:rPr>
              <w:t>website</w:t>
            </w:r>
            <w:r>
              <w:rPr>
                <w:rStyle w:val="normaltextrun"/>
                <w:rFonts w:cs="Arial"/>
                <w:color w:val="000000"/>
                <w:szCs w:val="22"/>
                <w:shd w:val="clear" w:color="auto" w:fill="FFFFFF"/>
              </w:rPr>
              <w:t xml:space="preserve"> pages</w:t>
            </w:r>
          </w:p>
        </w:tc>
        <w:tc>
          <w:tcPr>
            <w:cnfStyle w:val="000001000000" w:firstRow="0" w:lastRow="0" w:firstColumn="0" w:lastColumn="0" w:oddVBand="0" w:evenVBand="1" w:oddHBand="0" w:evenHBand="0" w:firstRowFirstColumn="0" w:firstRowLastColumn="0" w:lastRowFirstColumn="0" w:lastRowLastColumn="0"/>
            <w:tcW w:w="1747" w:type="dxa"/>
            <w:tcBorders>
              <w:left w:val="single" w:sz="4" w:space="0" w:color="auto"/>
              <w:bottom w:val="single" w:sz="4" w:space="0" w:color="auto"/>
              <w:right w:val="single" w:sz="4" w:space="0" w:color="auto"/>
            </w:tcBorders>
            <w:vAlign w:val="center"/>
          </w:tcPr>
          <w:p w14:paraId="332C8414" w14:textId="0C5D7569" w:rsidR="004E27BF" w:rsidRDefault="004E27BF" w:rsidP="004E27BF">
            <w:pPr>
              <w:jc w:val="center"/>
              <w:rPr>
                <w:rStyle w:val="normaltextrun"/>
                <w:rFonts w:cs="Arial"/>
              </w:rPr>
            </w:pPr>
            <w:r>
              <w:t>260,525</w:t>
            </w:r>
          </w:p>
        </w:tc>
        <w:tc>
          <w:tcPr>
            <w:cnfStyle w:val="000010000000" w:firstRow="0" w:lastRow="0" w:firstColumn="0" w:lastColumn="0" w:oddVBand="1" w:evenVBand="0" w:oddHBand="0" w:evenHBand="0" w:firstRowFirstColumn="0" w:firstRowLastColumn="0" w:lastRowFirstColumn="0" w:lastRowLastColumn="0"/>
            <w:tcW w:w="1513" w:type="dxa"/>
            <w:tcBorders>
              <w:left w:val="single" w:sz="4" w:space="0" w:color="auto"/>
              <w:bottom w:val="single" w:sz="4" w:space="0" w:color="auto"/>
              <w:right w:val="single" w:sz="4" w:space="0" w:color="auto"/>
            </w:tcBorders>
            <w:shd w:val="clear" w:color="auto" w:fill="D0CECE" w:themeFill="background2" w:themeFillShade="E6"/>
            <w:vAlign w:val="center"/>
          </w:tcPr>
          <w:p w14:paraId="4DD3B26E" w14:textId="25B81B4F" w:rsidR="004E27BF" w:rsidRDefault="00820A4A" w:rsidP="004E27BF">
            <w:pPr>
              <w:jc w:val="center"/>
            </w:pPr>
            <w:r>
              <w:t>262,716</w:t>
            </w:r>
          </w:p>
        </w:tc>
        <w:tc>
          <w:tcPr>
            <w:cnfStyle w:val="000001000000" w:firstRow="0" w:lastRow="0" w:firstColumn="0" w:lastColumn="0" w:oddVBand="0" w:evenVBand="1" w:oddHBand="0" w:evenHBand="0" w:firstRowFirstColumn="0" w:firstRowLastColumn="0" w:lastRowFirstColumn="0" w:lastRowLastColumn="0"/>
            <w:tcW w:w="1610" w:type="dxa"/>
            <w:tcBorders>
              <w:left w:val="single" w:sz="4" w:space="0" w:color="auto"/>
              <w:bottom w:val="single" w:sz="4" w:space="0" w:color="auto"/>
              <w:right w:val="single" w:sz="4" w:space="0" w:color="auto"/>
            </w:tcBorders>
            <w:shd w:val="clear" w:color="auto" w:fill="FFFFFF" w:themeFill="background1"/>
            <w:vAlign w:val="center"/>
          </w:tcPr>
          <w:p w14:paraId="4D710485" w14:textId="1A8D83F9" w:rsidR="004E27BF" w:rsidRPr="00110497" w:rsidRDefault="00820A4A" w:rsidP="004E27BF">
            <w:pPr>
              <w:jc w:val="center"/>
              <w:rPr>
                <w:rStyle w:val="normaltextrun"/>
                <w:rFonts w:cs="Arial"/>
                <w:szCs w:val="22"/>
              </w:rPr>
            </w:pPr>
            <w:r>
              <w:rPr>
                <w:rStyle w:val="normaltextrun"/>
                <w:rFonts w:cs="Arial"/>
                <w:szCs w:val="22"/>
              </w:rPr>
              <w:t>N/A</w:t>
            </w:r>
          </w:p>
        </w:tc>
      </w:tr>
    </w:tbl>
    <w:p w14:paraId="7DD92650" w14:textId="77777777" w:rsidR="00A11B08" w:rsidRDefault="00A11B08" w:rsidP="00A11B08">
      <w:pPr>
        <w:rPr>
          <w:lang w:eastAsia="en-AU"/>
        </w:rPr>
      </w:pPr>
    </w:p>
    <w:p w14:paraId="2360AC54" w14:textId="2714B42E" w:rsidR="002530AC" w:rsidRDefault="00B86278" w:rsidP="00A11B08">
      <w:pPr>
        <w:rPr>
          <w:lang w:eastAsia="en-AU"/>
        </w:rPr>
      </w:pPr>
      <w:r>
        <w:rPr>
          <w:lang w:eastAsia="en-AU"/>
        </w:rPr>
        <w:t>VLA provides specialist non-legal services that help people advocate for themselves and inform people and communities of their rights when it comes to both the mental health and the child protection systems.</w:t>
      </w:r>
      <w:r w:rsidR="00F0183B">
        <w:rPr>
          <w:lang w:eastAsia="en-AU"/>
        </w:rPr>
        <w:t xml:space="preserve"> People undergoing compulsory mental health treatments are now </w:t>
      </w:r>
      <w:r w:rsidR="000551D2">
        <w:rPr>
          <w:lang w:eastAsia="en-AU"/>
        </w:rPr>
        <w:t xml:space="preserve">required to opt-out of our Independent Mental Health </w:t>
      </w:r>
      <w:r w:rsidR="00E20C91">
        <w:rPr>
          <w:lang w:eastAsia="en-AU"/>
        </w:rPr>
        <w:t xml:space="preserve">Advocacy (IMHA) service, rather than the old service model </w:t>
      </w:r>
      <w:r w:rsidR="00840860">
        <w:rPr>
          <w:lang w:eastAsia="en-AU"/>
        </w:rPr>
        <w:t>that</w:t>
      </w:r>
      <w:r w:rsidR="00E20C91">
        <w:rPr>
          <w:lang w:eastAsia="en-AU"/>
        </w:rPr>
        <w:t xml:space="preserve"> was opt-in. This has led to a large increase in demand for these services. There was a </w:t>
      </w:r>
      <w:r w:rsidR="00F8325D">
        <w:rPr>
          <w:lang w:eastAsia="en-AU"/>
        </w:rPr>
        <w:t>93 per cent increase in the number of IMHA information and referral sessions, and a</w:t>
      </w:r>
      <w:r w:rsidR="00D22761">
        <w:rPr>
          <w:lang w:eastAsia="en-AU"/>
        </w:rPr>
        <w:t xml:space="preserve"> 108 per cent increase in advocacy and self-advocacy services</w:t>
      </w:r>
      <w:r w:rsidR="00826F1F">
        <w:rPr>
          <w:lang w:eastAsia="en-AU"/>
        </w:rPr>
        <w:t xml:space="preserve"> (Table 1.3)</w:t>
      </w:r>
      <w:r w:rsidR="00D22761">
        <w:rPr>
          <w:lang w:eastAsia="en-AU"/>
        </w:rPr>
        <w:t xml:space="preserve">. </w:t>
      </w:r>
      <w:r w:rsidR="003219E0">
        <w:rPr>
          <w:lang w:eastAsia="en-AU"/>
        </w:rPr>
        <w:t xml:space="preserve">We anticipate that these results will continue to increase </w:t>
      </w:r>
      <w:r w:rsidR="00A151B7">
        <w:rPr>
          <w:lang w:eastAsia="en-AU"/>
        </w:rPr>
        <w:t xml:space="preserve">in quarter three, however due to the changed nature and continued expansion of this service it is difficult at this time to </w:t>
      </w:r>
      <w:r w:rsidR="000101AD">
        <w:rPr>
          <w:lang w:eastAsia="en-AU"/>
        </w:rPr>
        <w:t>project these services for quarters three and four.</w:t>
      </w:r>
    </w:p>
    <w:p w14:paraId="1FC26095" w14:textId="436B24F0" w:rsidR="00826F1F" w:rsidRDefault="00B11721" w:rsidP="00A11B08">
      <w:pPr>
        <w:rPr>
          <w:lang w:eastAsia="en-AU"/>
        </w:rPr>
      </w:pPr>
      <w:r>
        <w:rPr>
          <w:lang w:eastAsia="en-AU"/>
        </w:rPr>
        <w:lastRenderedPageBreak/>
        <w:t xml:space="preserve">The quarter two results for </w:t>
      </w:r>
      <w:r w:rsidR="0064606C">
        <w:rPr>
          <w:lang w:eastAsia="en-AU"/>
        </w:rPr>
        <w:t>the Independent Family Advocacy and Support service</w:t>
      </w:r>
      <w:r w:rsidR="000A0A14">
        <w:rPr>
          <w:lang w:eastAsia="en-AU"/>
        </w:rPr>
        <w:t>s</w:t>
      </w:r>
      <w:r w:rsidR="0064606C">
        <w:rPr>
          <w:lang w:eastAsia="en-AU"/>
        </w:rPr>
        <w:t xml:space="preserve"> are lower</w:t>
      </w:r>
      <w:r w:rsidR="000A0A14">
        <w:rPr>
          <w:lang w:eastAsia="en-AU"/>
        </w:rPr>
        <w:t xml:space="preserve"> than quarter one due to</w:t>
      </w:r>
      <w:r w:rsidR="00A06CD3">
        <w:rPr>
          <w:lang w:eastAsia="en-AU"/>
        </w:rPr>
        <w:t xml:space="preserve"> lower staffing levels due to annual leave and vacant positions. </w:t>
      </w:r>
      <w:r w:rsidR="009F25A9">
        <w:rPr>
          <w:lang w:eastAsia="en-AU"/>
        </w:rPr>
        <w:t>Similar to CLE</w:t>
      </w:r>
      <w:r w:rsidR="00B07A9F">
        <w:rPr>
          <w:lang w:eastAsia="en-AU"/>
        </w:rPr>
        <w:t>,</w:t>
      </w:r>
      <w:r w:rsidR="009F25A9">
        <w:rPr>
          <w:lang w:eastAsia="en-AU"/>
        </w:rPr>
        <w:t xml:space="preserve"> </w:t>
      </w:r>
      <w:r w:rsidR="00B07A9F">
        <w:rPr>
          <w:lang w:eastAsia="en-AU"/>
        </w:rPr>
        <w:t>t</w:t>
      </w:r>
      <w:r w:rsidR="009F25A9">
        <w:rPr>
          <w:lang w:eastAsia="en-AU"/>
        </w:rPr>
        <w:t xml:space="preserve">he summer and school holidays impact </w:t>
      </w:r>
      <w:r w:rsidR="00B07A9F">
        <w:rPr>
          <w:lang w:eastAsia="en-AU"/>
        </w:rPr>
        <w:t>these services</w:t>
      </w:r>
      <w:r w:rsidR="009F42D2">
        <w:rPr>
          <w:lang w:eastAsia="en-AU"/>
        </w:rPr>
        <w:t xml:space="preserve"> and there are fewer child protection reports </w:t>
      </w:r>
      <w:r w:rsidR="00A0705F">
        <w:rPr>
          <w:lang w:eastAsia="en-AU"/>
        </w:rPr>
        <w:t>made.</w:t>
      </w:r>
      <w:r w:rsidR="00850CE7">
        <w:rPr>
          <w:lang w:eastAsia="en-AU"/>
        </w:rPr>
        <w:t xml:space="preserve"> We expect to see these service </w:t>
      </w:r>
      <w:r w:rsidR="00440289">
        <w:rPr>
          <w:lang w:eastAsia="en-AU"/>
        </w:rPr>
        <w:t>increase</w:t>
      </w:r>
      <w:r w:rsidR="00850CE7">
        <w:rPr>
          <w:lang w:eastAsia="en-AU"/>
        </w:rPr>
        <w:t xml:space="preserve"> in quarter three</w:t>
      </w:r>
      <w:r w:rsidR="00440289">
        <w:rPr>
          <w:lang w:eastAsia="en-AU"/>
        </w:rPr>
        <w:t xml:space="preserve"> when Child Protection officer</w:t>
      </w:r>
      <w:r w:rsidR="00426E95">
        <w:rPr>
          <w:lang w:eastAsia="en-AU"/>
        </w:rPr>
        <w:t>s</w:t>
      </w:r>
      <w:r w:rsidR="00440289">
        <w:rPr>
          <w:lang w:eastAsia="en-AU"/>
        </w:rPr>
        <w:t xml:space="preserve"> will resume their normal engagement with</w:t>
      </w:r>
      <w:r w:rsidR="00850CE7">
        <w:rPr>
          <w:lang w:eastAsia="en-AU"/>
        </w:rPr>
        <w:t xml:space="preserve"> </w:t>
      </w:r>
      <w:r w:rsidR="00440289">
        <w:rPr>
          <w:lang w:eastAsia="en-AU"/>
        </w:rPr>
        <w:t xml:space="preserve">our </w:t>
      </w:r>
      <w:r w:rsidR="00AE36C5">
        <w:rPr>
          <w:lang w:eastAsia="en-AU"/>
        </w:rPr>
        <w:t>advocates, and</w:t>
      </w:r>
      <w:r w:rsidR="00440289">
        <w:rPr>
          <w:lang w:eastAsia="en-AU"/>
        </w:rPr>
        <w:t xml:space="preserve"> </w:t>
      </w:r>
      <w:r w:rsidR="00AE36C5">
        <w:rPr>
          <w:lang w:eastAsia="en-AU"/>
        </w:rPr>
        <w:t>our</w:t>
      </w:r>
      <w:r w:rsidR="00440289">
        <w:rPr>
          <w:lang w:eastAsia="en-AU"/>
        </w:rPr>
        <w:t xml:space="preserve"> advocates will have all returned from leave.</w:t>
      </w:r>
      <w:r w:rsidR="00271FA0">
        <w:rPr>
          <w:lang w:eastAsia="en-AU"/>
        </w:rPr>
        <w:t xml:space="preserve"> Vacant rolls are also anticipated to be filled in quarter three.</w:t>
      </w:r>
    </w:p>
    <w:p w14:paraId="42F7AB52" w14:textId="51F81446" w:rsidR="000B2451" w:rsidRPr="00742E79" w:rsidRDefault="006D20E9" w:rsidP="000B2451">
      <w:pPr>
        <w:pStyle w:val="Heading3"/>
        <w:rPr>
          <w:rFonts w:cs="Times New Roman"/>
          <w:sz w:val="20"/>
          <w:szCs w:val="22"/>
          <w:lang w:eastAsia="en-US"/>
        </w:rPr>
      </w:pPr>
      <w:r>
        <w:rPr>
          <w:rFonts w:cs="Times New Roman"/>
          <w:sz w:val="20"/>
          <w:szCs w:val="22"/>
          <w:lang w:eastAsia="en-US"/>
        </w:rPr>
        <w:t>T</w:t>
      </w:r>
      <w:r w:rsidR="000B2451" w:rsidRPr="00742E79">
        <w:rPr>
          <w:rFonts w:cs="Times New Roman"/>
          <w:sz w:val="20"/>
          <w:szCs w:val="22"/>
          <w:lang w:eastAsia="en-US"/>
        </w:rPr>
        <w:t xml:space="preserve">able 1.3 Specialist </w:t>
      </w:r>
      <w:r w:rsidR="00742E79" w:rsidRPr="00742E79">
        <w:rPr>
          <w:rFonts w:cs="Times New Roman"/>
          <w:sz w:val="20"/>
          <w:szCs w:val="22"/>
          <w:lang w:eastAsia="en-US"/>
        </w:rPr>
        <w:t>r</w:t>
      </w:r>
      <w:r w:rsidR="000B2451" w:rsidRPr="00742E79">
        <w:rPr>
          <w:rFonts w:cs="Times New Roman"/>
          <w:sz w:val="20"/>
          <w:szCs w:val="22"/>
          <w:lang w:eastAsia="en-US"/>
        </w:rPr>
        <w:t>esolution and advocacy services</w:t>
      </w:r>
    </w:p>
    <w:tbl>
      <w:tblPr>
        <w:tblpPr w:leftFromText="180" w:rightFromText="180" w:vertAnchor="text" w:horzAnchor="margin" w:tblpY="156"/>
        <w:tblW w:w="40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831"/>
        <w:gridCol w:w="1700"/>
        <w:gridCol w:w="1843"/>
        <w:gridCol w:w="1844"/>
      </w:tblGrid>
      <w:tr w:rsidR="00792B61" w14:paraId="399FB816" w14:textId="77777777" w:rsidTr="20026E5A">
        <w:trPr>
          <w:cantSplit/>
          <w:trHeight w:val="361"/>
          <w:tblHeader/>
        </w:trPr>
        <w:tc>
          <w:tcPr>
            <w:tcW w:w="1722" w:type="pct"/>
            <w:shd w:val="clear" w:color="auto" w:fill="B59CC0"/>
            <w:hideMark/>
          </w:tcPr>
          <w:p w14:paraId="3274427B" w14:textId="77777777" w:rsidR="00792B61" w:rsidRDefault="00792B61" w:rsidP="00792B61">
            <w:pPr>
              <w:rPr>
                <w:b/>
                <w:color w:val="000000" w:themeColor="text1"/>
                <w:lang w:eastAsia="en-AU"/>
              </w:rPr>
            </w:pPr>
            <w:bookmarkStart w:id="2" w:name="_Hlk115865842"/>
            <w:r w:rsidRPr="006B69F9">
              <w:rPr>
                <w:b/>
                <w:bCs/>
                <w:color w:val="000000" w:themeColor="text1"/>
                <w:szCs w:val="20"/>
                <w:lang w:eastAsia="en-AU"/>
              </w:rPr>
              <w:t>Specialist resolution and advocacy services</w:t>
            </w:r>
          </w:p>
        </w:tc>
        <w:tc>
          <w:tcPr>
            <w:tcW w:w="1034" w:type="pct"/>
            <w:shd w:val="clear" w:color="auto" w:fill="B59CC0"/>
          </w:tcPr>
          <w:p w14:paraId="34F7409F" w14:textId="77777777" w:rsidR="00792B61" w:rsidRDefault="00792B61" w:rsidP="00792B61">
            <w:pPr>
              <w:jc w:val="center"/>
              <w:rPr>
                <w:b/>
                <w:color w:val="000000" w:themeColor="text1"/>
              </w:rPr>
            </w:pPr>
            <w:r w:rsidRPr="55245693">
              <w:rPr>
                <w:b/>
                <w:color w:val="000000" w:themeColor="text1"/>
              </w:rPr>
              <w:t>Q</w:t>
            </w:r>
            <w:r>
              <w:rPr>
                <w:b/>
                <w:color w:val="000000" w:themeColor="text1"/>
              </w:rPr>
              <w:t>1</w:t>
            </w:r>
          </w:p>
          <w:p w14:paraId="46DFE681" w14:textId="0C76E97C" w:rsidR="00792B61" w:rsidRDefault="00792B61" w:rsidP="00792B61">
            <w:pPr>
              <w:jc w:val="center"/>
              <w:rPr>
                <w:b/>
                <w:color w:val="000000" w:themeColor="text1"/>
                <w:lang w:eastAsia="en-AU"/>
              </w:rPr>
            </w:pPr>
            <w:r w:rsidRPr="000E7EED">
              <w:rPr>
                <w:b/>
                <w:color w:val="000000" w:themeColor="text1"/>
              </w:rPr>
              <w:t>20</w:t>
            </w:r>
            <w:r>
              <w:rPr>
                <w:b/>
                <w:color w:val="000000" w:themeColor="text1"/>
              </w:rPr>
              <w:t>23-24</w:t>
            </w:r>
          </w:p>
        </w:tc>
        <w:tc>
          <w:tcPr>
            <w:tcW w:w="1121" w:type="pct"/>
            <w:shd w:val="clear" w:color="auto" w:fill="B59CC0"/>
          </w:tcPr>
          <w:p w14:paraId="03650CCE" w14:textId="77777777" w:rsidR="00792B61" w:rsidRPr="000E7EED" w:rsidRDefault="00792B61" w:rsidP="00792B61">
            <w:pPr>
              <w:jc w:val="center"/>
              <w:rPr>
                <w:b/>
                <w:color w:val="000000" w:themeColor="text1"/>
              </w:rPr>
            </w:pPr>
            <w:r w:rsidRPr="55245693">
              <w:rPr>
                <w:b/>
                <w:color w:val="000000" w:themeColor="text1"/>
              </w:rPr>
              <w:t>Q</w:t>
            </w:r>
            <w:r>
              <w:rPr>
                <w:b/>
                <w:color w:val="000000" w:themeColor="text1"/>
              </w:rPr>
              <w:t>2</w:t>
            </w:r>
          </w:p>
          <w:p w14:paraId="476BCC67" w14:textId="56A8F474" w:rsidR="00792B61" w:rsidRDefault="00792B61" w:rsidP="00792B61">
            <w:pPr>
              <w:jc w:val="center"/>
              <w:rPr>
                <w:b/>
                <w:color w:val="000000" w:themeColor="text1"/>
                <w:lang w:eastAsia="en-AU"/>
              </w:rPr>
            </w:pPr>
            <w:r w:rsidRPr="000E7EED">
              <w:rPr>
                <w:b/>
                <w:color w:val="000000" w:themeColor="text1"/>
              </w:rPr>
              <w:t>20</w:t>
            </w:r>
            <w:r>
              <w:rPr>
                <w:b/>
                <w:color w:val="000000" w:themeColor="text1"/>
              </w:rPr>
              <w:t>23-24</w:t>
            </w:r>
          </w:p>
        </w:tc>
        <w:tc>
          <w:tcPr>
            <w:tcW w:w="1122" w:type="pct"/>
            <w:shd w:val="clear" w:color="auto" w:fill="B59CC0"/>
          </w:tcPr>
          <w:p w14:paraId="0D8D5A3F" w14:textId="48A6A4B8" w:rsidR="00792B61" w:rsidRDefault="00792B61" w:rsidP="00792B61">
            <w:pPr>
              <w:jc w:val="center"/>
              <w:rPr>
                <w:b/>
                <w:color w:val="000000" w:themeColor="text1"/>
              </w:rPr>
            </w:pPr>
            <w:r w:rsidRPr="55245693">
              <w:rPr>
                <w:b/>
                <w:color w:val="000000" w:themeColor="text1"/>
              </w:rPr>
              <w:t>Q</w:t>
            </w:r>
            <w:r>
              <w:rPr>
                <w:b/>
                <w:color w:val="000000" w:themeColor="text1"/>
              </w:rPr>
              <w:t xml:space="preserve">3 </w:t>
            </w:r>
            <w:r w:rsidRPr="000E7EED">
              <w:rPr>
                <w:b/>
                <w:color w:val="000000" w:themeColor="text1"/>
              </w:rPr>
              <w:t>20</w:t>
            </w:r>
            <w:r>
              <w:rPr>
                <w:b/>
                <w:color w:val="000000" w:themeColor="text1"/>
              </w:rPr>
              <w:t>23-24 projection</w:t>
            </w:r>
          </w:p>
        </w:tc>
      </w:tr>
      <w:tr w:rsidR="00792B61" w14:paraId="7909C84B" w14:textId="77777777" w:rsidTr="20026E5A">
        <w:trPr>
          <w:trHeight w:val="531"/>
        </w:trPr>
        <w:tc>
          <w:tcPr>
            <w:tcW w:w="1722" w:type="pct"/>
            <w:tcBorders>
              <w:bottom w:val="single" w:sz="4" w:space="0" w:color="7F7F7F" w:themeColor="text1" w:themeTint="80"/>
            </w:tcBorders>
            <w:hideMark/>
          </w:tcPr>
          <w:p w14:paraId="3F65F357" w14:textId="77777777" w:rsidR="00792B61" w:rsidRDefault="00792B61" w:rsidP="00792B61">
            <w:pPr>
              <w:rPr>
                <w:color w:val="000000" w:themeColor="text1"/>
                <w:lang w:eastAsia="en-AU"/>
              </w:rPr>
            </w:pPr>
            <w:r>
              <w:rPr>
                <w:color w:val="000000" w:themeColor="text1"/>
                <w:lang w:eastAsia="en-AU"/>
              </w:rPr>
              <w:t>IMHA information and referral sessions</w:t>
            </w:r>
          </w:p>
        </w:tc>
        <w:tc>
          <w:tcPr>
            <w:tcW w:w="1034" w:type="pct"/>
            <w:tcBorders>
              <w:top w:val="single" w:sz="4" w:space="0" w:color="auto"/>
              <w:left w:val="single" w:sz="4" w:space="0" w:color="auto"/>
              <w:bottom w:val="single" w:sz="4" w:space="0" w:color="7F7F7F" w:themeColor="text1" w:themeTint="80"/>
              <w:right w:val="single" w:sz="4" w:space="0" w:color="auto"/>
            </w:tcBorders>
            <w:shd w:val="clear" w:color="auto" w:fill="auto"/>
            <w:vAlign w:val="center"/>
          </w:tcPr>
          <w:p w14:paraId="45353828" w14:textId="046988C1" w:rsidR="00792B61" w:rsidRDefault="00792B61" w:rsidP="00792B61">
            <w:pPr>
              <w:jc w:val="center"/>
              <w:rPr>
                <w:lang w:eastAsia="en-AU"/>
              </w:rPr>
            </w:pPr>
            <w:r>
              <w:rPr>
                <w:color w:val="000000" w:themeColor="text1"/>
                <w:lang w:eastAsia="en-AU"/>
              </w:rPr>
              <w:t>5,563</w:t>
            </w:r>
          </w:p>
        </w:tc>
        <w:tc>
          <w:tcPr>
            <w:tcW w:w="1121" w:type="pct"/>
            <w:tcBorders>
              <w:bottom w:val="single" w:sz="4" w:space="0" w:color="7F7F7F" w:themeColor="text1" w:themeTint="80"/>
            </w:tcBorders>
            <w:shd w:val="clear" w:color="auto" w:fill="D9D9D9" w:themeFill="background1" w:themeFillShade="D9"/>
            <w:vAlign w:val="center"/>
          </w:tcPr>
          <w:p w14:paraId="25B8316C" w14:textId="47EDC027" w:rsidR="00792B61" w:rsidRPr="000212D1" w:rsidRDefault="00994171" w:rsidP="00792B61">
            <w:pPr>
              <w:jc w:val="center"/>
              <w:rPr>
                <w:color w:val="000000" w:themeColor="text1"/>
                <w:lang w:eastAsia="en-AU"/>
              </w:rPr>
            </w:pPr>
            <w:r>
              <w:rPr>
                <w:color w:val="000000" w:themeColor="text1"/>
                <w:lang w:eastAsia="en-AU"/>
              </w:rPr>
              <w:t>10,714</w:t>
            </w:r>
          </w:p>
        </w:tc>
        <w:tc>
          <w:tcPr>
            <w:tcW w:w="1122" w:type="pct"/>
            <w:tcBorders>
              <w:bottom w:val="single" w:sz="4" w:space="0" w:color="7F7F7F" w:themeColor="text1" w:themeTint="80"/>
            </w:tcBorders>
            <w:vAlign w:val="center"/>
          </w:tcPr>
          <w:p w14:paraId="264CBC60" w14:textId="5C8BB254" w:rsidR="00792B61" w:rsidRPr="000212D1" w:rsidRDefault="00826F1F" w:rsidP="00792B61">
            <w:pPr>
              <w:jc w:val="center"/>
              <w:rPr>
                <w:color w:val="000000" w:themeColor="text1"/>
                <w:lang w:eastAsia="en-AU"/>
              </w:rPr>
            </w:pPr>
            <w:r>
              <w:rPr>
                <w:color w:val="000000" w:themeColor="text1"/>
                <w:lang w:eastAsia="en-AU"/>
              </w:rPr>
              <w:t>N/A</w:t>
            </w:r>
          </w:p>
        </w:tc>
      </w:tr>
      <w:tr w:rsidR="00792B61" w14:paraId="767A9D32" w14:textId="77777777" w:rsidTr="20026E5A">
        <w:trPr>
          <w:trHeight w:val="531"/>
        </w:trPr>
        <w:tc>
          <w:tcPr>
            <w:tcW w:w="1722" w:type="pct"/>
            <w:tcBorders>
              <w:bottom w:val="single" w:sz="4" w:space="0" w:color="7F7F7F" w:themeColor="text1" w:themeTint="80"/>
            </w:tcBorders>
          </w:tcPr>
          <w:p w14:paraId="0755CC6D" w14:textId="77777777" w:rsidR="00792B61" w:rsidRDefault="00792B61" w:rsidP="00792B61">
            <w:pPr>
              <w:rPr>
                <w:color w:val="000000" w:themeColor="text1"/>
                <w:lang w:eastAsia="en-AU"/>
              </w:rPr>
            </w:pPr>
            <w:r>
              <w:rPr>
                <w:color w:val="000000" w:themeColor="text1"/>
                <w:lang w:eastAsia="en-AU"/>
              </w:rPr>
              <w:t>IMHA advocacy and self-advocacy</w:t>
            </w:r>
          </w:p>
        </w:tc>
        <w:tc>
          <w:tcPr>
            <w:tcW w:w="1034" w:type="pct"/>
            <w:tcBorders>
              <w:top w:val="single" w:sz="4" w:space="0" w:color="auto"/>
              <w:left w:val="single" w:sz="4" w:space="0" w:color="auto"/>
              <w:bottom w:val="single" w:sz="4" w:space="0" w:color="7F7F7F" w:themeColor="text1" w:themeTint="80"/>
              <w:right w:val="single" w:sz="4" w:space="0" w:color="auto"/>
            </w:tcBorders>
            <w:shd w:val="clear" w:color="auto" w:fill="auto"/>
            <w:vAlign w:val="center"/>
          </w:tcPr>
          <w:p w14:paraId="019029B9" w14:textId="01BDBF66" w:rsidR="00792B61" w:rsidRPr="003E5897" w:rsidRDefault="00792B61" w:rsidP="00792B61">
            <w:pPr>
              <w:jc w:val="center"/>
              <w:rPr>
                <w:lang w:eastAsia="en-AU"/>
              </w:rPr>
            </w:pPr>
            <w:r>
              <w:rPr>
                <w:color w:val="000000" w:themeColor="text1"/>
                <w:lang w:eastAsia="en-AU"/>
              </w:rPr>
              <w:t>4,745</w:t>
            </w:r>
          </w:p>
        </w:tc>
        <w:tc>
          <w:tcPr>
            <w:tcW w:w="1121" w:type="pct"/>
            <w:tcBorders>
              <w:bottom w:val="single" w:sz="4" w:space="0" w:color="7F7F7F" w:themeColor="text1" w:themeTint="80"/>
            </w:tcBorders>
            <w:shd w:val="clear" w:color="auto" w:fill="D9D9D9" w:themeFill="background1" w:themeFillShade="D9"/>
            <w:vAlign w:val="center"/>
          </w:tcPr>
          <w:p w14:paraId="129D538F" w14:textId="64F5AE8B" w:rsidR="00792B61" w:rsidRPr="000212D1" w:rsidRDefault="00994171" w:rsidP="00792B61">
            <w:pPr>
              <w:jc w:val="center"/>
              <w:rPr>
                <w:color w:val="000000" w:themeColor="text1"/>
                <w:lang w:eastAsia="en-AU"/>
              </w:rPr>
            </w:pPr>
            <w:r>
              <w:rPr>
                <w:color w:val="000000" w:themeColor="text1"/>
                <w:lang w:eastAsia="en-AU"/>
              </w:rPr>
              <w:t>9,</w:t>
            </w:r>
            <w:r w:rsidR="007B5D8A">
              <w:rPr>
                <w:color w:val="000000" w:themeColor="text1"/>
                <w:lang w:eastAsia="en-AU"/>
              </w:rPr>
              <w:t>873</w:t>
            </w:r>
          </w:p>
        </w:tc>
        <w:tc>
          <w:tcPr>
            <w:tcW w:w="1122" w:type="pct"/>
            <w:tcBorders>
              <w:bottom w:val="single" w:sz="4" w:space="0" w:color="7F7F7F" w:themeColor="text1" w:themeTint="80"/>
            </w:tcBorders>
            <w:vAlign w:val="center"/>
          </w:tcPr>
          <w:p w14:paraId="389B5504" w14:textId="636DDC9E" w:rsidR="00792B61" w:rsidRPr="000212D1" w:rsidRDefault="00826F1F" w:rsidP="00792B61">
            <w:pPr>
              <w:jc w:val="center"/>
              <w:rPr>
                <w:color w:val="000000" w:themeColor="text1"/>
                <w:lang w:eastAsia="en-AU"/>
              </w:rPr>
            </w:pPr>
            <w:r>
              <w:rPr>
                <w:color w:val="000000" w:themeColor="text1"/>
                <w:lang w:eastAsia="en-AU"/>
              </w:rPr>
              <w:t>N/A</w:t>
            </w:r>
          </w:p>
        </w:tc>
      </w:tr>
      <w:tr w:rsidR="00792B61" w14:paraId="75AA9DF1" w14:textId="77777777" w:rsidTr="20026E5A">
        <w:trPr>
          <w:trHeight w:val="194"/>
        </w:trPr>
        <w:tc>
          <w:tcPr>
            <w:tcW w:w="1722" w:type="pct"/>
            <w:tcBorders>
              <w:top w:val="single" w:sz="4" w:space="0" w:color="auto"/>
              <w:bottom w:val="single" w:sz="4" w:space="0" w:color="auto"/>
            </w:tcBorders>
            <w:hideMark/>
          </w:tcPr>
          <w:p w14:paraId="58ED7E13" w14:textId="77777777" w:rsidR="00792B61" w:rsidRDefault="00792B61" w:rsidP="00792B61">
            <w:pPr>
              <w:rPr>
                <w:color w:val="000000" w:themeColor="text1"/>
                <w:lang w:eastAsia="en-AU"/>
              </w:rPr>
            </w:pPr>
            <w:r>
              <w:rPr>
                <w:color w:val="000000" w:themeColor="text1"/>
                <w:lang w:eastAsia="en-AU"/>
              </w:rPr>
              <w:t xml:space="preserve">IFAS information and referral sessions </w:t>
            </w:r>
          </w:p>
        </w:tc>
        <w:tc>
          <w:tcPr>
            <w:tcW w:w="1034" w:type="pct"/>
            <w:tcBorders>
              <w:top w:val="single" w:sz="4" w:space="0" w:color="auto"/>
              <w:left w:val="single" w:sz="4" w:space="0" w:color="auto"/>
              <w:bottom w:val="single" w:sz="4" w:space="0" w:color="auto"/>
              <w:right w:val="single" w:sz="4" w:space="0" w:color="auto"/>
            </w:tcBorders>
            <w:shd w:val="clear" w:color="auto" w:fill="auto"/>
            <w:vAlign w:val="center"/>
          </w:tcPr>
          <w:p w14:paraId="2A0A82EF" w14:textId="107558CD" w:rsidR="00792B61" w:rsidRDefault="00792B61" w:rsidP="00792B61">
            <w:pPr>
              <w:jc w:val="center"/>
              <w:rPr>
                <w:color w:val="000000" w:themeColor="text1"/>
                <w:lang w:eastAsia="en-AU"/>
              </w:rPr>
            </w:pPr>
            <w:r>
              <w:rPr>
                <w:color w:val="000000" w:themeColor="text1"/>
                <w:lang w:eastAsia="en-AU"/>
              </w:rPr>
              <w:t>564</w:t>
            </w:r>
          </w:p>
        </w:tc>
        <w:tc>
          <w:tcPr>
            <w:tcW w:w="1121" w:type="pct"/>
            <w:tcBorders>
              <w:top w:val="single" w:sz="4" w:space="0" w:color="auto"/>
              <w:bottom w:val="single" w:sz="4" w:space="0" w:color="auto"/>
            </w:tcBorders>
            <w:shd w:val="clear" w:color="auto" w:fill="D9D9D9" w:themeFill="background1" w:themeFillShade="D9"/>
            <w:vAlign w:val="center"/>
          </w:tcPr>
          <w:p w14:paraId="704DD11B" w14:textId="281D627C" w:rsidR="00792B61" w:rsidRDefault="00C8576B" w:rsidP="00792B61">
            <w:pPr>
              <w:jc w:val="center"/>
              <w:rPr>
                <w:color w:val="000000" w:themeColor="text1"/>
                <w:lang w:eastAsia="en-AU"/>
              </w:rPr>
            </w:pPr>
            <w:r>
              <w:rPr>
                <w:color w:val="000000" w:themeColor="text1"/>
                <w:lang w:eastAsia="en-AU"/>
              </w:rPr>
              <w:t>533</w:t>
            </w:r>
          </w:p>
        </w:tc>
        <w:tc>
          <w:tcPr>
            <w:tcW w:w="1122" w:type="pct"/>
            <w:tcBorders>
              <w:top w:val="single" w:sz="4" w:space="0" w:color="auto"/>
              <w:bottom w:val="single" w:sz="4" w:space="0" w:color="auto"/>
            </w:tcBorders>
            <w:vAlign w:val="center"/>
          </w:tcPr>
          <w:p w14:paraId="745BE12E" w14:textId="5963FA48" w:rsidR="00792B61" w:rsidRPr="000212D1" w:rsidRDefault="00C8576B" w:rsidP="00792B61">
            <w:pPr>
              <w:jc w:val="center"/>
              <w:rPr>
                <w:color w:val="000000" w:themeColor="text1"/>
                <w:lang w:eastAsia="en-AU"/>
              </w:rPr>
            </w:pPr>
            <w:r>
              <w:rPr>
                <w:color w:val="000000" w:themeColor="text1"/>
                <w:lang w:eastAsia="en-AU"/>
              </w:rPr>
              <w:t>1200</w:t>
            </w:r>
          </w:p>
        </w:tc>
      </w:tr>
      <w:tr w:rsidR="00792B61" w14:paraId="27C6E0AE" w14:textId="77777777" w:rsidTr="20026E5A">
        <w:trPr>
          <w:trHeight w:val="194"/>
        </w:trPr>
        <w:tc>
          <w:tcPr>
            <w:tcW w:w="1722" w:type="pct"/>
            <w:tcBorders>
              <w:top w:val="single" w:sz="4" w:space="0" w:color="auto"/>
              <w:bottom w:val="single" w:sz="4" w:space="0" w:color="auto"/>
            </w:tcBorders>
          </w:tcPr>
          <w:p w14:paraId="2D7A19F1" w14:textId="77777777" w:rsidR="00792B61" w:rsidRDefault="00792B61" w:rsidP="00792B61">
            <w:pPr>
              <w:rPr>
                <w:color w:val="000000" w:themeColor="text1"/>
                <w:lang w:eastAsia="en-AU"/>
              </w:rPr>
            </w:pPr>
            <w:r>
              <w:rPr>
                <w:color w:val="000000" w:themeColor="text1"/>
                <w:lang w:eastAsia="en-AU"/>
              </w:rPr>
              <w:t>IFAS advocacy and self-advocacy</w:t>
            </w:r>
          </w:p>
        </w:tc>
        <w:tc>
          <w:tcPr>
            <w:tcW w:w="1034" w:type="pct"/>
            <w:tcBorders>
              <w:top w:val="single" w:sz="4" w:space="0" w:color="auto"/>
              <w:left w:val="single" w:sz="4" w:space="0" w:color="auto"/>
              <w:bottom w:val="single" w:sz="4" w:space="0" w:color="auto"/>
              <w:right w:val="single" w:sz="4" w:space="0" w:color="auto"/>
            </w:tcBorders>
            <w:shd w:val="clear" w:color="auto" w:fill="auto"/>
            <w:vAlign w:val="center"/>
          </w:tcPr>
          <w:p w14:paraId="404201E6" w14:textId="210D3D4C" w:rsidR="00792B61" w:rsidRPr="006C14A7" w:rsidRDefault="00792B61" w:rsidP="00792B61">
            <w:pPr>
              <w:jc w:val="center"/>
              <w:rPr>
                <w:lang w:eastAsia="en-AU"/>
              </w:rPr>
            </w:pPr>
            <w:r>
              <w:rPr>
                <w:color w:val="000000" w:themeColor="text1"/>
                <w:lang w:eastAsia="en-AU"/>
              </w:rPr>
              <w:t>768</w:t>
            </w:r>
          </w:p>
        </w:tc>
        <w:tc>
          <w:tcPr>
            <w:tcW w:w="1121" w:type="pct"/>
            <w:tcBorders>
              <w:top w:val="single" w:sz="4" w:space="0" w:color="auto"/>
              <w:bottom w:val="single" w:sz="4" w:space="0" w:color="auto"/>
            </w:tcBorders>
            <w:shd w:val="clear" w:color="auto" w:fill="D9D9D9" w:themeFill="background1" w:themeFillShade="D9"/>
            <w:vAlign w:val="center"/>
          </w:tcPr>
          <w:p w14:paraId="3F4FBC1B" w14:textId="53B1216E" w:rsidR="00792B61" w:rsidRPr="000212D1" w:rsidRDefault="00C8576B" w:rsidP="00792B61">
            <w:pPr>
              <w:jc w:val="center"/>
              <w:rPr>
                <w:color w:val="000000" w:themeColor="text1"/>
                <w:lang w:eastAsia="en-AU"/>
              </w:rPr>
            </w:pPr>
            <w:r>
              <w:rPr>
                <w:color w:val="000000" w:themeColor="text1"/>
                <w:lang w:eastAsia="en-AU"/>
              </w:rPr>
              <w:t>534</w:t>
            </w:r>
          </w:p>
        </w:tc>
        <w:tc>
          <w:tcPr>
            <w:tcW w:w="1122" w:type="pct"/>
            <w:tcBorders>
              <w:top w:val="single" w:sz="4" w:space="0" w:color="auto"/>
              <w:bottom w:val="single" w:sz="4" w:space="0" w:color="auto"/>
            </w:tcBorders>
            <w:vAlign w:val="center"/>
          </w:tcPr>
          <w:p w14:paraId="70F032B2" w14:textId="1A84CDC6" w:rsidR="00792B61" w:rsidRPr="000212D1" w:rsidRDefault="00C8576B" w:rsidP="00792B61">
            <w:pPr>
              <w:jc w:val="center"/>
              <w:rPr>
                <w:color w:val="000000" w:themeColor="text1"/>
                <w:lang w:eastAsia="en-AU"/>
              </w:rPr>
            </w:pPr>
            <w:r>
              <w:rPr>
                <w:color w:val="000000" w:themeColor="text1"/>
                <w:lang w:eastAsia="en-AU"/>
              </w:rPr>
              <w:t>1400</w:t>
            </w:r>
          </w:p>
        </w:tc>
      </w:tr>
      <w:bookmarkEnd w:id="2"/>
    </w:tbl>
    <w:p w14:paraId="20B7FE96" w14:textId="77777777" w:rsidR="000B2451" w:rsidRDefault="000B2451" w:rsidP="007D54C7">
      <w:pPr>
        <w:keepNext/>
        <w:rPr>
          <w:b/>
          <w:bCs/>
          <w:i/>
          <w:iCs/>
          <w:lang w:eastAsia="en-AU"/>
        </w:rPr>
      </w:pPr>
    </w:p>
    <w:p w14:paraId="5EAC8DF8" w14:textId="77777777" w:rsidR="000B2451" w:rsidRDefault="000B2451" w:rsidP="007D54C7">
      <w:pPr>
        <w:keepNext/>
        <w:rPr>
          <w:b/>
          <w:bCs/>
          <w:i/>
          <w:iCs/>
          <w:lang w:eastAsia="en-AU"/>
        </w:rPr>
      </w:pPr>
    </w:p>
    <w:p w14:paraId="58F9451C" w14:textId="77777777" w:rsidR="000B2451" w:rsidRDefault="000B2451" w:rsidP="007D54C7">
      <w:pPr>
        <w:keepNext/>
        <w:rPr>
          <w:b/>
          <w:bCs/>
          <w:i/>
          <w:iCs/>
          <w:lang w:eastAsia="en-AU"/>
        </w:rPr>
      </w:pPr>
    </w:p>
    <w:p w14:paraId="5A356527" w14:textId="77777777" w:rsidR="000B2451" w:rsidRDefault="000B2451" w:rsidP="007D54C7">
      <w:pPr>
        <w:keepNext/>
        <w:rPr>
          <w:b/>
          <w:bCs/>
          <w:i/>
          <w:iCs/>
          <w:lang w:eastAsia="en-AU"/>
        </w:rPr>
      </w:pPr>
    </w:p>
    <w:p w14:paraId="533C8454" w14:textId="77777777" w:rsidR="000B2451" w:rsidRDefault="000B2451" w:rsidP="007D54C7">
      <w:pPr>
        <w:keepNext/>
        <w:rPr>
          <w:b/>
          <w:bCs/>
          <w:i/>
          <w:iCs/>
          <w:lang w:eastAsia="en-AU"/>
        </w:rPr>
      </w:pPr>
    </w:p>
    <w:p w14:paraId="69E946F1" w14:textId="77777777" w:rsidR="00AF45C2" w:rsidRDefault="00AF45C2" w:rsidP="004867C2">
      <w:pPr>
        <w:pStyle w:val="Heading2"/>
        <w:rPr>
          <w:rFonts w:eastAsia="Arial Bold"/>
        </w:rPr>
      </w:pPr>
    </w:p>
    <w:p w14:paraId="5F08D519" w14:textId="77777777" w:rsidR="00AF45C2" w:rsidRDefault="00AF45C2" w:rsidP="004867C2">
      <w:pPr>
        <w:pStyle w:val="Heading2"/>
        <w:rPr>
          <w:rFonts w:eastAsia="Arial Bold"/>
        </w:rPr>
      </w:pPr>
    </w:p>
    <w:p w14:paraId="7605D83F" w14:textId="77777777" w:rsidR="00AF45C2" w:rsidRDefault="00AF45C2" w:rsidP="004867C2">
      <w:pPr>
        <w:pStyle w:val="Heading2"/>
        <w:rPr>
          <w:rFonts w:eastAsia="Arial Bold"/>
        </w:rPr>
      </w:pPr>
    </w:p>
    <w:p w14:paraId="696AF058" w14:textId="77777777" w:rsidR="00AF45C2" w:rsidRDefault="00AF45C2">
      <w:pPr>
        <w:spacing w:after="0" w:line="240" w:lineRule="auto"/>
        <w:rPr>
          <w:rFonts w:eastAsia="Arial Bold" w:cs="Arial"/>
          <w:b/>
          <w:bCs/>
          <w:iCs/>
          <w:color w:val="971A4B"/>
          <w:sz w:val="28"/>
          <w:szCs w:val="28"/>
          <w:lang w:eastAsia="en-AU"/>
        </w:rPr>
      </w:pPr>
      <w:r>
        <w:rPr>
          <w:rFonts w:eastAsia="Arial Bold"/>
        </w:rPr>
        <w:br w:type="page"/>
      </w:r>
    </w:p>
    <w:p w14:paraId="1BE2252B" w14:textId="3E76C5A5" w:rsidR="00A40949" w:rsidRPr="004867C2" w:rsidRDefault="1FBE55FE" w:rsidP="004867C2">
      <w:pPr>
        <w:pStyle w:val="Heading2"/>
        <w:rPr>
          <w:rFonts w:cs="Times New Roman"/>
          <w:i/>
        </w:rPr>
      </w:pPr>
      <w:r w:rsidRPr="79F055BD">
        <w:rPr>
          <w:rFonts w:eastAsia="Arial Bold"/>
        </w:rPr>
        <w:lastRenderedPageBreak/>
        <w:t>Financial Summary</w:t>
      </w:r>
    </w:p>
    <w:p w14:paraId="0DD9A5E6" w14:textId="621EE06F" w:rsidR="1EBE0354" w:rsidRDefault="6E7DA398" w:rsidP="1EBE0354">
      <w:r>
        <w:t xml:space="preserve">Our </w:t>
      </w:r>
      <w:r w:rsidR="00283AC7">
        <w:t>consol</w:t>
      </w:r>
      <w:r w:rsidR="00D007C6">
        <w:t xml:space="preserve">idated </w:t>
      </w:r>
      <w:r>
        <w:t>operating position for quarter two in 2023–24 was a surplus of $2.</w:t>
      </w:r>
      <w:r w:rsidR="003F0E2C">
        <w:t>9</w:t>
      </w:r>
      <w:r>
        <w:t xml:space="preserve"> million. The operating position was driven solely by a surplus in </w:t>
      </w:r>
      <w:r w:rsidR="00FF5DDE">
        <w:t>i</w:t>
      </w:r>
      <w:r>
        <w:t xml:space="preserve">nitiative </w:t>
      </w:r>
      <w:r w:rsidR="00FF5DDE">
        <w:t>f</w:t>
      </w:r>
      <w:r>
        <w:t xml:space="preserve">unding. Initiative </w:t>
      </w:r>
      <w:r w:rsidR="00FF5DDE">
        <w:t>f</w:t>
      </w:r>
      <w:r>
        <w:t>unding has become a more significant percentage of our overall funding</w:t>
      </w:r>
      <w:r w:rsidR="0010759F">
        <w:t>.</w:t>
      </w:r>
      <w:r w:rsidR="004356C3">
        <w:t xml:space="preserve"> </w:t>
      </w:r>
      <w:r w:rsidR="0010759F">
        <w:t>T</w:t>
      </w:r>
      <w:r w:rsidR="00FA2B12">
        <w:t>here is often a</w:t>
      </w:r>
      <w:r>
        <w:t xml:space="preserve"> timing</w:t>
      </w:r>
      <w:r w:rsidR="00FA2B12">
        <w:t xml:space="preserve"> difference</w:t>
      </w:r>
      <w:r>
        <w:t xml:space="preserve"> between </w:t>
      </w:r>
      <w:r w:rsidR="006965BD">
        <w:t xml:space="preserve">when the </w:t>
      </w:r>
      <w:r>
        <w:t>funding</w:t>
      </w:r>
      <w:r w:rsidR="006965BD">
        <w:t xml:space="preserve"> is </w:t>
      </w:r>
      <w:r w:rsidR="00F526A4">
        <w:t>received</w:t>
      </w:r>
      <w:r>
        <w:t xml:space="preserve"> and </w:t>
      </w:r>
      <w:r w:rsidR="006965BD">
        <w:t xml:space="preserve">when the </w:t>
      </w:r>
      <w:r>
        <w:t>expenditure</w:t>
      </w:r>
      <w:r w:rsidR="00F526A4">
        <w:t xml:space="preserve"> is</w:t>
      </w:r>
      <w:r w:rsidR="006965BD">
        <w:t xml:space="preserve"> incurred </w:t>
      </w:r>
      <w:r w:rsidR="00F526A4">
        <w:t xml:space="preserve">largely </w:t>
      </w:r>
      <w:r w:rsidR="006965BD">
        <w:t>aligned with court activity</w:t>
      </w:r>
      <w:r>
        <w:t xml:space="preserve"> </w:t>
      </w:r>
      <w:r w:rsidR="00C406BF">
        <w:t xml:space="preserve">which can span multiple years </w:t>
      </w:r>
      <w:r w:rsidR="00F526A4">
        <w:t>resul</w:t>
      </w:r>
      <w:r w:rsidR="001C4D27">
        <w:t>ting in a</w:t>
      </w:r>
      <w:r>
        <w:t xml:space="preserve"> surplus</w:t>
      </w:r>
      <w:r w:rsidR="00C406BF">
        <w:t xml:space="preserve"> in the first year of funding</w:t>
      </w:r>
      <w:r>
        <w:t>.</w:t>
      </w:r>
      <w:r w:rsidR="004356C3">
        <w:t xml:space="preserve"> </w:t>
      </w:r>
      <w:r w:rsidR="00E13D8A">
        <w:t xml:space="preserve">This funding is fully committed </w:t>
      </w:r>
      <w:r w:rsidR="00217DAD">
        <w:t>to deliver these initiatives.</w:t>
      </w:r>
      <w:r w:rsidR="004356C3">
        <w:t xml:space="preserve"> </w:t>
      </w:r>
      <w:r>
        <w:t xml:space="preserve">In quarter three we have forecast a similar result as in quarter two, </w:t>
      </w:r>
      <w:r w:rsidR="00DA63A9">
        <w:t>due to the timing of project funding received from the</w:t>
      </w:r>
      <w:r>
        <w:t xml:space="preserve"> Public Purpose Fund and a projected increase in interest revenue</w:t>
      </w:r>
      <w:r w:rsidR="00070301">
        <w:t xml:space="preserve"> due to </w:t>
      </w:r>
      <w:r w:rsidR="005F69AD">
        <w:t>higher-than-expected</w:t>
      </w:r>
      <w:r w:rsidR="00070301">
        <w:t xml:space="preserve"> interest rates</w:t>
      </w:r>
      <w:r>
        <w:t>, offset by increased expenditure due to the committed initiative expenditure and court activities.</w:t>
      </w:r>
    </w:p>
    <w:p w14:paraId="783CF770" w14:textId="49088877" w:rsidR="1EBE0354" w:rsidRDefault="6E7DA398" w:rsidP="1EBE0354">
      <w:r>
        <w:t>Analysis shows demand for services still exceeds our base funding</w:t>
      </w:r>
      <w:r w:rsidR="00D007C6">
        <w:t xml:space="preserve"> levels</w:t>
      </w:r>
      <w:r w:rsidR="00EB2A61">
        <w:t xml:space="preserve"> with </w:t>
      </w:r>
      <w:r w:rsidR="00742B78">
        <w:t xml:space="preserve">a </w:t>
      </w:r>
      <w:r>
        <w:t xml:space="preserve">projected </w:t>
      </w:r>
      <w:r w:rsidR="00742B78">
        <w:t>base funding</w:t>
      </w:r>
      <w:r>
        <w:t xml:space="preserve"> </w:t>
      </w:r>
      <w:r w:rsidR="00194337">
        <w:t xml:space="preserve">shortfall </w:t>
      </w:r>
      <w:r>
        <w:t xml:space="preserve">for the financial year. Our cash balance remains unusually high due to reduced court activity during the pandemic, and in the short term, we will use these funds to meet </w:t>
      </w:r>
      <w:r w:rsidR="00CE06AC">
        <w:t xml:space="preserve">current </w:t>
      </w:r>
      <w:r>
        <w:t xml:space="preserve">demand. Our cash reserves need to be carefully managed to ensure we can continue to meet our existing </w:t>
      </w:r>
      <w:r w:rsidR="00CE06AC">
        <w:t xml:space="preserve">grant </w:t>
      </w:r>
      <w:r>
        <w:t>commitments</w:t>
      </w:r>
      <w:r w:rsidR="00CE06AC">
        <w:t xml:space="preserve"> which span multiple years</w:t>
      </w:r>
      <w:r w:rsidR="00B30814">
        <w:t xml:space="preserve"> aligned with court activity</w:t>
      </w:r>
      <w:r>
        <w:t xml:space="preserve">.  </w:t>
      </w:r>
    </w:p>
    <w:p w14:paraId="52E18FCF" w14:textId="00E739C6" w:rsidR="1EBE0354" w:rsidRPr="00317463" w:rsidRDefault="6E7DA398" w:rsidP="1EBE0354">
      <w:r>
        <w:t>Long-term projections continue to highlight that base funding is insufficient to meet the projected demand. Without additional funding, we will need to consider service reductions. Any service reductions would be for court-based services, following consultation with sector partners. We continue to work with the Victorian Department of Justice and Community Safety to resolve these financial sustainability challenges.</w:t>
      </w:r>
    </w:p>
    <w:p w14:paraId="495BD9FD" w14:textId="764D41EE" w:rsidR="00A40949" w:rsidRPr="00A40949" w:rsidRDefault="1FBE55FE" w:rsidP="00A40949">
      <w:pPr>
        <w:pStyle w:val="Heading3"/>
        <w:rPr>
          <w:sz w:val="20"/>
          <w:szCs w:val="20"/>
        </w:rPr>
      </w:pPr>
      <w:bookmarkStart w:id="3" w:name="_Hlk33006424"/>
      <w:bookmarkStart w:id="4" w:name="_Hlk25835001"/>
      <w:r w:rsidRPr="79F055BD">
        <w:rPr>
          <w:rStyle w:val="Heading3Char"/>
          <w:b/>
          <w:bCs/>
          <w:sz w:val="20"/>
          <w:szCs w:val="20"/>
        </w:rPr>
        <w:t>Table 2.1 Total revenue breakdown ($’000</w:t>
      </w:r>
      <w:r w:rsidRPr="79F055BD">
        <w:rPr>
          <w:sz w:val="20"/>
          <w:szCs w:val="20"/>
        </w:rPr>
        <w:t xml:space="preserve">) </w:t>
      </w:r>
    </w:p>
    <w:tbl>
      <w:tblPr>
        <w:tblStyle w:val="PlainTable2"/>
        <w:tblW w:w="0" w:type="auto"/>
        <w:tblLayout w:type="fixed"/>
        <w:tblLook w:val="0620" w:firstRow="1" w:lastRow="0" w:firstColumn="0" w:lastColumn="0" w:noHBand="1" w:noVBand="1"/>
      </w:tblPr>
      <w:tblGrid>
        <w:gridCol w:w="3862"/>
        <w:gridCol w:w="1524"/>
        <w:gridCol w:w="1562"/>
        <w:gridCol w:w="1577"/>
      </w:tblGrid>
      <w:tr w:rsidR="00792B61" w14:paraId="2DC8B148" w14:textId="77777777" w:rsidTr="0D4845F1">
        <w:trPr>
          <w:cnfStyle w:val="100000000000" w:firstRow="1" w:lastRow="0" w:firstColumn="0" w:lastColumn="0" w:oddVBand="0" w:evenVBand="0" w:oddHBand="0" w:evenHBand="0" w:firstRowFirstColumn="0" w:firstRowLastColumn="0" w:lastRowFirstColumn="0" w:lastRowLastColumn="0"/>
          <w:trHeight w:val="300"/>
        </w:trPr>
        <w:tc>
          <w:tcPr>
            <w:tcW w:w="3862" w:type="dxa"/>
            <w:tcBorders>
              <w:top w:val="single" w:sz="8" w:space="0" w:color="44546A" w:themeColor="text2"/>
              <w:left w:val="single" w:sz="8" w:space="0" w:color="auto"/>
              <w:bottom w:val="single" w:sz="8" w:space="0" w:color="44546A" w:themeColor="text2"/>
              <w:right w:val="single" w:sz="8" w:space="0" w:color="auto"/>
            </w:tcBorders>
            <w:shd w:val="clear" w:color="auto" w:fill="C3AFCC"/>
            <w:tcMar>
              <w:left w:w="108" w:type="dxa"/>
              <w:right w:w="108" w:type="dxa"/>
            </w:tcMar>
          </w:tcPr>
          <w:p w14:paraId="74BA40F2" w14:textId="39E6D731" w:rsidR="00792B61" w:rsidRDefault="00792B61" w:rsidP="00792B61">
            <w:bookmarkStart w:id="5" w:name="_Hlk10632113"/>
            <w:bookmarkEnd w:id="3"/>
            <w:bookmarkEnd w:id="4"/>
            <w:bookmarkEnd w:id="5"/>
            <w:r w:rsidRPr="79F055BD">
              <w:rPr>
                <w:rFonts w:eastAsia="Arial" w:cs="Arial"/>
                <w:b/>
                <w:color w:val="000000" w:themeColor="text1"/>
                <w:szCs w:val="22"/>
              </w:rPr>
              <w:t>Revenue</w:t>
            </w:r>
          </w:p>
        </w:tc>
        <w:tc>
          <w:tcPr>
            <w:tcW w:w="1524" w:type="dxa"/>
            <w:tcBorders>
              <w:top w:val="single" w:sz="8" w:space="0" w:color="44546A" w:themeColor="text2"/>
              <w:left w:val="single" w:sz="8" w:space="0" w:color="auto"/>
              <w:bottom w:val="single" w:sz="8" w:space="0" w:color="44546A" w:themeColor="text2"/>
              <w:right w:val="single" w:sz="8" w:space="0" w:color="auto"/>
            </w:tcBorders>
            <w:shd w:val="clear" w:color="auto" w:fill="C3AFCC"/>
            <w:tcMar>
              <w:left w:w="108" w:type="dxa"/>
              <w:right w:w="108" w:type="dxa"/>
            </w:tcMar>
          </w:tcPr>
          <w:p w14:paraId="4A708D4E" w14:textId="77777777" w:rsidR="00792B61" w:rsidRDefault="00792B61" w:rsidP="00792B61">
            <w:pPr>
              <w:jc w:val="center"/>
              <w:rPr>
                <w:b/>
                <w:color w:val="000000" w:themeColor="text1"/>
              </w:rPr>
            </w:pPr>
            <w:r w:rsidRPr="55245693">
              <w:rPr>
                <w:b/>
                <w:color w:val="000000" w:themeColor="text1"/>
              </w:rPr>
              <w:t>Q</w:t>
            </w:r>
            <w:r>
              <w:rPr>
                <w:b/>
                <w:color w:val="000000" w:themeColor="text1"/>
              </w:rPr>
              <w:t>1</w:t>
            </w:r>
          </w:p>
          <w:p w14:paraId="1ACCC4B5" w14:textId="5AE9C785" w:rsidR="00792B61" w:rsidRDefault="00792B61" w:rsidP="00792B61">
            <w:pPr>
              <w:jc w:val="center"/>
            </w:pPr>
            <w:r w:rsidRPr="000E7EED">
              <w:rPr>
                <w:b/>
                <w:color w:val="000000" w:themeColor="text1"/>
              </w:rPr>
              <w:t>20</w:t>
            </w:r>
            <w:r>
              <w:rPr>
                <w:b/>
                <w:color w:val="000000" w:themeColor="text1"/>
              </w:rPr>
              <w:t>23-24</w:t>
            </w:r>
          </w:p>
        </w:tc>
        <w:tc>
          <w:tcPr>
            <w:tcW w:w="1562" w:type="dxa"/>
            <w:tcBorders>
              <w:top w:val="single" w:sz="8" w:space="0" w:color="44546A" w:themeColor="text2"/>
              <w:left w:val="single" w:sz="8" w:space="0" w:color="auto"/>
              <w:bottom w:val="single" w:sz="8" w:space="0" w:color="44546A" w:themeColor="text2"/>
              <w:right w:val="single" w:sz="8" w:space="0" w:color="auto"/>
            </w:tcBorders>
            <w:shd w:val="clear" w:color="auto" w:fill="C3AFCC"/>
            <w:tcMar>
              <w:left w:w="108" w:type="dxa"/>
              <w:right w:w="108" w:type="dxa"/>
            </w:tcMar>
          </w:tcPr>
          <w:p w14:paraId="47FE01DD" w14:textId="77777777" w:rsidR="00792B61" w:rsidRPr="000E7EED" w:rsidRDefault="00792B61" w:rsidP="00792B61">
            <w:pPr>
              <w:jc w:val="center"/>
              <w:rPr>
                <w:b/>
                <w:color w:val="000000" w:themeColor="text1"/>
              </w:rPr>
            </w:pPr>
            <w:r w:rsidRPr="55245693">
              <w:rPr>
                <w:b/>
                <w:color w:val="000000" w:themeColor="text1"/>
              </w:rPr>
              <w:t>Q</w:t>
            </w:r>
            <w:r>
              <w:rPr>
                <w:b/>
                <w:color w:val="000000" w:themeColor="text1"/>
              </w:rPr>
              <w:t>2</w:t>
            </w:r>
          </w:p>
          <w:p w14:paraId="147E6570" w14:textId="769A5F3D" w:rsidR="00792B61" w:rsidRDefault="00792B61" w:rsidP="00792B61">
            <w:pPr>
              <w:jc w:val="center"/>
            </w:pPr>
            <w:r w:rsidRPr="000E7EED">
              <w:rPr>
                <w:b/>
                <w:color w:val="000000" w:themeColor="text1"/>
              </w:rPr>
              <w:t>20</w:t>
            </w:r>
            <w:r>
              <w:rPr>
                <w:b/>
                <w:color w:val="000000" w:themeColor="text1"/>
              </w:rPr>
              <w:t>23-24</w:t>
            </w:r>
          </w:p>
        </w:tc>
        <w:tc>
          <w:tcPr>
            <w:tcW w:w="1577" w:type="dxa"/>
            <w:tcBorders>
              <w:top w:val="single" w:sz="8" w:space="0" w:color="44546A" w:themeColor="text2"/>
              <w:left w:val="single" w:sz="8" w:space="0" w:color="auto"/>
              <w:bottom w:val="single" w:sz="8" w:space="0" w:color="44546A" w:themeColor="text2"/>
              <w:right w:val="single" w:sz="8" w:space="0" w:color="auto"/>
            </w:tcBorders>
            <w:shd w:val="clear" w:color="auto" w:fill="C3AFCC"/>
            <w:tcMar>
              <w:left w:w="108" w:type="dxa"/>
              <w:right w:w="108" w:type="dxa"/>
            </w:tcMar>
          </w:tcPr>
          <w:p w14:paraId="62B75977" w14:textId="2FDBDA51" w:rsidR="00792B61" w:rsidRDefault="00792B61" w:rsidP="00792B61">
            <w:pPr>
              <w:jc w:val="center"/>
            </w:pPr>
            <w:r w:rsidRPr="55245693">
              <w:rPr>
                <w:b/>
                <w:color w:val="000000" w:themeColor="text1"/>
              </w:rPr>
              <w:t>Q</w:t>
            </w:r>
            <w:r>
              <w:rPr>
                <w:b/>
                <w:color w:val="000000" w:themeColor="text1"/>
              </w:rPr>
              <w:t xml:space="preserve">3 </w:t>
            </w:r>
            <w:r w:rsidRPr="000E7EED">
              <w:rPr>
                <w:b/>
                <w:color w:val="000000" w:themeColor="text1"/>
              </w:rPr>
              <w:t>20</w:t>
            </w:r>
            <w:r>
              <w:rPr>
                <w:b/>
                <w:color w:val="000000" w:themeColor="text1"/>
              </w:rPr>
              <w:t>23-24 projection</w:t>
            </w:r>
          </w:p>
        </w:tc>
      </w:tr>
      <w:tr w:rsidR="00792B61" w14:paraId="2CBB5AEC" w14:textId="77777777" w:rsidTr="0D4845F1">
        <w:trPr>
          <w:trHeight w:val="300"/>
        </w:trPr>
        <w:tc>
          <w:tcPr>
            <w:tcW w:w="3862" w:type="dxa"/>
            <w:tcBorders>
              <w:top w:val="single" w:sz="8" w:space="0" w:color="44546A" w:themeColor="text2"/>
              <w:left w:val="single" w:sz="8" w:space="0" w:color="auto"/>
              <w:bottom w:val="single" w:sz="8" w:space="0" w:color="auto"/>
              <w:right w:val="single" w:sz="8" w:space="0" w:color="auto"/>
            </w:tcBorders>
            <w:tcMar>
              <w:left w:w="108" w:type="dxa"/>
              <w:right w:w="108" w:type="dxa"/>
            </w:tcMar>
          </w:tcPr>
          <w:p w14:paraId="3D9BF713" w14:textId="179CCD5B" w:rsidR="00792B61" w:rsidRDefault="00792B61" w:rsidP="00792B61">
            <w:r w:rsidRPr="79F055BD">
              <w:rPr>
                <w:rFonts w:eastAsia="Arial" w:cs="Arial"/>
                <w:color w:val="000000" w:themeColor="text1"/>
                <w:szCs w:val="22"/>
              </w:rPr>
              <w:t>Commonwealth – grants</w:t>
            </w:r>
          </w:p>
        </w:tc>
        <w:tc>
          <w:tcPr>
            <w:tcW w:w="1524" w:type="dxa"/>
            <w:tcBorders>
              <w:top w:val="single" w:sz="8" w:space="0" w:color="44546A" w:themeColor="text2"/>
              <w:left w:val="single" w:sz="8" w:space="0" w:color="auto"/>
              <w:bottom w:val="single" w:sz="8" w:space="0" w:color="auto"/>
              <w:right w:val="single" w:sz="8" w:space="0" w:color="auto"/>
            </w:tcBorders>
            <w:tcMar>
              <w:left w:w="108" w:type="dxa"/>
              <w:right w:w="108" w:type="dxa"/>
            </w:tcMar>
          </w:tcPr>
          <w:p w14:paraId="5657048F" w14:textId="27650A55" w:rsidR="00792B61" w:rsidRDefault="00792B61" w:rsidP="00792B61">
            <w:pPr>
              <w:jc w:val="right"/>
            </w:pPr>
            <w:r w:rsidRPr="79F055BD">
              <w:rPr>
                <w:rFonts w:eastAsia="Arial" w:cs="Arial"/>
                <w:color w:val="000000" w:themeColor="text1"/>
                <w:szCs w:val="22"/>
              </w:rPr>
              <w:t>23,518</w:t>
            </w:r>
          </w:p>
        </w:tc>
        <w:tc>
          <w:tcPr>
            <w:tcW w:w="1562" w:type="dxa"/>
            <w:tcBorders>
              <w:top w:val="single" w:sz="8" w:space="0" w:color="44546A" w:themeColor="text2"/>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5E66762D" w14:textId="7B3EDF16" w:rsidR="00792B61" w:rsidRDefault="1A4D7668" w:rsidP="00792B61">
            <w:pPr>
              <w:jc w:val="right"/>
            </w:pPr>
            <w:r>
              <w:t>24,735</w:t>
            </w:r>
          </w:p>
        </w:tc>
        <w:tc>
          <w:tcPr>
            <w:tcW w:w="1577" w:type="dxa"/>
            <w:tcBorders>
              <w:top w:val="single" w:sz="8" w:space="0" w:color="44546A" w:themeColor="text2"/>
              <w:left w:val="single" w:sz="8" w:space="0" w:color="auto"/>
              <w:bottom w:val="single" w:sz="8" w:space="0" w:color="auto"/>
              <w:right w:val="single" w:sz="8" w:space="0" w:color="auto"/>
            </w:tcBorders>
            <w:tcMar>
              <w:left w:w="108" w:type="dxa"/>
              <w:right w:w="108" w:type="dxa"/>
            </w:tcMar>
          </w:tcPr>
          <w:p w14:paraId="07D97416" w14:textId="57435513" w:rsidR="00792B61" w:rsidRDefault="3D9D98B7" w:rsidP="00792B61">
            <w:pPr>
              <w:jc w:val="right"/>
            </w:pPr>
            <w:r>
              <w:t>25,421</w:t>
            </w:r>
          </w:p>
        </w:tc>
      </w:tr>
      <w:tr w:rsidR="00792B61" w14:paraId="291D6551" w14:textId="77777777" w:rsidTr="0D4845F1">
        <w:trPr>
          <w:trHeight w:val="300"/>
        </w:trPr>
        <w:tc>
          <w:tcPr>
            <w:tcW w:w="3862" w:type="dxa"/>
            <w:tcBorders>
              <w:top w:val="single" w:sz="8" w:space="0" w:color="auto"/>
              <w:left w:val="single" w:sz="8" w:space="0" w:color="auto"/>
              <w:bottom w:val="single" w:sz="8" w:space="0" w:color="auto"/>
              <w:right w:val="single" w:sz="8" w:space="0" w:color="auto"/>
            </w:tcBorders>
            <w:tcMar>
              <w:left w:w="108" w:type="dxa"/>
              <w:right w:w="108" w:type="dxa"/>
            </w:tcMar>
          </w:tcPr>
          <w:p w14:paraId="556893E5" w14:textId="64B05F80" w:rsidR="00792B61" w:rsidRDefault="00792B61" w:rsidP="00792B61">
            <w:r w:rsidRPr="79F055BD">
              <w:rPr>
                <w:rFonts w:eastAsia="Arial" w:cs="Arial"/>
                <w:color w:val="000000" w:themeColor="text1"/>
                <w:szCs w:val="22"/>
              </w:rPr>
              <w:t>ECCCF income</w:t>
            </w:r>
          </w:p>
        </w:tc>
        <w:tc>
          <w:tcPr>
            <w:tcW w:w="1524" w:type="dxa"/>
            <w:tcBorders>
              <w:top w:val="single" w:sz="8" w:space="0" w:color="auto"/>
              <w:left w:val="single" w:sz="8" w:space="0" w:color="auto"/>
              <w:bottom w:val="single" w:sz="8" w:space="0" w:color="auto"/>
              <w:right w:val="single" w:sz="8" w:space="0" w:color="auto"/>
            </w:tcBorders>
            <w:tcMar>
              <w:left w:w="108" w:type="dxa"/>
              <w:right w:w="108" w:type="dxa"/>
            </w:tcMar>
          </w:tcPr>
          <w:p w14:paraId="603764FE" w14:textId="3C85BB7B" w:rsidR="00792B61" w:rsidRDefault="00792B61" w:rsidP="00792B61">
            <w:pPr>
              <w:jc w:val="right"/>
            </w:pPr>
            <w:r w:rsidRPr="79F055BD">
              <w:rPr>
                <w:rFonts w:eastAsia="Arial" w:cs="Arial"/>
                <w:color w:val="000000" w:themeColor="text1"/>
                <w:szCs w:val="22"/>
              </w:rPr>
              <w:t>0</w:t>
            </w:r>
          </w:p>
        </w:tc>
        <w:tc>
          <w:tcPr>
            <w:tcW w:w="156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5F776739" w14:textId="7F8E1FAA" w:rsidR="00792B61" w:rsidRDefault="486E00EB" w:rsidP="00792B61">
            <w:pPr>
              <w:jc w:val="right"/>
            </w:pPr>
            <w:r>
              <w:t>0</w:t>
            </w:r>
          </w:p>
        </w:tc>
        <w:tc>
          <w:tcPr>
            <w:tcW w:w="1577" w:type="dxa"/>
            <w:tcBorders>
              <w:top w:val="single" w:sz="8" w:space="0" w:color="auto"/>
              <w:left w:val="single" w:sz="8" w:space="0" w:color="auto"/>
              <w:bottom w:val="single" w:sz="8" w:space="0" w:color="auto"/>
              <w:right w:val="single" w:sz="8" w:space="0" w:color="auto"/>
            </w:tcBorders>
            <w:tcMar>
              <w:left w:w="108" w:type="dxa"/>
              <w:right w:w="108" w:type="dxa"/>
            </w:tcMar>
          </w:tcPr>
          <w:p w14:paraId="00A9C1C4" w14:textId="482FB512" w:rsidR="00792B61" w:rsidRDefault="75CCDA9A" w:rsidP="00792B61">
            <w:pPr>
              <w:jc w:val="right"/>
            </w:pPr>
            <w:r>
              <w:t>0</w:t>
            </w:r>
          </w:p>
        </w:tc>
      </w:tr>
      <w:tr w:rsidR="00792B61" w14:paraId="047A9D04" w14:textId="77777777" w:rsidTr="0D4845F1">
        <w:trPr>
          <w:trHeight w:val="300"/>
        </w:trPr>
        <w:tc>
          <w:tcPr>
            <w:tcW w:w="3862" w:type="dxa"/>
            <w:tcBorders>
              <w:top w:val="single" w:sz="8" w:space="0" w:color="auto"/>
              <w:left w:val="single" w:sz="8" w:space="0" w:color="auto"/>
              <w:bottom w:val="single" w:sz="8" w:space="0" w:color="auto"/>
              <w:right w:val="single" w:sz="8" w:space="0" w:color="auto"/>
            </w:tcBorders>
            <w:tcMar>
              <w:left w:w="108" w:type="dxa"/>
              <w:right w:w="108" w:type="dxa"/>
            </w:tcMar>
          </w:tcPr>
          <w:p w14:paraId="7173B51F" w14:textId="0D5BDFB4" w:rsidR="00792B61" w:rsidRDefault="00792B61" w:rsidP="00792B61">
            <w:r w:rsidRPr="79F055BD">
              <w:rPr>
                <w:rFonts w:eastAsia="Arial" w:cs="Arial"/>
                <w:color w:val="000000" w:themeColor="text1"/>
                <w:szCs w:val="22"/>
              </w:rPr>
              <w:t>State – grants</w:t>
            </w:r>
          </w:p>
        </w:tc>
        <w:tc>
          <w:tcPr>
            <w:tcW w:w="1524" w:type="dxa"/>
            <w:tcBorders>
              <w:top w:val="single" w:sz="8" w:space="0" w:color="auto"/>
              <w:left w:val="single" w:sz="8" w:space="0" w:color="auto"/>
              <w:bottom w:val="single" w:sz="8" w:space="0" w:color="auto"/>
              <w:right w:val="single" w:sz="8" w:space="0" w:color="auto"/>
            </w:tcBorders>
            <w:tcMar>
              <w:left w:w="108" w:type="dxa"/>
              <w:right w:w="108" w:type="dxa"/>
            </w:tcMar>
          </w:tcPr>
          <w:p w14:paraId="4A8F6649" w14:textId="5FFA98D0" w:rsidR="00792B61" w:rsidRDefault="00792B61" w:rsidP="00792B61">
            <w:pPr>
              <w:jc w:val="right"/>
            </w:pPr>
            <w:r w:rsidRPr="79F055BD">
              <w:rPr>
                <w:rFonts w:eastAsia="Arial" w:cs="Arial"/>
                <w:color w:val="000000" w:themeColor="text1"/>
                <w:szCs w:val="22"/>
              </w:rPr>
              <w:t>45,523</w:t>
            </w:r>
          </w:p>
        </w:tc>
        <w:tc>
          <w:tcPr>
            <w:tcW w:w="156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47180415" w14:textId="2E8AFAE9" w:rsidR="00792B61" w:rsidRDefault="698D8543" w:rsidP="00792B61">
            <w:pPr>
              <w:jc w:val="right"/>
            </w:pPr>
            <w:r>
              <w:t>50,265</w:t>
            </w:r>
          </w:p>
        </w:tc>
        <w:tc>
          <w:tcPr>
            <w:tcW w:w="1577" w:type="dxa"/>
            <w:tcBorders>
              <w:top w:val="single" w:sz="8" w:space="0" w:color="auto"/>
              <w:left w:val="single" w:sz="8" w:space="0" w:color="auto"/>
              <w:bottom w:val="single" w:sz="8" w:space="0" w:color="auto"/>
              <w:right w:val="single" w:sz="8" w:space="0" w:color="auto"/>
            </w:tcBorders>
            <w:tcMar>
              <w:left w:w="108" w:type="dxa"/>
              <w:right w:w="108" w:type="dxa"/>
            </w:tcMar>
          </w:tcPr>
          <w:p w14:paraId="6D1D4CD8" w14:textId="7D3851B2" w:rsidR="00792B61" w:rsidRDefault="4CDB0102" w:rsidP="00792B61">
            <w:pPr>
              <w:jc w:val="right"/>
            </w:pPr>
            <w:r>
              <w:t>51,660</w:t>
            </w:r>
          </w:p>
        </w:tc>
      </w:tr>
      <w:tr w:rsidR="00792B61" w14:paraId="2C1F8B03" w14:textId="77777777" w:rsidTr="0D4845F1">
        <w:trPr>
          <w:trHeight w:val="300"/>
        </w:trPr>
        <w:tc>
          <w:tcPr>
            <w:tcW w:w="3862" w:type="dxa"/>
            <w:tcBorders>
              <w:top w:val="single" w:sz="8" w:space="0" w:color="auto"/>
              <w:left w:val="single" w:sz="8" w:space="0" w:color="auto"/>
              <w:bottom w:val="single" w:sz="8" w:space="0" w:color="auto"/>
              <w:right w:val="single" w:sz="8" w:space="0" w:color="auto"/>
            </w:tcBorders>
            <w:tcMar>
              <w:left w:w="108" w:type="dxa"/>
              <w:right w:w="108" w:type="dxa"/>
            </w:tcMar>
          </w:tcPr>
          <w:p w14:paraId="1A7A04FE" w14:textId="2D4681E1" w:rsidR="00792B61" w:rsidRDefault="00792B61" w:rsidP="00792B61">
            <w:r w:rsidRPr="79F055BD">
              <w:rPr>
                <w:rFonts w:eastAsia="Arial" w:cs="Arial"/>
                <w:color w:val="000000" w:themeColor="text1"/>
                <w:szCs w:val="22"/>
              </w:rPr>
              <w:t>Public Purpose Fund</w:t>
            </w:r>
          </w:p>
        </w:tc>
        <w:tc>
          <w:tcPr>
            <w:tcW w:w="1524" w:type="dxa"/>
            <w:tcBorders>
              <w:top w:val="single" w:sz="8" w:space="0" w:color="auto"/>
              <w:left w:val="single" w:sz="8" w:space="0" w:color="auto"/>
              <w:bottom w:val="single" w:sz="8" w:space="0" w:color="auto"/>
              <w:right w:val="single" w:sz="8" w:space="0" w:color="auto"/>
            </w:tcBorders>
            <w:tcMar>
              <w:left w:w="108" w:type="dxa"/>
              <w:right w:w="108" w:type="dxa"/>
            </w:tcMar>
          </w:tcPr>
          <w:p w14:paraId="6CF33335" w14:textId="4DFBAE99" w:rsidR="00792B61" w:rsidRDefault="00792B61" w:rsidP="00792B61">
            <w:pPr>
              <w:jc w:val="right"/>
            </w:pPr>
            <w:r w:rsidRPr="79F055BD">
              <w:rPr>
                <w:rFonts w:eastAsia="Arial" w:cs="Arial"/>
                <w:color w:val="000000" w:themeColor="text1"/>
                <w:szCs w:val="22"/>
              </w:rPr>
              <w:t>10,975</w:t>
            </w:r>
          </w:p>
        </w:tc>
        <w:tc>
          <w:tcPr>
            <w:tcW w:w="156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4CE27A68" w14:textId="15F350AE" w:rsidR="00792B61" w:rsidRDefault="5337F217" w:rsidP="00792B61">
            <w:pPr>
              <w:jc w:val="right"/>
            </w:pPr>
            <w:r>
              <w:t>9,925</w:t>
            </w:r>
          </w:p>
        </w:tc>
        <w:tc>
          <w:tcPr>
            <w:tcW w:w="1577" w:type="dxa"/>
            <w:tcBorders>
              <w:top w:val="single" w:sz="8" w:space="0" w:color="auto"/>
              <w:left w:val="single" w:sz="8" w:space="0" w:color="auto"/>
              <w:bottom w:val="single" w:sz="8" w:space="0" w:color="auto"/>
              <w:right w:val="single" w:sz="8" w:space="0" w:color="auto"/>
            </w:tcBorders>
            <w:tcMar>
              <w:left w:w="108" w:type="dxa"/>
              <w:right w:w="108" w:type="dxa"/>
            </w:tcMar>
          </w:tcPr>
          <w:p w14:paraId="27C07EEA" w14:textId="58A41513" w:rsidR="00792B61" w:rsidRDefault="2C1B386A" w:rsidP="00792B61">
            <w:pPr>
              <w:jc w:val="right"/>
            </w:pPr>
            <w:r>
              <w:t>14,950</w:t>
            </w:r>
          </w:p>
        </w:tc>
      </w:tr>
      <w:tr w:rsidR="00792B61" w14:paraId="5CB4B8E9" w14:textId="77777777" w:rsidTr="0D4845F1">
        <w:trPr>
          <w:trHeight w:val="300"/>
        </w:trPr>
        <w:tc>
          <w:tcPr>
            <w:tcW w:w="3862" w:type="dxa"/>
            <w:tcBorders>
              <w:top w:val="single" w:sz="8" w:space="0" w:color="auto"/>
              <w:left w:val="single" w:sz="8" w:space="0" w:color="auto"/>
              <w:bottom w:val="single" w:sz="8" w:space="0" w:color="auto"/>
              <w:right w:val="single" w:sz="8" w:space="0" w:color="auto"/>
            </w:tcBorders>
            <w:tcMar>
              <w:left w:w="108" w:type="dxa"/>
              <w:right w:w="108" w:type="dxa"/>
            </w:tcMar>
          </w:tcPr>
          <w:p w14:paraId="291675ED" w14:textId="56F006FE" w:rsidR="00792B61" w:rsidRDefault="00792B61" w:rsidP="00792B61">
            <w:r w:rsidRPr="79F055BD">
              <w:rPr>
                <w:rFonts w:eastAsia="Arial" w:cs="Arial"/>
                <w:color w:val="000000" w:themeColor="text1"/>
                <w:szCs w:val="22"/>
              </w:rPr>
              <w:t>Case revenue</w:t>
            </w:r>
          </w:p>
        </w:tc>
        <w:tc>
          <w:tcPr>
            <w:tcW w:w="1524" w:type="dxa"/>
            <w:tcBorders>
              <w:top w:val="single" w:sz="8" w:space="0" w:color="auto"/>
              <w:left w:val="single" w:sz="8" w:space="0" w:color="auto"/>
              <w:bottom w:val="single" w:sz="8" w:space="0" w:color="auto"/>
              <w:right w:val="single" w:sz="8" w:space="0" w:color="auto"/>
            </w:tcBorders>
            <w:tcMar>
              <w:left w:w="108" w:type="dxa"/>
              <w:right w:w="108" w:type="dxa"/>
            </w:tcMar>
          </w:tcPr>
          <w:p w14:paraId="0097D7EF" w14:textId="260503E3" w:rsidR="00792B61" w:rsidRDefault="00792B61" w:rsidP="00792B61">
            <w:pPr>
              <w:jc w:val="right"/>
            </w:pPr>
            <w:r w:rsidRPr="79F055BD">
              <w:rPr>
                <w:rFonts w:eastAsia="Arial" w:cs="Arial"/>
                <w:color w:val="000000" w:themeColor="text1"/>
                <w:szCs w:val="22"/>
              </w:rPr>
              <w:t>1,004</w:t>
            </w:r>
          </w:p>
        </w:tc>
        <w:tc>
          <w:tcPr>
            <w:tcW w:w="156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289E8C5E" w14:textId="3285CB64" w:rsidR="00792B61" w:rsidRDefault="6C80E37B" w:rsidP="00792B61">
            <w:pPr>
              <w:jc w:val="right"/>
            </w:pPr>
            <w:r>
              <w:t>1,337</w:t>
            </w:r>
          </w:p>
        </w:tc>
        <w:tc>
          <w:tcPr>
            <w:tcW w:w="1577" w:type="dxa"/>
            <w:tcBorders>
              <w:top w:val="single" w:sz="8" w:space="0" w:color="auto"/>
              <w:left w:val="single" w:sz="8" w:space="0" w:color="auto"/>
              <w:bottom w:val="single" w:sz="8" w:space="0" w:color="auto"/>
              <w:right w:val="single" w:sz="8" w:space="0" w:color="auto"/>
            </w:tcBorders>
            <w:tcMar>
              <w:left w:w="108" w:type="dxa"/>
              <w:right w:w="108" w:type="dxa"/>
            </w:tcMar>
          </w:tcPr>
          <w:p w14:paraId="6558A962" w14:textId="3C3962C3" w:rsidR="00792B61" w:rsidRDefault="6A3F19C0" w:rsidP="00792B61">
            <w:pPr>
              <w:jc w:val="right"/>
            </w:pPr>
            <w:r>
              <w:t>1,279</w:t>
            </w:r>
          </w:p>
        </w:tc>
      </w:tr>
      <w:tr w:rsidR="00792B61" w14:paraId="0CACA9F8" w14:textId="77777777" w:rsidTr="0D4845F1">
        <w:trPr>
          <w:trHeight w:val="300"/>
        </w:trPr>
        <w:tc>
          <w:tcPr>
            <w:tcW w:w="3862" w:type="dxa"/>
            <w:tcBorders>
              <w:top w:val="single" w:sz="8" w:space="0" w:color="auto"/>
              <w:left w:val="single" w:sz="8" w:space="0" w:color="auto"/>
              <w:bottom w:val="single" w:sz="8" w:space="0" w:color="auto"/>
              <w:right w:val="single" w:sz="8" w:space="0" w:color="auto"/>
            </w:tcBorders>
            <w:tcMar>
              <w:left w:w="108" w:type="dxa"/>
              <w:right w:w="108" w:type="dxa"/>
            </w:tcMar>
          </w:tcPr>
          <w:p w14:paraId="6372B91C" w14:textId="0D538202" w:rsidR="00792B61" w:rsidRDefault="00792B61" w:rsidP="00792B61">
            <w:r w:rsidRPr="79F055BD">
              <w:rPr>
                <w:rFonts w:eastAsia="Arial" w:cs="Arial"/>
                <w:color w:val="000000" w:themeColor="text1"/>
                <w:szCs w:val="22"/>
              </w:rPr>
              <w:t>Other income</w:t>
            </w:r>
          </w:p>
        </w:tc>
        <w:tc>
          <w:tcPr>
            <w:tcW w:w="1524" w:type="dxa"/>
            <w:tcBorders>
              <w:top w:val="single" w:sz="8" w:space="0" w:color="auto"/>
              <w:left w:val="single" w:sz="8" w:space="0" w:color="auto"/>
              <w:bottom w:val="single" w:sz="8" w:space="0" w:color="auto"/>
              <w:right w:val="single" w:sz="8" w:space="0" w:color="auto"/>
            </w:tcBorders>
            <w:tcMar>
              <w:left w:w="108" w:type="dxa"/>
              <w:right w:w="108" w:type="dxa"/>
            </w:tcMar>
          </w:tcPr>
          <w:p w14:paraId="024B09AD" w14:textId="36CFAA53" w:rsidR="00792B61" w:rsidRDefault="00792B61" w:rsidP="00792B61">
            <w:pPr>
              <w:jc w:val="right"/>
            </w:pPr>
            <w:r w:rsidRPr="79F055BD">
              <w:rPr>
                <w:rFonts w:eastAsia="Arial" w:cs="Arial"/>
                <w:color w:val="000000" w:themeColor="text1"/>
                <w:szCs w:val="22"/>
              </w:rPr>
              <w:t>1,462</w:t>
            </w:r>
          </w:p>
        </w:tc>
        <w:tc>
          <w:tcPr>
            <w:tcW w:w="156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68D1B201" w14:textId="53838DC1" w:rsidR="00792B61" w:rsidRDefault="6A48BF0F" w:rsidP="00792B61">
            <w:pPr>
              <w:jc w:val="right"/>
            </w:pPr>
            <w:r>
              <w:t>1,799</w:t>
            </w:r>
          </w:p>
        </w:tc>
        <w:tc>
          <w:tcPr>
            <w:tcW w:w="1577" w:type="dxa"/>
            <w:tcBorders>
              <w:top w:val="single" w:sz="8" w:space="0" w:color="auto"/>
              <w:left w:val="single" w:sz="8" w:space="0" w:color="auto"/>
              <w:bottom w:val="single" w:sz="8" w:space="0" w:color="auto"/>
              <w:right w:val="single" w:sz="8" w:space="0" w:color="auto"/>
            </w:tcBorders>
            <w:tcMar>
              <w:left w:w="108" w:type="dxa"/>
              <w:right w:w="108" w:type="dxa"/>
            </w:tcMar>
          </w:tcPr>
          <w:p w14:paraId="30CA028B" w14:textId="0BAFFB06" w:rsidR="00792B61" w:rsidRDefault="72CCA8CC" w:rsidP="00792B61">
            <w:pPr>
              <w:jc w:val="right"/>
            </w:pPr>
            <w:r>
              <w:t>1,247</w:t>
            </w:r>
          </w:p>
        </w:tc>
      </w:tr>
      <w:tr w:rsidR="00792B61" w14:paraId="53EB9308" w14:textId="77777777" w:rsidTr="0D4845F1">
        <w:trPr>
          <w:trHeight w:val="300"/>
        </w:trPr>
        <w:tc>
          <w:tcPr>
            <w:tcW w:w="386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15026508" w14:textId="764AAA0E" w:rsidR="00792B61" w:rsidRDefault="00792B61" w:rsidP="00792B61">
            <w:r w:rsidRPr="79F055BD">
              <w:rPr>
                <w:rFonts w:eastAsia="Arial" w:cs="Arial"/>
                <w:b/>
                <w:bCs/>
                <w:color w:val="000000" w:themeColor="text1"/>
                <w:szCs w:val="22"/>
              </w:rPr>
              <w:t>Total revenue</w:t>
            </w:r>
          </w:p>
        </w:tc>
        <w:tc>
          <w:tcPr>
            <w:tcW w:w="1524"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12F448D5" w14:textId="61BBB87B" w:rsidR="00792B61" w:rsidRDefault="00792B61" w:rsidP="00792B61">
            <w:pPr>
              <w:jc w:val="right"/>
            </w:pPr>
            <w:r w:rsidRPr="79F055BD">
              <w:rPr>
                <w:rFonts w:eastAsia="Arial" w:cs="Arial"/>
                <w:b/>
                <w:bCs/>
                <w:color w:val="000000" w:themeColor="text1"/>
                <w:szCs w:val="22"/>
              </w:rPr>
              <w:t>82,282</w:t>
            </w:r>
          </w:p>
        </w:tc>
        <w:tc>
          <w:tcPr>
            <w:tcW w:w="156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3CF2B29E" w14:textId="577CDFD6" w:rsidR="00792B61" w:rsidRDefault="2CDDF8AB" w:rsidP="0D4845F1">
            <w:pPr>
              <w:jc w:val="right"/>
              <w:rPr>
                <w:b/>
                <w:bCs/>
              </w:rPr>
            </w:pPr>
            <w:r w:rsidRPr="0D4845F1">
              <w:rPr>
                <w:b/>
                <w:bCs/>
              </w:rPr>
              <w:t>88,062</w:t>
            </w:r>
          </w:p>
        </w:tc>
        <w:tc>
          <w:tcPr>
            <w:tcW w:w="1577"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01E8ECC6" w14:textId="66511CB9" w:rsidR="00792B61" w:rsidRDefault="77423EC5" w:rsidP="0D4845F1">
            <w:pPr>
              <w:jc w:val="right"/>
              <w:rPr>
                <w:b/>
                <w:bCs/>
              </w:rPr>
            </w:pPr>
            <w:r w:rsidRPr="0D4845F1">
              <w:rPr>
                <w:b/>
                <w:bCs/>
              </w:rPr>
              <w:t>94,557</w:t>
            </w:r>
          </w:p>
        </w:tc>
      </w:tr>
    </w:tbl>
    <w:p w14:paraId="7550E513" w14:textId="378FB2EC" w:rsidR="5B207A96" w:rsidRDefault="5B207A96" w:rsidP="79F055BD">
      <w:pPr>
        <w:pStyle w:val="Heading3"/>
      </w:pPr>
      <w:r w:rsidRPr="79F055BD">
        <w:rPr>
          <w:rFonts w:eastAsia="Arial"/>
          <w:sz w:val="20"/>
          <w:szCs w:val="20"/>
        </w:rPr>
        <w:t>Table 2.2 Total expenditure breakdown ($’000)</w:t>
      </w:r>
    </w:p>
    <w:tbl>
      <w:tblPr>
        <w:tblStyle w:val="PlainTable2"/>
        <w:tblW w:w="0" w:type="auto"/>
        <w:tblLayout w:type="fixed"/>
        <w:tblLook w:val="0620" w:firstRow="1" w:lastRow="0" w:firstColumn="0" w:lastColumn="0" w:noHBand="1" w:noVBand="1"/>
      </w:tblPr>
      <w:tblGrid>
        <w:gridCol w:w="3750"/>
        <w:gridCol w:w="1485"/>
        <w:gridCol w:w="1695"/>
        <w:gridCol w:w="1560"/>
      </w:tblGrid>
      <w:tr w:rsidR="00792B61" w14:paraId="0D51CC49" w14:textId="77777777" w:rsidTr="0D4845F1">
        <w:trPr>
          <w:cnfStyle w:val="100000000000" w:firstRow="1" w:lastRow="0" w:firstColumn="0" w:lastColumn="0" w:oddVBand="0" w:evenVBand="0" w:oddHBand="0" w:evenHBand="0" w:firstRowFirstColumn="0" w:firstRowLastColumn="0" w:lastRowFirstColumn="0" w:lastRowLastColumn="0"/>
          <w:trHeight w:val="300"/>
        </w:trPr>
        <w:tc>
          <w:tcPr>
            <w:tcW w:w="3750" w:type="dxa"/>
            <w:tcBorders>
              <w:top w:val="single" w:sz="8" w:space="0" w:color="44546A" w:themeColor="text2"/>
              <w:left w:val="single" w:sz="8" w:space="0" w:color="auto"/>
              <w:bottom w:val="single" w:sz="8" w:space="0" w:color="44546A" w:themeColor="text2"/>
              <w:right w:val="single" w:sz="8" w:space="0" w:color="auto"/>
            </w:tcBorders>
            <w:shd w:val="clear" w:color="auto" w:fill="C3AFCC"/>
            <w:tcMar>
              <w:left w:w="108" w:type="dxa"/>
              <w:right w:w="108" w:type="dxa"/>
            </w:tcMar>
          </w:tcPr>
          <w:p w14:paraId="40C29D61" w14:textId="09E1922F" w:rsidR="00792B61" w:rsidRDefault="00792B61" w:rsidP="00792B61">
            <w:r w:rsidRPr="79F055BD">
              <w:rPr>
                <w:rFonts w:eastAsia="Arial" w:cs="Arial"/>
                <w:b/>
                <w:color w:val="000000" w:themeColor="text1"/>
                <w:szCs w:val="22"/>
              </w:rPr>
              <w:t>Expenditure</w:t>
            </w:r>
          </w:p>
        </w:tc>
        <w:tc>
          <w:tcPr>
            <w:tcW w:w="1485" w:type="dxa"/>
            <w:tcBorders>
              <w:top w:val="single" w:sz="8" w:space="0" w:color="44546A" w:themeColor="text2"/>
              <w:left w:val="single" w:sz="8" w:space="0" w:color="auto"/>
              <w:bottom w:val="single" w:sz="8" w:space="0" w:color="44546A" w:themeColor="text2"/>
              <w:right w:val="single" w:sz="8" w:space="0" w:color="auto"/>
            </w:tcBorders>
            <w:shd w:val="clear" w:color="auto" w:fill="C3AFCC"/>
            <w:tcMar>
              <w:left w:w="108" w:type="dxa"/>
              <w:right w:w="108" w:type="dxa"/>
            </w:tcMar>
          </w:tcPr>
          <w:p w14:paraId="1803ED9C" w14:textId="77777777" w:rsidR="00792B61" w:rsidRDefault="00792B61" w:rsidP="00792B61">
            <w:pPr>
              <w:jc w:val="center"/>
              <w:rPr>
                <w:b/>
                <w:color w:val="000000" w:themeColor="text1"/>
              </w:rPr>
            </w:pPr>
            <w:r w:rsidRPr="55245693">
              <w:rPr>
                <w:b/>
                <w:color w:val="000000" w:themeColor="text1"/>
              </w:rPr>
              <w:t>Q</w:t>
            </w:r>
            <w:r>
              <w:rPr>
                <w:b/>
                <w:color w:val="000000" w:themeColor="text1"/>
              </w:rPr>
              <w:t>1</w:t>
            </w:r>
          </w:p>
          <w:p w14:paraId="6208E09B" w14:textId="69BF402D" w:rsidR="00792B61" w:rsidRDefault="00792B61" w:rsidP="00792B61">
            <w:pPr>
              <w:jc w:val="center"/>
            </w:pPr>
            <w:r w:rsidRPr="000E7EED">
              <w:rPr>
                <w:b/>
                <w:color w:val="000000" w:themeColor="text1"/>
              </w:rPr>
              <w:t>20</w:t>
            </w:r>
            <w:r>
              <w:rPr>
                <w:b/>
                <w:color w:val="000000" w:themeColor="text1"/>
              </w:rPr>
              <w:t>23-24</w:t>
            </w:r>
          </w:p>
        </w:tc>
        <w:tc>
          <w:tcPr>
            <w:tcW w:w="1695" w:type="dxa"/>
            <w:tcBorders>
              <w:top w:val="single" w:sz="8" w:space="0" w:color="44546A" w:themeColor="text2"/>
              <w:left w:val="single" w:sz="8" w:space="0" w:color="auto"/>
              <w:bottom w:val="single" w:sz="8" w:space="0" w:color="44546A" w:themeColor="text2"/>
              <w:right w:val="single" w:sz="8" w:space="0" w:color="auto"/>
            </w:tcBorders>
            <w:shd w:val="clear" w:color="auto" w:fill="C3AFCC"/>
            <w:tcMar>
              <w:left w:w="108" w:type="dxa"/>
              <w:right w:w="108" w:type="dxa"/>
            </w:tcMar>
          </w:tcPr>
          <w:p w14:paraId="587B1DF0" w14:textId="77777777" w:rsidR="00792B61" w:rsidRPr="000E7EED" w:rsidRDefault="00792B61" w:rsidP="00792B61">
            <w:pPr>
              <w:jc w:val="center"/>
              <w:rPr>
                <w:b/>
                <w:color w:val="000000" w:themeColor="text1"/>
              </w:rPr>
            </w:pPr>
            <w:r w:rsidRPr="55245693">
              <w:rPr>
                <w:b/>
                <w:color w:val="000000" w:themeColor="text1"/>
              </w:rPr>
              <w:t>Q</w:t>
            </w:r>
            <w:r>
              <w:rPr>
                <w:b/>
                <w:color w:val="000000" w:themeColor="text1"/>
              </w:rPr>
              <w:t>2</w:t>
            </w:r>
          </w:p>
          <w:p w14:paraId="02B54AFF" w14:textId="063860D9" w:rsidR="00792B61" w:rsidRDefault="00792B61" w:rsidP="00792B61">
            <w:pPr>
              <w:jc w:val="center"/>
            </w:pPr>
            <w:r w:rsidRPr="000E7EED">
              <w:rPr>
                <w:b/>
                <w:color w:val="000000" w:themeColor="text1"/>
              </w:rPr>
              <w:t>20</w:t>
            </w:r>
            <w:r>
              <w:rPr>
                <w:b/>
                <w:color w:val="000000" w:themeColor="text1"/>
              </w:rPr>
              <w:t>23-24</w:t>
            </w:r>
          </w:p>
        </w:tc>
        <w:tc>
          <w:tcPr>
            <w:tcW w:w="1560" w:type="dxa"/>
            <w:tcBorders>
              <w:top w:val="single" w:sz="8" w:space="0" w:color="44546A" w:themeColor="text2"/>
              <w:left w:val="single" w:sz="8" w:space="0" w:color="auto"/>
              <w:bottom w:val="single" w:sz="8" w:space="0" w:color="44546A" w:themeColor="text2"/>
              <w:right w:val="single" w:sz="8" w:space="0" w:color="auto"/>
            </w:tcBorders>
            <w:shd w:val="clear" w:color="auto" w:fill="C3AFCC"/>
            <w:tcMar>
              <w:left w:w="108" w:type="dxa"/>
              <w:right w:w="108" w:type="dxa"/>
            </w:tcMar>
          </w:tcPr>
          <w:p w14:paraId="54C1A0A3" w14:textId="53CB0B6B" w:rsidR="00792B61" w:rsidRDefault="00792B61" w:rsidP="00792B61">
            <w:pPr>
              <w:jc w:val="center"/>
            </w:pPr>
            <w:r w:rsidRPr="55245693">
              <w:rPr>
                <w:b/>
                <w:color w:val="000000" w:themeColor="text1"/>
              </w:rPr>
              <w:t>Q</w:t>
            </w:r>
            <w:r>
              <w:rPr>
                <w:b/>
                <w:color w:val="000000" w:themeColor="text1"/>
              </w:rPr>
              <w:t xml:space="preserve">3 </w:t>
            </w:r>
            <w:r w:rsidRPr="000E7EED">
              <w:rPr>
                <w:b/>
                <w:color w:val="000000" w:themeColor="text1"/>
              </w:rPr>
              <w:t>20</w:t>
            </w:r>
            <w:r>
              <w:rPr>
                <w:b/>
                <w:color w:val="000000" w:themeColor="text1"/>
              </w:rPr>
              <w:t>23-24 projection</w:t>
            </w:r>
          </w:p>
        </w:tc>
      </w:tr>
      <w:tr w:rsidR="00792B61" w14:paraId="3C03E60E" w14:textId="77777777" w:rsidTr="0D4845F1">
        <w:trPr>
          <w:trHeight w:val="300"/>
        </w:trPr>
        <w:tc>
          <w:tcPr>
            <w:tcW w:w="3750" w:type="dxa"/>
            <w:tcBorders>
              <w:top w:val="single" w:sz="8" w:space="0" w:color="44546A" w:themeColor="text2"/>
              <w:left w:val="single" w:sz="8" w:space="0" w:color="auto"/>
              <w:bottom w:val="single" w:sz="8" w:space="0" w:color="auto"/>
              <w:right w:val="single" w:sz="8" w:space="0" w:color="auto"/>
            </w:tcBorders>
            <w:tcMar>
              <w:left w:w="108" w:type="dxa"/>
              <w:right w:w="108" w:type="dxa"/>
            </w:tcMar>
          </w:tcPr>
          <w:p w14:paraId="6ECC6EB1" w14:textId="5ED74552" w:rsidR="00792B61" w:rsidRDefault="00792B61" w:rsidP="00792B61">
            <w:r w:rsidRPr="79F055BD">
              <w:rPr>
                <w:rFonts w:eastAsia="Arial" w:cs="Arial"/>
                <w:color w:val="000000" w:themeColor="text1"/>
                <w:szCs w:val="22"/>
              </w:rPr>
              <w:t>Case expenditure (including ECCCF)</w:t>
            </w:r>
          </w:p>
        </w:tc>
        <w:tc>
          <w:tcPr>
            <w:tcW w:w="1485" w:type="dxa"/>
            <w:tcBorders>
              <w:top w:val="single" w:sz="8" w:space="0" w:color="44546A" w:themeColor="text2"/>
              <w:left w:val="single" w:sz="8" w:space="0" w:color="auto"/>
              <w:bottom w:val="single" w:sz="8" w:space="0" w:color="auto"/>
              <w:right w:val="single" w:sz="8" w:space="0" w:color="auto"/>
            </w:tcBorders>
            <w:tcMar>
              <w:left w:w="108" w:type="dxa"/>
              <w:right w:w="108" w:type="dxa"/>
            </w:tcMar>
          </w:tcPr>
          <w:p w14:paraId="5EEF87BA" w14:textId="6469DF15" w:rsidR="00792B61" w:rsidRDefault="00792B61" w:rsidP="00792B61">
            <w:pPr>
              <w:jc w:val="right"/>
            </w:pPr>
            <w:r w:rsidRPr="79F055BD">
              <w:rPr>
                <w:rFonts w:eastAsia="Arial" w:cs="Arial"/>
                <w:color w:val="000000" w:themeColor="text1"/>
                <w:szCs w:val="22"/>
              </w:rPr>
              <w:t>(30,263)</w:t>
            </w:r>
          </w:p>
        </w:tc>
        <w:tc>
          <w:tcPr>
            <w:tcW w:w="1695" w:type="dxa"/>
            <w:tcBorders>
              <w:top w:val="single" w:sz="8" w:space="0" w:color="44546A" w:themeColor="text2"/>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3E4FC2A7" w14:textId="7D345573" w:rsidR="00792B61" w:rsidRDefault="0B3E7FE5" w:rsidP="00792B61">
            <w:pPr>
              <w:jc w:val="right"/>
            </w:pPr>
            <w:r>
              <w:t>(30,599)</w:t>
            </w:r>
          </w:p>
        </w:tc>
        <w:tc>
          <w:tcPr>
            <w:tcW w:w="1560" w:type="dxa"/>
            <w:tcBorders>
              <w:top w:val="single" w:sz="8" w:space="0" w:color="44546A" w:themeColor="text2"/>
              <w:left w:val="single" w:sz="8" w:space="0" w:color="auto"/>
              <w:bottom w:val="single" w:sz="8" w:space="0" w:color="auto"/>
              <w:right w:val="single" w:sz="8" w:space="0" w:color="auto"/>
            </w:tcBorders>
            <w:tcMar>
              <w:left w:w="108" w:type="dxa"/>
              <w:right w:w="108" w:type="dxa"/>
            </w:tcMar>
          </w:tcPr>
          <w:p w14:paraId="26C51691" w14:textId="0DB41C97" w:rsidR="00792B61" w:rsidRDefault="39D31BBC" w:rsidP="00792B61">
            <w:pPr>
              <w:jc w:val="right"/>
            </w:pPr>
            <w:r>
              <w:t>(32,055)</w:t>
            </w:r>
          </w:p>
        </w:tc>
      </w:tr>
      <w:tr w:rsidR="00792B61" w14:paraId="01EADF62" w14:textId="77777777" w:rsidTr="0D4845F1">
        <w:trPr>
          <w:trHeight w:val="300"/>
        </w:trPr>
        <w:tc>
          <w:tcPr>
            <w:tcW w:w="3750" w:type="dxa"/>
            <w:tcBorders>
              <w:top w:val="single" w:sz="8" w:space="0" w:color="auto"/>
              <w:left w:val="single" w:sz="8" w:space="0" w:color="auto"/>
              <w:bottom w:val="single" w:sz="8" w:space="0" w:color="auto"/>
              <w:right w:val="single" w:sz="8" w:space="0" w:color="auto"/>
            </w:tcBorders>
            <w:tcMar>
              <w:left w:w="108" w:type="dxa"/>
              <w:right w:w="108" w:type="dxa"/>
            </w:tcMar>
          </w:tcPr>
          <w:p w14:paraId="5EDBA823" w14:textId="7AC37651" w:rsidR="00792B61" w:rsidRDefault="00792B61" w:rsidP="00792B61">
            <w:r w:rsidRPr="79F055BD">
              <w:rPr>
                <w:rFonts w:eastAsia="Arial" w:cs="Arial"/>
                <w:color w:val="000000" w:themeColor="text1"/>
                <w:szCs w:val="22"/>
              </w:rPr>
              <w:t>Community Legal Centre payments</w:t>
            </w:r>
          </w:p>
        </w:tc>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030C8011" w14:textId="36E3C9B5" w:rsidR="00792B61" w:rsidRDefault="00792B61" w:rsidP="00792B61">
            <w:pPr>
              <w:jc w:val="right"/>
            </w:pPr>
            <w:r w:rsidRPr="79F055BD">
              <w:rPr>
                <w:rFonts w:eastAsia="Arial" w:cs="Arial"/>
                <w:color w:val="000000" w:themeColor="text1"/>
                <w:szCs w:val="22"/>
              </w:rPr>
              <w:t>(15,222)</w:t>
            </w:r>
          </w:p>
        </w:tc>
        <w:tc>
          <w:tcPr>
            <w:tcW w:w="169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066E0024" w14:textId="7CB6780E" w:rsidR="00792B61" w:rsidRDefault="30D39A36" w:rsidP="00792B61">
            <w:pPr>
              <w:jc w:val="right"/>
            </w:pPr>
            <w:r>
              <w:t>(14,941)</w:t>
            </w:r>
          </w:p>
        </w:tc>
        <w:tc>
          <w:tcPr>
            <w:tcW w:w="1560" w:type="dxa"/>
            <w:tcBorders>
              <w:top w:val="single" w:sz="8" w:space="0" w:color="auto"/>
              <w:left w:val="single" w:sz="8" w:space="0" w:color="auto"/>
              <w:bottom w:val="single" w:sz="8" w:space="0" w:color="auto"/>
              <w:right w:val="single" w:sz="8" w:space="0" w:color="auto"/>
            </w:tcBorders>
            <w:tcMar>
              <w:left w:w="108" w:type="dxa"/>
              <w:right w:w="108" w:type="dxa"/>
            </w:tcMar>
          </w:tcPr>
          <w:p w14:paraId="74472CE0" w14:textId="49D7B477" w:rsidR="00792B61" w:rsidRDefault="03EFF082" w:rsidP="00792B61">
            <w:pPr>
              <w:jc w:val="right"/>
            </w:pPr>
            <w:r>
              <w:t>(18,155)</w:t>
            </w:r>
          </w:p>
        </w:tc>
      </w:tr>
      <w:tr w:rsidR="00792B61" w14:paraId="23CD723D" w14:textId="77777777" w:rsidTr="0D4845F1">
        <w:trPr>
          <w:trHeight w:val="300"/>
        </w:trPr>
        <w:tc>
          <w:tcPr>
            <w:tcW w:w="3750" w:type="dxa"/>
            <w:tcBorders>
              <w:top w:val="single" w:sz="8" w:space="0" w:color="auto"/>
              <w:left w:val="single" w:sz="8" w:space="0" w:color="auto"/>
              <w:bottom w:val="single" w:sz="8" w:space="0" w:color="auto"/>
              <w:right w:val="single" w:sz="8" w:space="0" w:color="auto"/>
            </w:tcBorders>
            <w:tcMar>
              <w:left w:w="108" w:type="dxa"/>
              <w:right w:w="108" w:type="dxa"/>
            </w:tcMar>
          </w:tcPr>
          <w:p w14:paraId="28BED01C" w14:textId="0F0AB748" w:rsidR="00792B61" w:rsidRDefault="00792B61" w:rsidP="00792B61">
            <w:r w:rsidRPr="79F055BD">
              <w:rPr>
                <w:rFonts w:eastAsia="Arial" w:cs="Arial"/>
                <w:color w:val="000000" w:themeColor="text1"/>
                <w:szCs w:val="22"/>
              </w:rPr>
              <w:t>Staff costs</w:t>
            </w:r>
          </w:p>
        </w:tc>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04EAB3BC" w14:textId="22082876" w:rsidR="00792B61" w:rsidRDefault="00792B61" w:rsidP="00792B61">
            <w:pPr>
              <w:jc w:val="right"/>
            </w:pPr>
            <w:r w:rsidRPr="79F055BD">
              <w:rPr>
                <w:rFonts w:eastAsia="Arial" w:cs="Arial"/>
                <w:color w:val="000000" w:themeColor="text1"/>
                <w:szCs w:val="22"/>
              </w:rPr>
              <w:t>(30,543)</w:t>
            </w:r>
          </w:p>
        </w:tc>
        <w:tc>
          <w:tcPr>
            <w:tcW w:w="169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1B059C07" w14:textId="3FA08147" w:rsidR="00792B61" w:rsidRDefault="4E36A387" w:rsidP="00792B61">
            <w:pPr>
              <w:jc w:val="right"/>
            </w:pPr>
            <w:r>
              <w:t>(32,858)</w:t>
            </w:r>
          </w:p>
        </w:tc>
        <w:tc>
          <w:tcPr>
            <w:tcW w:w="1560" w:type="dxa"/>
            <w:tcBorders>
              <w:top w:val="single" w:sz="8" w:space="0" w:color="auto"/>
              <w:left w:val="single" w:sz="8" w:space="0" w:color="auto"/>
              <w:bottom w:val="single" w:sz="8" w:space="0" w:color="auto"/>
              <w:right w:val="single" w:sz="8" w:space="0" w:color="auto"/>
            </w:tcBorders>
            <w:tcMar>
              <w:left w:w="108" w:type="dxa"/>
              <w:right w:w="108" w:type="dxa"/>
            </w:tcMar>
          </w:tcPr>
          <w:p w14:paraId="7FDBEBEC" w14:textId="7882B562" w:rsidR="00792B61" w:rsidRDefault="103FF0A1" w:rsidP="00792B61">
            <w:pPr>
              <w:jc w:val="right"/>
            </w:pPr>
            <w:r>
              <w:t>(34,277)</w:t>
            </w:r>
          </w:p>
        </w:tc>
      </w:tr>
      <w:tr w:rsidR="00792B61" w14:paraId="73B55BA3" w14:textId="77777777" w:rsidTr="0D4845F1">
        <w:trPr>
          <w:trHeight w:val="300"/>
        </w:trPr>
        <w:tc>
          <w:tcPr>
            <w:tcW w:w="3750" w:type="dxa"/>
            <w:tcBorders>
              <w:top w:val="single" w:sz="8" w:space="0" w:color="auto"/>
              <w:left w:val="single" w:sz="8" w:space="0" w:color="auto"/>
              <w:bottom w:val="single" w:sz="8" w:space="0" w:color="auto"/>
              <w:right w:val="single" w:sz="8" w:space="0" w:color="auto"/>
            </w:tcBorders>
            <w:tcMar>
              <w:left w:w="108" w:type="dxa"/>
              <w:right w:w="108" w:type="dxa"/>
            </w:tcMar>
          </w:tcPr>
          <w:p w14:paraId="086C1CF6" w14:textId="2C4E3BDE" w:rsidR="00792B61" w:rsidRDefault="00792B61" w:rsidP="00792B61">
            <w:r w:rsidRPr="79F055BD">
              <w:rPr>
                <w:rFonts w:eastAsia="Arial" w:cs="Arial"/>
                <w:color w:val="000000" w:themeColor="text1"/>
                <w:szCs w:val="22"/>
              </w:rPr>
              <w:t>Administration</w:t>
            </w:r>
          </w:p>
        </w:tc>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3646313B" w14:textId="1302C591" w:rsidR="00792B61" w:rsidRDefault="00792B61" w:rsidP="00792B61">
            <w:pPr>
              <w:jc w:val="right"/>
            </w:pPr>
            <w:r w:rsidRPr="79F055BD">
              <w:rPr>
                <w:rFonts w:eastAsia="Arial" w:cs="Arial"/>
                <w:color w:val="000000" w:themeColor="text1"/>
                <w:szCs w:val="22"/>
              </w:rPr>
              <w:t>(5,998)</w:t>
            </w:r>
          </w:p>
        </w:tc>
        <w:tc>
          <w:tcPr>
            <w:tcW w:w="169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5882AD07" w14:textId="1375D6D2" w:rsidR="00792B61" w:rsidRDefault="5873CCAF" w:rsidP="00792B61">
            <w:pPr>
              <w:jc w:val="right"/>
            </w:pPr>
            <w:r>
              <w:t>(6,130</w:t>
            </w:r>
            <w:r w:rsidR="486AB3B3">
              <w:t>)</w:t>
            </w:r>
          </w:p>
        </w:tc>
        <w:tc>
          <w:tcPr>
            <w:tcW w:w="1560" w:type="dxa"/>
            <w:tcBorders>
              <w:top w:val="single" w:sz="8" w:space="0" w:color="auto"/>
              <w:left w:val="single" w:sz="8" w:space="0" w:color="auto"/>
              <w:bottom w:val="single" w:sz="8" w:space="0" w:color="auto"/>
              <w:right w:val="single" w:sz="8" w:space="0" w:color="auto"/>
            </w:tcBorders>
            <w:tcMar>
              <w:left w:w="108" w:type="dxa"/>
              <w:right w:w="108" w:type="dxa"/>
            </w:tcMar>
          </w:tcPr>
          <w:p w14:paraId="7EC683A5" w14:textId="48A82D5F" w:rsidR="00792B61" w:rsidRDefault="79F76966" w:rsidP="00792B61">
            <w:pPr>
              <w:jc w:val="right"/>
            </w:pPr>
            <w:r>
              <w:t>(7,709)</w:t>
            </w:r>
          </w:p>
        </w:tc>
      </w:tr>
      <w:tr w:rsidR="00792B61" w14:paraId="653AF76A" w14:textId="77777777" w:rsidTr="0D4845F1">
        <w:trPr>
          <w:trHeight w:val="300"/>
        </w:trPr>
        <w:tc>
          <w:tcPr>
            <w:tcW w:w="375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45376352" w14:textId="04B96360" w:rsidR="00792B61" w:rsidRDefault="00792B61" w:rsidP="00792B61">
            <w:r w:rsidRPr="79F055BD">
              <w:rPr>
                <w:rFonts w:eastAsia="Arial" w:cs="Arial"/>
                <w:b/>
                <w:bCs/>
                <w:color w:val="000000" w:themeColor="text1"/>
                <w:szCs w:val="22"/>
              </w:rPr>
              <w:lastRenderedPageBreak/>
              <w:t>Total expenditure</w:t>
            </w:r>
          </w:p>
        </w:tc>
        <w:tc>
          <w:tcPr>
            <w:tcW w:w="148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34E044B8" w14:textId="08F8F0A7" w:rsidR="00792B61" w:rsidRDefault="00792B61" w:rsidP="00792B61">
            <w:pPr>
              <w:jc w:val="right"/>
            </w:pPr>
            <w:r w:rsidRPr="79F055BD">
              <w:rPr>
                <w:rFonts w:eastAsia="Arial" w:cs="Arial"/>
                <w:b/>
                <w:bCs/>
                <w:color w:val="000000" w:themeColor="text1"/>
                <w:szCs w:val="22"/>
              </w:rPr>
              <w:t>(82,027)</w:t>
            </w:r>
          </w:p>
        </w:tc>
        <w:tc>
          <w:tcPr>
            <w:tcW w:w="169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4EC2800E" w14:textId="4636DC50" w:rsidR="00792B61" w:rsidRPr="00317463" w:rsidRDefault="62B1AAB6" w:rsidP="00792B61">
            <w:pPr>
              <w:jc w:val="right"/>
              <w:rPr>
                <w:b/>
                <w:bCs/>
              </w:rPr>
            </w:pPr>
            <w:r w:rsidRPr="00317463">
              <w:rPr>
                <w:b/>
                <w:bCs/>
              </w:rPr>
              <w:t>(84,528)</w:t>
            </w:r>
          </w:p>
        </w:tc>
        <w:tc>
          <w:tcPr>
            <w:tcW w:w="156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1D7F0170" w14:textId="70E3502E" w:rsidR="00792B61" w:rsidRPr="00317463" w:rsidRDefault="42C8623B" w:rsidP="00792B61">
            <w:pPr>
              <w:jc w:val="right"/>
              <w:rPr>
                <w:b/>
                <w:bCs/>
              </w:rPr>
            </w:pPr>
            <w:r w:rsidRPr="00317463">
              <w:rPr>
                <w:b/>
                <w:bCs/>
              </w:rPr>
              <w:t>(92,196)</w:t>
            </w:r>
          </w:p>
        </w:tc>
      </w:tr>
      <w:tr w:rsidR="00792B61" w14:paraId="5409AD85" w14:textId="77777777" w:rsidTr="0D4845F1">
        <w:trPr>
          <w:trHeight w:val="300"/>
        </w:trPr>
        <w:tc>
          <w:tcPr>
            <w:tcW w:w="3750" w:type="dxa"/>
            <w:tcBorders>
              <w:top w:val="single" w:sz="8" w:space="0" w:color="auto"/>
              <w:left w:val="single" w:sz="8" w:space="0" w:color="auto"/>
              <w:bottom w:val="single" w:sz="8" w:space="0" w:color="auto"/>
              <w:right w:val="single" w:sz="8" w:space="0" w:color="auto"/>
            </w:tcBorders>
            <w:tcMar>
              <w:left w:w="108" w:type="dxa"/>
              <w:right w:w="108" w:type="dxa"/>
            </w:tcMar>
          </w:tcPr>
          <w:p w14:paraId="5E39314F" w14:textId="44271535" w:rsidR="00792B61" w:rsidRDefault="00792B61" w:rsidP="00792B61">
            <w:r w:rsidRPr="79F055BD">
              <w:rPr>
                <w:rFonts w:eastAsia="Arial" w:cs="Arial"/>
                <w:color w:val="000000" w:themeColor="text1"/>
                <w:szCs w:val="22"/>
              </w:rPr>
              <w:t>Depreciation and Revaluation</w:t>
            </w:r>
          </w:p>
        </w:tc>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52D1FEA7" w14:textId="738EFB90" w:rsidR="00792B61" w:rsidRDefault="00792B61" w:rsidP="00792B61">
            <w:pPr>
              <w:jc w:val="right"/>
            </w:pPr>
            <w:r w:rsidRPr="79F055BD">
              <w:rPr>
                <w:rFonts w:eastAsia="Arial" w:cs="Arial"/>
                <w:color w:val="000000" w:themeColor="text1"/>
                <w:szCs w:val="22"/>
              </w:rPr>
              <w:t>(568)</w:t>
            </w:r>
          </w:p>
        </w:tc>
        <w:tc>
          <w:tcPr>
            <w:tcW w:w="169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35D61C90" w14:textId="146C9E2B" w:rsidR="00792B61" w:rsidRDefault="079639F8" w:rsidP="00792B61">
            <w:pPr>
              <w:jc w:val="right"/>
            </w:pPr>
            <w:r>
              <w:t>(574)</w:t>
            </w:r>
          </w:p>
        </w:tc>
        <w:tc>
          <w:tcPr>
            <w:tcW w:w="1560" w:type="dxa"/>
            <w:tcBorders>
              <w:top w:val="single" w:sz="8" w:space="0" w:color="auto"/>
              <w:left w:val="single" w:sz="8" w:space="0" w:color="auto"/>
              <w:bottom w:val="single" w:sz="8" w:space="0" w:color="auto"/>
              <w:right w:val="single" w:sz="8" w:space="0" w:color="auto"/>
            </w:tcBorders>
            <w:tcMar>
              <w:left w:w="108" w:type="dxa"/>
              <w:right w:w="108" w:type="dxa"/>
            </w:tcMar>
          </w:tcPr>
          <w:p w14:paraId="426DD5D2" w14:textId="24C11703" w:rsidR="00792B61" w:rsidRDefault="3E5154E0" w:rsidP="00792B61">
            <w:pPr>
              <w:jc w:val="right"/>
            </w:pPr>
            <w:r>
              <w:t>(731)</w:t>
            </w:r>
          </w:p>
        </w:tc>
      </w:tr>
      <w:tr w:rsidR="00792B61" w14:paraId="5E3893DE" w14:textId="77777777" w:rsidTr="0D4845F1">
        <w:trPr>
          <w:trHeight w:val="300"/>
        </w:trPr>
        <w:tc>
          <w:tcPr>
            <w:tcW w:w="375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101B334D" w14:textId="7C5337CE" w:rsidR="00792B61" w:rsidRDefault="00792B61" w:rsidP="00792B61">
            <w:r w:rsidRPr="79F055BD">
              <w:rPr>
                <w:rFonts w:eastAsia="Arial" w:cs="Arial"/>
                <w:b/>
                <w:bCs/>
                <w:color w:val="000000" w:themeColor="text1"/>
                <w:szCs w:val="22"/>
              </w:rPr>
              <w:t>Total Expenditure</w:t>
            </w:r>
          </w:p>
        </w:tc>
        <w:tc>
          <w:tcPr>
            <w:tcW w:w="148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7A51FBA9" w14:textId="260CC9CB" w:rsidR="00792B61" w:rsidRDefault="00792B61" w:rsidP="00792B61">
            <w:pPr>
              <w:jc w:val="right"/>
            </w:pPr>
            <w:r w:rsidRPr="79F055BD">
              <w:rPr>
                <w:rFonts w:eastAsia="Arial" w:cs="Arial"/>
                <w:b/>
                <w:bCs/>
                <w:color w:val="000000" w:themeColor="text1"/>
                <w:szCs w:val="22"/>
              </w:rPr>
              <w:t>(82,595)</w:t>
            </w:r>
          </w:p>
        </w:tc>
        <w:tc>
          <w:tcPr>
            <w:tcW w:w="169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635DF8E0" w14:textId="0DB41C97" w:rsidR="00792B61" w:rsidRDefault="7E2044B5" w:rsidP="00792B61">
            <w:pPr>
              <w:jc w:val="right"/>
            </w:pPr>
            <w:r w:rsidRPr="00317463">
              <w:rPr>
                <w:b/>
                <w:bCs/>
              </w:rPr>
              <w:t>(85,102)</w:t>
            </w:r>
          </w:p>
        </w:tc>
        <w:tc>
          <w:tcPr>
            <w:tcW w:w="156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03D8A639" w14:textId="59C8CE87" w:rsidR="00792B61" w:rsidRDefault="4032F684" w:rsidP="00792B61">
            <w:pPr>
              <w:jc w:val="right"/>
            </w:pPr>
            <w:r w:rsidRPr="00317463">
              <w:rPr>
                <w:b/>
                <w:bCs/>
              </w:rPr>
              <w:t>(92,927)</w:t>
            </w:r>
          </w:p>
        </w:tc>
      </w:tr>
    </w:tbl>
    <w:p w14:paraId="3D6507EE" w14:textId="7F4662CB" w:rsidR="5B207A96" w:rsidRDefault="5B207A96" w:rsidP="00B66B09"/>
    <w:sectPr w:rsidR="5B207A96" w:rsidSect="00195E1D">
      <w:headerReference w:type="even" r:id="rId16"/>
      <w:headerReference w:type="default" r:id="rId17"/>
      <w:footerReference w:type="even" r:id="rId18"/>
      <w:footerReference w:type="default" r:id="rId19"/>
      <w:headerReference w:type="first" r:id="rId20"/>
      <w:footerReference w:type="first" r:id="rId21"/>
      <w:pgSz w:w="11900" w:h="16820" w:code="9"/>
      <w:pgMar w:top="1418" w:right="907" w:bottom="709" w:left="907" w:header="284" w:footer="284" w:gutter="0"/>
      <w:paperSrc w:first="7" w:other="7"/>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C8019" w14:textId="77777777" w:rsidR="00CD0AD2" w:rsidRDefault="00CD0AD2">
      <w:pPr>
        <w:spacing w:after="0" w:line="240" w:lineRule="auto"/>
      </w:pPr>
      <w:r>
        <w:separator/>
      </w:r>
    </w:p>
  </w:endnote>
  <w:endnote w:type="continuationSeparator" w:id="0">
    <w:p w14:paraId="21FB43A8" w14:textId="77777777" w:rsidR="00CD0AD2" w:rsidRDefault="00CD0AD2">
      <w:pPr>
        <w:spacing w:after="0" w:line="240" w:lineRule="auto"/>
      </w:pPr>
      <w:r>
        <w:continuationSeparator/>
      </w:r>
    </w:p>
  </w:endnote>
  <w:endnote w:type="continuationNotice" w:id="1">
    <w:p w14:paraId="47E62E17" w14:textId="77777777" w:rsidR="00CD0AD2" w:rsidRDefault="00CD0A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rial Bold">
    <w:panose1 w:val="020B0704020202020204"/>
    <w:charset w:val="00"/>
    <w:family w:val="swiss"/>
    <w:pitch w:val="variable"/>
    <w:sig w:usb0="00000000"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59CB6" w14:textId="77777777" w:rsidR="00D04D84" w:rsidRDefault="00C8737B" w:rsidP="000315E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069D6C0" w14:textId="77777777" w:rsidR="00D04D84" w:rsidRDefault="00D04D84" w:rsidP="000315EB">
    <w:pPr>
      <w:pStyle w:val="Footer"/>
      <w:ind w:right="360" w:firstLine="360"/>
    </w:pPr>
  </w:p>
  <w:p w14:paraId="1760350E" w14:textId="77777777" w:rsidR="00D04D84" w:rsidRDefault="00D04D8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1BC96" w14:textId="77777777" w:rsidR="00D04D84" w:rsidRDefault="00C8737B" w:rsidP="000315EB">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noProof/>
        <w:lang w:val="en-US"/>
      </w:rPr>
      <mc:AlternateContent>
        <mc:Choice Requires="wps">
          <w:drawing>
            <wp:anchor distT="0" distB="0" distL="114300" distR="114300" simplePos="0" relativeHeight="251658241" behindDoc="0" locked="1" layoutInCell="1" allowOverlap="1" wp14:anchorId="2C032DC7" wp14:editId="10FFFC4B">
              <wp:simplePos x="0" y="0"/>
              <wp:positionH relativeFrom="page">
                <wp:posOffset>180340</wp:posOffset>
              </wp:positionH>
              <wp:positionV relativeFrom="page">
                <wp:posOffset>10235565</wp:posOffset>
              </wp:positionV>
              <wp:extent cx="7200265" cy="0"/>
              <wp:effectExtent l="0" t="0" r="13335" b="25400"/>
              <wp:wrapNone/>
              <wp:docPr id="2" name="Straight Connector 2"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B1005D"/>
                        </a:solidFill>
                        <a:round/>
                        <a:headEnd/>
                        <a:tailEnd/>
                      </a:ln>
                      <a:effectLst/>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xmlns:w16du="http://schemas.microsoft.com/office/word/2023/wordml/word16du">
          <w:pict w14:anchorId="11D54D7A">
            <v:line id="Line 3"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alt=" " o:spid="_x0000_s1026" strokecolor="#b1005d" strokeweight=".5pt" from="14.2pt,805.95pt" to="581.15pt,805.95pt" w14:anchorId="3C4968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">
              <v:stroke endcap="round"/>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90464" w14:textId="77777777" w:rsidR="00D04D84" w:rsidRPr="008636E1" w:rsidRDefault="00C8737B" w:rsidP="000315EB">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noProof/>
        <w:lang w:val="en-US"/>
      </w:rPr>
      <mc:AlternateContent>
        <mc:Choice Requires="wps">
          <w:drawing>
            <wp:anchor distT="0" distB="0" distL="114300" distR="114300" simplePos="0" relativeHeight="251658242" behindDoc="0" locked="1" layoutInCell="1" allowOverlap="1" wp14:anchorId="7D08ED56" wp14:editId="5A85E7EA">
              <wp:simplePos x="0" y="0"/>
              <wp:positionH relativeFrom="page">
                <wp:posOffset>180340</wp:posOffset>
              </wp:positionH>
              <wp:positionV relativeFrom="page">
                <wp:posOffset>10235565</wp:posOffset>
              </wp:positionV>
              <wp:extent cx="7200265" cy="0"/>
              <wp:effectExtent l="0" t="0" r="13335" b="25400"/>
              <wp:wrapNone/>
              <wp:docPr id="10" name="Straight Connector 10"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B1005D"/>
                        </a:solidFill>
                        <a:round/>
                        <a:headEnd/>
                        <a:tailEnd/>
                      </a:ln>
                      <a:effectLst/>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xmlns:w16du="http://schemas.microsoft.com/office/word/2023/wordml/word16du">
          <w:pict w14:anchorId="3A8E23DE">
            <v:line id="Line 3"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alt=" " o:spid="_x0000_s1026" strokecolor="#b1005d" strokeweight=".5pt" from="14.2pt,805.95pt" to="581.15pt,805.95pt" w14:anchorId="24C8294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">
              <v:stroke endcap="round"/>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90D4A" w14:textId="77777777" w:rsidR="00CD0AD2" w:rsidRDefault="00CD0AD2">
      <w:pPr>
        <w:spacing w:after="0" w:line="240" w:lineRule="auto"/>
      </w:pPr>
      <w:r>
        <w:separator/>
      </w:r>
    </w:p>
  </w:footnote>
  <w:footnote w:type="continuationSeparator" w:id="0">
    <w:p w14:paraId="04911D76" w14:textId="77777777" w:rsidR="00CD0AD2" w:rsidRDefault="00CD0AD2">
      <w:pPr>
        <w:spacing w:after="0" w:line="240" w:lineRule="auto"/>
      </w:pPr>
      <w:r>
        <w:continuationSeparator/>
      </w:r>
    </w:p>
  </w:footnote>
  <w:footnote w:type="continuationNotice" w:id="1">
    <w:p w14:paraId="54922EEC" w14:textId="77777777" w:rsidR="00CD0AD2" w:rsidRDefault="00CD0AD2">
      <w:pPr>
        <w:spacing w:after="0" w:line="240" w:lineRule="auto"/>
      </w:pPr>
    </w:p>
  </w:footnote>
  <w:footnote w:id="2">
    <w:p w14:paraId="73A62E49" w14:textId="17F993B6" w:rsidR="004E27BF" w:rsidRDefault="004E27BF" w:rsidP="00CB620E">
      <w:pPr>
        <w:pStyle w:val="FootnoteText"/>
        <w:ind w:left="142" w:hanging="142"/>
      </w:pPr>
      <w:r>
        <w:rPr>
          <w:rStyle w:val="FootnoteReference"/>
        </w:rPr>
        <w:footnoteRef/>
      </w:r>
      <w:r>
        <w:tab/>
      </w:r>
      <w:r w:rsidR="5E1C418E">
        <w:t xml:space="preserve">A unique client is an individual who has accessed one or more of our legal services and with whom a client lawyer relationship was formed. We count our unique clients the first time we see them in the year. This definition does not include those clients who received information over the phone or via our online web chat (Legal Help), from our website, in person at a court counter or those who attended one of our community legal education sessions. </w:t>
      </w:r>
    </w:p>
  </w:footnote>
  <w:footnote w:id="3">
    <w:p w14:paraId="21D9F812" w14:textId="78847231" w:rsidR="00FC0917" w:rsidRPr="00FC0917" w:rsidRDefault="00FC0917">
      <w:pPr>
        <w:pStyle w:val="FootnoteText"/>
      </w:pPr>
      <w:r>
        <w:rPr>
          <w:rStyle w:val="FootnoteReference"/>
        </w:rPr>
        <w:footnoteRef/>
      </w:r>
      <w:r>
        <w:t xml:space="preserve"> </w:t>
      </w:r>
      <w:r w:rsidR="0018629E">
        <w:t>This figure has been adjusted by 3,719 duty lawyer services</w:t>
      </w:r>
      <w:r w:rsidR="00096B52">
        <w:t>.</w:t>
      </w:r>
    </w:p>
  </w:footnote>
  <w:footnote w:id="4">
    <w:p w14:paraId="5F21E3D1" w14:textId="2191C171" w:rsidR="004E27BF" w:rsidRPr="008470E5" w:rsidRDefault="004E27BF" w:rsidP="007650ED">
      <w:pPr>
        <w:pStyle w:val="FootnoteText"/>
        <w:ind w:left="142" w:hanging="142"/>
        <w:rPr>
          <w:lang w:val="en-GB"/>
        </w:rPr>
      </w:pPr>
      <w:r>
        <w:rPr>
          <w:rStyle w:val="FootnoteReference"/>
        </w:rPr>
        <w:footnoteRef/>
      </w:r>
      <w:r>
        <w:t xml:space="preserve"> </w:t>
      </w:r>
      <w:r w:rsidRPr="007650ED">
        <w:t>Engaged</w:t>
      </w:r>
      <w:r>
        <w:rPr>
          <w:lang w:val="en-GB"/>
        </w:rPr>
        <w:t xml:space="preserve"> sessions are </w:t>
      </w:r>
      <w:r w:rsidRPr="00EC2A1A">
        <w:rPr>
          <w:lang w:val="en-GB"/>
        </w:rPr>
        <w:t xml:space="preserve">when a </w:t>
      </w:r>
      <w:r>
        <w:rPr>
          <w:lang w:val="en-GB"/>
        </w:rPr>
        <w:t xml:space="preserve">website </w:t>
      </w:r>
      <w:r w:rsidRPr="00EC2A1A">
        <w:rPr>
          <w:lang w:val="en-GB"/>
        </w:rPr>
        <w:t>session lasts longer than ten seconds, when a session includes at least one conversion, or when a session includes two or more page views.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185C6" w14:textId="77777777" w:rsidR="00D04D84" w:rsidRDefault="00BF1962" w:rsidP="000315EB">
    <w:pPr>
      <w:pStyle w:val="Header"/>
      <w:framePr w:wrap="around" w:vAnchor="text" w:hAnchor="margin" w:xAlign="right" w:y="1"/>
      <w:rPr>
        <w:rStyle w:val="PageNumber"/>
      </w:rPr>
    </w:pPr>
    <w:r>
      <w:rPr>
        <w:noProof/>
        <w:sz w:val="18"/>
      </w:rPr>
      <mc:AlternateContent>
        <mc:Choice Requires="wps">
          <w:drawing>
            <wp:anchor distT="0" distB="0" distL="0" distR="0" simplePos="0" relativeHeight="251658243" behindDoc="0" locked="0" layoutInCell="1" allowOverlap="1" wp14:anchorId="1724EA73" wp14:editId="7E430687">
              <wp:simplePos x="635" y="635"/>
              <wp:positionH relativeFrom="page">
                <wp:align>center</wp:align>
              </wp:positionH>
              <wp:positionV relativeFrom="page">
                <wp:align>top</wp:align>
              </wp:positionV>
              <wp:extent cx="443865" cy="443865"/>
              <wp:effectExtent l="0" t="0" r="2540" b="0"/>
              <wp:wrapNone/>
              <wp:docPr id="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E1ED698" w14:textId="77777777" w:rsidR="00BF1962" w:rsidRPr="00BF1962" w:rsidRDefault="00BF1962" w:rsidP="00BF1962">
                          <w:pPr>
                            <w:spacing w:after="0"/>
                            <w:rPr>
                              <w:rFonts w:ascii="Calibri" w:eastAsia="Calibri" w:hAnsi="Calibri" w:cs="Calibri"/>
                              <w:noProof/>
                              <w:color w:val="000000"/>
                              <w:szCs w:val="22"/>
                            </w:rPr>
                          </w:pPr>
                          <w:r w:rsidRPr="00BF1962">
                            <w:rPr>
                              <w:rFonts w:ascii="Calibri" w:eastAsia="Calibri" w:hAnsi="Calibri" w:cs="Calibri"/>
                              <w:noProof/>
                              <w:color w:val="000000"/>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724EA73" id="_x0000_t202" coordsize="21600,21600" o:spt="202" path="m,l,21600r21600,l21600,xe">
              <v:stroke joinstyle="miter"/>
              <v:path gradientshapeok="t" o:connecttype="rect"/>
            </v:shapetype>
            <v:shape id="Text Box 4" o:spid="_x0000_s1026" type="#_x0000_t202" alt="OFFICIAL" style="position:absolute;margin-left:0;margin-top:0;width:34.95pt;height:34.9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5E1ED698" w14:textId="77777777" w:rsidR="00BF1962" w:rsidRPr="00BF1962" w:rsidRDefault="00BF1962" w:rsidP="00BF1962">
                    <w:pPr>
                      <w:spacing w:after="0"/>
                      <w:rPr>
                        <w:rFonts w:ascii="Calibri" w:eastAsia="Calibri" w:hAnsi="Calibri" w:cs="Calibri"/>
                        <w:noProof/>
                        <w:color w:val="000000"/>
                        <w:szCs w:val="22"/>
                      </w:rPr>
                    </w:pPr>
                    <w:r w:rsidRPr="00BF1962">
                      <w:rPr>
                        <w:rFonts w:ascii="Calibri" w:eastAsia="Calibri" w:hAnsi="Calibri" w:cs="Calibri"/>
                        <w:noProof/>
                        <w:color w:val="000000"/>
                        <w:szCs w:val="22"/>
                      </w:rPr>
                      <w:t>OFFICIAL</w:t>
                    </w:r>
                  </w:p>
                </w:txbxContent>
              </v:textbox>
              <w10:wrap anchorx="page" anchory="page"/>
            </v:shape>
          </w:pict>
        </mc:Fallback>
      </mc:AlternateContent>
    </w:r>
    <w:r w:rsidR="00C8737B">
      <w:rPr>
        <w:rStyle w:val="PageNumber"/>
      </w:rPr>
      <w:fldChar w:fldCharType="begin"/>
    </w:r>
    <w:r w:rsidR="00C8737B">
      <w:rPr>
        <w:rStyle w:val="PageNumber"/>
      </w:rPr>
      <w:instrText xml:space="preserve">PAGE  </w:instrText>
    </w:r>
    <w:r w:rsidR="00C8737B">
      <w:rPr>
        <w:rStyle w:val="PageNumber"/>
      </w:rPr>
      <w:fldChar w:fldCharType="separate"/>
    </w:r>
    <w:r w:rsidR="00C8737B">
      <w:rPr>
        <w:rStyle w:val="PageNumber"/>
        <w:noProof/>
      </w:rPr>
      <w:t>2</w:t>
    </w:r>
    <w:r w:rsidR="00C8737B">
      <w:rPr>
        <w:rStyle w:val="PageNumber"/>
      </w:rPr>
      <w:fldChar w:fldCharType="end"/>
    </w:r>
  </w:p>
  <w:p w14:paraId="4685ADB5" w14:textId="77777777" w:rsidR="00D04D84" w:rsidRDefault="00D04D84" w:rsidP="000315EB">
    <w:pPr>
      <w:pStyle w:val="Header"/>
      <w:ind w:right="360"/>
    </w:pPr>
  </w:p>
  <w:p w14:paraId="1165DC1D" w14:textId="77777777" w:rsidR="00D04D84" w:rsidRDefault="00D04D8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7A654" w14:textId="77777777" w:rsidR="00D04D84" w:rsidRPr="006A6FC6" w:rsidRDefault="00BF1962" w:rsidP="000315EB">
    <w:pPr>
      <w:tabs>
        <w:tab w:val="left" w:pos="6893"/>
      </w:tabs>
      <w:spacing w:after="80" w:line="240" w:lineRule="auto"/>
      <w:ind w:left="-330"/>
      <w:rPr>
        <w:rFonts w:cs="Arial"/>
        <w:color w:val="B1005D"/>
        <w:sz w:val="18"/>
        <w:szCs w:val="18"/>
      </w:rPr>
    </w:pPr>
    <w:r>
      <w:rPr>
        <w:rFonts w:cs="Arial"/>
        <w:noProof/>
        <w:color w:val="B1005D"/>
        <w:sz w:val="18"/>
        <w:szCs w:val="18"/>
      </w:rPr>
      <mc:AlternateContent>
        <mc:Choice Requires="wps">
          <w:drawing>
            <wp:anchor distT="0" distB="0" distL="0" distR="0" simplePos="0" relativeHeight="251658244" behindDoc="0" locked="0" layoutInCell="1" allowOverlap="1" wp14:anchorId="6C5E778E" wp14:editId="7F1D6F01">
              <wp:simplePos x="635" y="635"/>
              <wp:positionH relativeFrom="page">
                <wp:align>center</wp:align>
              </wp:positionH>
              <wp:positionV relativeFrom="page">
                <wp:align>top</wp:align>
              </wp:positionV>
              <wp:extent cx="443865" cy="443865"/>
              <wp:effectExtent l="0" t="0" r="2540" b="0"/>
              <wp:wrapNone/>
              <wp:docPr id="5"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892CC29" w14:textId="77777777" w:rsidR="00BF1962" w:rsidRPr="00BF1962" w:rsidRDefault="00BF1962" w:rsidP="00BF1962">
                          <w:pPr>
                            <w:spacing w:after="0"/>
                            <w:rPr>
                              <w:rFonts w:ascii="Calibri" w:eastAsia="Calibri" w:hAnsi="Calibri" w:cs="Calibri"/>
                              <w:noProof/>
                              <w:color w:val="000000"/>
                              <w:szCs w:val="22"/>
                            </w:rPr>
                          </w:pPr>
                          <w:r w:rsidRPr="00BF1962">
                            <w:rPr>
                              <w:rFonts w:ascii="Calibri" w:eastAsia="Calibri" w:hAnsi="Calibri" w:cs="Calibri"/>
                              <w:noProof/>
                              <w:color w:val="000000"/>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C5E778E" id="_x0000_t202" coordsize="21600,21600" o:spt="202" path="m,l,21600r21600,l21600,xe">
              <v:stroke joinstyle="miter"/>
              <v:path gradientshapeok="t" o:connecttype="rect"/>
            </v:shapetype>
            <v:shape id="Text Box 5" o:spid="_x0000_s1027" type="#_x0000_t202" alt="OFFICIAL" style="position:absolute;left:0;text-align:left;margin-left:0;margin-top:0;width:34.95pt;height:34.9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1892CC29" w14:textId="77777777" w:rsidR="00BF1962" w:rsidRPr="00BF1962" w:rsidRDefault="00BF1962" w:rsidP="00BF1962">
                    <w:pPr>
                      <w:spacing w:after="0"/>
                      <w:rPr>
                        <w:rFonts w:ascii="Calibri" w:eastAsia="Calibri" w:hAnsi="Calibri" w:cs="Calibri"/>
                        <w:noProof/>
                        <w:color w:val="000000"/>
                        <w:szCs w:val="22"/>
                      </w:rPr>
                    </w:pPr>
                    <w:r w:rsidRPr="00BF1962">
                      <w:rPr>
                        <w:rFonts w:ascii="Calibri" w:eastAsia="Calibri" w:hAnsi="Calibri" w:cs="Calibri"/>
                        <w:noProof/>
                        <w:color w:val="000000"/>
                        <w:szCs w:val="22"/>
                      </w:rPr>
                      <w:t>OFFICIAL</w:t>
                    </w:r>
                  </w:p>
                </w:txbxContent>
              </v:textbox>
              <w10:wrap anchorx="page" anchory="page"/>
            </v:shape>
          </w:pict>
        </mc:Fallback>
      </mc:AlternateContent>
    </w:r>
    <w:r w:rsidR="00C8737B" w:rsidRPr="006A6FC6">
      <w:rPr>
        <w:rFonts w:cs="Arial"/>
        <w:color w:val="B1005D"/>
        <w:sz w:val="18"/>
        <w:szCs w:val="18"/>
      </w:rPr>
      <w:t>Victoria Legal Aid</w:t>
    </w:r>
    <w:r w:rsidR="00C8737B">
      <w:rPr>
        <w:rFonts w:cs="Arial"/>
        <w:color w:val="B1005D"/>
        <w:sz w:val="18"/>
        <w:szCs w:val="18"/>
      </w:rPr>
      <w:tab/>
    </w:r>
  </w:p>
  <w:p w14:paraId="0FD4E253" w14:textId="495F6BA6" w:rsidR="00D04D84" w:rsidRPr="00EF7C5C" w:rsidRDefault="00C8737B" w:rsidP="000315EB">
    <w:pPr>
      <w:spacing w:line="240" w:lineRule="auto"/>
      <w:ind w:left="-330"/>
      <w:rPr>
        <w:rFonts w:ascii="Arial Bold" w:hAnsi="Arial Bold" w:cs="Arial"/>
        <w:color w:val="B1005D"/>
      </w:rPr>
    </w:pPr>
    <w:r>
      <w:rPr>
        <w:rFonts w:ascii="Arial Bold" w:hAnsi="Arial Bold" w:cs="Arial"/>
        <w:b/>
        <w:noProof/>
        <w:color w:val="B1005D"/>
        <w:sz w:val="18"/>
        <w:szCs w:val="18"/>
        <w:lang w:val="en-US"/>
      </w:rPr>
      <mc:AlternateContent>
        <mc:Choice Requires="wps">
          <w:drawing>
            <wp:anchor distT="0" distB="0" distL="114300" distR="114300" simplePos="0" relativeHeight="251658240" behindDoc="1" locked="1" layoutInCell="1" allowOverlap="1" wp14:anchorId="27387346" wp14:editId="3BAB0C49">
              <wp:simplePos x="0" y="0"/>
              <wp:positionH relativeFrom="page">
                <wp:posOffset>180340</wp:posOffset>
              </wp:positionH>
              <wp:positionV relativeFrom="page">
                <wp:posOffset>684530</wp:posOffset>
              </wp:positionV>
              <wp:extent cx="7200265" cy="0"/>
              <wp:effectExtent l="0" t="0" r="13335" b="25400"/>
              <wp:wrapNone/>
              <wp:docPr id="3" name="Straight Connector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a:solidFill>
                          <a:srgbClr val="B1005D"/>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clsh="http://schemas.microsoft.com/office/drawing/2020/classificationShape">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clsh="http://schemas.microsoft.com/office/drawing/2020/classificationShape" xmlns:a="http://schemas.openxmlformats.org/drawingml/2006/main" xmlns:w16du="http://schemas.microsoft.com/office/word/2023/wordml/word16du">
          <w:pict w14:anchorId="37F29E2D">
            <v:line id="Straight Connector 3"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alt=" " o:spid="_x0000_s1026" strokecolor="#b1005d" strokeweight=".5pt" from="14.2pt,53.9pt" to="581.15pt,53.9pt" w14:anchorId="51B042C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">
              <w10:wrap anchorx="page" anchory="page"/>
              <w10:anchorlock/>
            </v:line>
          </w:pict>
        </mc:Fallback>
      </mc:AlternateContent>
    </w:r>
    <w:r w:rsidR="00366E11">
      <w:rPr>
        <w:rFonts w:ascii="Arial Bold" w:hAnsi="Arial Bold" w:cs="Arial"/>
        <w:b/>
        <w:color w:val="B1005D"/>
        <w:sz w:val="18"/>
        <w:szCs w:val="18"/>
      </w:rPr>
      <w:t xml:space="preserve">2023-24 Quarter </w:t>
    </w:r>
    <w:r w:rsidR="00D22B5B">
      <w:rPr>
        <w:rFonts w:ascii="Arial Bold" w:hAnsi="Arial Bold" w:cs="Arial"/>
        <w:b/>
        <w:color w:val="B1005D"/>
        <w:sz w:val="18"/>
        <w:szCs w:val="18"/>
      </w:rPr>
      <w:t>Two</w:t>
    </w:r>
    <w:r w:rsidR="00366E11">
      <w:rPr>
        <w:rFonts w:ascii="Arial Bold" w:hAnsi="Arial Bold" w:cs="Arial"/>
        <w:b/>
        <w:color w:val="B1005D"/>
        <w:sz w:val="18"/>
        <w:szCs w:val="18"/>
      </w:rPr>
      <w:t xml:space="preserve"> Report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1555A" w14:textId="77777777" w:rsidR="00D04D84" w:rsidRPr="00833658" w:rsidRDefault="00BF1962" w:rsidP="000315EB">
    <w:pPr>
      <w:pStyle w:val="VLAProgram"/>
      <w:pBdr>
        <w:bottom w:val="none" w:sz="0" w:space="0" w:color="auto"/>
      </w:pBdr>
      <w:rPr>
        <w:color w:val="FFFFFF" w:themeColor="background1"/>
      </w:rPr>
    </w:pPr>
    <w:r>
      <w:rPr>
        <w:noProof/>
        <w:lang w:val="en-US"/>
      </w:rPr>
      <w:drawing>
        <wp:anchor distT="0" distB="0" distL="114300" distR="114300" simplePos="0" relativeHeight="251660293" behindDoc="1" locked="0" layoutInCell="1" allowOverlap="1" wp14:anchorId="477E8A49" wp14:editId="5C8BDF78">
          <wp:simplePos x="0" y="0"/>
          <wp:positionH relativeFrom="page">
            <wp:posOffset>0</wp:posOffset>
          </wp:positionH>
          <wp:positionV relativeFrom="page">
            <wp:posOffset>0</wp:posOffset>
          </wp:positionV>
          <wp:extent cx="7560000" cy="1270800"/>
          <wp:effectExtent l="0" t="0" r="0" b="0"/>
          <wp:wrapNone/>
          <wp:docPr id="1847288000" name="Picture 1847288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7560000" cy="1270800"/>
                  </a:xfrm>
                  <a:prstGeom prst="rect">
                    <a:avLst/>
                  </a:prstGeom>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9D4196A" w14:textId="77777777" w:rsidR="00D04D84" w:rsidRPr="00D82005" w:rsidRDefault="00D04D84" w:rsidP="000315EB">
    <w:pPr>
      <w:pStyle w:val="VLAPublicationdate"/>
      <w:spacing w:before="240" w:after="12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6BAE1E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4E4B7D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7E291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2F0107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A5D43CC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C242A4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2489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B4783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A653E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84608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1" w15:restartNumberingAfterBreak="0">
    <w:nsid w:val="32E36096"/>
    <w:multiLevelType w:val="multilevel"/>
    <w:tmpl w:val="6AF842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4AD06338"/>
    <w:multiLevelType w:val="multilevel"/>
    <w:tmpl w:val="388CB4B2"/>
    <w:lvl w:ilvl="0">
      <w:start w:val="1"/>
      <w:numFmt w:val="decimal"/>
      <w:lvlRestart w:val="0"/>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VLA1"/>
      <w:lvlText w:val="%2."/>
      <w:lvlJc w:val="left"/>
      <w:pPr>
        <w:tabs>
          <w:tab w:val="num" w:pos="714"/>
        </w:tabs>
        <w:ind w:left="714" w:hanging="357"/>
      </w:pPr>
      <w:rPr>
        <w:rFonts w:ascii="Arial" w:hAnsi="Arial" w:cs="Arial" w:hint="default"/>
        <w:b w:val="0"/>
        <w:i w:val="0"/>
        <w:sz w:val="21"/>
        <w:u w:val="none"/>
      </w:rPr>
    </w:lvl>
    <w:lvl w:ilvl="2">
      <w:start w:val="1"/>
      <w:numFmt w:val="lowerRoman"/>
      <w:pStyle w:val="VL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14"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5" w15:restartNumberingAfterBreak="0">
    <w:nsid w:val="695831F1"/>
    <w:multiLevelType w:val="hybridMultilevel"/>
    <w:tmpl w:val="534AAB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A2A7E89"/>
    <w:multiLevelType w:val="hybridMultilevel"/>
    <w:tmpl w:val="2B80354E"/>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num w:numId="1" w16cid:durableId="892696977">
    <w:abstractNumId w:val="12"/>
  </w:num>
  <w:num w:numId="2" w16cid:durableId="1016233601">
    <w:abstractNumId w:val="9"/>
  </w:num>
  <w:num w:numId="3" w16cid:durableId="1319380714">
    <w:abstractNumId w:val="10"/>
  </w:num>
  <w:num w:numId="4" w16cid:durableId="110173964">
    <w:abstractNumId w:val="7"/>
  </w:num>
  <w:num w:numId="5" w16cid:durableId="586231864">
    <w:abstractNumId w:val="14"/>
  </w:num>
  <w:num w:numId="6" w16cid:durableId="2116515627">
    <w:abstractNumId w:val="6"/>
  </w:num>
  <w:num w:numId="7" w16cid:durableId="868878734">
    <w:abstractNumId w:val="14"/>
  </w:num>
  <w:num w:numId="8" w16cid:durableId="1761369738">
    <w:abstractNumId w:val="5"/>
  </w:num>
  <w:num w:numId="9" w16cid:durableId="283344407">
    <w:abstractNumId w:val="4"/>
  </w:num>
  <w:num w:numId="10" w16cid:durableId="1600411382">
    <w:abstractNumId w:val="4"/>
  </w:num>
  <w:num w:numId="11" w16cid:durableId="52243711">
    <w:abstractNumId w:val="8"/>
  </w:num>
  <w:num w:numId="12" w16cid:durableId="1719626052">
    <w:abstractNumId w:val="8"/>
  </w:num>
  <w:num w:numId="13" w16cid:durableId="1066877761">
    <w:abstractNumId w:val="3"/>
  </w:num>
  <w:num w:numId="14" w16cid:durableId="1702126822">
    <w:abstractNumId w:val="3"/>
  </w:num>
  <w:num w:numId="15" w16cid:durableId="1686009286">
    <w:abstractNumId w:val="2"/>
  </w:num>
  <w:num w:numId="16" w16cid:durableId="538051075">
    <w:abstractNumId w:val="2"/>
  </w:num>
  <w:num w:numId="17" w16cid:durableId="1515073001">
    <w:abstractNumId w:val="1"/>
  </w:num>
  <w:num w:numId="18" w16cid:durableId="1348214158">
    <w:abstractNumId w:val="1"/>
  </w:num>
  <w:num w:numId="19" w16cid:durableId="23948277">
    <w:abstractNumId w:val="0"/>
  </w:num>
  <w:num w:numId="20" w16cid:durableId="199326006">
    <w:abstractNumId w:val="0"/>
  </w:num>
  <w:num w:numId="21" w16cid:durableId="1584021663">
    <w:abstractNumId w:val="13"/>
  </w:num>
  <w:num w:numId="22" w16cid:durableId="1937127992">
    <w:abstractNumId w:val="13"/>
  </w:num>
  <w:num w:numId="23" w16cid:durableId="714474809">
    <w:abstractNumId w:val="11"/>
  </w:num>
  <w:num w:numId="24" w16cid:durableId="33389200">
    <w:abstractNumId w:val="16"/>
  </w:num>
  <w:num w:numId="25" w16cid:durableId="105226958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Q3NjexNLc0NjSzMLZQ0lEKTi0uzszPAykwqQUAgB/rQiwAAAA="/>
  </w:docVars>
  <w:rsids>
    <w:rsidRoot w:val="008A7471"/>
    <w:rsid w:val="0000363D"/>
    <w:rsid w:val="0000731B"/>
    <w:rsid w:val="00007954"/>
    <w:rsid w:val="000101AD"/>
    <w:rsid w:val="000168A4"/>
    <w:rsid w:val="000315EB"/>
    <w:rsid w:val="00043F10"/>
    <w:rsid w:val="000443F0"/>
    <w:rsid w:val="00047DF7"/>
    <w:rsid w:val="00051AAC"/>
    <w:rsid w:val="00054AA3"/>
    <w:rsid w:val="000551D2"/>
    <w:rsid w:val="00062818"/>
    <w:rsid w:val="00065D7C"/>
    <w:rsid w:val="00066921"/>
    <w:rsid w:val="00070301"/>
    <w:rsid w:val="000738A2"/>
    <w:rsid w:val="00077831"/>
    <w:rsid w:val="00082332"/>
    <w:rsid w:val="0008464D"/>
    <w:rsid w:val="00092CBC"/>
    <w:rsid w:val="00096B52"/>
    <w:rsid w:val="00097448"/>
    <w:rsid w:val="000A0349"/>
    <w:rsid w:val="000A0A14"/>
    <w:rsid w:val="000A2FBE"/>
    <w:rsid w:val="000A3C2D"/>
    <w:rsid w:val="000B1BAA"/>
    <w:rsid w:val="000B2451"/>
    <w:rsid w:val="000C11B3"/>
    <w:rsid w:val="000C14B8"/>
    <w:rsid w:val="000C1648"/>
    <w:rsid w:val="000C3DF5"/>
    <w:rsid w:val="000C5254"/>
    <w:rsid w:val="000C7FB4"/>
    <w:rsid w:val="000D751B"/>
    <w:rsid w:val="000D7C27"/>
    <w:rsid w:val="000E0791"/>
    <w:rsid w:val="000E78F8"/>
    <w:rsid w:val="000F0C95"/>
    <w:rsid w:val="000F1F56"/>
    <w:rsid w:val="000F1F99"/>
    <w:rsid w:val="000F5D53"/>
    <w:rsid w:val="000F7632"/>
    <w:rsid w:val="000F7B6C"/>
    <w:rsid w:val="0010136E"/>
    <w:rsid w:val="00105467"/>
    <w:rsid w:val="0010759F"/>
    <w:rsid w:val="00111796"/>
    <w:rsid w:val="00112CA5"/>
    <w:rsid w:val="00122E1E"/>
    <w:rsid w:val="0012449A"/>
    <w:rsid w:val="00125593"/>
    <w:rsid w:val="00126C38"/>
    <w:rsid w:val="00131BF1"/>
    <w:rsid w:val="00137131"/>
    <w:rsid w:val="00141544"/>
    <w:rsid w:val="001423A0"/>
    <w:rsid w:val="00150B98"/>
    <w:rsid w:val="001529B6"/>
    <w:rsid w:val="001548DD"/>
    <w:rsid w:val="00157397"/>
    <w:rsid w:val="001600C6"/>
    <w:rsid w:val="001618E9"/>
    <w:rsid w:val="001623E2"/>
    <w:rsid w:val="00164ABB"/>
    <w:rsid w:val="0017094E"/>
    <w:rsid w:val="0017501A"/>
    <w:rsid w:val="00176774"/>
    <w:rsid w:val="00182147"/>
    <w:rsid w:val="0018629E"/>
    <w:rsid w:val="00190A92"/>
    <w:rsid w:val="00192FC1"/>
    <w:rsid w:val="00194337"/>
    <w:rsid w:val="00195E1D"/>
    <w:rsid w:val="001A267E"/>
    <w:rsid w:val="001A27AB"/>
    <w:rsid w:val="001B337D"/>
    <w:rsid w:val="001B5543"/>
    <w:rsid w:val="001C0014"/>
    <w:rsid w:val="001C197A"/>
    <w:rsid w:val="001C2094"/>
    <w:rsid w:val="001C4390"/>
    <w:rsid w:val="001C4D27"/>
    <w:rsid w:val="001D2F76"/>
    <w:rsid w:val="001E2D5B"/>
    <w:rsid w:val="001E3077"/>
    <w:rsid w:val="001E348D"/>
    <w:rsid w:val="001E49FC"/>
    <w:rsid w:val="001E578D"/>
    <w:rsid w:val="001F4D90"/>
    <w:rsid w:val="001F5D5F"/>
    <w:rsid w:val="00200D07"/>
    <w:rsid w:val="00204ABA"/>
    <w:rsid w:val="00205C07"/>
    <w:rsid w:val="00215A92"/>
    <w:rsid w:val="00217DAD"/>
    <w:rsid w:val="00225411"/>
    <w:rsid w:val="002258AD"/>
    <w:rsid w:val="00230CE7"/>
    <w:rsid w:val="00230F9C"/>
    <w:rsid w:val="0023242D"/>
    <w:rsid w:val="002325A4"/>
    <w:rsid w:val="00236F1F"/>
    <w:rsid w:val="00240263"/>
    <w:rsid w:val="0024192D"/>
    <w:rsid w:val="00241A5C"/>
    <w:rsid w:val="00244242"/>
    <w:rsid w:val="00244E32"/>
    <w:rsid w:val="00247FE6"/>
    <w:rsid w:val="002508F5"/>
    <w:rsid w:val="00250E42"/>
    <w:rsid w:val="002530AC"/>
    <w:rsid w:val="002577B4"/>
    <w:rsid w:val="00263844"/>
    <w:rsid w:val="0026665A"/>
    <w:rsid w:val="002714D4"/>
    <w:rsid w:val="00271FA0"/>
    <w:rsid w:val="002722E4"/>
    <w:rsid w:val="00272765"/>
    <w:rsid w:val="002729E8"/>
    <w:rsid w:val="00273784"/>
    <w:rsid w:val="00276185"/>
    <w:rsid w:val="002766CF"/>
    <w:rsid w:val="00276D14"/>
    <w:rsid w:val="00280FAF"/>
    <w:rsid w:val="00281BC1"/>
    <w:rsid w:val="00283AC7"/>
    <w:rsid w:val="00284694"/>
    <w:rsid w:val="002863EC"/>
    <w:rsid w:val="00286C18"/>
    <w:rsid w:val="00286CAE"/>
    <w:rsid w:val="002915FB"/>
    <w:rsid w:val="002A00F7"/>
    <w:rsid w:val="002A26C4"/>
    <w:rsid w:val="002A4595"/>
    <w:rsid w:val="002A764E"/>
    <w:rsid w:val="002B00D3"/>
    <w:rsid w:val="002B2498"/>
    <w:rsid w:val="002B54CC"/>
    <w:rsid w:val="002C3253"/>
    <w:rsid w:val="002C3A5E"/>
    <w:rsid w:val="002C4EF6"/>
    <w:rsid w:val="002D1F2E"/>
    <w:rsid w:val="002D48AB"/>
    <w:rsid w:val="002D707C"/>
    <w:rsid w:val="002D7F39"/>
    <w:rsid w:val="002E3AB9"/>
    <w:rsid w:val="002E4ECC"/>
    <w:rsid w:val="002E65E7"/>
    <w:rsid w:val="002E69B8"/>
    <w:rsid w:val="002E6C79"/>
    <w:rsid w:val="002F3B51"/>
    <w:rsid w:val="00300E25"/>
    <w:rsid w:val="00300FDB"/>
    <w:rsid w:val="00302100"/>
    <w:rsid w:val="003059FE"/>
    <w:rsid w:val="0031443C"/>
    <w:rsid w:val="00317463"/>
    <w:rsid w:val="00320889"/>
    <w:rsid w:val="00320FDF"/>
    <w:rsid w:val="003219E0"/>
    <w:rsid w:val="00325353"/>
    <w:rsid w:val="00327794"/>
    <w:rsid w:val="003332EA"/>
    <w:rsid w:val="0033741B"/>
    <w:rsid w:val="003420C8"/>
    <w:rsid w:val="00342B2F"/>
    <w:rsid w:val="00343489"/>
    <w:rsid w:val="003436A1"/>
    <w:rsid w:val="0034629B"/>
    <w:rsid w:val="003538EF"/>
    <w:rsid w:val="00353D3E"/>
    <w:rsid w:val="00362CBB"/>
    <w:rsid w:val="00366E11"/>
    <w:rsid w:val="00375AE2"/>
    <w:rsid w:val="003765FB"/>
    <w:rsid w:val="00382AE2"/>
    <w:rsid w:val="003845CA"/>
    <w:rsid w:val="00386CE7"/>
    <w:rsid w:val="00390234"/>
    <w:rsid w:val="00390468"/>
    <w:rsid w:val="003924D7"/>
    <w:rsid w:val="00393122"/>
    <w:rsid w:val="003969AD"/>
    <w:rsid w:val="003A354F"/>
    <w:rsid w:val="003B0DC7"/>
    <w:rsid w:val="003B154A"/>
    <w:rsid w:val="003B1728"/>
    <w:rsid w:val="003B2EF8"/>
    <w:rsid w:val="003B6B95"/>
    <w:rsid w:val="003C0558"/>
    <w:rsid w:val="003C53C4"/>
    <w:rsid w:val="003C71E0"/>
    <w:rsid w:val="003D0F0C"/>
    <w:rsid w:val="003D4118"/>
    <w:rsid w:val="003E723D"/>
    <w:rsid w:val="003F0E2C"/>
    <w:rsid w:val="003F47FD"/>
    <w:rsid w:val="003F4CEC"/>
    <w:rsid w:val="00400498"/>
    <w:rsid w:val="00402774"/>
    <w:rsid w:val="004051C8"/>
    <w:rsid w:val="00405967"/>
    <w:rsid w:val="00406FDB"/>
    <w:rsid w:val="00413795"/>
    <w:rsid w:val="0042149B"/>
    <w:rsid w:val="004220E1"/>
    <w:rsid w:val="00422688"/>
    <w:rsid w:val="00425C66"/>
    <w:rsid w:val="00426E95"/>
    <w:rsid w:val="00426F42"/>
    <w:rsid w:val="00433FD9"/>
    <w:rsid w:val="004356C3"/>
    <w:rsid w:val="00435FCB"/>
    <w:rsid w:val="00440289"/>
    <w:rsid w:val="00443B8E"/>
    <w:rsid w:val="00443FAB"/>
    <w:rsid w:val="00452DDB"/>
    <w:rsid w:val="004547C1"/>
    <w:rsid w:val="00454E95"/>
    <w:rsid w:val="004570D8"/>
    <w:rsid w:val="00461300"/>
    <w:rsid w:val="00461773"/>
    <w:rsid w:val="00465F99"/>
    <w:rsid w:val="00473E11"/>
    <w:rsid w:val="00476EC7"/>
    <w:rsid w:val="00477DB9"/>
    <w:rsid w:val="00481E81"/>
    <w:rsid w:val="00486430"/>
    <w:rsid w:val="004867C2"/>
    <w:rsid w:val="00486E71"/>
    <w:rsid w:val="00490944"/>
    <w:rsid w:val="00491E3C"/>
    <w:rsid w:val="00492DC3"/>
    <w:rsid w:val="004935BA"/>
    <w:rsid w:val="004A0B66"/>
    <w:rsid w:val="004A43C7"/>
    <w:rsid w:val="004A4D23"/>
    <w:rsid w:val="004A54B1"/>
    <w:rsid w:val="004A7464"/>
    <w:rsid w:val="004B5354"/>
    <w:rsid w:val="004B6119"/>
    <w:rsid w:val="004C57E9"/>
    <w:rsid w:val="004D5830"/>
    <w:rsid w:val="004D7D07"/>
    <w:rsid w:val="004D7EF1"/>
    <w:rsid w:val="004E0161"/>
    <w:rsid w:val="004E27BF"/>
    <w:rsid w:val="004E32B8"/>
    <w:rsid w:val="004E4F7D"/>
    <w:rsid w:val="004E6C05"/>
    <w:rsid w:val="004F19C8"/>
    <w:rsid w:val="004F59F0"/>
    <w:rsid w:val="004F62C5"/>
    <w:rsid w:val="00501071"/>
    <w:rsid w:val="00502ACE"/>
    <w:rsid w:val="00513440"/>
    <w:rsid w:val="00513517"/>
    <w:rsid w:val="0051415D"/>
    <w:rsid w:val="0051641D"/>
    <w:rsid w:val="0052333D"/>
    <w:rsid w:val="00523B5F"/>
    <w:rsid w:val="005276A4"/>
    <w:rsid w:val="00531EA3"/>
    <w:rsid w:val="005335F3"/>
    <w:rsid w:val="00536BF8"/>
    <w:rsid w:val="0054112C"/>
    <w:rsid w:val="0054252A"/>
    <w:rsid w:val="005433C5"/>
    <w:rsid w:val="005464A3"/>
    <w:rsid w:val="00553024"/>
    <w:rsid w:val="00553EA4"/>
    <w:rsid w:val="00571A00"/>
    <w:rsid w:val="00572060"/>
    <w:rsid w:val="00577E89"/>
    <w:rsid w:val="00580F99"/>
    <w:rsid w:val="0058112E"/>
    <w:rsid w:val="00590BB5"/>
    <w:rsid w:val="005A3A6C"/>
    <w:rsid w:val="005A46FB"/>
    <w:rsid w:val="005A65BC"/>
    <w:rsid w:val="005A708C"/>
    <w:rsid w:val="005A757A"/>
    <w:rsid w:val="005B1EE0"/>
    <w:rsid w:val="005B3FDD"/>
    <w:rsid w:val="005B6506"/>
    <w:rsid w:val="005B6584"/>
    <w:rsid w:val="005C3462"/>
    <w:rsid w:val="005C7ECF"/>
    <w:rsid w:val="005D056C"/>
    <w:rsid w:val="005D1571"/>
    <w:rsid w:val="005D192E"/>
    <w:rsid w:val="005D3DF4"/>
    <w:rsid w:val="005E30A2"/>
    <w:rsid w:val="005E3EA6"/>
    <w:rsid w:val="005E7EB1"/>
    <w:rsid w:val="005F24CD"/>
    <w:rsid w:val="005F69AD"/>
    <w:rsid w:val="00613EDF"/>
    <w:rsid w:val="00615187"/>
    <w:rsid w:val="006156DE"/>
    <w:rsid w:val="00616BD6"/>
    <w:rsid w:val="00623789"/>
    <w:rsid w:val="00623D66"/>
    <w:rsid w:val="00626C27"/>
    <w:rsid w:val="00627BED"/>
    <w:rsid w:val="00634D3F"/>
    <w:rsid w:val="00640148"/>
    <w:rsid w:val="006445D3"/>
    <w:rsid w:val="00645B94"/>
    <w:rsid w:val="0064606C"/>
    <w:rsid w:val="00657160"/>
    <w:rsid w:val="00660396"/>
    <w:rsid w:val="00660B59"/>
    <w:rsid w:val="00681A73"/>
    <w:rsid w:val="00687195"/>
    <w:rsid w:val="00694844"/>
    <w:rsid w:val="006965BD"/>
    <w:rsid w:val="006A019C"/>
    <w:rsid w:val="006A1EEE"/>
    <w:rsid w:val="006A3583"/>
    <w:rsid w:val="006A5FC8"/>
    <w:rsid w:val="006A6622"/>
    <w:rsid w:val="006B0F27"/>
    <w:rsid w:val="006B1CFC"/>
    <w:rsid w:val="006B2CC0"/>
    <w:rsid w:val="006B2F98"/>
    <w:rsid w:val="006B6997"/>
    <w:rsid w:val="006C10AA"/>
    <w:rsid w:val="006C76C7"/>
    <w:rsid w:val="006C79B6"/>
    <w:rsid w:val="006D20E9"/>
    <w:rsid w:val="006D4C89"/>
    <w:rsid w:val="006E4D2F"/>
    <w:rsid w:val="006F0972"/>
    <w:rsid w:val="006F1E2A"/>
    <w:rsid w:val="00701313"/>
    <w:rsid w:val="0070242B"/>
    <w:rsid w:val="00702A3E"/>
    <w:rsid w:val="007036A4"/>
    <w:rsid w:val="00703DCF"/>
    <w:rsid w:val="007057D0"/>
    <w:rsid w:val="0071553E"/>
    <w:rsid w:val="007224F7"/>
    <w:rsid w:val="00722DB3"/>
    <w:rsid w:val="00723D0D"/>
    <w:rsid w:val="00730398"/>
    <w:rsid w:val="0073164C"/>
    <w:rsid w:val="00737C38"/>
    <w:rsid w:val="007420CD"/>
    <w:rsid w:val="00742B78"/>
    <w:rsid w:val="00742CA9"/>
    <w:rsid w:val="00742E79"/>
    <w:rsid w:val="00750D97"/>
    <w:rsid w:val="0075116B"/>
    <w:rsid w:val="00753031"/>
    <w:rsid w:val="00760E55"/>
    <w:rsid w:val="0076140F"/>
    <w:rsid w:val="0076324D"/>
    <w:rsid w:val="007650ED"/>
    <w:rsid w:val="0076735D"/>
    <w:rsid w:val="007678CD"/>
    <w:rsid w:val="0077276B"/>
    <w:rsid w:val="00774299"/>
    <w:rsid w:val="00774760"/>
    <w:rsid w:val="00776235"/>
    <w:rsid w:val="007832E3"/>
    <w:rsid w:val="00792B61"/>
    <w:rsid w:val="00795E6E"/>
    <w:rsid w:val="007A0E6F"/>
    <w:rsid w:val="007A643A"/>
    <w:rsid w:val="007A74B0"/>
    <w:rsid w:val="007B2666"/>
    <w:rsid w:val="007B5D8A"/>
    <w:rsid w:val="007B640F"/>
    <w:rsid w:val="007B6802"/>
    <w:rsid w:val="007C049C"/>
    <w:rsid w:val="007C74CE"/>
    <w:rsid w:val="007D1FE9"/>
    <w:rsid w:val="007D25AC"/>
    <w:rsid w:val="007D54C7"/>
    <w:rsid w:val="007D61F3"/>
    <w:rsid w:val="007E0893"/>
    <w:rsid w:val="007E0BD1"/>
    <w:rsid w:val="007E22FD"/>
    <w:rsid w:val="007E4AF8"/>
    <w:rsid w:val="007E55BF"/>
    <w:rsid w:val="007F2E17"/>
    <w:rsid w:val="007F333F"/>
    <w:rsid w:val="007F696B"/>
    <w:rsid w:val="007F6EE6"/>
    <w:rsid w:val="00805F3D"/>
    <w:rsid w:val="0080691C"/>
    <w:rsid w:val="00806D98"/>
    <w:rsid w:val="00820A4A"/>
    <w:rsid w:val="00822316"/>
    <w:rsid w:val="00826F1F"/>
    <w:rsid w:val="0082789E"/>
    <w:rsid w:val="00833C71"/>
    <w:rsid w:val="00840860"/>
    <w:rsid w:val="008422C5"/>
    <w:rsid w:val="00842639"/>
    <w:rsid w:val="008470C8"/>
    <w:rsid w:val="008470E5"/>
    <w:rsid w:val="00850AB9"/>
    <w:rsid w:val="00850CE7"/>
    <w:rsid w:val="00850DCB"/>
    <w:rsid w:val="008510CB"/>
    <w:rsid w:val="008539CF"/>
    <w:rsid w:val="00863E11"/>
    <w:rsid w:val="00864B09"/>
    <w:rsid w:val="00866807"/>
    <w:rsid w:val="00866D72"/>
    <w:rsid w:val="00877598"/>
    <w:rsid w:val="00880CDE"/>
    <w:rsid w:val="00882054"/>
    <w:rsid w:val="0088379A"/>
    <w:rsid w:val="00885C94"/>
    <w:rsid w:val="00886ACC"/>
    <w:rsid w:val="0089288E"/>
    <w:rsid w:val="0089325C"/>
    <w:rsid w:val="00896CA2"/>
    <w:rsid w:val="00896DCF"/>
    <w:rsid w:val="008A0B36"/>
    <w:rsid w:val="008A3863"/>
    <w:rsid w:val="008A7471"/>
    <w:rsid w:val="008A7E8B"/>
    <w:rsid w:val="008B6FFE"/>
    <w:rsid w:val="008C0C14"/>
    <w:rsid w:val="008C2404"/>
    <w:rsid w:val="008C2648"/>
    <w:rsid w:val="008D230F"/>
    <w:rsid w:val="008D3756"/>
    <w:rsid w:val="008D52F9"/>
    <w:rsid w:val="008D77FC"/>
    <w:rsid w:val="008E042A"/>
    <w:rsid w:val="008E2057"/>
    <w:rsid w:val="008E46B4"/>
    <w:rsid w:val="008F2474"/>
    <w:rsid w:val="008F74F5"/>
    <w:rsid w:val="0090225D"/>
    <w:rsid w:val="00903E7A"/>
    <w:rsid w:val="00904855"/>
    <w:rsid w:val="00905075"/>
    <w:rsid w:val="0092450B"/>
    <w:rsid w:val="00925186"/>
    <w:rsid w:val="00926AD2"/>
    <w:rsid w:val="00941340"/>
    <w:rsid w:val="0094164F"/>
    <w:rsid w:val="00941CD1"/>
    <w:rsid w:val="00945E28"/>
    <w:rsid w:val="00951A4A"/>
    <w:rsid w:val="009570E2"/>
    <w:rsid w:val="00957143"/>
    <w:rsid w:val="00962FB7"/>
    <w:rsid w:val="00964BC6"/>
    <w:rsid w:val="00965A9B"/>
    <w:rsid w:val="0096773F"/>
    <w:rsid w:val="0097402A"/>
    <w:rsid w:val="00974801"/>
    <w:rsid w:val="00976440"/>
    <w:rsid w:val="00977FFD"/>
    <w:rsid w:val="00980FBF"/>
    <w:rsid w:val="00981C4E"/>
    <w:rsid w:val="009856BD"/>
    <w:rsid w:val="00991C73"/>
    <w:rsid w:val="00992162"/>
    <w:rsid w:val="009935B0"/>
    <w:rsid w:val="00994105"/>
    <w:rsid w:val="00994171"/>
    <w:rsid w:val="00996B3F"/>
    <w:rsid w:val="00997B27"/>
    <w:rsid w:val="009A1CF0"/>
    <w:rsid w:val="009A7877"/>
    <w:rsid w:val="009B38D8"/>
    <w:rsid w:val="009B49EE"/>
    <w:rsid w:val="009C08D1"/>
    <w:rsid w:val="009C11AC"/>
    <w:rsid w:val="009C3CC9"/>
    <w:rsid w:val="009C6709"/>
    <w:rsid w:val="009D03C8"/>
    <w:rsid w:val="009D3BF1"/>
    <w:rsid w:val="009D3C85"/>
    <w:rsid w:val="009D5D1D"/>
    <w:rsid w:val="009D6855"/>
    <w:rsid w:val="009E0D7C"/>
    <w:rsid w:val="009E5117"/>
    <w:rsid w:val="009E6083"/>
    <w:rsid w:val="009F25A9"/>
    <w:rsid w:val="009F42D2"/>
    <w:rsid w:val="00A00A31"/>
    <w:rsid w:val="00A0531A"/>
    <w:rsid w:val="00A06CD3"/>
    <w:rsid w:val="00A0705F"/>
    <w:rsid w:val="00A11B08"/>
    <w:rsid w:val="00A151B7"/>
    <w:rsid w:val="00A177D9"/>
    <w:rsid w:val="00A20CB4"/>
    <w:rsid w:val="00A22894"/>
    <w:rsid w:val="00A2406E"/>
    <w:rsid w:val="00A26141"/>
    <w:rsid w:val="00A26B1E"/>
    <w:rsid w:val="00A274F0"/>
    <w:rsid w:val="00A31DBB"/>
    <w:rsid w:val="00A36737"/>
    <w:rsid w:val="00A40949"/>
    <w:rsid w:val="00A46EAF"/>
    <w:rsid w:val="00A54666"/>
    <w:rsid w:val="00A5538B"/>
    <w:rsid w:val="00A5608C"/>
    <w:rsid w:val="00A57BFC"/>
    <w:rsid w:val="00A61116"/>
    <w:rsid w:val="00A62451"/>
    <w:rsid w:val="00A81041"/>
    <w:rsid w:val="00A84959"/>
    <w:rsid w:val="00A8495D"/>
    <w:rsid w:val="00A85899"/>
    <w:rsid w:val="00A86C80"/>
    <w:rsid w:val="00A93708"/>
    <w:rsid w:val="00A939A9"/>
    <w:rsid w:val="00A93F8A"/>
    <w:rsid w:val="00A9522C"/>
    <w:rsid w:val="00AA2B1F"/>
    <w:rsid w:val="00AA3C8D"/>
    <w:rsid w:val="00AA5FA9"/>
    <w:rsid w:val="00AB1DF9"/>
    <w:rsid w:val="00AB297D"/>
    <w:rsid w:val="00AB37B3"/>
    <w:rsid w:val="00AB516C"/>
    <w:rsid w:val="00AC0855"/>
    <w:rsid w:val="00AC5AC2"/>
    <w:rsid w:val="00AC5CCF"/>
    <w:rsid w:val="00AD4194"/>
    <w:rsid w:val="00AD45BF"/>
    <w:rsid w:val="00AE1C3D"/>
    <w:rsid w:val="00AE36C5"/>
    <w:rsid w:val="00AF18DA"/>
    <w:rsid w:val="00AF1DE6"/>
    <w:rsid w:val="00AF2934"/>
    <w:rsid w:val="00AF45C2"/>
    <w:rsid w:val="00B01854"/>
    <w:rsid w:val="00B05ACF"/>
    <w:rsid w:val="00B0605F"/>
    <w:rsid w:val="00B0725E"/>
    <w:rsid w:val="00B077C3"/>
    <w:rsid w:val="00B07A9F"/>
    <w:rsid w:val="00B1062E"/>
    <w:rsid w:val="00B10686"/>
    <w:rsid w:val="00B11305"/>
    <w:rsid w:val="00B11721"/>
    <w:rsid w:val="00B22546"/>
    <w:rsid w:val="00B22FDC"/>
    <w:rsid w:val="00B2377C"/>
    <w:rsid w:val="00B254EC"/>
    <w:rsid w:val="00B30814"/>
    <w:rsid w:val="00B31A40"/>
    <w:rsid w:val="00B32524"/>
    <w:rsid w:val="00B34FE4"/>
    <w:rsid w:val="00B40B4A"/>
    <w:rsid w:val="00B45C07"/>
    <w:rsid w:val="00B52B3F"/>
    <w:rsid w:val="00B547C1"/>
    <w:rsid w:val="00B5642F"/>
    <w:rsid w:val="00B564C1"/>
    <w:rsid w:val="00B6102B"/>
    <w:rsid w:val="00B613DE"/>
    <w:rsid w:val="00B6371A"/>
    <w:rsid w:val="00B66B09"/>
    <w:rsid w:val="00B70E81"/>
    <w:rsid w:val="00B745CF"/>
    <w:rsid w:val="00B85A1C"/>
    <w:rsid w:val="00B86278"/>
    <w:rsid w:val="00B87759"/>
    <w:rsid w:val="00B90695"/>
    <w:rsid w:val="00B93B1D"/>
    <w:rsid w:val="00B957C1"/>
    <w:rsid w:val="00BA150E"/>
    <w:rsid w:val="00BA784F"/>
    <w:rsid w:val="00BB2931"/>
    <w:rsid w:val="00BB65D5"/>
    <w:rsid w:val="00BC069A"/>
    <w:rsid w:val="00BC1939"/>
    <w:rsid w:val="00BC1FA3"/>
    <w:rsid w:val="00BC7A28"/>
    <w:rsid w:val="00BD2761"/>
    <w:rsid w:val="00BD3F13"/>
    <w:rsid w:val="00BE0E0C"/>
    <w:rsid w:val="00BE18AB"/>
    <w:rsid w:val="00BE281C"/>
    <w:rsid w:val="00BF1962"/>
    <w:rsid w:val="00BF39E7"/>
    <w:rsid w:val="00C12842"/>
    <w:rsid w:val="00C16561"/>
    <w:rsid w:val="00C27A1C"/>
    <w:rsid w:val="00C27AF4"/>
    <w:rsid w:val="00C3066E"/>
    <w:rsid w:val="00C33D2E"/>
    <w:rsid w:val="00C34245"/>
    <w:rsid w:val="00C34481"/>
    <w:rsid w:val="00C364AB"/>
    <w:rsid w:val="00C406BF"/>
    <w:rsid w:val="00C41994"/>
    <w:rsid w:val="00C42A63"/>
    <w:rsid w:val="00C43FB2"/>
    <w:rsid w:val="00C447BD"/>
    <w:rsid w:val="00C44866"/>
    <w:rsid w:val="00C453F6"/>
    <w:rsid w:val="00C46B60"/>
    <w:rsid w:val="00C61003"/>
    <w:rsid w:val="00C616FE"/>
    <w:rsid w:val="00C63245"/>
    <w:rsid w:val="00C66322"/>
    <w:rsid w:val="00C663CA"/>
    <w:rsid w:val="00C67576"/>
    <w:rsid w:val="00C70EC3"/>
    <w:rsid w:val="00C758A9"/>
    <w:rsid w:val="00C82F7A"/>
    <w:rsid w:val="00C8576B"/>
    <w:rsid w:val="00C8737B"/>
    <w:rsid w:val="00C92E94"/>
    <w:rsid w:val="00C931B1"/>
    <w:rsid w:val="00C96764"/>
    <w:rsid w:val="00CA1CBF"/>
    <w:rsid w:val="00CB620E"/>
    <w:rsid w:val="00CB74E9"/>
    <w:rsid w:val="00CC131E"/>
    <w:rsid w:val="00CC1F04"/>
    <w:rsid w:val="00CC79A5"/>
    <w:rsid w:val="00CD0180"/>
    <w:rsid w:val="00CD03E6"/>
    <w:rsid w:val="00CD0AD2"/>
    <w:rsid w:val="00CD0F0B"/>
    <w:rsid w:val="00CD158A"/>
    <w:rsid w:val="00CD1AA2"/>
    <w:rsid w:val="00CD219E"/>
    <w:rsid w:val="00CD4F18"/>
    <w:rsid w:val="00CD5E68"/>
    <w:rsid w:val="00CE06AC"/>
    <w:rsid w:val="00CE7050"/>
    <w:rsid w:val="00CE735F"/>
    <w:rsid w:val="00CE7649"/>
    <w:rsid w:val="00CE7885"/>
    <w:rsid w:val="00CF047F"/>
    <w:rsid w:val="00CF37F0"/>
    <w:rsid w:val="00D007C6"/>
    <w:rsid w:val="00D04D84"/>
    <w:rsid w:val="00D070E6"/>
    <w:rsid w:val="00D139D6"/>
    <w:rsid w:val="00D13D19"/>
    <w:rsid w:val="00D14A4A"/>
    <w:rsid w:val="00D16344"/>
    <w:rsid w:val="00D17C72"/>
    <w:rsid w:val="00D22761"/>
    <w:rsid w:val="00D22B5B"/>
    <w:rsid w:val="00D23E34"/>
    <w:rsid w:val="00D30D27"/>
    <w:rsid w:val="00D331A5"/>
    <w:rsid w:val="00D40CD8"/>
    <w:rsid w:val="00D414EB"/>
    <w:rsid w:val="00D45F34"/>
    <w:rsid w:val="00D50738"/>
    <w:rsid w:val="00D52FF6"/>
    <w:rsid w:val="00D533FE"/>
    <w:rsid w:val="00D5357B"/>
    <w:rsid w:val="00D558D1"/>
    <w:rsid w:val="00D563F4"/>
    <w:rsid w:val="00D606B6"/>
    <w:rsid w:val="00D63A42"/>
    <w:rsid w:val="00D65BA5"/>
    <w:rsid w:val="00D66297"/>
    <w:rsid w:val="00D70449"/>
    <w:rsid w:val="00D70A23"/>
    <w:rsid w:val="00D71044"/>
    <w:rsid w:val="00D710BE"/>
    <w:rsid w:val="00D71D31"/>
    <w:rsid w:val="00D75210"/>
    <w:rsid w:val="00D759A1"/>
    <w:rsid w:val="00D76B76"/>
    <w:rsid w:val="00D80BB1"/>
    <w:rsid w:val="00D814A4"/>
    <w:rsid w:val="00D81A0A"/>
    <w:rsid w:val="00D84CAA"/>
    <w:rsid w:val="00D84D6C"/>
    <w:rsid w:val="00D86AD4"/>
    <w:rsid w:val="00D876AB"/>
    <w:rsid w:val="00D906E9"/>
    <w:rsid w:val="00D91004"/>
    <w:rsid w:val="00D916DC"/>
    <w:rsid w:val="00D91EE5"/>
    <w:rsid w:val="00D934F3"/>
    <w:rsid w:val="00D94D96"/>
    <w:rsid w:val="00DA0A40"/>
    <w:rsid w:val="00DA63A9"/>
    <w:rsid w:val="00DA6491"/>
    <w:rsid w:val="00DB0749"/>
    <w:rsid w:val="00DB0993"/>
    <w:rsid w:val="00DC286B"/>
    <w:rsid w:val="00DC3A21"/>
    <w:rsid w:val="00DC3E8E"/>
    <w:rsid w:val="00DC4A69"/>
    <w:rsid w:val="00DC5DE1"/>
    <w:rsid w:val="00DE0029"/>
    <w:rsid w:val="00DE206D"/>
    <w:rsid w:val="00DE4605"/>
    <w:rsid w:val="00DE58B3"/>
    <w:rsid w:val="00DE78C3"/>
    <w:rsid w:val="00DF1B26"/>
    <w:rsid w:val="00DF2A0D"/>
    <w:rsid w:val="00DF5F13"/>
    <w:rsid w:val="00DF69AE"/>
    <w:rsid w:val="00E02BEF"/>
    <w:rsid w:val="00E02F2A"/>
    <w:rsid w:val="00E11114"/>
    <w:rsid w:val="00E13D8A"/>
    <w:rsid w:val="00E13FD0"/>
    <w:rsid w:val="00E1419A"/>
    <w:rsid w:val="00E20C91"/>
    <w:rsid w:val="00E21004"/>
    <w:rsid w:val="00E2260D"/>
    <w:rsid w:val="00E24229"/>
    <w:rsid w:val="00E26634"/>
    <w:rsid w:val="00E279B5"/>
    <w:rsid w:val="00E31AC0"/>
    <w:rsid w:val="00E32A20"/>
    <w:rsid w:val="00E343E3"/>
    <w:rsid w:val="00E402A8"/>
    <w:rsid w:val="00E44C41"/>
    <w:rsid w:val="00E50B26"/>
    <w:rsid w:val="00E54810"/>
    <w:rsid w:val="00E54FDA"/>
    <w:rsid w:val="00E56A02"/>
    <w:rsid w:val="00E57586"/>
    <w:rsid w:val="00E63153"/>
    <w:rsid w:val="00E654B5"/>
    <w:rsid w:val="00E74960"/>
    <w:rsid w:val="00E75E3A"/>
    <w:rsid w:val="00E7683F"/>
    <w:rsid w:val="00E77E3C"/>
    <w:rsid w:val="00E80A46"/>
    <w:rsid w:val="00E861BB"/>
    <w:rsid w:val="00E9361F"/>
    <w:rsid w:val="00E943A8"/>
    <w:rsid w:val="00EA056D"/>
    <w:rsid w:val="00EA3CF1"/>
    <w:rsid w:val="00EA4763"/>
    <w:rsid w:val="00EA70F2"/>
    <w:rsid w:val="00EA7F93"/>
    <w:rsid w:val="00EB2A61"/>
    <w:rsid w:val="00EB2CE7"/>
    <w:rsid w:val="00EB7064"/>
    <w:rsid w:val="00EB71F3"/>
    <w:rsid w:val="00EC09AF"/>
    <w:rsid w:val="00EC2A1A"/>
    <w:rsid w:val="00EC7E68"/>
    <w:rsid w:val="00ED16C4"/>
    <w:rsid w:val="00ED48DB"/>
    <w:rsid w:val="00ED681F"/>
    <w:rsid w:val="00EE139C"/>
    <w:rsid w:val="00EE3F1A"/>
    <w:rsid w:val="00EE5C2C"/>
    <w:rsid w:val="00EF553E"/>
    <w:rsid w:val="00F001A6"/>
    <w:rsid w:val="00F0183B"/>
    <w:rsid w:val="00F02807"/>
    <w:rsid w:val="00F02A68"/>
    <w:rsid w:val="00F12EDB"/>
    <w:rsid w:val="00F21A91"/>
    <w:rsid w:val="00F25AF3"/>
    <w:rsid w:val="00F25D43"/>
    <w:rsid w:val="00F26EEE"/>
    <w:rsid w:val="00F3213F"/>
    <w:rsid w:val="00F42357"/>
    <w:rsid w:val="00F45E6B"/>
    <w:rsid w:val="00F45FA0"/>
    <w:rsid w:val="00F470F7"/>
    <w:rsid w:val="00F526A4"/>
    <w:rsid w:val="00F536A3"/>
    <w:rsid w:val="00F56FDF"/>
    <w:rsid w:val="00F570FC"/>
    <w:rsid w:val="00F57126"/>
    <w:rsid w:val="00F62785"/>
    <w:rsid w:val="00F654E1"/>
    <w:rsid w:val="00F65CF9"/>
    <w:rsid w:val="00F66BAE"/>
    <w:rsid w:val="00F719F3"/>
    <w:rsid w:val="00F725B0"/>
    <w:rsid w:val="00F758C2"/>
    <w:rsid w:val="00F8325D"/>
    <w:rsid w:val="00F86D11"/>
    <w:rsid w:val="00F91B4D"/>
    <w:rsid w:val="00F939DA"/>
    <w:rsid w:val="00F945F3"/>
    <w:rsid w:val="00F94B00"/>
    <w:rsid w:val="00F955E7"/>
    <w:rsid w:val="00F961F0"/>
    <w:rsid w:val="00F96D6B"/>
    <w:rsid w:val="00FA119E"/>
    <w:rsid w:val="00FA1F2E"/>
    <w:rsid w:val="00FA2B12"/>
    <w:rsid w:val="00FA7587"/>
    <w:rsid w:val="00FB23BC"/>
    <w:rsid w:val="00FB3C94"/>
    <w:rsid w:val="00FC0917"/>
    <w:rsid w:val="00FC3C62"/>
    <w:rsid w:val="00FC4B5A"/>
    <w:rsid w:val="00FC5AE5"/>
    <w:rsid w:val="00FD4550"/>
    <w:rsid w:val="00FE44D7"/>
    <w:rsid w:val="00FE587B"/>
    <w:rsid w:val="00FF3289"/>
    <w:rsid w:val="00FF5DDE"/>
    <w:rsid w:val="00FF6215"/>
    <w:rsid w:val="01AD2363"/>
    <w:rsid w:val="03EFF082"/>
    <w:rsid w:val="04263DB3"/>
    <w:rsid w:val="0454E1FA"/>
    <w:rsid w:val="04596348"/>
    <w:rsid w:val="04AE52AE"/>
    <w:rsid w:val="050A6452"/>
    <w:rsid w:val="063D7AC4"/>
    <w:rsid w:val="0648B521"/>
    <w:rsid w:val="079639F8"/>
    <w:rsid w:val="07E48582"/>
    <w:rsid w:val="087296AD"/>
    <w:rsid w:val="089D489D"/>
    <w:rsid w:val="08B89831"/>
    <w:rsid w:val="08BA1701"/>
    <w:rsid w:val="096E9975"/>
    <w:rsid w:val="0A0A0007"/>
    <w:rsid w:val="0A5E79A0"/>
    <w:rsid w:val="0B1C2644"/>
    <w:rsid w:val="0B3E7FE5"/>
    <w:rsid w:val="0B70FAB6"/>
    <w:rsid w:val="0C847F2B"/>
    <w:rsid w:val="0CA25C34"/>
    <w:rsid w:val="0D4845F1"/>
    <w:rsid w:val="0E18D5CD"/>
    <w:rsid w:val="0E8BA66B"/>
    <w:rsid w:val="103FF0A1"/>
    <w:rsid w:val="10B2D4D3"/>
    <w:rsid w:val="135553B2"/>
    <w:rsid w:val="13A74278"/>
    <w:rsid w:val="14EBBD16"/>
    <w:rsid w:val="15084E6E"/>
    <w:rsid w:val="182BF2AB"/>
    <w:rsid w:val="18619168"/>
    <w:rsid w:val="1924E82F"/>
    <w:rsid w:val="1A4D7668"/>
    <w:rsid w:val="1A711443"/>
    <w:rsid w:val="1A8C6160"/>
    <w:rsid w:val="1BD59067"/>
    <w:rsid w:val="1C6D551F"/>
    <w:rsid w:val="1CCACD98"/>
    <w:rsid w:val="1D0D8D67"/>
    <w:rsid w:val="1DE0946A"/>
    <w:rsid w:val="1EBE0354"/>
    <w:rsid w:val="1FBE55FE"/>
    <w:rsid w:val="20026E5A"/>
    <w:rsid w:val="201056DB"/>
    <w:rsid w:val="2129F0E0"/>
    <w:rsid w:val="214B3475"/>
    <w:rsid w:val="21E503ED"/>
    <w:rsid w:val="24060F61"/>
    <w:rsid w:val="244313DD"/>
    <w:rsid w:val="25EBA64F"/>
    <w:rsid w:val="276E8450"/>
    <w:rsid w:val="27C42D3F"/>
    <w:rsid w:val="29B166E6"/>
    <w:rsid w:val="29FFF1A5"/>
    <w:rsid w:val="2A485F80"/>
    <w:rsid w:val="2C1B386A"/>
    <w:rsid w:val="2C218585"/>
    <w:rsid w:val="2C53A985"/>
    <w:rsid w:val="2CDDF8AB"/>
    <w:rsid w:val="2E3DF2C8"/>
    <w:rsid w:val="2F2731B6"/>
    <w:rsid w:val="2F842212"/>
    <w:rsid w:val="30D39A36"/>
    <w:rsid w:val="330ECD6C"/>
    <w:rsid w:val="330FF620"/>
    <w:rsid w:val="332B4E44"/>
    <w:rsid w:val="35C7C181"/>
    <w:rsid w:val="362FD86A"/>
    <w:rsid w:val="36573387"/>
    <w:rsid w:val="366AB09C"/>
    <w:rsid w:val="368C6634"/>
    <w:rsid w:val="36DEA5BC"/>
    <w:rsid w:val="376DA89B"/>
    <w:rsid w:val="39283004"/>
    <w:rsid w:val="39D31BBC"/>
    <w:rsid w:val="3A341E3A"/>
    <w:rsid w:val="3A7068AF"/>
    <w:rsid w:val="3A72898E"/>
    <w:rsid w:val="3AA5495D"/>
    <w:rsid w:val="3ACDD23F"/>
    <w:rsid w:val="3AFF7F01"/>
    <w:rsid w:val="3B13854D"/>
    <w:rsid w:val="3BCFEE9B"/>
    <w:rsid w:val="3BD4A979"/>
    <w:rsid w:val="3BF99237"/>
    <w:rsid w:val="3C54576B"/>
    <w:rsid w:val="3C5FD0C6"/>
    <w:rsid w:val="3C95EDC9"/>
    <w:rsid w:val="3D9D98B7"/>
    <w:rsid w:val="3E0E0AEE"/>
    <w:rsid w:val="3E5154E0"/>
    <w:rsid w:val="3F95CFCF"/>
    <w:rsid w:val="4032F684"/>
    <w:rsid w:val="42C8623B"/>
    <w:rsid w:val="43830852"/>
    <w:rsid w:val="43AF4983"/>
    <w:rsid w:val="486AB3B3"/>
    <w:rsid w:val="486E00EB"/>
    <w:rsid w:val="48A64152"/>
    <w:rsid w:val="49A34F75"/>
    <w:rsid w:val="4A1F7DD4"/>
    <w:rsid w:val="4AA87F61"/>
    <w:rsid w:val="4AF34999"/>
    <w:rsid w:val="4B9607BD"/>
    <w:rsid w:val="4CC9FB47"/>
    <w:rsid w:val="4CDB0102"/>
    <w:rsid w:val="4D3A3B1D"/>
    <w:rsid w:val="4E36A387"/>
    <w:rsid w:val="4F0587E4"/>
    <w:rsid w:val="4F31D9A7"/>
    <w:rsid w:val="4F8DB241"/>
    <w:rsid w:val="50882FE8"/>
    <w:rsid w:val="509A09F7"/>
    <w:rsid w:val="52AA09D8"/>
    <w:rsid w:val="52AEA7EA"/>
    <w:rsid w:val="5337F217"/>
    <w:rsid w:val="536096FA"/>
    <w:rsid w:val="5523C1A6"/>
    <w:rsid w:val="552B02DB"/>
    <w:rsid w:val="553CEA03"/>
    <w:rsid w:val="58227281"/>
    <w:rsid w:val="5848D2F8"/>
    <w:rsid w:val="586D0B08"/>
    <w:rsid w:val="5873CCAF"/>
    <w:rsid w:val="5915102A"/>
    <w:rsid w:val="5B207A96"/>
    <w:rsid w:val="5CB88891"/>
    <w:rsid w:val="5CDAA625"/>
    <w:rsid w:val="5E1C418E"/>
    <w:rsid w:val="5E8E1349"/>
    <w:rsid w:val="5F0A70D7"/>
    <w:rsid w:val="5FDC0E7C"/>
    <w:rsid w:val="6060B3F1"/>
    <w:rsid w:val="60AFC15A"/>
    <w:rsid w:val="6130A845"/>
    <w:rsid w:val="61CECD34"/>
    <w:rsid w:val="62421199"/>
    <w:rsid w:val="62B1AAB6"/>
    <w:rsid w:val="62E8D344"/>
    <w:rsid w:val="647F4892"/>
    <w:rsid w:val="64AB005F"/>
    <w:rsid w:val="656EF165"/>
    <w:rsid w:val="65B28695"/>
    <w:rsid w:val="669BA56A"/>
    <w:rsid w:val="669E7F39"/>
    <w:rsid w:val="676C62BF"/>
    <w:rsid w:val="67E82FCC"/>
    <w:rsid w:val="689C60EA"/>
    <w:rsid w:val="698D8543"/>
    <w:rsid w:val="698EC207"/>
    <w:rsid w:val="6A3F19C0"/>
    <w:rsid w:val="6A48BF0F"/>
    <w:rsid w:val="6B57C5F1"/>
    <w:rsid w:val="6B75AF7A"/>
    <w:rsid w:val="6C80E37B"/>
    <w:rsid w:val="6C8B02BF"/>
    <w:rsid w:val="6D84C440"/>
    <w:rsid w:val="6DDAF606"/>
    <w:rsid w:val="6E0D027B"/>
    <w:rsid w:val="6E7DA398"/>
    <w:rsid w:val="6F4D4441"/>
    <w:rsid w:val="6F669E10"/>
    <w:rsid w:val="705242EC"/>
    <w:rsid w:val="70729E75"/>
    <w:rsid w:val="70794B40"/>
    <w:rsid w:val="712B9F66"/>
    <w:rsid w:val="71772ED1"/>
    <w:rsid w:val="71D0D0BD"/>
    <w:rsid w:val="722C0B84"/>
    <w:rsid w:val="72583563"/>
    <w:rsid w:val="72CCA8CC"/>
    <w:rsid w:val="74C6B2D4"/>
    <w:rsid w:val="75CC2B37"/>
    <w:rsid w:val="75CCDA9A"/>
    <w:rsid w:val="76AC19D8"/>
    <w:rsid w:val="76D1A5AF"/>
    <w:rsid w:val="77423EC5"/>
    <w:rsid w:val="776454DF"/>
    <w:rsid w:val="7790BA8D"/>
    <w:rsid w:val="7854855C"/>
    <w:rsid w:val="79A2117D"/>
    <w:rsid w:val="79F055BD"/>
    <w:rsid w:val="79F76966"/>
    <w:rsid w:val="7B35F458"/>
    <w:rsid w:val="7E2044B5"/>
    <w:rsid w:val="7E5F2E97"/>
  </w:rsids>
  <m:mathPr>
    <m:mathFont m:val="Cambria Math"/>
    <m:brkBin m:val="before"/>
    <m:brkBinSub m:val="--"/>
    <m:smallFrac m:val="0"/>
    <m:dispDef/>
    <m:lMargin m:val="0"/>
    <m:rMargin m:val="0"/>
    <m:defJc m:val="centerGroup"/>
    <m:wrapIndent m:val="1440"/>
    <m:intLim m:val="subSup"/>
    <m:naryLim m:val="undOvr"/>
  </m:mathPr>
  <w:themeFontLang w:val="en-GB"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22BBFB"/>
  <w14:defaultImageDpi w14:val="32767"/>
  <w15:chartTrackingRefBased/>
  <w15:docId w15:val="{34670334-AD89-4E6B-B3BF-656CB574F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A7471"/>
    <w:pPr>
      <w:spacing w:after="120" w:line="300" w:lineRule="atLeast"/>
    </w:pPr>
    <w:rPr>
      <w:rFonts w:ascii="Arial" w:eastAsia="Times New Roman" w:hAnsi="Arial" w:cs="Times New Roman"/>
      <w:sz w:val="22"/>
      <w:lang w:val="en-AU"/>
    </w:rPr>
  </w:style>
  <w:style w:type="paragraph" w:styleId="Heading1">
    <w:name w:val="heading 1"/>
    <w:next w:val="Normal"/>
    <w:link w:val="Heading1Char"/>
    <w:qFormat/>
    <w:rsid w:val="00C8737B"/>
    <w:pPr>
      <w:keepNext/>
      <w:spacing w:before="240" w:after="120" w:line="300" w:lineRule="atLeast"/>
      <w:outlineLvl w:val="0"/>
    </w:pPr>
    <w:rPr>
      <w:rFonts w:ascii="Arial" w:eastAsia="Times New Roman" w:hAnsi="Arial" w:cs="Arial"/>
      <w:b/>
      <w:bCs/>
      <w:color w:val="971A4B"/>
      <w:kern w:val="32"/>
      <w:sz w:val="32"/>
      <w:szCs w:val="32"/>
      <w:lang w:val="en-AU" w:eastAsia="en-AU"/>
    </w:rPr>
  </w:style>
  <w:style w:type="paragraph" w:styleId="Heading2">
    <w:name w:val="heading 2"/>
    <w:next w:val="Normal"/>
    <w:link w:val="Heading2Char"/>
    <w:qFormat/>
    <w:rsid w:val="00C8737B"/>
    <w:pPr>
      <w:keepNext/>
      <w:spacing w:before="240" w:after="120" w:line="300" w:lineRule="atLeast"/>
      <w:outlineLvl w:val="1"/>
    </w:pPr>
    <w:rPr>
      <w:rFonts w:ascii="Arial" w:eastAsia="Times New Roman" w:hAnsi="Arial" w:cs="Arial"/>
      <w:b/>
      <w:bCs/>
      <w:iCs/>
      <w:color w:val="971A4B"/>
      <w:sz w:val="28"/>
      <w:szCs w:val="28"/>
      <w:lang w:val="en-AU" w:eastAsia="en-AU"/>
    </w:rPr>
  </w:style>
  <w:style w:type="paragraph" w:styleId="Heading3">
    <w:name w:val="heading 3"/>
    <w:next w:val="Normal"/>
    <w:link w:val="Heading3Char"/>
    <w:qFormat/>
    <w:rsid w:val="00C8737B"/>
    <w:pPr>
      <w:keepNext/>
      <w:spacing w:before="240" w:after="120" w:line="300" w:lineRule="atLeast"/>
      <w:outlineLvl w:val="2"/>
    </w:pPr>
    <w:rPr>
      <w:rFonts w:ascii="Arial" w:eastAsia="Times New Roman" w:hAnsi="Arial" w:cs="Arial"/>
      <w:b/>
      <w:bCs/>
      <w:sz w:val="26"/>
      <w:szCs w:val="26"/>
      <w:lang w:val="en-AU" w:eastAsia="en-AU"/>
    </w:rPr>
  </w:style>
  <w:style w:type="paragraph" w:styleId="Heading4">
    <w:name w:val="heading 4"/>
    <w:basedOn w:val="Heading3"/>
    <w:link w:val="Heading4Char"/>
    <w:qFormat/>
    <w:rsid w:val="00C8737B"/>
    <w:pPr>
      <w:outlineLvl w:val="3"/>
    </w:pPr>
    <w:rPr>
      <w:sz w:val="24"/>
      <w:szCs w:val="24"/>
    </w:rPr>
  </w:style>
  <w:style w:type="paragraph" w:styleId="Heading5">
    <w:name w:val="heading 5"/>
    <w:basedOn w:val="Normal"/>
    <w:link w:val="Heading5Char"/>
    <w:qFormat/>
    <w:rsid w:val="00C8737B"/>
    <w:pPr>
      <w:spacing w:before="240"/>
      <w:outlineLvl w:val="4"/>
    </w:pPr>
    <w:rPr>
      <w:b/>
    </w:rPr>
  </w:style>
  <w:style w:type="paragraph" w:styleId="Heading6">
    <w:name w:val="heading 6"/>
    <w:basedOn w:val="Heading5"/>
    <w:next w:val="Normal"/>
    <w:link w:val="Heading6Char"/>
    <w:qFormat/>
    <w:rsid w:val="00C8737B"/>
    <w:pPr>
      <w:outlineLvl w:val="5"/>
    </w:pPr>
  </w:style>
  <w:style w:type="paragraph" w:styleId="Heading7">
    <w:name w:val="heading 7"/>
    <w:basedOn w:val="Heading6"/>
    <w:next w:val="Normal"/>
    <w:link w:val="Heading7Char"/>
    <w:qFormat/>
    <w:rsid w:val="00C8737B"/>
    <w:pPr>
      <w:outlineLvl w:val="6"/>
    </w:pPr>
  </w:style>
  <w:style w:type="paragraph" w:styleId="Heading8">
    <w:name w:val="heading 8"/>
    <w:basedOn w:val="Heading7"/>
    <w:next w:val="Normal"/>
    <w:link w:val="Heading8Char"/>
    <w:qFormat/>
    <w:rsid w:val="00C8737B"/>
    <w:pPr>
      <w:outlineLvl w:val="7"/>
    </w:pPr>
  </w:style>
  <w:style w:type="paragraph" w:styleId="Heading9">
    <w:name w:val="heading 9"/>
    <w:basedOn w:val="Heading8"/>
    <w:next w:val="Normal"/>
    <w:link w:val="Heading9Char"/>
    <w:qFormat/>
    <w:rsid w:val="00C8737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8737B"/>
    <w:pPr>
      <w:tabs>
        <w:tab w:val="center" w:pos="4153"/>
        <w:tab w:val="right" w:pos="8306"/>
      </w:tabs>
    </w:pPr>
  </w:style>
  <w:style w:type="character" w:customStyle="1" w:styleId="FooterChar">
    <w:name w:val="Footer Char"/>
    <w:basedOn w:val="DefaultParagraphFont"/>
    <w:link w:val="Footer"/>
    <w:rsid w:val="00BC1939"/>
    <w:rPr>
      <w:rFonts w:ascii="Arial" w:eastAsia="Times New Roman" w:hAnsi="Arial" w:cs="Times New Roman"/>
      <w:sz w:val="22"/>
      <w:lang w:val="en-AU"/>
    </w:rPr>
  </w:style>
  <w:style w:type="paragraph" w:styleId="Header">
    <w:name w:val="header"/>
    <w:link w:val="HeaderChar"/>
    <w:rsid w:val="00C8737B"/>
    <w:pPr>
      <w:pBdr>
        <w:bottom w:val="single" w:sz="4" w:space="1" w:color="B1005D"/>
      </w:pBdr>
      <w:tabs>
        <w:tab w:val="center" w:pos="4604"/>
        <w:tab w:val="right" w:pos="9214"/>
      </w:tabs>
      <w:spacing w:line="240" w:lineRule="atLeast"/>
    </w:pPr>
    <w:rPr>
      <w:rFonts w:ascii="Arial" w:eastAsia="Times New Roman" w:hAnsi="Arial" w:cs="Times New Roman"/>
      <w:sz w:val="22"/>
      <w:lang w:val="en-AU"/>
    </w:rPr>
  </w:style>
  <w:style w:type="character" w:customStyle="1" w:styleId="HeaderChar">
    <w:name w:val="Header Char"/>
    <w:basedOn w:val="DefaultParagraphFont"/>
    <w:link w:val="Header"/>
    <w:rsid w:val="00BC1939"/>
    <w:rPr>
      <w:rFonts w:ascii="Arial" w:eastAsia="Times New Roman" w:hAnsi="Arial" w:cs="Times New Roman"/>
      <w:sz w:val="22"/>
      <w:lang w:val="en-AU"/>
    </w:rPr>
  </w:style>
  <w:style w:type="character" w:customStyle="1" w:styleId="Heading1Char">
    <w:name w:val="Heading 1 Char"/>
    <w:basedOn w:val="DefaultParagraphFont"/>
    <w:link w:val="Heading1"/>
    <w:rsid w:val="00BC1939"/>
    <w:rPr>
      <w:rFonts w:ascii="Arial" w:eastAsia="Times New Roman" w:hAnsi="Arial" w:cs="Arial"/>
      <w:b/>
      <w:bCs/>
      <w:color w:val="971A4B"/>
      <w:kern w:val="32"/>
      <w:sz w:val="32"/>
      <w:szCs w:val="32"/>
      <w:lang w:val="en-AU" w:eastAsia="en-AU"/>
    </w:rPr>
  </w:style>
  <w:style w:type="character" w:styleId="PageNumber">
    <w:name w:val="page number"/>
    <w:semiHidden/>
    <w:rsid w:val="00C8737B"/>
    <w:rPr>
      <w:rFonts w:ascii="Arial" w:hAnsi="Arial"/>
      <w:sz w:val="18"/>
    </w:rPr>
  </w:style>
  <w:style w:type="paragraph" w:customStyle="1" w:styleId="VLAProgram">
    <w:name w:val="VLA Program"/>
    <w:basedOn w:val="Header"/>
    <w:next w:val="Normal"/>
    <w:rsid w:val="00C8737B"/>
    <w:pPr>
      <w:tabs>
        <w:tab w:val="clear" w:pos="4604"/>
        <w:tab w:val="clear" w:pos="9214"/>
      </w:tabs>
      <w:spacing w:before="120" w:after="120"/>
      <w:ind w:left="-329" w:right="-816"/>
    </w:pPr>
    <w:rPr>
      <w:b/>
      <w:color w:val="FFFFFF"/>
      <w:sz w:val="18"/>
      <w:szCs w:val="18"/>
    </w:rPr>
  </w:style>
  <w:style w:type="paragraph" w:customStyle="1" w:styleId="VLAPublicationdate">
    <w:name w:val="VLA Publication date"/>
    <w:basedOn w:val="Normal"/>
    <w:next w:val="Normal"/>
    <w:rsid w:val="00C8737B"/>
    <w:pPr>
      <w:spacing w:before="120" w:after="960" w:line="240" w:lineRule="auto"/>
      <w:ind w:left="-329"/>
    </w:pPr>
    <w:rPr>
      <w:color w:val="FFFFFF"/>
      <w:sz w:val="18"/>
      <w:szCs w:val="18"/>
    </w:rPr>
  </w:style>
  <w:style w:type="paragraph" w:customStyle="1" w:styleId="Appendix">
    <w:name w:val="Appendix"/>
    <w:next w:val="Normal"/>
    <w:rsid w:val="00C8737B"/>
    <w:pPr>
      <w:numPr>
        <w:numId w:val="1"/>
      </w:numPr>
      <w:spacing w:before="240" w:line="280" w:lineRule="exact"/>
    </w:pPr>
    <w:rPr>
      <w:rFonts w:ascii="Arial" w:eastAsia="Times New Roman" w:hAnsi="Arial" w:cs="Arial"/>
      <w:b/>
      <w:bCs/>
      <w:color w:val="971A4B"/>
      <w:kern w:val="32"/>
      <w:sz w:val="28"/>
      <w:szCs w:val="32"/>
      <w:lang w:val="en-AU" w:eastAsia="en-AU"/>
    </w:rPr>
  </w:style>
  <w:style w:type="paragraph" w:customStyle="1" w:styleId="AppendixH1">
    <w:name w:val="Appendix H1"/>
    <w:next w:val="Normal"/>
    <w:rsid w:val="00C8737B"/>
    <w:pPr>
      <w:spacing w:before="240" w:after="240" w:line="300" w:lineRule="atLeast"/>
    </w:pPr>
    <w:rPr>
      <w:rFonts w:ascii="Arial" w:eastAsia="Times New Roman" w:hAnsi="Arial" w:cs="Arial"/>
      <w:b/>
      <w:bCs/>
      <w:color w:val="971A4B"/>
      <w:kern w:val="32"/>
      <w:sz w:val="28"/>
      <w:szCs w:val="26"/>
      <w:lang w:val="en-AU" w:eastAsia="en-AU"/>
    </w:rPr>
  </w:style>
  <w:style w:type="paragraph" w:customStyle="1" w:styleId="AppendixH2">
    <w:name w:val="Appendix H2"/>
    <w:next w:val="Normal"/>
    <w:rsid w:val="00C8737B"/>
    <w:pPr>
      <w:spacing w:before="160" w:after="40" w:line="300" w:lineRule="atLeast"/>
    </w:pPr>
    <w:rPr>
      <w:rFonts w:ascii="Arial" w:eastAsia="Times New Roman" w:hAnsi="Arial" w:cs="Arial"/>
      <w:b/>
      <w:bCs/>
      <w:iCs/>
      <w:color w:val="971A4B"/>
      <w:sz w:val="26"/>
      <w:szCs w:val="28"/>
      <w:lang w:val="en-AU" w:eastAsia="en-AU"/>
    </w:rPr>
  </w:style>
  <w:style w:type="paragraph" w:customStyle="1" w:styleId="AppendixH3">
    <w:name w:val="Appendix H3"/>
    <w:next w:val="Normal"/>
    <w:rsid w:val="00C8737B"/>
    <w:pPr>
      <w:spacing w:before="120" w:after="40" w:line="300" w:lineRule="atLeast"/>
    </w:pPr>
    <w:rPr>
      <w:rFonts w:ascii="Arial" w:eastAsia="Times New Roman" w:hAnsi="Arial" w:cs="Arial"/>
      <w:b/>
      <w:bCs/>
      <w:szCs w:val="26"/>
      <w:lang w:val="en-AU" w:eastAsia="en-AU"/>
    </w:rPr>
  </w:style>
  <w:style w:type="paragraph" w:customStyle="1" w:styleId="Confidentialityclause">
    <w:name w:val="Confidentiality clause"/>
    <w:rsid w:val="00C8737B"/>
    <w:pPr>
      <w:spacing w:after="120"/>
    </w:pPr>
    <w:rPr>
      <w:rFonts w:ascii="Arial" w:eastAsia="Times New Roman" w:hAnsi="Arial" w:cs="Times New Roman"/>
      <w:bCs/>
      <w:kern w:val="28"/>
      <w:sz w:val="18"/>
      <w:szCs w:val="20"/>
      <w:lang w:val="en-AU"/>
    </w:rPr>
  </w:style>
  <w:style w:type="paragraph" w:customStyle="1" w:styleId="VLAdivision">
    <w:name w:val="VLA division"/>
    <w:basedOn w:val="Normal"/>
    <w:next w:val="Normal"/>
    <w:rsid w:val="00C8737B"/>
    <w:pPr>
      <w:spacing w:before="60" w:after="240"/>
    </w:pPr>
    <w:rPr>
      <w:b/>
      <w:color w:val="971A4B"/>
      <w:sz w:val="28"/>
      <w:szCs w:val="28"/>
      <w:lang w:eastAsia="en-AU"/>
    </w:rPr>
  </w:style>
  <w:style w:type="paragraph" w:customStyle="1" w:styleId="Contents">
    <w:name w:val="Contents"/>
    <w:basedOn w:val="VLAdivision"/>
    <w:next w:val="Normal"/>
    <w:rsid w:val="00C8737B"/>
  </w:style>
  <w:style w:type="paragraph" w:customStyle="1" w:styleId="Filename">
    <w:name w:val="Filename"/>
    <w:basedOn w:val="Normal"/>
    <w:rsid w:val="00C8737B"/>
    <w:pPr>
      <w:pBdr>
        <w:top w:val="single" w:sz="4" w:space="1" w:color="B1005D"/>
      </w:pBdr>
      <w:tabs>
        <w:tab w:val="right" w:pos="9240"/>
      </w:tabs>
    </w:pPr>
    <w:rPr>
      <w:sz w:val="18"/>
    </w:rPr>
  </w:style>
  <w:style w:type="character" w:styleId="FootnoteReference">
    <w:name w:val="footnote reference"/>
    <w:aliases w:val="Footnotes refss,4_G,Footnote number,Stinking Styles,Nota a pie,NO,Style 30,Style 20"/>
    <w:uiPriority w:val="99"/>
    <w:qFormat/>
    <w:rsid w:val="00C8737B"/>
    <w:rPr>
      <w:rFonts w:ascii="Arial" w:hAnsi="Arial"/>
      <w:position w:val="2"/>
      <w:sz w:val="18"/>
      <w:vertAlign w:val="superscript"/>
    </w:rPr>
  </w:style>
  <w:style w:type="paragraph" w:styleId="FootnoteText">
    <w:name w:val="footnote text"/>
    <w:aliases w:val="Footnote text 1 Char Char,Footnote text 1,Footnote Text Char Char,Kneebone1,Footnote,Text Char Char Char,Text Char,Footnote Text Char Char Char Char Char,Text Char Char Char Char,Footnote text 1 Char,5_G,Char,Cha,C,FN,fn,Ca"/>
    <w:basedOn w:val="Normal"/>
    <w:link w:val="FootnoteTextChar"/>
    <w:qFormat/>
    <w:rsid w:val="00C8737B"/>
    <w:pPr>
      <w:ind w:left="284" w:hanging="284"/>
    </w:pPr>
    <w:rPr>
      <w:sz w:val="18"/>
      <w:szCs w:val="20"/>
    </w:rPr>
  </w:style>
  <w:style w:type="character" w:customStyle="1" w:styleId="FootnoteTextChar">
    <w:name w:val="Footnote Text Char"/>
    <w:aliases w:val="Footnote text 1 Char Char Char,Footnote text 1 Char1,Footnote Text Char Char Char,Kneebone1 Char,Footnote Char,Text Char Char Char Char1,Text Char Char,Footnote Text Char Char Char Char Char Char,Text Char Char Char Char Char,5_G Char"/>
    <w:basedOn w:val="DefaultParagraphFont"/>
    <w:link w:val="FootnoteText"/>
    <w:rsid w:val="00C8737B"/>
    <w:rPr>
      <w:rFonts w:ascii="Arial" w:eastAsia="Times New Roman" w:hAnsi="Arial" w:cs="Times New Roman"/>
      <w:sz w:val="18"/>
      <w:szCs w:val="20"/>
      <w:lang w:val="en-AU"/>
    </w:rPr>
  </w:style>
  <w:style w:type="character" w:customStyle="1" w:styleId="Heading2Char">
    <w:name w:val="Heading 2 Char"/>
    <w:basedOn w:val="DefaultParagraphFont"/>
    <w:link w:val="Heading2"/>
    <w:rsid w:val="00C8737B"/>
    <w:rPr>
      <w:rFonts w:ascii="Arial" w:eastAsia="Times New Roman" w:hAnsi="Arial" w:cs="Arial"/>
      <w:b/>
      <w:bCs/>
      <w:iCs/>
      <w:color w:val="971A4B"/>
      <w:sz w:val="28"/>
      <w:szCs w:val="28"/>
      <w:lang w:val="en-AU" w:eastAsia="en-AU"/>
    </w:rPr>
  </w:style>
  <w:style w:type="character" w:customStyle="1" w:styleId="Heading3Char">
    <w:name w:val="Heading 3 Char"/>
    <w:basedOn w:val="DefaultParagraphFont"/>
    <w:link w:val="Heading3"/>
    <w:rsid w:val="00C8737B"/>
    <w:rPr>
      <w:rFonts w:ascii="Arial" w:eastAsia="Times New Roman" w:hAnsi="Arial" w:cs="Arial"/>
      <w:b/>
      <w:bCs/>
      <w:sz w:val="26"/>
      <w:szCs w:val="26"/>
      <w:lang w:val="en-AU" w:eastAsia="en-AU"/>
    </w:rPr>
  </w:style>
  <w:style w:type="character" w:customStyle="1" w:styleId="Heading4Char">
    <w:name w:val="Heading 4 Char"/>
    <w:basedOn w:val="DefaultParagraphFont"/>
    <w:link w:val="Heading4"/>
    <w:rsid w:val="00C8737B"/>
    <w:rPr>
      <w:rFonts w:ascii="Arial" w:eastAsia="Times New Roman" w:hAnsi="Arial" w:cs="Arial"/>
      <w:b/>
      <w:bCs/>
      <w:lang w:val="en-AU" w:eastAsia="en-AU"/>
    </w:rPr>
  </w:style>
  <w:style w:type="character" w:customStyle="1" w:styleId="Heading5Char">
    <w:name w:val="Heading 5 Char"/>
    <w:basedOn w:val="DefaultParagraphFont"/>
    <w:link w:val="Heading5"/>
    <w:rsid w:val="00C8737B"/>
    <w:rPr>
      <w:rFonts w:ascii="Arial" w:eastAsia="Times New Roman" w:hAnsi="Arial" w:cs="Times New Roman"/>
      <w:b/>
      <w:sz w:val="22"/>
      <w:lang w:val="en-AU"/>
    </w:rPr>
  </w:style>
  <w:style w:type="character" w:customStyle="1" w:styleId="Heading6Char">
    <w:name w:val="Heading 6 Char"/>
    <w:link w:val="Heading6"/>
    <w:rsid w:val="00C8737B"/>
    <w:rPr>
      <w:rFonts w:ascii="Arial" w:eastAsia="Times New Roman" w:hAnsi="Arial" w:cs="Times New Roman"/>
      <w:b/>
      <w:sz w:val="22"/>
      <w:lang w:val="en-AU"/>
    </w:rPr>
  </w:style>
  <w:style w:type="character" w:customStyle="1" w:styleId="Heading7Char">
    <w:name w:val="Heading 7 Char"/>
    <w:basedOn w:val="DefaultParagraphFont"/>
    <w:link w:val="Heading7"/>
    <w:rsid w:val="00C8737B"/>
    <w:rPr>
      <w:rFonts w:ascii="Arial" w:eastAsia="Times New Roman" w:hAnsi="Arial" w:cs="Times New Roman"/>
      <w:b/>
      <w:sz w:val="22"/>
      <w:lang w:val="en-AU"/>
    </w:rPr>
  </w:style>
  <w:style w:type="character" w:customStyle="1" w:styleId="Heading8Char">
    <w:name w:val="Heading 8 Char"/>
    <w:basedOn w:val="DefaultParagraphFont"/>
    <w:link w:val="Heading8"/>
    <w:rsid w:val="00C8737B"/>
    <w:rPr>
      <w:rFonts w:ascii="Arial" w:eastAsia="Times New Roman" w:hAnsi="Arial" w:cs="Times New Roman"/>
      <w:b/>
      <w:sz w:val="22"/>
      <w:lang w:val="en-AU"/>
    </w:rPr>
  </w:style>
  <w:style w:type="character" w:customStyle="1" w:styleId="Heading9Char">
    <w:name w:val="Heading 9 Char"/>
    <w:basedOn w:val="DefaultParagraphFont"/>
    <w:link w:val="Heading9"/>
    <w:rsid w:val="00C8737B"/>
    <w:rPr>
      <w:rFonts w:ascii="Arial" w:eastAsia="Times New Roman" w:hAnsi="Arial" w:cs="Times New Roman"/>
      <w:b/>
      <w:sz w:val="22"/>
      <w:lang w:val="en-AU"/>
    </w:rPr>
  </w:style>
  <w:style w:type="character" w:styleId="Hyperlink">
    <w:name w:val="Hyperlink"/>
    <w:rsid w:val="00C8737B"/>
    <w:rPr>
      <w:rFonts w:ascii="Arial" w:hAnsi="Arial"/>
      <w:color w:val="0000FF"/>
      <w:u w:val="single"/>
      <w:lang w:val="en-AU"/>
    </w:rPr>
  </w:style>
  <w:style w:type="paragraph" w:styleId="Index1">
    <w:name w:val="index 1"/>
    <w:basedOn w:val="Normal"/>
    <w:next w:val="Normal"/>
    <w:autoRedefine/>
    <w:rsid w:val="00C8737B"/>
    <w:pPr>
      <w:spacing w:after="0" w:line="240" w:lineRule="auto"/>
      <w:ind w:left="220" w:hanging="220"/>
    </w:pPr>
  </w:style>
  <w:style w:type="paragraph" w:styleId="Index2">
    <w:name w:val="index 2"/>
    <w:basedOn w:val="Normal"/>
    <w:next w:val="Normal"/>
    <w:autoRedefine/>
    <w:rsid w:val="00C8737B"/>
    <w:pPr>
      <w:spacing w:after="0" w:line="240" w:lineRule="auto"/>
      <w:ind w:left="440" w:hanging="220"/>
    </w:pPr>
  </w:style>
  <w:style w:type="paragraph" w:styleId="ListBullet">
    <w:name w:val="List Bullet"/>
    <w:rsid w:val="00882054"/>
    <w:pPr>
      <w:numPr>
        <w:numId w:val="3"/>
      </w:numPr>
      <w:spacing w:after="120" w:line="300" w:lineRule="atLeast"/>
    </w:pPr>
    <w:rPr>
      <w:rFonts w:ascii="Arial" w:eastAsia="Times New Roman" w:hAnsi="Arial" w:cs="Times New Roman"/>
      <w:sz w:val="22"/>
      <w:lang w:val="en-AU"/>
    </w:rPr>
  </w:style>
  <w:style w:type="paragraph" w:styleId="ListBullet2">
    <w:name w:val="List Bullet 2"/>
    <w:rsid w:val="00882054"/>
    <w:pPr>
      <w:numPr>
        <w:ilvl w:val="1"/>
        <w:numId w:val="7"/>
      </w:numPr>
      <w:spacing w:after="120" w:line="300" w:lineRule="atLeast"/>
    </w:pPr>
    <w:rPr>
      <w:rFonts w:ascii="Arial" w:eastAsia="Times New Roman" w:hAnsi="Arial" w:cs="Times New Roman"/>
      <w:sz w:val="22"/>
      <w:lang w:val="en-AU"/>
    </w:rPr>
  </w:style>
  <w:style w:type="paragraph" w:styleId="ListBullet3">
    <w:name w:val="List Bullet 3"/>
    <w:rsid w:val="00882054"/>
    <w:pPr>
      <w:numPr>
        <w:ilvl w:val="2"/>
        <w:numId w:val="7"/>
      </w:numPr>
      <w:spacing w:after="120" w:line="300" w:lineRule="atLeast"/>
      <w:ind w:left="850" w:hanging="170"/>
    </w:pPr>
    <w:rPr>
      <w:rFonts w:ascii="Arial" w:eastAsia="Times New Roman" w:hAnsi="Arial" w:cs="Times New Roman"/>
      <w:sz w:val="22"/>
      <w:lang w:val="en-AU"/>
    </w:rPr>
  </w:style>
  <w:style w:type="paragraph" w:styleId="ListBullet4">
    <w:name w:val="List Bullet 4"/>
    <w:basedOn w:val="Normal"/>
    <w:semiHidden/>
    <w:rsid w:val="00C8737B"/>
    <w:pPr>
      <w:spacing w:after="80"/>
    </w:pPr>
  </w:style>
  <w:style w:type="paragraph" w:styleId="ListBullet5">
    <w:name w:val="List Bullet 5"/>
    <w:basedOn w:val="Normal"/>
    <w:rsid w:val="003C0558"/>
    <w:pPr>
      <w:numPr>
        <w:numId w:val="10"/>
      </w:numPr>
      <w:tabs>
        <w:tab w:val="clear" w:pos="1492"/>
        <w:tab w:val="left" w:pos="1304"/>
      </w:tabs>
      <w:ind w:left="1276" w:hanging="142"/>
    </w:pPr>
    <w:rPr>
      <w:bCs/>
    </w:rPr>
  </w:style>
  <w:style w:type="paragraph" w:styleId="ListNumber">
    <w:name w:val="List Number"/>
    <w:basedOn w:val="Normal"/>
    <w:rsid w:val="00C8737B"/>
    <w:pPr>
      <w:numPr>
        <w:numId w:val="12"/>
      </w:numPr>
    </w:pPr>
  </w:style>
  <w:style w:type="paragraph" w:styleId="ListNumber2">
    <w:name w:val="List Number 2"/>
    <w:basedOn w:val="Normal"/>
    <w:rsid w:val="00C8737B"/>
    <w:pPr>
      <w:numPr>
        <w:numId w:val="14"/>
      </w:numPr>
    </w:pPr>
  </w:style>
  <w:style w:type="paragraph" w:styleId="ListNumber3">
    <w:name w:val="List Number 3"/>
    <w:basedOn w:val="Normal"/>
    <w:rsid w:val="00C8737B"/>
    <w:pPr>
      <w:numPr>
        <w:numId w:val="16"/>
      </w:numPr>
    </w:pPr>
  </w:style>
  <w:style w:type="paragraph" w:styleId="ListNumber4">
    <w:name w:val="List Number 4"/>
    <w:basedOn w:val="Normal"/>
    <w:rsid w:val="00C8737B"/>
    <w:pPr>
      <w:numPr>
        <w:numId w:val="18"/>
      </w:numPr>
    </w:pPr>
  </w:style>
  <w:style w:type="paragraph" w:styleId="ListNumber5">
    <w:name w:val="List Number 5"/>
    <w:basedOn w:val="Normal"/>
    <w:rsid w:val="00C8737B"/>
    <w:pPr>
      <w:numPr>
        <w:numId w:val="20"/>
      </w:numPr>
    </w:pPr>
  </w:style>
  <w:style w:type="paragraph" w:customStyle="1" w:styleId="Normalbold">
    <w:name w:val="Normal bold"/>
    <w:basedOn w:val="Normal"/>
    <w:next w:val="Normal"/>
    <w:rsid w:val="00C8737B"/>
    <w:rPr>
      <w:b/>
      <w:lang w:eastAsia="en-AU"/>
    </w:rPr>
  </w:style>
  <w:style w:type="paragraph" w:styleId="NormalIndent">
    <w:name w:val="Normal Indent"/>
    <w:basedOn w:val="Normal"/>
    <w:rsid w:val="00C8737B"/>
    <w:pPr>
      <w:ind w:left="720"/>
    </w:pPr>
  </w:style>
  <w:style w:type="paragraph" w:customStyle="1" w:styleId="Normalwithgreyhighlightbox">
    <w:name w:val="Normal with grey highlight box"/>
    <w:basedOn w:val="Normal"/>
    <w:qFormat/>
    <w:rsid w:val="00C8737B"/>
    <w:pPr>
      <w:pBdr>
        <w:top w:val="single" w:sz="24" w:space="3" w:color="D9D9D9" w:themeColor="background1" w:themeShade="D9"/>
        <w:left w:val="single" w:sz="24" w:space="4" w:color="D9D9D9" w:themeColor="background1" w:themeShade="D9"/>
        <w:bottom w:val="single" w:sz="24" w:space="3" w:color="D9D9D9" w:themeColor="background1" w:themeShade="D9"/>
        <w:right w:val="single" w:sz="24" w:space="4" w:color="D9D9D9" w:themeColor="background1" w:themeShade="D9"/>
      </w:pBdr>
      <w:shd w:val="pct15" w:color="auto" w:fill="auto"/>
      <w:spacing w:before="160"/>
      <w:ind w:left="454" w:right="454"/>
    </w:pPr>
  </w:style>
  <w:style w:type="paragraph" w:customStyle="1" w:styleId="Normalwithborder">
    <w:name w:val="Normal with border"/>
    <w:basedOn w:val="Normalwithgreyhighlightbox"/>
    <w:qFormat/>
    <w:rsid w:val="00C8737B"/>
    <w:pPr>
      <w:pBdr>
        <w:top w:val="single" w:sz="8" w:space="7" w:color="0D0D0D" w:themeColor="text1" w:themeTint="F2"/>
        <w:left w:val="single" w:sz="8" w:space="7" w:color="0D0D0D" w:themeColor="text1" w:themeTint="F2"/>
        <w:bottom w:val="single" w:sz="8" w:space="7" w:color="0D0D0D" w:themeColor="text1" w:themeTint="F2"/>
        <w:right w:val="single" w:sz="8" w:space="7" w:color="0D0D0D" w:themeColor="text1" w:themeTint="F2"/>
      </w:pBdr>
      <w:shd w:val="clear" w:color="auto" w:fill="auto"/>
    </w:pPr>
  </w:style>
  <w:style w:type="paragraph" w:styleId="NoteHeading">
    <w:name w:val="Note Heading"/>
    <w:basedOn w:val="Normal"/>
    <w:next w:val="Normal"/>
    <w:link w:val="NoteHeadingChar"/>
    <w:rsid w:val="00C8737B"/>
    <w:pPr>
      <w:spacing w:after="0" w:line="240" w:lineRule="auto"/>
    </w:pPr>
  </w:style>
  <w:style w:type="character" w:customStyle="1" w:styleId="NoteHeadingChar">
    <w:name w:val="Note Heading Char"/>
    <w:basedOn w:val="DefaultParagraphFont"/>
    <w:link w:val="NoteHeading"/>
    <w:rsid w:val="00C8737B"/>
    <w:rPr>
      <w:rFonts w:ascii="Arial" w:eastAsia="Times New Roman" w:hAnsi="Arial" w:cs="Times New Roman"/>
      <w:sz w:val="22"/>
      <w:lang w:val="en-AU"/>
    </w:rPr>
  </w:style>
  <w:style w:type="character" w:styleId="Strong">
    <w:name w:val="Strong"/>
    <w:qFormat/>
    <w:rsid w:val="00C8737B"/>
    <w:rPr>
      <w:b/>
      <w:bCs/>
    </w:rPr>
  </w:style>
  <w:style w:type="paragraph" w:styleId="Subtitle">
    <w:name w:val="Subtitle"/>
    <w:basedOn w:val="Normal"/>
    <w:next w:val="Normal"/>
    <w:link w:val="SubtitleChar"/>
    <w:qFormat/>
    <w:rsid w:val="00C8737B"/>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rsid w:val="00C8737B"/>
    <w:rPr>
      <w:rFonts w:eastAsiaTheme="minorEastAsia"/>
      <w:color w:val="5A5A5A" w:themeColor="text1" w:themeTint="A5"/>
      <w:spacing w:val="15"/>
      <w:sz w:val="22"/>
      <w:szCs w:val="22"/>
      <w:lang w:val="en-AU"/>
    </w:rPr>
  </w:style>
  <w:style w:type="table" w:styleId="TableGrid">
    <w:name w:val="Table Grid"/>
    <w:basedOn w:val="TableNormal"/>
    <w:rsid w:val="00C8737B"/>
    <w:pPr>
      <w:spacing w:before="60" w:after="60" w:line="240" w:lineRule="atLeast"/>
    </w:pPr>
    <w:rPr>
      <w:rFonts w:ascii="Arial" w:eastAsia="Times New Roman" w:hAnsi="Arial"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link w:val="TitleChar"/>
    <w:qFormat/>
    <w:rsid w:val="00C8737B"/>
    <w:pPr>
      <w:spacing w:before="2000" w:after="240" w:line="400" w:lineRule="exact"/>
      <w:outlineLvl w:val="0"/>
    </w:pPr>
    <w:rPr>
      <w:rFonts w:ascii="Arial Bold" w:eastAsia="Times New Roman" w:hAnsi="Arial Bold" w:cs="Arial"/>
      <w:b/>
      <w:bCs/>
      <w:color w:val="971A4B"/>
      <w:kern w:val="28"/>
      <w:sz w:val="36"/>
      <w:szCs w:val="32"/>
      <w:lang w:val="en-AU"/>
    </w:rPr>
  </w:style>
  <w:style w:type="character" w:customStyle="1" w:styleId="TitleChar">
    <w:name w:val="Title Char"/>
    <w:link w:val="Title"/>
    <w:rsid w:val="00C8737B"/>
    <w:rPr>
      <w:rFonts w:ascii="Arial Bold" w:eastAsia="Times New Roman" w:hAnsi="Arial Bold" w:cs="Arial"/>
      <w:b/>
      <w:bCs/>
      <w:color w:val="971A4B"/>
      <w:kern w:val="28"/>
      <w:sz w:val="36"/>
      <w:szCs w:val="32"/>
      <w:lang w:val="en-AU"/>
    </w:rPr>
  </w:style>
  <w:style w:type="paragraph" w:styleId="TOC1">
    <w:name w:val="toc 1"/>
    <w:next w:val="Normal"/>
    <w:rsid w:val="00C8737B"/>
    <w:pPr>
      <w:tabs>
        <w:tab w:val="right" w:leader="dot" w:pos="9790"/>
      </w:tabs>
      <w:spacing w:before="60" w:after="60"/>
      <w:ind w:left="567" w:right="760" w:hanging="567"/>
    </w:pPr>
    <w:rPr>
      <w:rFonts w:ascii="Arial" w:eastAsia="Times New Roman" w:hAnsi="Arial" w:cs="Times New Roman"/>
      <w:b/>
      <w:sz w:val="20"/>
      <w:lang w:val="en-AU"/>
    </w:rPr>
  </w:style>
  <w:style w:type="paragraph" w:styleId="TOC2">
    <w:name w:val="toc 2"/>
    <w:basedOn w:val="Normal"/>
    <w:next w:val="Normal"/>
    <w:rsid w:val="00C8737B"/>
    <w:pPr>
      <w:tabs>
        <w:tab w:val="right" w:leader="dot" w:pos="9790"/>
      </w:tabs>
      <w:spacing w:before="60" w:after="60"/>
      <w:ind w:left="330" w:right="650"/>
    </w:pPr>
    <w:rPr>
      <w:noProof/>
      <w:sz w:val="20"/>
    </w:rPr>
  </w:style>
  <w:style w:type="paragraph" w:styleId="TOC3">
    <w:name w:val="toc 3"/>
    <w:basedOn w:val="Normal"/>
    <w:next w:val="Normal"/>
    <w:rsid w:val="00C8737B"/>
    <w:pPr>
      <w:tabs>
        <w:tab w:val="right" w:leader="dot" w:pos="9790"/>
      </w:tabs>
      <w:spacing w:before="60" w:after="60"/>
      <w:ind w:left="550" w:right="760"/>
    </w:pPr>
    <w:rPr>
      <w:noProof/>
      <w:sz w:val="20"/>
    </w:rPr>
  </w:style>
  <w:style w:type="paragraph" w:customStyle="1" w:styleId="VLA1">
    <w:name w:val="VLA 1."/>
    <w:aliases w:val="2.,3."/>
    <w:rsid w:val="003C0558"/>
    <w:pPr>
      <w:numPr>
        <w:ilvl w:val="1"/>
        <w:numId w:val="22"/>
      </w:numPr>
      <w:spacing w:after="120" w:line="300" w:lineRule="atLeast"/>
    </w:pPr>
    <w:rPr>
      <w:rFonts w:ascii="Arial" w:eastAsia="Times New Roman" w:hAnsi="Arial" w:cs="Times New Roman"/>
      <w:sz w:val="22"/>
      <w:lang w:val="en-AU"/>
    </w:rPr>
  </w:style>
  <w:style w:type="paragraph" w:customStyle="1" w:styleId="VLAa">
    <w:name w:val="VLA a."/>
    <w:aliases w:val="b.,c."/>
    <w:rsid w:val="00C8737B"/>
    <w:pPr>
      <w:tabs>
        <w:tab w:val="num" w:pos="714"/>
      </w:tabs>
      <w:spacing w:after="120" w:line="300" w:lineRule="atLeast"/>
      <w:ind w:left="714" w:hanging="357"/>
    </w:pPr>
    <w:rPr>
      <w:rFonts w:ascii="Arial" w:eastAsia="Times New Roman" w:hAnsi="Arial" w:cs="Times New Roman"/>
      <w:sz w:val="22"/>
      <w:lang w:val="en-AU"/>
    </w:rPr>
  </w:style>
  <w:style w:type="paragraph" w:customStyle="1" w:styleId="VLAauthor">
    <w:name w:val="VLA author"/>
    <w:basedOn w:val="Normal"/>
    <w:next w:val="VLAdivision"/>
    <w:rsid w:val="00C8737B"/>
    <w:pPr>
      <w:spacing w:before="240" w:after="60"/>
    </w:pPr>
    <w:rPr>
      <w:b/>
      <w:color w:val="971A4B"/>
      <w:sz w:val="28"/>
      <w:szCs w:val="28"/>
      <w:lang w:eastAsia="en-AU"/>
    </w:rPr>
  </w:style>
  <w:style w:type="paragraph" w:customStyle="1" w:styleId="VLAcaption">
    <w:name w:val="VLA caption"/>
    <w:basedOn w:val="Normal"/>
    <w:next w:val="Normal"/>
    <w:rsid w:val="00C8737B"/>
    <w:rPr>
      <w:i/>
      <w:sz w:val="20"/>
    </w:rPr>
  </w:style>
  <w:style w:type="paragraph" w:customStyle="1" w:styleId="VLAdate">
    <w:name w:val="VLA date"/>
    <w:basedOn w:val="Normal"/>
    <w:qFormat/>
    <w:rsid w:val="00C8737B"/>
    <w:pPr>
      <w:spacing w:before="240" w:after="240" w:line="240" w:lineRule="atLeast"/>
    </w:pPr>
    <w:rPr>
      <w:bCs/>
      <w:sz w:val="24"/>
      <w:szCs w:val="28"/>
    </w:rPr>
  </w:style>
  <w:style w:type="paragraph" w:customStyle="1" w:styleId="VLAdefinition">
    <w:name w:val="VLA definition"/>
    <w:basedOn w:val="Normal"/>
    <w:rsid w:val="00C8737B"/>
    <w:pPr>
      <w:tabs>
        <w:tab w:val="left" w:pos="2268"/>
      </w:tabs>
      <w:spacing w:before="60"/>
      <w:ind w:left="2268" w:hanging="2268"/>
    </w:pPr>
    <w:rPr>
      <w:szCs w:val="22"/>
    </w:rPr>
  </w:style>
  <w:style w:type="paragraph" w:customStyle="1" w:styleId="VLADocumentText">
    <w:name w:val="VLA Document Text"/>
    <w:rsid w:val="00C8737B"/>
    <w:pPr>
      <w:spacing w:after="120" w:line="300" w:lineRule="atLeast"/>
    </w:pPr>
    <w:rPr>
      <w:rFonts w:ascii="Arial" w:eastAsia="Times New Roman" w:hAnsi="Arial" w:cs="Times New Roman"/>
      <w:sz w:val="22"/>
      <w:lang w:val="en-AU"/>
    </w:rPr>
  </w:style>
  <w:style w:type="character" w:customStyle="1" w:styleId="VLAHiddenText">
    <w:name w:val="VLA Hidden Text"/>
    <w:rsid w:val="00C8737B"/>
    <w:rPr>
      <w:rFonts w:ascii="Arial" w:hAnsi="Arial"/>
      <w:vanish/>
      <w:color w:val="3366FF"/>
    </w:rPr>
  </w:style>
  <w:style w:type="paragraph" w:customStyle="1" w:styleId="VLAi">
    <w:name w:val="VLA i."/>
    <w:aliases w:val="ii.,iii."/>
    <w:rsid w:val="003C0558"/>
    <w:pPr>
      <w:numPr>
        <w:ilvl w:val="2"/>
        <w:numId w:val="22"/>
      </w:numPr>
      <w:spacing w:after="120" w:line="300" w:lineRule="atLeast"/>
      <w:ind w:left="1071" w:hanging="357"/>
    </w:pPr>
    <w:rPr>
      <w:rFonts w:ascii="Arial" w:eastAsia="Times New Roman" w:hAnsi="Arial" w:cs="Times New Roman"/>
      <w:sz w:val="22"/>
      <w:lang w:val="en-AU"/>
    </w:rPr>
  </w:style>
  <w:style w:type="paragraph" w:customStyle="1" w:styleId="VLALetterHeading">
    <w:name w:val="VLA Letter Heading"/>
    <w:next w:val="Normal"/>
    <w:rsid w:val="00C8737B"/>
    <w:pPr>
      <w:keepNext/>
      <w:spacing w:after="200" w:line="300" w:lineRule="atLeast"/>
    </w:pPr>
    <w:rPr>
      <w:rFonts w:ascii="Arial" w:eastAsia="Times New Roman" w:hAnsi="Arial" w:cs="Times New Roman"/>
      <w:b/>
      <w:sz w:val="22"/>
      <w:lang w:val="en-AU"/>
    </w:rPr>
  </w:style>
  <w:style w:type="paragraph" w:customStyle="1" w:styleId="VLALetterText">
    <w:name w:val="VLA Letter Text"/>
    <w:rsid w:val="00C8737B"/>
    <w:pPr>
      <w:spacing w:after="120" w:line="300" w:lineRule="atLeast"/>
    </w:pPr>
    <w:rPr>
      <w:rFonts w:ascii="Arial" w:eastAsia="Times New Roman" w:hAnsi="Arial" w:cs="Times New Roman"/>
      <w:sz w:val="22"/>
      <w:lang w:val="en-AU"/>
    </w:rPr>
  </w:style>
  <w:style w:type="paragraph" w:customStyle="1" w:styleId="VLApicture">
    <w:name w:val="VLA picture"/>
    <w:next w:val="Normal"/>
    <w:rsid w:val="00C8737B"/>
    <w:pPr>
      <w:spacing w:after="120" w:line="300" w:lineRule="atLeast"/>
    </w:pPr>
    <w:rPr>
      <w:rFonts w:ascii="Arial" w:eastAsia="Times New Roman" w:hAnsi="Arial" w:cs="Times New Roman"/>
      <w:sz w:val="22"/>
      <w:lang w:val="en-AU"/>
    </w:rPr>
  </w:style>
  <w:style w:type="paragraph" w:customStyle="1" w:styleId="VLApublicationdate0">
    <w:name w:val="VLA publication date"/>
    <w:basedOn w:val="Normal"/>
    <w:rsid w:val="00C8737B"/>
    <w:pPr>
      <w:spacing w:before="1000"/>
    </w:pPr>
    <w:rPr>
      <w:b/>
      <w:sz w:val="28"/>
      <w:szCs w:val="20"/>
      <w:lang w:eastAsia="en-AU"/>
    </w:rPr>
  </w:style>
  <w:style w:type="paragraph" w:customStyle="1" w:styleId="VLAquotation">
    <w:name w:val="VLA quotation"/>
    <w:basedOn w:val="VLApicture"/>
    <w:rsid w:val="00C8737B"/>
    <w:pPr>
      <w:ind w:left="720"/>
    </w:pPr>
    <w:rPr>
      <w:i/>
    </w:rPr>
  </w:style>
  <w:style w:type="character" w:styleId="UnresolvedMention">
    <w:name w:val="Unresolved Mention"/>
    <w:basedOn w:val="DefaultParagraphFont"/>
    <w:uiPriority w:val="99"/>
    <w:rsid w:val="0031443C"/>
    <w:rPr>
      <w:color w:val="605E5C"/>
      <w:shd w:val="clear" w:color="auto" w:fill="E1DFDD"/>
    </w:rPr>
  </w:style>
  <w:style w:type="paragraph" w:styleId="BalloonText">
    <w:name w:val="Balloon Text"/>
    <w:basedOn w:val="Normal"/>
    <w:link w:val="BalloonTextChar"/>
    <w:uiPriority w:val="99"/>
    <w:semiHidden/>
    <w:unhideWhenUsed/>
    <w:rsid w:val="00473E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3E11"/>
    <w:rPr>
      <w:rFonts w:ascii="Segoe UI" w:eastAsia="Times New Roman" w:hAnsi="Segoe UI" w:cs="Segoe UI"/>
      <w:sz w:val="18"/>
      <w:szCs w:val="18"/>
      <w:lang w:val="en-AU"/>
    </w:rPr>
  </w:style>
  <w:style w:type="paragraph" w:styleId="ListParagraph">
    <w:name w:val="List Paragraph"/>
    <w:basedOn w:val="Normal"/>
    <w:uiPriority w:val="34"/>
    <w:qFormat/>
    <w:rsid w:val="00627BED"/>
    <w:pPr>
      <w:ind w:left="720"/>
      <w:contextualSpacing/>
    </w:pPr>
  </w:style>
  <w:style w:type="paragraph" w:styleId="Revision">
    <w:name w:val="Revision"/>
    <w:hidden/>
    <w:uiPriority w:val="99"/>
    <w:semiHidden/>
    <w:rsid w:val="00F3213F"/>
    <w:rPr>
      <w:rFonts w:ascii="Arial" w:eastAsia="Times New Roman" w:hAnsi="Arial" w:cs="Times New Roman"/>
      <w:sz w:val="22"/>
      <w:lang w:val="en-AU"/>
    </w:rPr>
  </w:style>
  <w:style w:type="paragraph" w:styleId="NormalWeb">
    <w:name w:val="Normal (Web)"/>
    <w:basedOn w:val="Normal"/>
    <w:uiPriority w:val="99"/>
    <w:unhideWhenUsed/>
    <w:rsid w:val="008A7471"/>
    <w:pPr>
      <w:spacing w:before="100" w:beforeAutospacing="1" w:after="100" w:afterAutospacing="1" w:line="240" w:lineRule="auto"/>
    </w:pPr>
    <w:rPr>
      <w:rFonts w:ascii="Times New Roman" w:hAnsi="Times New Roman"/>
      <w:sz w:val="24"/>
      <w:lang w:eastAsia="en-AU"/>
    </w:rPr>
  </w:style>
  <w:style w:type="table" w:styleId="PlainTable2">
    <w:name w:val="Plain Table 2"/>
    <w:basedOn w:val="TableNormal"/>
    <w:uiPriority w:val="42"/>
    <w:rsid w:val="007D54C7"/>
    <w:rPr>
      <w:rFonts w:ascii="Times New Roman" w:eastAsia="Times New Roman" w:hAnsi="Times New Roman" w:cs="Times New Roman"/>
      <w:sz w:val="20"/>
      <w:szCs w:val="20"/>
      <w:lang w:val="en-AU" w:eastAsia="en-AU"/>
    </w:rPr>
    <w:tblPr>
      <w:tblStyleRowBandSize w:val="1"/>
      <w:tblStyleColBandSize w:val="1"/>
      <w:tblBorders>
        <w:bottom w:val="single" w:sz="4" w:space="0" w:color="000000" w:themeColor="text1"/>
        <w:insideH w:val="single" w:sz="4" w:space="0" w:color="000000" w:themeColor="text1"/>
      </w:tblBorders>
    </w:tblPr>
    <w:tblStylePr w:type="firstRow">
      <w:rPr>
        <w:b w:val="0"/>
        <w:bCs/>
        <w:color w:val="44546A" w:themeColor="text2"/>
      </w:rPr>
      <w:tblPr/>
      <w:trPr>
        <w:cantSplit/>
        <w:tblHeader/>
      </w:trPr>
      <w:tcPr>
        <w:tcBorders>
          <w:top w:val="single" w:sz="4" w:space="0" w:color="44546A" w:themeColor="text2"/>
          <w:bottom w:val="single" w:sz="4" w:space="0" w:color="44546A" w:themeColor="text2"/>
        </w:tcBorders>
        <w:shd w:val="clear" w:color="auto" w:fill="E7E6E6" w:themeFill="background2"/>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000000" w:themeColor="text1"/>
          <w:insideH w:val="single" w:sz="4" w:space="0" w:color="000000" w:themeColor="text1"/>
        </w:tcBorders>
      </w:tcPr>
    </w:tblStylePr>
    <w:tblStylePr w:type="band2Horz">
      <w:tblPr/>
      <w:tcPr>
        <w:tcBorders>
          <w:bottom w:val="single" w:sz="4" w:space="0" w:color="000000" w:themeColor="text1"/>
          <w:insideH w:val="single" w:sz="4" w:space="0" w:color="000000" w:themeColor="text1"/>
        </w:tcBorders>
      </w:tcPr>
    </w:tblStylePr>
  </w:style>
  <w:style w:type="character" w:customStyle="1" w:styleId="normaltextrun">
    <w:name w:val="normaltextrun"/>
    <w:basedOn w:val="DefaultParagraphFont"/>
    <w:rsid w:val="000B2451"/>
  </w:style>
  <w:style w:type="character" w:customStyle="1" w:styleId="findhit">
    <w:name w:val="findhit"/>
    <w:basedOn w:val="DefaultParagraphFont"/>
    <w:rsid w:val="007F6EE6"/>
  </w:style>
  <w:style w:type="paragraph" w:customStyle="1" w:styleId="Tableheader">
    <w:name w:val="Table header"/>
    <w:basedOn w:val="Normal"/>
    <w:uiPriority w:val="1"/>
    <w:qFormat/>
    <w:rsid w:val="79F055BD"/>
    <w:pPr>
      <w:keepNext/>
      <w:spacing w:before="240"/>
      <w:outlineLvl w:val="3"/>
    </w:pPr>
    <w:rPr>
      <w:rFonts w:cs="Arial"/>
      <w:b/>
      <w:bCs/>
      <w:sz w:val="24"/>
      <w:lang w:eastAsia="en-AU"/>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Arial" w:eastAsia="Times New Roman" w:hAnsi="Arial" w:cs="Times New Roman"/>
      <w:sz w:val="20"/>
      <w:szCs w:val="20"/>
      <w:lang w:val="en-AU"/>
    </w:rPr>
  </w:style>
  <w:style w:type="character" w:styleId="CommentReference">
    <w:name w:val="annotation reference"/>
    <w:basedOn w:val="DefaultParagraphFont"/>
    <w:uiPriority w:val="99"/>
    <w:semiHidden/>
    <w:unhideWhenUsed/>
    <w:rPr>
      <w:sz w:val="16"/>
      <w:szCs w:val="16"/>
    </w:rPr>
  </w:style>
  <w:style w:type="character" w:customStyle="1" w:styleId="cf01">
    <w:name w:val="cf01"/>
    <w:basedOn w:val="DefaultParagraphFont"/>
    <w:rsid w:val="00390234"/>
    <w:rPr>
      <w:rFonts w:ascii="Segoe UI" w:hAnsi="Segoe UI" w:cs="Segoe UI" w:hint="default"/>
      <w:sz w:val="18"/>
      <w:szCs w:val="18"/>
    </w:rPr>
  </w:style>
  <w:style w:type="paragraph" w:styleId="CommentSubject">
    <w:name w:val="annotation subject"/>
    <w:basedOn w:val="CommentText"/>
    <w:next w:val="CommentText"/>
    <w:link w:val="CommentSubjectChar"/>
    <w:uiPriority w:val="99"/>
    <w:semiHidden/>
    <w:unhideWhenUsed/>
    <w:rsid w:val="00150B98"/>
    <w:rPr>
      <w:b/>
      <w:bCs/>
    </w:rPr>
  </w:style>
  <w:style w:type="character" w:customStyle="1" w:styleId="CommentSubjectChar">
    <w:name w:val="Comment Subject Char"/>
    <w:basedOn w:val="CommentTextChar"/>
    <w:link w:val="CommentSubject"/>
    <w:uiPriority w:val="99"/>
    <w:semiHidden/>
    <w:rsid w:val="00150B98"/>
    <w:rPr>
      <w:rFonts w:ascii="Arial" w:eastAsia="Times New Roman" w:hAnsi="Arial" w:cs="Times New Roman"/>
      <w:b/>
      <w:bCs/>
      <w:sz w:val="20"/>
      <w:szCs w:val="20"/>
      <w:lang w:val="en-AU"/>
    </w:rPr>
  </w:style>
  <w:style w:type="character" w:styleId="Mention">
    <w:name w:val="Mention"/>
    <w:basedOn w:val="DefaultParagraphFont"/>
    <w:uiPriority w:val="99"/>
    <w:unhideWhenUsed/>
    <w:rsid w:val="00240263"/>
    <w:rPr>
      <w:color w:val="2B579A"/>
      <w:shd w:val="clear" w:color="auto" w:fill="E1DFDD"/>
    </w:rPr>
  </w:style>
  <w:style w:type="character" w:styleId="FollowedHyperlink">
    <w:name w:val="FollowedHyperlink"/>
    <w:basedOn w:val="DefaultParagraphFont"/>
    <w:uiPriority w:val="99"/>
    <w:semiHidden/>
    <w:unhideWhenUsed/>
    <w:rsid w:val="002325A4"/>
    <w:rPr>
      <w:color w:val="954F72" w:themeColor="followedHyperlink"/>
      <w:u w:val="single"/>
    </w:rPr>
  </w:style>
  <w:style w:type="character" w:styleId="Emphasis">
    <w:name w:val="Emphasis"/>
    <w:basedOn w:val="DefaultParagraphFont"/>
    <w:uiPriority w:val="20"/>
    <w:qFormat/>
    <w:rsid w:val="00EB71F3"/>
    <w:rPr>
      <w:i/>
      <w:iCs/>
    </w:rPr>
  </w:style>
  <w:style w:type="character" w:customStyle="1" w:styleId="rpl-text-label">
    <w:name w:val="rpl-text-label"/>
    <w:basedOn w:val="DefaultParagraphFont"/>
    <w:rsid w:val="00EB71F3"/>
  </w:style>
  <w:style w:type="paragraph" w:styleId="EndnoteText">
    <w:name w:val="endnote text"/>
    <w:basedOn w:val="Normal"/>
    <w:link w:val="EndnoteTextChar"/>
    <w:uiPriority w:val="99"/>
    <w:semiHidden/>
    <w:unhideWhenUsed/>
    <w:rsid w:val="00FC091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C0917"/>
    <w:rPr>
      <w:rFonts w:ascii="Arial" w:eastAsia="Times New Roman" w:hAnsi="Arial" w:cs="Times New Roman"/>
      <w:sz w:val="20"/>
      <w:szCs w:val="20"/>
      <w:lang w:val="en-AU"/>
    </w:rPr>
  </w:style>
  <w:style w:type="character" w:styleId="EndnoteReference">
    <w:name w:val="endnote reference"/>
    <w:basedOn w:val="DefaultParagraphFont"/>
    <w:uiPriority w:val="99"/>
    <w:semiHidden/>
    <w:unhideWhenUsed/>
    <w:rsid w:val="00FC091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387510">
      <w:bodyDiv w:val="1"/>
      <w:marLeft w:val="0"/>
      <w:marRight w:val="0"/>
      <w:marTop w:val="0"/>
      <w:marBottom w:val="0"/>
      <w:divBdr>
        <w:top w:val="none" w:sz="0" w:space="0" w:color="auto"/>
        <w:left w:val="none" w:sz="0" w:space="0" w:color="auto"/>
        <w:bottom w:val="none" w:sz="0" w:space="0" w:color="auto"/>
        <w:right w:val="none" w:sz="0" w:space="0" w:color="auto"/>
      </w:divBdr>
    </w:div>
    <w:div w:id="459150005">
      <w:bodyDiv w:val="1"/>
      <w:marLeft w:val="0"/>
      <w:marRight w:val="0"/>
      <w:marTop w:val="0"/>
      <w:marBottom w:val="0"/>
      <w:divBdr>
        <w:top w:val="none" w:sz="0" w:space="0" w:color="auto"/>
        <w:left w:val="none" w:sz="0" w:space="0" w:color="auto"/>
        <w:bottom w:val="none" w:sz="0" w:space="0" w:color="auto"/>
        <w:right w:val="none" w:sz="0" w:space="0" w:color="auto"/>
      </w:divBdr>
    </w:div>
    <w:div w:id="472866211">
      <w:bodyDiv w:val="1"/>
      <w:marLeft w:val="0"/>
      <w:marRight w:val="0"/>
      <w:marTop w:val="0"/>
      <w:marBottom w:val="0"/>
      <w:divBdr>
        <w:top w:val="none" w:sz="0" w:space="0" w:color="auto"/>
        <w:left w:val="none" w:sz="0" w:space="0" w:color="auto"/>
        <w:bottom w:val="none" w:sz="0" w:space="0" w:color="auto"/>
        <w:right w:val="none" w:sz="0" w:space="0" w:color="auto"/>
      </w:divBdr>
    </w:div>
    <w:div w:id="871452699">
      <w:bodyDiv w:val="1"/>
      <w:marLeft w:val="0"/>
      <w:marRight w:val="0"/>
      <w:marTop w:val="0"/>
      <w:marBottom w:val="0"/>
      <w:divBdr>
        <w:top w:val="none" w:sz="0" w:space="0" w:color="auto"/>
        <w:left w:val="none" w:sz="0" w:space="0" w:color="auto"/>
        <w:bottom w:val="none" w:sz="0" w:space="0" w:color="auto"/>
        <w:right w:val="none" w:sz="0" w:space="0" w:color="auto"/>
      </w:divBdr>
    </w:div>
    <w:div w:id="886451186">
      <w:bodyDiv w:val="1"/>
      <w:marLeft w:val="0"/>
      <w:marRight w:val="0"/>
      <w:marTop w:val="0"/>
      <w:marBottom w:val="0"/>
      <w:divBdr>
        <w:top w:val="none" w:sz="0" w:space="0" w:color="auto"/>
        <w:left w:val="none" w:sz="0" w:space="0" w:color="auto"/>
        <w:bottom w:val="none" w:sz="0" w:space="0" w:color="auto"/>
        <w:right w:val="none" w:sz="0" w:space="0" w:color="auto"/>
      </w:divBdr>
    </w:div>
    <w:div w:id="1646160578">
      <w:bodyDiv w:val="1"/>
      <w:marLeft w:val="0"/>
      <w:marRight w:val="0"/>
      <w:marTop w:val="0"/>
      <w:marBottom w:val="0"/>
      <w:divBdr>
        <w:top w:val="none" w:sz="0" w:space="0" w:color="auto"/>
        <w:left w:val="none" w:sz="0" w:space="0" w:color="auto"/>
        <w:bottom w:val="none" w:sz="0" w:space="0" w:color="auto"/>
        <w:right w:val="none" w:sz="0" w:space="0" w:color="auto"/>
      </w:divBdr>
    </w:div>
    <w:div w:id="1954050719">
      <w:bodyDiv w:val="1"/>
      <w:marLeft w:val="0"/>
      <w:marRight w:val="0"/>
      <w:marTop w:val="0"/>
      <w:marBottom w:val="0"/>
      <w:divBdr>
        <w:top w:val="none" w:sz="0" w:space="0" w:color="auto"/>
        <w:left w:val="none" w:sz="0" w:space="0" w:color="auto"/>
        <w:bottom w:val="none" w:sz="0" w:space="0" w:color="auto"/>
        <w:right w:val="none" w:sz="0" w:space="0" w:color="auto"/>
      </w:divBdr>
    </w:div>
    <w:div w:id="2087417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areertrackers.org.au/gala-award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legalaid.vic.gov.au/learning-from-the-failures-of-robodebt"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ationallegalaid.org/resources/justice-on-the-brink/" TargetMode="External"/><Relationship Id="rId5" Type="http://schemas.openxmlformats.org/officeDocument/2006/relationships/numbering" Target="numbering.xml"/><Relationship Id="rId15" Type="http://schemas.openxmlformats.org/officeDocument/2006/relationships/hyperlink" Target="https://library.vla.vic.gov.au/"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alaid.vic.gov.au/stopping-weaponisation-child-support"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https://viclegalaid.sharepoint.com/sites/VLAbranding/Shared%20Documents/Fact%20Sheets/VLA%20generic%20(Factshe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BBC6DB36EDF94C89C7B7A43F71F587" ma:contentTypeVersion="18" ma:contentTypeDescription="Create a new document." ma:contentTypeScope="" ma:versionID="099f90012258fb280d1c4c743fb1f7fa">
  <xsd:schema xmlns:xsd="http://www.w3.org/2001/XMLSchema" xmlns:xs="http://www.w3.org/2001/XMLSchema" xmlns:p="http://schemas.microsoft.com/office/2006/metadata/properties" xmlns:ns2="68c7d542-4e7f-4a13-a678-0dc97ca94df5" xmlns:ns3="e90065c7-7f7f-4df0-a469-5749d80eada3" targetNamespace="http://schemas.microsoft.com/office/2006/metadata/properties" ma:root="true" ma:fieldsID="bfe77011925267654221987c5dbc344b" ns2:_="" ns3:_="">
    <xsd:import namespace="68c7d542-4e7f-4a13-a678-0dc97ca94df5"/>
    <xsd:import namespace="e90065c7-7f7f-4df0-a469-5749d80eada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c7d542-4e7f-4a13-a678-0dc97ca94d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7179f48-4463-4412-9cd9-4172c67e99e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90065c7-7f7f-4df0-a469-5749d80eada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41ad703-2d9b-4b4a-901b-4e1e25f667a0}" ma:internalName="TaxCatchAll" ma:showField="CatchAllData" ma:web="e90065c7-7f7f-4df0-a469-5749d80ead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90065c7-7f7f-4df0-a469-5749d80eada3" xsi:nil="true"/>
    <lcf76f155ced4ddcb4097134ff3c332f xmlns="68c7d542-4e7f-4a13-a678-0dc97ca94df5">
      <Terms xmlns="http://schemas.microsoft.com/office/infopath/2007/PartnerControls"/>
    </lcf76f155ced4ddcb4097134ff3c332f>
    <SharedWithUsers xmlns="e90065c7-7f7f-4df0-a469-5749d80eada3">
      <UserInfo>
        <DisplayName>Michelle Bottomley</DisplayName>
        <AccountId>23</AccountId>
        <AccountType/>
      </UserInfo>
      <UserInfo>
        <DisplayName>Jacqueline Storey</DisplayName>
        <AccountId>45</AccountId>
        <AccountType/>
      </UserInfo>
      <UserInfo>
        <DisplayName>Manoja Wickramarathne</DisplayName>
        <AccountId>472</AccountId>
        <AccountType/>
      </UserInfo>
      <UserInfo>
        <DisplayName>Vanessa Hirst</DisplayName>
        <AccountId>14</AccountId>
        <AccountType/>
      </UserInfo>
      <UserInfo>
        <DisplayName>Aaron Rose</DisplayName>
        <AccountId>148</AccountId>
        <AccountType/>
      </UserInfo>
      <UserInfo>
        <DisplayName>Menaka KiriellaBandara</DisplayName>
        <AccountId>611</AccountId>
        <AccountType/>
      </UserInfo>
      <UserInfo>
        <DisplayName>Megan Panayi</DisplayName>
        <AccountId>343</AccountId>
        <AccountType/>
      </UserInfo>
      <UserInfo>
        <DisplayName>Chris Sheard</DisplayName>
        <AccountId>7</AccountId>
        <AccountType/>
      </UserInfo>
      <UserInfo>
        <DisplayName>Cameron Hume</DisplayName>
        <AccountId>21</AccountId>
        <AccountType/>
      </UserInfo>
      <UserInfo>
        <DisplayName>Kayleigh Elborn</DisplayName>
        <AccountId>579</AccountId>
        <AccountType/>
      </UserInfo>
      <UserInfo>
        <DisplayName>Alethea Belford</DisplayName>
        <AccountId>130</AccountId>
        <AccountType/>
      </UserInfo>
      <UserInfo>
        <DisplayName>Martha Arkalis</DisplayName>
        <AccountId>157</AccountId>
        <AccountType/>
      </UserInfo>
      <UserInfo>
        <DisplayName>Kristina Lanza</DisplayName>
        <AccountId>317</AccountId>
        <AccountType/>
      </UserInfo>
      <UserInfo>
        <DisplayName>Joanna Fletcher</DisplayName>
        <AccountId>177</AccountId>
        <AccountType/>
      </UserInfo>
      <UserInfo>
        <DisplayName>Liz Borgia</DisplayName>
        <AccountId>175</AccountId>
        <AccountType/>
      </UserInfo>
      <UserInfo>
        <DisplayName>Simon Ho</DisplayName>
        <AccountId>117</AccountId>
        <AccountType/>
      </UserInfo>
      <UserInfo>
        <DisplayName>Sonia Li</DisplayName>
        <AccountId>872</AccountId>
        <AccountType/>
      </UserInfo>
      <UserInfo>
        <DisplayName>Jacintha Voon</DisplayName>
        <AccountId>878</AccountId>
        <AccountType/>
      </UserInfo>
      <UserInfo>
        <DisplayName>Isabella Tumolero</DisplayName>
        <AccountId>886</AccountId>
        <AccountType/>
      </UserInfo>
      <UserInfo>
        <DisplayName>Louise Glanville</DisplayName>
        <AccountId>320</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7DABB1-7185-4B03-AD2F-F465CF5154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c7d542-4e7f-4a13-a678-0dc97ca94df5"/>
    <ds:schemaRef ds:uri="e90065c7-7f7f-4df0-a469-5749d80ead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D329AF-D008-4FD5-8701-63DC375D9D26}">
  <ds:schemaRefs>
    <ds:schemaRef ds:uri="http://schemas.microsoft.com/office/2006/metadata/properties"/>
    <ds:schemaRef ds:uri="http://purl.org/dc/dcmitype/"/>
    <ds:schemaRef ds:uri="http://schemas.microsoft.com/office/2006/documentManagement/types"/>
    <ds:schemaRef ds:uri="http://schemas.openxmlformats.org/package/2006/metadata/core-properties"/>
    <ds:schemaRef ds:uri="http://purl.org/dc/elements/1.1/"/>
    <ds:schemaRef ds:uri="http://purl.org/dc/terms/"/>
    <ds:schemaRef ds:uri="http://www.w3.org/XML/1998/namespace"/>
    <ds:schemaRef ds:uri="http://schemas.microsoft.com/office/infopath/2007/PartnerControls"/>
    <ds:schemaRef ds:uri="e90065c7-7f7f-4df0-a469-5749d80eada3"/>
    <ds:schemaRef ds:uri="68c7d542-4e7f-4a13-a678-0dc97ca94df5"/>
  </ds:schemaRefs>
</ds:datastoreItem>
</file>

<file path=customXml/itemProps3.xml><?xml version="1.0" encoding="utf-8"?>
<ds:datastoreItem xmlns:ds="http://schemas.openxmlformats.org/officeDocument/2006/customXml" ds:itemID="{D033FA9B-A9B1-4E28-9836-ACF5CA0DCAA5}">
  <ds:schemaRefs>
    <ds:schemaRef ds:uri="http://schemas.openxmlformats.org/officeDocument/2006/bibliography"/>
  </ds:schemaRefs>
</ds:datastoreItem>
</file>

<file path=customXml/itemProps4.xml><?xml version="1.0" encoding="utf-8"?>
<ds:datastoreItem xmlns:ds="http://schemas.openxmlformats.org/officeDocument/2006/customXml" ds:itemID="{73ED59C6-F897-4B36-AF31-D3D7D2CA75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VLA%20generic%20(Factsheet)</Template>
  <TotalTime>62</TotalTime>
  <Pages>6</Pages>
  <Words>1904</Words>
  <Characters>10741</Characters>
  <DocSecurity>0</DocSecurity>
  <Lines>89</Lines>
  <Paragraphs>25</Paragraphs>
  <ScaleCrop>false</ScaleCrop>
  <HeadingPairs>
    <vt:vector size="2" baseType="variant">
      <vt:variant>
        <vt:lpstr>Title</vt:lpstr>
      </vt:variant>
      <vt:variant>
        <vt:i4>1</vt:i4>
      </vt:variant>
    </vt:vector>
  </HeadingPairs>
  <TitlesOfParts>
    <vt:vector size="1" baseType="lpstr">
      <vt:lpstr>Victoria Legal Aid 2023–24 Quarter Two Report </vt:lpstr>
    </vt:vector>
  </TitlesOfParts>
  <Company>Victoria Legal Aid</Company>
  <LinksUpToDate>false</LinksUpToDate>
  <CharactersWithSpaces>12620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 Legal Aid 2023–24 Quarter Two Report </dc:title>
  <dc:subject/>
  <dc:creator>Victoria Legal Aid</dc:creator>
  <cp:keywords/>
  <dc:description/>
  <cp:lastPrinted>2023-01-04T18:40:00Z</cp:lastPrinted>
  <dcterms:created xsi:type="dcterms:W3CDTF">2023-08-23T17:27:00Z</dcterms:created>
  <dcterms:modified xsi:type="dcterms:W3CDTF">2024-03-06T06:15:00Z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1,4,5</vt:lpwstr>
  </property>
  <property fmtid="{D5CDD505-2E9C-101B-9397-08002B2CF9AE}" pid="3" name="ClassificationContentMarkingHeaderFontProps">
    <vt:lpwstr>#000000,11,Calibri</vt:lpwstr>
  </property>
  <property fmtid="{D5CDD505-2E9C-101B-9397-08002B2CF9AE}" pid="4" name="ClassificationContentMarkingHeaderText">
    <vt:lpwstr>OFFICIAL</vt:lpwstr>
  </property>
  <property fmtid="{D5CDD505-2E9C-101B-9397-08002B2CF9AE}" pid="5" name="MSIP_Label_9150236c-7dbd-4fa5-957d-8e3e9c46dc34_Enabled">
    <vt:lpwstr>true</vt:lpwstr>
  </property>
  <property fmtid="{D5CDD505-2E9C-101B-9397-08002B2CF9AE}" pid="6" name="MSIP_Label_9150236c-7dbd-4fa5-957d-8e3e9c46dc34_SetDate">
    <vt:lpwstr>2022-11-29T02:45:05Z</vt:lpwstr>
  </property>
  <property fmtid="{D5CDD505-2E9C-101B-9397-08002B2CF9AE}" pid="7" name="MSIP_Label_9150236c-7dbd-4fa5-957d-8e3e9c46dc34_Method">
    <vt:lpwstr>Privileged</vt:lpwstr>
  </property>
  <property fmtid="{D5CDD505-2E9C-101B-9397-08002B2CF9AE}" pid="8" name="MSIP_Label_9150236c-7dbd-4fa5-957d-8e3e9c46dc34_Name">
    <vt:lpwstr>Official</vt:lpwstr>
  </property>
  <property fmtid="{D5CDD505-2E9C-101B-9397-08002B2CF9AE}" pid="9" name="MSIP_Label_9150236c-7dbd-4fa5-957d-8e3e9c46dc34_SiteId">
    <vt:lpwstr>f6bec780-cd13-49ce-84c7-5d7d94821879</vt:lpwstr>
  </property>
  <property fmtid="{D5CDD505-2E9C-101B-9397-08002B2CF9AE}" pid="10" name="MSIP_Label_9150236c-7dbd-4fa5-957d-8e3e9c46dc34_ActionId">
    <vt:lpwstr>6cc61411-1157-435f-b5c4-55a7936e2cbd</vt:lpwstr>
  </property>
  <property fmtid="{D5CDD505-2E9C-101B-9397-08002B2CF9AE}" pid="11" name="MSIP_Label_9150236c-7dbd-4fa5-957d-8e3e9c46dc34_ContentBits">
    <vt:lpwstr>1</vt:lpwstr>
  </property>
  <property fmtid="{D5CDD505-2E9C-101B-9397-08002B2CF9AE}" pid="12" name="ContentTypeId">
    <vt:lpwstr>0x01010034BBC6DB36EDF94C89C7B7A43F71F587</vt:lpwstr>
  </property>
  <property fmtid="{D5CDD505-2E9C-101B-9397-08002B2CF9AE}" pid="13" name="MediaServiceImageTags">
    <vt:lpwstr/>
  </property>
  <property fmtid="{D5CDD505-2E9C-101B-9397-08002B2CF9AE}" pid="14" name="GrammarlyDocumentId">
    <vt:lpwstr>23f53702b0380d61319b2d8d5f6e8a2ed8b494ee855c378d7d8e3b82c6cd3834</vt:lpwstr>
  </property>
</Properties>
</file>