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95810" w14:textId="77777777" w:rsidR="0030023F" w:rsidRDefault="0030023F" w:rsidP="0030023F">
      <w:pPr>
        <w:pStyle w:val="Title"/>
      </w:pPr>
      <w:bookmarkStart w:id="0" w:name="_Toc9953195"/>
      <w:bookmarkStart w:id="1" w:name="_Toc9954746"/>
      <w:bookmarkStart w:id="2" w:name="_Toc10414456"/>
      <w:bookmarkStart w:id="3" w:name="_Toc10415024"/>
      <w:bookmarkStart w:id="4" w:name="_Toc10551319"/>
      <w:bookmarkStart w:id="5" w:name="_Toc10622586"/>
      <w:bookmarkStart w:id="6" w:name="_Toc11162443"/>
      <w:bookmarkStart w:id="7" w:name="_Toc11236410"/>
      <w:bookmarkStart w:id="8" w:name="_Toc11236840"/>
      <w:bookmarkStart w:id="9" w:name="_Toc20289966"/>
      <w:r>
        <w:t>Corporate Plan 2019–20</w:t>
      </w:r>
      <w:bookmarkEnd w:id="0"/>
      <w:bookmarkEnd w:id="1"/>
      <w:bookmarkEnd w:id="2"/>
      <w:bookmarkEnd w:id="3"/>
      <w:bookmarkEnd w:id="4"/>
      <w:bookmarkEnd w:id="5"/>
      <w:bookmarkEnd w:id="6"/>
      <w:bookmarkEnd w:id="7"/>
      <w:bookmarkEnd w:id="8"/>
      <w:bookmarkEnd w:id="9"/>
    </w:p>
    <w:p w14:paraId="1175555E" w14:textId="4C9FEFBA" w:rsidR="00853BDA" w:rsidRDefault="00853BDA" w:rsidP="00946548"/>
    <w:p w14:paraId="06514E35" w14:textId="4412DD44" w:rsidR="00D906B6" w:rsidRDefault="00D906B6" w:rsidP="00946548">
      <w:pPr>
        <w:sectPr w:rsidR="00D906B6" w:rsidSect="004F3085">
          <w:headerReference w:type="even" r:id="rId11"/>
          <w:headerReference w:type="default" r:id="rId12"/>
          <w:footerReference w:type="default" r:id="rId13"/>
          <w:headerReference w:type="first" r:id="rId14"/>
          <w:footerReference w:type="first" r:id="rId15"/>
          <w:type w:val="oddPage"/>
          <w:pgSz w:w="11906" w:h="16838" w:code="9"/>
          <w:pgMar w:top="1418" w:right="992" w:bottom="1134" w:left="1134" w:header="851" w:footer="2835" w:gutter="0"/>
          <w:paperSrc w:first="7" w:other="7"/>
          <w:cols w:space="720"/>
          <w:titlePg/>
          <w:docGrid w:linePitch="299"/>
        </w:sectPr>
      </w:pPr>
    </w:p>
    <w:p w14:paraId="7A265BE9" w14:textId="77777777" w:rsidR="002C17BB" w:rsidRPr="00E763FB" w:rsidRDefault="002C17BB" w:rsidP="002303D2">
      <w:pPr>
        <w:spacing w:before="10000"/>
        <w:rPr>
          <w:sz w:val="28"/>
          <w:szCs w:val="28"/>
        </w:rPr>
      </w:pPr>
      <w:r w:rsidRPr="00E763FB">
        <w:rPr>
          <w:b/>
          <w:sz w:val="28"/>
          <w:szCs w:val="28"/>
        </w:rPr>
        <w:lastRenderedPageBreak/>
        <w:t>Acknowledgement of country</w:t>
      </w:r>
    </w:p>
    <w:p w14:paraId="2CA0EE89" w14:textId="77777777" w:rsidR="002C17BB" w:rsidRDefault="002C17BB" w:rsidP="002C17BB">
      <w:pPr>
        <w:rPr>
          <w:bCs/>
        </w:rPr>
      </w:pPr>
      <w:r>
        <w:rPr>
          <w:bCs/>
        </w:rPr>
        <w:t>Victoria Legal Aid acknowledges the Traditional Custodians of the land where we work and pays respect to their Elders both past and present. We recognise their continuing connection to country and the resilience and strength of Victoria’s Aboriginal communities.</w:t>
      </w:r>
    </w:p>
    <w:p w14:paraId="3F855BFA" w14:textId="77777777" w:rsidR="002C17BB" w:rsidRDefault="002C17BB">
      <w:pPr>
        <w:spacing w:after="0" w:line="240" w:lineRule="auto"/>
        <w:rPr>
          <w:rFonts w:asciiTheme="majorHAnsi" w:eastAsiaTheme="majorEastAsia" w:hAnsiTheme="majorHAnsi" w:cstheme="majorBidi"/>
          <w:color w:val="2E74B5" w:themeColor="accent1" w:themeShade="BF"/>
          <w:sz w:val="32"/>
          <w:szCs w:val="32"/>
          <w:lang w:val="en-US"/>
        </w:rPr>
      </w:pPr>
      <w:r>
        <w:br w:type="page"/>
      </w:r>
    </w:p>
    <w:p w14:paraId="0C085A36" w14:textId="7CF94A3B" w:rsidR="00975F9F" w:rsidRDefault="00975F9F">
      <w:pPr>
        <w:pStyle w:val="TOCHeading"/>
      </w:pPr>
    </w:p>
    <w:sdt>
      <w:sdtPr>
        <w:rPr>
          <w:rFonts w:ascii="Arial" w:eastAsia="Times New Roman" w:hAnsi="Arial" w:cs="Times New Roman"/>
          <w:color w:val="auto"/>
          <w:sz w:val="22"/>
          <w:szCs w:val="24"/>
          <w:lang w:val="en-AU"/>
        </w:rPr>
        <w:id w:val="38869956"/>
        <w:docPartObj>
          <w:docPartGallery w:val="Table of Contents"/>
          <w:docPartUnique/>
        </w:docPartObj>
      </w:sdtPr>
      <w:sdtEndPr>
        <w:rPr>
          <w:b/>
          <w:bCs/>
          <w:noProof/>
        </w:rPr>
      </w:sdtEndPr>
      <w:sdtContent>
        <w:p w14:paraId="77A3903F" w14:textId="5C1DE009" w:rsidR="00890E5B" w:rsidRPr="002303D2" w:rsidRDefault="00890E5B">
          <w:pPr>
            <w:pStyle w:val="TOCHeading"/>
            <w:rPr>
              <w:rFonts w:ascii="Arial" w:hAnsi="Arial" w:cs="Arial"/>
              <w:b/>
              <w:color w:val="auto"/>
            </w:rPr>
          </w:pPr>
          <w:r w:rsidRPr="002303D2">
            <w:rPr>
              <w:rFonts w:ascii="Arial" w:hAnsi="Arial" w:cs="Arial"/>
              <w:b/>
              <w:color w:val="auto"/>
            </w:rPr>
            <w:t>Contents</w:t>
          </w:r>
        </w:p>
        <w:p w14:paraId="1819FFAF" w14:textId="79575B8A" w:rsidR="00325B1A" w:rsidRDefault="00F018CF">
          <w:pPr>
            <w:pStyle w:val="TOC1"/>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"1-2" \h \z \u </w:instrText>
          </w:r>
          <w:r>
            <w:rPr>
              <w:b w:val="0"/>
            </w:rPr>
            <w:fldChar w:fldCharType="separate"/>
          </w:r>
          <w:hyperlink w:anchor="_Toc20289966" w:history="1">
            <w:r w:rsidR="00325B1A" w:rsidRPr="00CB3389">
              <w:rPr>
                <w:rStyle w:val="Hyperlink"/>
                <w:noProof/>
              </w:rPr>
              <w:t>Corporate Plan 2019–20</w:t>
            </w:r>
            <w:r w:rsidR="00325B1A">
              <w:rPr>
                <w:noProof/>
                <w:webHidden/>
              </w:rPr>
              <w:tab/>
            </w:r>
            <w:r w:rsidR="00325B1A">
              <w:rPr>
                <w:noProof/>
                <w:webHidden/>
              </w:rPr>
              <w:fldChar w:fldCharType="begin"/>
            </w:r>
            <w:r w:rsidR="00325B1A">
              <w:rPr>
                <w:noProof/>
                <w:webHidden/>
              </w:rPr>
              <w:instrText xml:space="preserve"> PAGEREF _Toc20289966 \h </w:instrText>
            </w:r>
            <w:r w:rsidR="00325B1A">
              <w:rPr>
                <w:noProof/>
                <w:webHidden/>
              </w:rPr>
            </w:r>
            <w:r w:rsidR="00325B1A">
              <w:rPr>
                <w:noProof/>
                <w:webHidden/>
              </w:rPr>
              <w:fldChar w:fldCharType="separate"/>
            </w:r>
            <w:r w:rsidR="00325B1A">
              <w:rPr>
                <w:noProof/>
                <w:webHidden/>
              </w:rPr>
              <w:t>1</w:t>
            </w:r>
            <w:r w:rsidR="00325B1A">
              <w:rPr>
                <w:noProof/>
                <w:webHidden/>
              </w:rPr>
              <w:fldChar w:fldCharType="end"/>
            </w:r>
          </w:hyperlink>
        </w:p>
        <w:p w14:paraId="3872894F" w14:textId="4655CF0B" w:rsidR="00325B1A" w:rsidRDefault="000C7A18">
          <w:pPr>
            <w:pStyle w:val="TOC1"/>
            <w:rPr>
              <w:rFonts w:asciiTheme="minorHAnsi" w:eastAsiaTheme="minorEastAsia" w:hAnsiTheme="minorHAnsi" w:cstheme="minorBidi"/>
              <w:b w:val="0"/>
              <w:noProof/>
              <w:sz w:val="22"/>
              <w:szCs w:val="22"/>
              <w:lang w:eastAsia="en-AU"/>
            </w:rPr>
          </w:pPr>
          <w:hyperlink w:anchor="_Toc20289967" w:history="1">
            <w:r w:rsidR="00325B1A" w:rsidRPr="00CB3389">
              <w:rPr>
                <w:rStyle w:val="Hyperlink"/>
                <w:noProof/>
              </w:rPr>
              <w:t>About us</w:t>
            </w:r>
            <w:r w:rsidR="00325B1A">
              <w:rPr>
                <w:noProof/>
                <w:webHidden/>
              </w:rPr>
              <w:tab/>
            </w:r>
            <w:r w:rsidR="00325B1A">
              <w:rPr>
                <w:noProof/>
                <w:webHidden/>
              </w:rPr>
              <w:fldChar w:fldCharType="begin"/>
            </w:r>
            <w:r w:rsidR="00325B1A">
              <w:rPr>
                <w:noProof/>
                <w:webHidden/>
              </w:rPr>
              <w:instrText xml:space="preserve"> PAGEREF _Toc20289967 \h </w:instrText>
            </w:r>
            <w:r w:rsidR="00325B1A">
              <w:rPr>
                <w:noProof/>
                <w:webHidden/>
              </w:rPr>
            </w:r>
            <w:r w:rsidR="00325B1A">
              <w:rPr>
                <w:noProof/>
                <w:webHidden/>
              </w:rPr>
              <w:fldChar w:fldCharType="separate"/>
            </w:r>
            <w:r w:rsidR="00325B1A">
              <w:rPr>
                <w:noProof/>
                <w:webHidden/>
              </w:rPr>
              <w:t>1</w:t>
            </w:r>
            <w:r w:rsidR="00325B1A">
              <w:rPr>
                <w:noProof/>
                <w:webHidden/>
              </w:rPr>
              <w:fldChar w:fldCharType="end"/>
            </w:r>
          </w:hyperlink>
        </w:p>
        <w:p w14:paraId="1D0A6009" w14:textId="589C0F2E" w:rsidR="00325B1A" w:rsidRDefault="000C7A18">
          <w:pPr>
            <w:pStyle w:val="TOC2"/>
            <w:rPr>
              <w:rFonts w:asciiTheme="minorHAnsi" w:eastAsiaTheme="minorEastAsia" w:hAnsiTheme="minorHAnsi" w:cstheme="minorBidi"/>
              <w:sz w:val="22"/>
              <w:szCs w:val="22"/>
              <w:lang w:eastAsia="en-AU"/>
            </w:rPr>
          </w:pPr>
          <w:hyperlink w:anchor="_Toc20289968" w:history="1">
            <w:r w:rsidR="00325B1A" w:rsidRPr="00CB3389">
              <w:rPr>
                <w:rStyle w:val="Hyperlink"/>
              </w:rPr>
              <w:t>Our vision</w:t>
            </w:r>
            <w:r w:rsidR="00325B1A">
              <w:rPr>
                <w:webHidden/>
              </w:rPr>
              <w:tab/>
            </w:r>
            <w:r w:rsidR="00325B1A">
              <w:rPr>
                <w:webHidden/>
              </w:rPr>
              <w:fldChar w:fldCharType="begin"/>
            </w:r>
            <w:r w:rsidR="00325B1A">
              <w:rPr>
                <w:webHidden/>
              </w:rPr>
              <w:instrText xml:space="preserve"> PAGEREF _Toc20289968 \h </w:instrText>
            </w:r>
            <w:r w:rsidR="00325B1A">
              <w:rPr>
                <w:webHidden/>
              </w:rPr>
            </w:r>
            <w:r w:rsidR="00325B1A">
              <w:rPr>
                <w:webHidden/>
              </w:rPr>
              <w:fldChar w:fldCharType="separate"/>
            </w:r>
            <w:r w:rsidR="00325B1A">
              <w:rPr>
                <w:webHidden/>
              </w:rPr>
              <w:t>1</w:t>
            </w:r>
            <w:r w:rsidR="00325B1A">
              <w:rPr>
                <w:webHidden/>
              </w:rPr>
              <w:fldChar w:fldCharType="end"/>
            </w:r>
          </w:hyperlink>
        </w:p>
        <w:p w14:paraId="321305EC" w14:textId="75BBCC45" w:rsidR="00325B1A" w:rsidRDefault="000C7A18">
          <w:pPr>
            <w:pStyle w:val="TOC2"/>
            <w:rPr>
              <w:rFonts w:asciiTheme="minorHAnsi" w:eastAsiaTheme="minorEastAsia" w:hAnsiTheme="minorHAnsi" w:cstheme="minorBidi"/>
              <w:sz w:val="22"/>
              <w:szCs w:val="22"/>
              <w:lang w:eastAsia="en-AU"/>
            </w:rPr>
          </w:pPr>
          <w:hyperlink w:anchor="_Toc20289969" w:history="1">
            <w:r w:rsidR="00325B1A" w:rsidRPr="00CB3389">
              <w:rPr>
                <w:rStyle w:val="Hyperlink"/>
              </w:rPr>
              <w:t>Our purpose</w:t>
            </w:r>
            <w:r w:rsidR="00325B1A">
              <w:rPr>
                <w:webHidden/>
              </w:rPr>
              <w:tab/>
            </w:r>
            <w:r w:rsidR="00325B1A">
              <w:rPr>
                <w:webHidden/>
              </w:rPr>
              <w:fldChar w:fldCharType="begin"/>
            </w:r>
            <w:r w:rsidR="00325B1A">
              <w:rPr>
                <w:webHidden/>
              </w:rPr>
              <w:instrText xml:space="preserve"> PAGEREF _Toc20289969 \h </w:instrText>
            </w:r>
            <w:r w:rsidR="00325B1A">
              <w:rPr>
                <w:webHidden/>
              </w:rPr>
            </w:r>
            <w:r w:rsidR="00325B1A">
              <w:rPr>
                <w:webHidden/>
              </w:rPr>
              <w:fldChar w:fldCharType="separate"/>
            </w:r>
            <w:r w:rsidR="00325B1A">
              <w:rPr>
                <w:webHidden/>
              </w:rPr>
              <w:t>1</w:t>
            </w:r>
            <w:r w:rsidR="00325B1A">
              <w:rPr>
                <w:webHidden/>
              </w:rPr>
              <w:fldChar w:fldCharType="end"/>
            </w:r>
          </w:hyperlink>
        </w:p>
        <w:p w14:paraId="1ED7019B" w14:textId="19FC6AFC" w:rsidR="00325B1A" w:rsidRDefault="000C7A18">
          <w:pPr>
            <w:pStyle w:val="TOC2"/>
            <w:rPr>
              <w:rFonts w:asciiTheme="minorHAnsi" w:eastAsiaTheme="minorEastAsia" w:hAnsiTheme="minorHAnsi" w:cstheme="minorBidi"/>
              <w:sz w:val="22"/>
              <w:szCs w:val="22"/>
              <w:lang w:eastAsia="en-AU"/>
            </w:rPr>
          </w:pPr>
          <w:hyperlink w:anchor="_Toc20289970" w:history="1">
            <w:r w:rsidR="00325B1A" w:rsidRPr="00CB3389">
              <w:rPr>
                <w:rStyle w:val="Hyperlink"/>
              </w:rPr>
              <w:t>Our values</w:t>
            </w:r>
            <w:r w:rsidR="00325B1A">
              <w:rPr>
                <w:webHidden/>
              </w:rPr>
              <w:tab/>
            </w:r>
            <w:r w:rsidR="00325B1A">
              <w:rPr>
                <w:webHidden/>
              </w:rPr>
              <w:fldChar w:fldCharType="begin"/>
            </w:r>
            <w:r w:rsidR="00325B1A">
              <w:rPr>
                <w:webHidden/>
              </w:rPr>
              <w:instrText xml:space="preserve"> PAGEREF _Toc20289970 \h </w:instrText>
            </w:r>
            <w:r w:rsidR="00325B1A">
              <w:rPr>
                <w:webHidden/>
              </w:rPr>
            </w:r>
            <w:r w:rsidR="00325B1A">
              <w:rPr>
                <w:webHidden/>
              </w:rPr>
              <w:fldChar w:fldCharType="separate"/>
            </w:r>
            <w:r w:rsidR="00325B1A">
              <w:rPr>
                <w:webHidden/>
              </w:rPr>
              <w:t>1</w:t>
            </w:r>
            <w:r w:rsidR="00325B1A">
              <w:rPr>
                <w:webHidden/>
              </w:rPr>
              <w:fldChar w:fldCharType="end"/>
            </w:r>
          </w:hyperlink>
        </w:p>
        <w:p w14:paraId="39656D1A" w14:textId="7FF41449" w:rsidR="00325B1A" w:rsidRDefault="000C7A18">
          <w:pPr>
            <w:pStyle w:val="TOC2"/>
            <w:rPr>
              <w:rFonts w:asciiTheme="minorHAnsi" w:eastAsiaTheme="minorEastAsia" w:hAnsiTheme="minorHAnsi" w:cstheme="minorBidi"/>
              <w:sz w:val="22"/>
              <w:szCs w:val="22"/>
              <w:lang w:eastAsia="en-AU"/>
            </w:rPr>
          </w:pPr>
          <w:hyperlink w:anchor="_Toc20289971" w:history="1">
            <w:r w:rsidR="00325B1A" w:rsidRPr="00CB3389">
              <w:rPr>
                <w:rStyle w:val="Hyperlink"/>
              </w:rPr>
              <w:t>Our statutory objectives</w:t>
            </w:r>
            <w:r w:rsidR="00325B1A">
              <w:rPr>
                <w:webHidden/>
              </w:rPr>
              <w:tab/>
            </w:r>
            <w:r w:rsidR="00325B1A">
              <w:rPr>
                <w:webHidden/>
              </w:rPr>
              <w:fldChar w:fldCharType="begin"/>
            </w:r>
            <w:r w:rsidR="00325B1A">
              <w:rPr>
                <w:webHidden/>
              </w:rPr>
              <w:instrText xml:space="preserve"> PAGEREF _Toc20289971 \h </w:instrText>
            </w:r>
            <w:r w:rsidR="00325B1A">
              <w:rPr>
                <w:webHidden/>
              </w:rPr>
            </w:r>
            <w:r w:rsidR="00325B1A">
              <w:rPr>
                <w:webHidden/>
              </w:rPr>
              <w:fldChar w:fldCharType="separate"/>
            </w:r>
            <w:r w:rsidR="00325B1A">
              <w:rPr>
                <w:webHidden/>
              </w:rPr>
              <w:t>1</w:t>
            </w:r>
            <w:r w:rsidR="00325B1A">
              <w:rPr>
                <w:webHidden/>
              </w:rPr>
              <w:fldChar w:fldCharType="end"/>
            </w:r>
          </w:hyperlink>
        </w:p>
        <w:p w14:paraId="03175777" w14:textId="25A0D392" w:rsidR="00325B1A" w:rsidRDefault="000C7A18">
          <w:pPr>
            <w:pStyle w:val="TOC1"/>
            <w:rPr>
              <w:rFonts w:asciiTheme="minorHAnsi" w:eastAsiaTheme="minorEastAsia" w:hAnsiTheme="minorHAnsi" w:cstheme="minorBidi"/>
              <w:b w:val="0"/>
              <w:noProof/>
              <w:sz w:val="22"/>
              <w:szCs w:val="22"/>
              <w:lang w:eastAsia="en-AU"/>
            </w:rPr>
          </w:pPr>
          <w:hyperlink w:anchor="_Toc20289972" w:history="1">
            <w:r w:rsidR="00325B1A" w:rsidRPr="00CB3389">
              <w:rPr>
                <w:rStyle w:val="Hyperlink"/>
                <w:noProof/>
              </w:rPr>
              <w:t>The year ahead</w:t>
            </w:r>
            <w:r w:rsidR="00325B1A">
              <w:rPr>
                <w:noProof/>
                <w:webHidden/>
              </w:rPr>
              <w:tab/>
            </w:r>
            <w:r w:rsidR="00325B1A">
              <w:rPr>
                <w:noProof/>
                <w:webHidden/>
              </w:rPr>
              <w:fldChar w:fldCharType="begin"/>
            </w:r>
            <w:r w:rsidR="00325B1A">
              <w:rPr>
                <w:noProof/>
                <w:webHidden/>
              </w:rPr>
              <w:instrText xml:space="preserve"> PAGEREF _Toc20289972 \h </w:instrText>
            </w:r>
            <w:r w:rsidR="00325B1A">
              <w:rPr>
                <w:noProof/>
                <w:webHidden/>
              </w:rPr>
            </w:r>
            <w:r w:rsidR="00325B1A">
              <w:rPr>
                <w:noProof/>
                <w:webHidden/>
              </w:rPr>
              <w:fldChar w:fldCharType="separate"/>
            </w:r>
            <w:r w:rsidR="00325B1A">
              <w:rPr>
                <w:noProof/>
                <w:webHidden/>
              </w:rPr>
              <w:t>2</w:t>
            </w:r>
            <w:r w:rsidR="00325B1A">
              <w:rPr>
                <w:noProof/>
                <w:webHidden/>
              </w:rPr>
              <w:fldChar w:fldCharType="end"/>
            </w:r>
          </w:hyperlink>
        </w:p>
        <w:p w14:paraId="31831B9D" w14:textId="4E1DA936" w:rsidR="00325B1A" w:rsidRDefault="000C7A18">
          <w:pPr>
            <w:pStyle w:val="TOC2"/>
            <w:rPr>
              <w:rFonts w:asciiTheme="minorHAnsi" w:eastAsiaTheme="minorEastAsia" w:hAnsiTheme="minorHAnsi" w:cstheme="minorBidi"/>
              <w:sz w:val="22"/>
              <w:szCs w:val="22"/>
              <w:lang w:eastAsia="en-AU"/>
            </w:rPr>
          </w:pPr>
          <w:hyperlink w:anchor="_Toc20289973" w:history="1">
            <w:r w:rsidR="00325B1A" w:rsidRPr="00CB3389">
              <w:rPr>
                <w:rStyle w:val="Hyperlink"/>
                <w:lang w:val="en-US"/>
              </w:rPr>
              <w:t>The effects of a justice sector under pressure</w:t>
            </w:r>
            <w:r w:rsidR="00325B1A">
              <w:rPr>
                <w:webHidden/>
              </w:rPr>
              <w:tab/>
            </w:r>
            <w:r w:rsidR="00325B1A">
              <w:rPr>
                <w:webHidden/>
              </w:rPr>
              <w:fldChar w:fldCharType="begin"/>
            </w:r>
            <w:r w:rsidR="00325B1A">
              <w:rPr>
                <w:webHidden/>
              </w:rPr>
              <w:instrText xml:space="preserve"> PAGEREF _Toc20289973 \h </w:instrText>
            </w:r>
            <w:r w:rsidR="00325B1A">
              <w:rPr>
                <w:webHidden/>
              </w:rPr>
            </w:r>
            <w:r w:rsidR="00325B1A">
              <w:rPr>
                <w:webHidden/>
              </w:rPr>
              <w:fldChar w:fldCharType="separate"/>
            </w:r>
            <w:r w:rsidR="00325B1A">
              <w:rPr>
                <w:webHidden/>
              </w:rPr>
              <w:t>2</w:t>
            </w:r>
            <w:r w:rsidR="00325B1A">
              <w:rPr>
                <w:webHidden/>
              </w:rPr>
              <w:fldChar w:fldCharType="end"/>
            </w:r>
          </w:hyperlink>
        </w:p>
        <w:p w14:paraId="0DC73666" w14:textId="64CFFF06" w:rsidR="00325B1A" w:rsidRDefault="000C7A18">
          <w:pPr>
            <w:pStyle w:val="TOC2"/>
            <w:rPr>
              <w:rFonts w:asciiTheme="minorHAnsi" w:eastAsiaTheme="minorEastAsia" w:hAnsiTheme="minorHAnsi" w:cstheme="minorBidi"/>
              <w:sz w:val="22"/>
              <w:szCs w:val="22"/>
              <w:lang w:eastAsia="en-AU"/>
            </w:rPr>
          </w:pPr>
          <w:hyperlink w:anchor="_Toc20289974" w:history="1">
            <w:r w:rsidR="00325B1A" w:rsidRPr="00CB3389">
              <w:rPr>
                <w:rStyle w:val="Hyperlink"/>
              </w:rPr>
              <w:t>Securing financial sustainability</w:t>
            </w:r>
            <w:r w:rsidR="00325B1A">
              <w:rPr>
                <w:webHidden/>
              </w:rPr>
              <w:tab/>
            </w:r>
            <w:r w:rsidR="00325B1A">
              <w:rPr>
                <w:webHidden/>
              </w:rPr>
              <w:fldChar w:fldCharType="begin"/>
            </w:r>
            <w:r w:rsidR="00325B1A">
              <w:rPr>
                <w:webHidden/>
              </w:rPr>
              <w:instrText xml:space="preserve"> PAGEREF _Toc20289974 \h </w:instrText>
            </w:r>
            <w:r w:rsidR="00325B1A">
              <w:rPr>
                <w:webHidden/>
              </w:rPr>
            </w:r>
            <w:r w:rsidR="00325B1A">
              <w:rPr>
                <w:webHidden/>
              </w:rPr>
              <w:fldChar w:fldCharType="separate"/>
            </w:r>
            <w:r w:rsidR="00325B1A">
              <w:rPr>
                <w:webHidden/>
              </w:rPr>
              <w:t>2</w:t>
            </w:r>
            <w:r w:rsidR="00325B1A">
              <w:rPr>
                <w:webHidden/>
              </w:rPr>
              <w:fldChar w:fldCharType="end"/>
            </w:r>
          </w:hyperlink>
        </w:p>
        <w:p w14:paraId="2E7EA1CD" w14:textId="07C09AB3" w:rsidR="00325B1A" w:rsidRDefault="000C7A18">
          <w:pPr>
            <w:pStyle w:val="TOC2"/>
            <w:rPr>
              <w:rFonts w:asciiTheme="minorHAnsi" w:eastAsiaTheme="minorEastAsia" w:hAnsiTheme="minorHAnsi" w:cstheme="minorBidi"/>
              <w:sz w:val="22"/>
              <w:szCs w:val="22"/>
              <w:lang w:eastAsia="en-AU"/>
            </w:rPr>
          </w:pPr>
          <w:hyperlink w:anchor="_Toc20289975" w:history="1">
            <w:r w:rsidR="00325B1A" w:rsidRPr="00CB3389">
              <w:rPr>
                <w:rStyle w:val="Hyperlink"/>
              </w:rPr>
              <w:t>Setting our priorities</w:t>
            </w:r>
            <w:r w:rsidR="00325B1A">
              <w:rPr>
                <w:webHidden/>
              </w:rPr>
              <w:tab/>
            </w:r>
            <w:r w:rsidR="00325B1A">
              <w:rPr>
                <w:webHidden/>
              </w:rPr>
              <w:fldChar w:fldCharType="begin"/>
            </w:r>
            <w:r w:rsidR="00325B1A">
              <w:rPr>
                <w:webHidden/>
              </w:rPr>
              <w:instrText xml:space="preserve"> PAGEREF _Toc20289975 \h </w:instrText>
            </w:r>
            <w:r w:rsidR="00325B1A">
              <w:rPr>
                <w:webHidden/>
              </w:rPr>
            </w:r>
            <w:r w:rsidR="00325B1A">
              <w:rPr>
                <w:webHidden/>
              </w:rPr>
              <w:fldChar w:fldCharType="separate"/>
            </w:r>
            <w:r w:rsidR="00325B1A">
              <w:rPr>
                <w:webHidden/>
              </w:rPr>
              <w:t>3</w:t>
            </w:r>
            <w:r w:rsidR="00325B1A">
              <w:rPr>
                <w:webHidden/>
              </w:rPr>
              <w:fldChar w:fldCharType="end"/>
            </w:r>
          </w:hyperlink>
        </w:p>
        <w:p w14:paraId="4B11F888" w14:textId="16EC65C8" w:rsidR="00325B1A" w:rsidRDefault="000C7A18">
          <w:pPr>
            <w:pStyle w:val="TOC1"/>
            <w:rPr>
              <w:rFonts w:asciiTheme="minorHAnsi" w:eastAsiaTheme="minorEastAsia" w:hAnsiTheme="minorHAnsi" w:cstheme="minorBidi"/>
              <w:b w:val="0"/>
              <w:noProof/>
              <w:sz w:val="22"/>
              <w:szCs w:val="22"/>
              <w:lang w:eastAsia="en-AU"/>
            </w:rPr>
          </w:pPr>
          <w:hyperlink w:anchor="_Toc20289976" w:history="1">
            <w:r w:rsidR="00325B1A" w:rsidRPr="00CB3389">
              <w:rPr>
                <w:rStyle w:val="Hyperlink"/>
                <w:noProof/>
              </w:rPr>
              <w:t>Our client services</w:t>
            </w:r>
            <w:r w:rsidR="00325B1A">
              <w:rPr>
                <w:noProof/>
                <w:webHidden/>
              </w:rPr>
              <w:tab/>
            </w:r>
            <w:r w:rsidR="00325B1A">
              <w:rPr>
                <w:noProof/>
                <w:webHidden/>
              </w:rPr>
              <w:fldChar w:fldCharType="begin"/>
            </w:r>
            <w:r w:rsidR="00325B1A">
              <w:rPr>
                <w:noProof/>
                <w:webHidden/>
              </w:rPr>
              <w:instrText xml:space="preserve"> PAGEREF _Toc20289976 \h </w:instrText>
            </w:r>
            <w:r w:rsidR="00325B1A">
              <w:rPr>
                <w:noProof/>
                <w:webHidden/>
              </w:rPr>
            </w:r>
            <w:r w:rsidR="00325B1A">
              <w:rPr>
                <w:noProof/>
                <w:webHidden/>
              </w:rPr>
              <w:fldChar w:fldCharType="separate"/>
            </w:r>
            <w:r w:rsidR="00325B1A">
              <w:rPr>
                <w:noProof/>
                <w:webHidden/>
              </w:rPr>
              <w:t>4</w:t>
            </w:r>
            <w:r w:rsidR="00325B1A">
              <w:rPr>
                <w:noProof/>
                <w:webHidden/>
              </w:rPr>
              <w:fldChar w:fldCharType="end"/>
            </w:r>
          </w:hyperlink>
        </w:p>
        <w:p w14:paraId="0B78690E" w14:textId="54695BF0" w:rsidR="00325B1A" w:rsidRDefault="000C7A18">
          <w:pPr>
            <w:pStyle w:val="TOC2"/>
            <w:rPr>
              <w:rFonts w:asciiTheme="minorHAnsi" w:eastAsiaTheme="minorEastAsia" w:hAnsiTheme="minorHAnsi" w:cstheme="minorBidi"/>
              <w:sz w:val="22"/>
              <w:szCs w:val="22"/>
              <w:lang w:eastAsia="en-AU"/>
            </w:rPr>
          </w:pPr>
          <w:hyperlink w:anchor="_Toc20289977" w:history="1">
            <w:r w:rsidR="00325B1A" w:rsidRPr="00CB3389">
              <w:rPr>
                <w:rStyle w:val="Hyperlink"/>
              </w:rPr>
              <w:t>Performance targets</w:t>
            </w:r>
            <w:r w:rsidR="00325B1A">
              <w:rPr>
                <w:webHidden/>
              </w:rPr>
              <w:tab/>
            </w:r>
            <w:r w:rsidR="00325B1A">
              <w:rPr>
                <w:webHidden/>
              </w:rPr>
              <w:fldChar w:fldCharType="begin"/>
            </w:r>
            <w:r w:rsidR="00325B1A">
              <w:rPr>
                <w:webHidden/>
              </w:rPr>
              <w:instrText xml:space="preserve"> PAGEREF _Toc20289977 \h </w:instrText>
            </w:r>
            <w:r w:rsidR="00325B1A">
              <w:rPr>
                <w:webHidden/>
              </w:rPr>
            </w:r>
            <w:r w:rsidR="00325B1A">
              <w:rPr>
                <w:webHidden/>
              </w:rPr>
              <w:fldChar w:fldCharType="separate"/>
            </w:r>
            <w:r w:rsidR="00325B1A">
              <w:rPr>
                <w:webHidden/>
              </w:rPr>
              <w:t>4</w:t>
            </w:r>
            <w:r w:rsidR="00325B1A">
              <w:rPr>
                <w:webHidden/>
              </w:rPr>
              <w:fldChar w:fldCharType="end"/>
            </w:r>
          </w:hyperlink>
        </w:p>
        <w:p w14:paraId="2562E3ED" w14:textId="4A5FD21F" w:rsidR="00325B1A" w:rsidRDefault="000C7A18">
          <w:pPr>
            <w:pStyle w:val="TOC1"/>
            <w:rPr>
              <w:rFonts w:asciiTheme="minorHAnsi" w:eastAsiaTheme="minorEastAsia" w:hAnsiTheme="minorHAnsi" w:cstheme="minorBidi"/>
              <w:b w:val="0"/>
              <w:noProof/>
              <w:sz w:val="22"/>
              <w:szCs w:val="22"/>
              <w:lang w:eastAsia="en-AU"/>
            </w:rPr>
          </w:pPr>
          <w:hyperlink w:anchor="_Toc20289978" w:history="1">
            <w:r w:rsidR="00325B1A" w:rsidRPr="00CB3389">
              <w:rPr>
                <w:rStyle w:val="Hyperlink"/>
                <w:noProof/>
              </w:rPr>
              <w:t>2019–20 budget</w:t>
            </w:r>
            <w:r w:rsidR="00325B1A">
              <w:rPr>
                <w:noProof/>
                <w:webHidden/>
              </w:rPr>
              <w:tab/>
            </w:r>
            <w:r w:rsidR="00325B1A">
              <w:rPr>
                <w:noProof/>
                <w:webHidden/>
              </w:rPr>
              <w:fldChar w:fldCharType="begin"/>
            </w:r>
            <w:r w:rsidR="00325B1A">
              <w:rPr>
                <w:noProof/>
                <w:webHidden/>
              </w:rPr>
              <w:instrText xml:space="preserve"> PAGEREF _Toc20289978 \h </w:instrText>
            </w:r>
            <w:r w:rsidR="00325B1A">
              <w:rPr>
                <w:noProof/>
                <w:webHidden/>
              </w:rPr>
            </w:r>
            <w:r w:rsidR="00325B1A">
              <w:rPr>
                <w:noProof/>
                <w:webHidden/>
              </w:rPr>
              <w:fldChar w:fldCharType="separate"/>
            </w:r>
            <w:r w:rsidR="00325B1A">
              <w:rPr>
                <w:noProof/>
                <w:webHidden/>
              </w:rPr>
              <w:t>6</w:t>
            </w:r>
            <w:r w:rsidR="00325B1A">
              <w:rPr>
                <w:noProof/>
                <w:webHidden/>
              </w:rPr>
              <w:fldChar w:fldCharType="end"/>
            </w:r>
          </w:hyperlink>
        </w:p>
        <w:p w14:paraId="5DCECA85" w14:textId="70DC1053" w:rsidR="00325B1A" w:rsidRDefault="000C7A18">
          <w:pPr>
            <w:pStyle w:val="TOC2"/>
            <w:rPr>
              <w:rFonts w:asciiTheme="minorHAnsi" w:eastAsiaTheme="minorEastAsia" w:hAnsiTheme="minorHAnsi" w:cstheme="minorBidi"/>
              <w:sz w:val="22"/>
              <w:szCs w:val="22"/>
              <w:lang w:eastAsia="en-AU"/>
            </w:rPr>
          </w:pPr>
          <w:hyperlink w:anchor="_Toc20289979" w:history="1">
            <w:r w:rsidR="00325B1A" w:rsidRPr="00CB3389">
              <w:rPr>
                <w:rStyle w:val="Hyperlink"/>
              </w:rPr>
              <w:t>Our revenue</w:t>
            </w:r>
            <w:r w:rsidR="00325B1A">
              <w:rPr>
                <w:webHidden/>
              </w:rPr>
              <w:tab/>
            </w:r>
            <w:r w:rsidR="00325B1A">
              <w:rPr>
                <w:webHidden/>
              </w:rPr>
              <w:fldChar w:fldCharType="begin"/>
            </w:r>
            <w:r w:rsidR="00325B1A">
              <w:rPr>
                <w:webHidden/>
              </w:rPr>
              <w:instrText xml:space="preserve"> PAGEREF _Toc20289979 \h </w:instrText>
            </w:r>
            <w:r w:rsidR="00325B1A">
              <w:rPr>
                <w:webHidden/>
              </w:rPr>
            </w:r>
            <w:r w:rsidR="00325B1A">
              <w:rPr>
                <w:webHidden/>
              </w:rPr>
              <w:fldChar w:fldCharType="separate"/>
            </w:r>
            <w:r w:rsidR="00325B1A">
              <w:rPr>
                <w:webHidden/>
              </w:rPr>
              <w:t>6</w:t>
            </w:r>
            <w:r w:rsidR="00325B1A">
              <w:rPr>
                <w:webHidden/>
              </w:rPr>
              <w:fldChar w:fldCharType="end"/>
            </w:r>
          </w:hyperlink>
        </w:p>
        <w:p w14:paraId="613C3ED5" w14:textId="5708F70C" w:rsidR="00325B1A" w:rsidRDefault="000C7A18">
          <w:pPr>
            <w:pStyle w:val="TOC2"/>
            <w:rPr>
              <w:rFonts w:asciiTheme="minorHAnsi" w:eastAsiaTheme="minorEastAsia" w:hAnsiTheme="minorHAnsi" w:cstheme="minorBidi"/>
              <w:sz w:val="22"/>
              <w:szCs w:val="22"/>
              <w:lang w:eastAsia="en-AU"/>
            </w:rPr>
          </w:pPr>
          <w:hyperlink w:anchor="_Toc20289980" w:history="1">
            <w:r w:rsidR="00325B1A" w:rsidRPr="00CB3389">
              <w:rPr>
                <w:rStyle w:val="Hyperlink"/>
              </w:rPr>
              <w:t>Our expenditure</w:t>
            </w:r>
            <w:r w:rsidR="00325B1A">
              <w:rPr>
                <w:webHidden/>
              </w:rPr>
              <w:tab/>
            </w:r>
            <w:r w:rsidR="00325B1A">
              <w:rPr>
                <w:webHidden/>
              </w:rPr>
              <w:fldChar w:fldCharType="begin"/>
            </w:r>
            <w:r w:rsidR="00325B1A">
              <w:rPr>
                <w:webHidden/>
              </w:rPr>
              <w:instrText xml:space="preserve"> PAGEREF _Toc20289980 \h </w:instrText>
            </w:r>
            <w:r w:rsidR="00325B1A">
              <w:rPr>
                <w:webHidden/>
              </w:rPr>
            </w:r>
            <w:r w:rsidR="00325B1A">
              <w:rPr>
                <w:webHidden/>
              </w:rPr>
              <w:fldChar w:fldCharType="separate"/>
            </w:r>
            <w:r w:rsidR="00325B1A">
              <w:rPr>
                <w:webHidden/>
              </w:rPr>
              <w:t>7</w:t>
            </w:r>
            <w:r w:rsidR="00325B1A">
              <w:rPr>
                <w:webHidden/>
              </w:rPr>
              <w:fldChar w:fldCharType="end"/>
            </w:r>
          </w:hyperlink>
        </w:p>
        <w:p w14:paraId="5F436E82" w14:textId="01D3DA52" w:rsidR="00325B1A" w:rsidRDefault="000C7A18">
          <w:pPr>
            <w:pStyle w:val="TOC1"/>
            <w:rPr>
              <w:rFonts w:asciiTheme="minorHAnsi" w:eastAsiaTheme="minorEastAsia" w:hAnsiTheme="minorHAnsi" w:cstheme="minorBidi"/>
              <w:b w:val="0"/>
              <w:noProof/>
              <w:sz w:val="22"/>
              <w:szCs w:val="22"/>
              <w:lang w:eastAsia="en-AU"/>
            </w:rPr>
          </w:pPr>
          <w:hyperlink w:anchor="_Toc20289981" w:history="1">
            <w:r w:rsidR="00325B1A" w:rsidRPr="00CB3389">
              <w:rPr>
                <w:rStyle w:val="Hyperlink"/>
                <w:noProof/>
              </w:rPr>
              <w:t>Year one of our strategy</w:t>
            </w:r>
            <w:r w:rsidR="00325B1A">
              <w:rPr>
                <w:noProof/>
                <w:webHidden/>
              </w:rPr>
              <w:tab/>
            </w:r>
            <w:r w:rsidR="00325B1A">
              <w:rPr>
                <w:noProof/>
                <w:webHidden/>
              </w:rPr>
              <w:fldChar w:fldCharType="begin"/>
            </w:r>
            <w:r w:rsidR="00325B1A">
              <w:rPr>
                <w:noProof/>
                <w:webHidden/>
              </w:rPr>
              <w:instrText xml:space="preserve"> PAGEREF _Toc20289981 \h </w:instrText>
            </w:r>
            <w:r w:rsidR="00325B1A">
              <w:rPr>
                <w:noProof/>
                <w:webHidden/>
              </w:rPr>
            </w:r>
            <w:r w:rsidR="00325B1A">
              <w:rPr>
                <w:noProof/>
                <w:webHidden/>
              </w:rPr>
              <w:fldChar w:fldCharType="separate"/>
            </w:r>
            <w:r w:rsidR="00325B1A">
              <w:rPr>
                <w:noProof/>
                <w:webHidden/>
              </w:rPr>
              <w:t>8</w:t>
            </w:r>
            <w:r w:rsidR="00325B1A">
              <w:rPr>
                <w:noProof/>
                <w:webHidden/>
              </w:rPr>
              <w:fldChar w:fldCharType="end"/>
            </w:r>
          </w:hyperlink>
        </w:p>
        <w:p w14:paraId="38F3581B" w14:textId="68746EBF" w:rsidR="00325B1A" w:rsidRDefault="000C7A18">
          <w:pPr>
            <w:pStyle w:val="TOC2"/>
            <w:rPr>
              <w:rFonts w:asciiTheme="minorHAnsi" w:eastAsiaTheme="minorEastAsia" w:hAnsiTheme="minorHAnsi" w:cstheme="minorBidi"/>
              <w:sz w:val="22"/>
              <w:szCs w:val="22"/>
              <w:lang w:eastAsia="en-AU"/>
            </w:rPr>
          </w:pPr>
          <w:hyperlink w:anchor="_Toc20289982" w:history="1">
            <w:r w:rsidR="00325B1A" w:rsidRPr="00CB3389">
              <w:rPr>
                <w:rStyle w:val="Hyperlink"/>
              </w:rPr>
              <w:t>Clients</w:t>
            </w:r>
            <w:r w:rsidR="00325B1A">
              <w:rPr>
                <w:webHidden/>
              </w:rPr>
              <w:tab/>
            </w:r>
            <w:r w:rsidR="00325B1A">
              <w:rPr>
                <w:webHidden/>
              </w:rPr>
              <w:fldChar w:fldCharType="begin"/>
            </w:r>
            <w:r w:rsidR="00325B1A">
              <w:rPr>
                <w:webHidden/>
              </w:rPr>
              <w:instrText xml:space="preserve"> PAGEREF _Toc20289982 \h </w:instrText>
            </w:r>
            <w:r w:rsidR="00325B1A">
              <w:rPr>
                <w:webHidden/>
              </w:rPr>
            </w:r>
            <w:r w:rsidR="00325B1A">
              <w:rPr>
                <w:webHidden/>
              </w:rPr>
              <w:fldChar w:fldCharType="separate"/>
            </w:r>
            <w:r w:rsidR="00325B1A">
              <w:rPr>
                <w:webHidden/>
              </w:rPr>
              <w:t>8</w:t>
            </w:r>
            <w:r w:rsidR="00325B1A">
              <w:rPr>
                <w:webHidden/>
              </w:rPr>
              <w:fldChar w:fldCharType="end"/>
            </w:r>
          </w:hyperlink>
        </w:p>
        <w:p w14:paraId="6A87C658" w14:textId="3A907D01" w:rsidR="00325B1A" w:rsidRDefault="000C7A18">
          <w:pPr>
            <w:pStyle w:val="TOC2"/>
            <w:rPr>
              <w:rFonts w:asciiTheme="minorHAnsi" w:eastAsiaTheme="minorEastAsia" w:hAnsiTheme="minorHAnsi" w:cstheme="minorBidi"/>
              <w:sz w:val="22"/>
              <w:szCs w:val="22"/>
              <w:lang w:eastAsia="en-AU"/>
            </w:rPr>
          </w:pPr>
          <w:hyperlink w:anchor="_Toc20289983" w:history="1">
            <w:r w:rsidR="00325B1A" w:rsidRPr="00CB3389">
              <w:rPr>
                <w:rStyle w:val="Hyperlink"/>
              </w:rPr>
              <w:t>Impact</w:t>
            </w:r>
            <w:r w:rsidR="00325B1A">
              <w:rPr>
                <w:webHidden/>
              </w:rPr>
              <w:tab/>
            </w:r>
            <w:r w:rsidR="00325B1A">
              <w:rPr>
                <w:webHidden/>
              </w:rPr>
              <w:fldChar w:fldCharType="begin"/>
            </w:r>
            <w:r w:rsidR="00325B1A">
              <w:rPr>
                <w:webHidden/>
              </w:rPr>
              <w:instrText xml:space="preserve"> PAGEREF _Toc20289983 \h </w:instrText>
            </w:r>
            <w:r w:rsidR="00325B1A">
              <w:rPr>
                <w:webHidden/>
              </w:rPr>
            </w:r>
            <w:r w:rsidR="00325B1A">
              <w:rPr>
                <w:webHidden/>
              </w:rPr>
              <w:fldChar w:fldCharType="separate"/>
            </w:r>
            <w:r w:rsidR="00325B1A">
              <w:rPr>
                <w:webHidden/>
              </w:rPr>
              <w:t>10</w:t>
            </w:r>
            <w:r w:rsidR="00325B1A">
              <w:rPr>
                <w:webHidden/>
              </w:rPr>
              <w:fldChar w:fldCharType="end"/>
            </w:r>
          </w:hyperlink>
        </w:p>
        <w:p w14:paraId="75D10332" w14:textId="0E9C498A" w:rsidR="00325B1A" w:rsidRDefault="000C7A18">
          <w:pPr>
            <w:pStyle w:val="TOC2"/>
            <w:rPr>
              <w:rFonts w:asciiTheme="minorHAnsi" w:eastAsiaTheme="minorEastAsia" w:hAnsiTheme="minorHAnsi" w:cstheme="minorBidi"/>
              <w:sz w:val="22"/>
              <w:szCs w:val="22"/>
              <w:lang w:eastAsia="en-AU"/>
            </w:rPr>
          </w:pPr>
          <w:hyperlink w:anchor="_Toc20289984" w:history="1">
            <w:r w:rsidR="00325B1A" w:rsidRPr="00CB3389">
              <w:rPr>
                <w:rStyle w:val="Hyperlink"/>
              </w:rPr>
              <w:t>Together</w:t>
            </w:r>
            <w:r w:rsidR="00325B1A">
              <w:rPr>
                <w:webHidden/>
              </w:rPr>
              <w:tab/>
            </w:r>
            <w:r w:rsidR="00325B1A">
              <w:rPr>
                <w:webHidden/>
              </w:rPr>
              <w:fldChar w:fldCharType="begin"/>
            </w:r>
            <w:r w:rsidR="00325B1A">
              <w:rPr>
                <w:webHidden/>
              </w:rPr>
              <w:instrText xml:space="preserve"> PAGEREF _Toc20289984 \h </w:instrText>
            </w:r>
            <w:r w:rsidR="00325B1A">
              <w:rPr>
                <w:webHidden/>
              </w:rPr>
            </w:r>
            <w:r w:rsidR="00325B1A">
              <w:rPr>
                <w:webHidden/>
              </w:rPr>
              <w:fldChar w:fldCharType="separate"/>
            </w:r>
            <w:r w:rsidR="00325B1A">
              <w:rPr>
                <w:webHidden/>
              </w:rPr>
              <w:t>12</w:t>
            </w:r>
            <w:r w:rsidR="00325B1A">
              <w:rPr>
                <w:webHidden/>
              </w:rPr>
              <w:fldChar w:fldCharType="end"/>
            </w:r>
          </w:hyperlink>
        </w:p>
        <w:p w14:paraId="6E747E36" w14:textId="501BFFCE" w:rsidR="00325B1A" w:rsidRDefault="000C7A18">
          <w:pPr>
            <w:pStyle w:val="TOC1"/>
            <w:rPr>
              <w:rFonts w:asciiTheme="minorHAnsi" w:eastAsiaTheme="minorEastAsia" w:hAnsiTheme="minorHAnsi" w:cstheme="minorBidi"/>
              <w:b w:val="0"/>
              <w:noProof/>
              <w:sz w:val="22"/>
              <w:szCs w:val="22"/>
              <w:lang w:eastAsia="en-AU"/>
            </w:rPr>
          </w:pPr>
          <w:hyperlink w:anchor="_Toc20289985" w:history="1">
            <w:r w:rsidR="00325B1A" w:rsidRPr="00CB3389">
              <w:rPr>
                <w:rStyle w:val="Hyperlink"/>
                <w:noProof/>
              </w:rPr>
              <w:t>Our strategic advocacy priorities</w:t>
            </w:r>
            <w:r w:rsidR="00325B1A">
              <w:rPr>
                <w:noProof/>
                <w:webHidden/>
              </w:rPr>
              <w:tab/>
            </w:r>
            <w:r w:rsidR="00325B1A">
              <w:rPr>
                <w:noProof/>
                <w:webHidden/>
              </w:rPr>
              <w:fldChar w:fldCharType="begin"/>
            </w:r>
            <w:r w:rsidR="00325B1A">
              <w:rPr>
                <w:noProof/>
                <w:webHidden/>
              </w:rPr>
              <w:instrText xml:space="preserve"> PAGEREF _Toc20289985 \h </w:instrText>
            </w:r>
            <w:r w:rsidR="00325B1A">
              <w:rPr>
                <w:noProof/>
                <w:webHidden/>
              </w:rPr>
            </w:r>
            <w:r w:rsidR="00325B1A">
              <w:rPr>
                <w:noProof/>
                <w:webHidden/>
              </w:rPr>
              <w:fldChar w:fldCharType="separate"/>
            </w:r>
            <w:r w:rsidR="00325B1A">
              <w:rPr>
                <w:noProof/>
                <w:webHidden/>
              </w:rPr>
              <w:t>15</w:t>
            </w:r>
            <w:r w:rsidR="00325B1A">
              <w:rPr>
                <w:noProof/>
                <w:webHidden/>
              </w:rPr>
              <w:fldChar w:fldCharType="end"/>
            </w:r>
          </w:hyperlink>
        </w:p>
        <w:p w14:paraId="061AD0F0" w14:textId="782DC9AA" w:rsidR="00325B1A" w:rsidRDefault="000C7A18">
          <w:pPr>
            <w:pStyle w:val="TOC1"/>
            <w:rPr>
              <w:rFonts w:asciiTheme="minorHAnsi" w:eastAsiaTheme="minorEastAsia" w:hAnsiTheme="minorHAnsi" w:cstheme="minorBidi"/>
              <w:b w:val="0"/>
              <w:noProof/>
              <w:sz w:val="22"/>
              <w:szCs w:val="22"/>
              <w:lang w:eastAsia="en-AU"/>
            </w:rPr>
          </w:pPr>
          <w:hyperlink w:anchor="_Toc20289986" w:history="1">
            <w:r w:rsidR="00325B1A" w:rsidRPr="00CB3389">
              <w:rPr>
                <w:rStyle w:val="Hyperlink"/>
                <w:noProof/>
              </w:rPr>
              <w:t>Measuring our progress</w:t>
            </w:r>
            <w:r w:rsidR="00325B1A">
              <w:rPr>
                <w:noProof/>
                <w:webHidden/>
              </w:rPr>
              <w:tab/>
            </w:r>
            <w:r w:rsidR="00325B1A">
              <w:rPr>
                <w:noProof/>
                <w:webHidden/>
              </w:rPr>
              <w:fldChar w:fldCharType="begin"/>
            </w:r>
            <w:r w:rsidR="00325B1A">
              <w:rPr>
                <w:noProof/>
                <w:webHidden/>
              </w:rPr>
              <w:instrText xml:space="preserve"> PAGEREF _Toc20289986 \h </w:instrText>
            </w:r>
            <w:r w:rsidR="00325B1A">
              <w:rPr>
                <w:noProof/>
                <w:webHidden/>
              </w:rPr>
            </w:r>
            <w:r w:rsidR="00325B1A">
              <w:rPr>
                <w:noProof/>
                <w:webHidden/>
              </w:rPr>
              <w:fldChar w:fldCharType="separate"/>
            </w:r>
            <w:r w:rsidR="00325B1A">
              <w:rPr>
                <w:noProof/>
                <w:webHidden/>
              </w:rPr>
              <w:t>16</w:t>
            </w:r>
            <w:r w:rsidR="00325B1A">
              <w:rPr>
                <w:noProof/>
                <w:webHidden/>
              </w:rPr>
              <w:fldChar w:fldCharType="end"/>
            </w:r>
          </w:hyperlink>
        </w:p>
        <w:p w14:paraId="4DCE2948" w14:textId="126A7456" w:rsidR="00325B1A" w:rsidRDefault="000C7A18">
          <w:pPr>
            <w:pStyle w:val="TOC2"/>
            <w:rPr>
              <w:rFonts w:asciiTheme="minorHAnsi" w:eastAsiaTheme="minorEastAsia" w:hAnsiTheme="minorHAnsi" w:cstheme="minorBidi"/>
              <w:sz w:val="22"/>
              <w:szCs w:val="22"/>
              <w:lang w:eastAsia="en-AU"/>
            </w:rPr>
          </w:pPr>
          <w:hyperlink w:anchor="_Toc20289987" w:history="1">
            <w:r w:rsidR="00325B1A" w:rsidRPr="00CB3389">
              <w:rPr>
                <w:rStyle w:val="Hyperlink"/>
              </w:rPr>
              <w:t>Strategy 22 performance measures</w:t>
            </w:r>
            <w:r w:rsidR="00325B1A">
              <w:rPr>
                <w:webHidden/>
              </w:rPr>
              <w:tab/>
            </w:r>
            <w:r w:rsidR="00325B1A">
              <w:rPr>
                <w:webHidden/>
              </w:rPr>
              <w:fldChar w:fldCharType="begin"/>
            </w:r>
            <w:r w:rsidR="00325B1A">
              <w:rPr>
                <w:webHidden/>
              </w:rPr>
              <w:instrText xml:space="preserve"> PAGEREF _Toc20289987 \h </w:instrText>
            </w:r>
            <w:r w:rsidR="00325B1A">
              <w:rPr>
                <w:webHidden/>
              </w:rPr>
            </w:r>
            <w:r w:rsidR="00325B1A">
              <w:rPr>
                <w:webHidden/>
              </w:rPr>
              <w:fldChar w:fldCharType="separate"/>
            </w:r>
            <w:r w:rsidR="00325B1A">
              <w:rPr>
                <w:webHidden/>
              </w:rPr>
              <w:t>16</w:t>
            </w:r>
            <w:r w:rsidR="00325B1A">
              <w:rPr>
                <w:webHidden/>
              </w:rPr>
              <w:fldChar w:fldCharType="end"/>
            </w:r>
          </w:hyperlink>
        </w:p>
        <w:p w14:paraId="79127B6E" w14:textId="5586F504" w:rsidR="00325B1A" w:rsidRDefault="000C7A18">
          <w:pPr>
            <w:pStyle w:val="TOC2"/>
            <w:rPr>
              <w:rFonts w:asciiTheme="minorHAnsi" w:eastAsiaTheme="minorEastAsia" w:hAnsiTheme="minorHAnsi" w:cstheme="minorBidi"/>
              <w:sz w:val="22"/>
              <w:szCs w:val="22"/>
              <w:lang w:eastAsia="en-AU"/>
            </w:rPr>
          </w:pPr>
          <w:hyperlink w:anchor="_Toc20289988" w:history="1">
            <w:r w:rsidR="00325B1A" w:rsidRPr="00CB3389">
              <w:rPr>
                <w:rStyle w:val="Hyperlink"/>
              </w:rPr>
              <w:t>Organisational health measures</w:t>
            </w:r>
            <w:r w:rsidR="00325B1A">
              <w:rPr>
                <w:webHidden/>
              </w:rPr>
              <w:tab/>
            </w:r>
            <w:r w:rsidR="00325B1A">
              <w:rPr>
                <w:webHidden/>
              </w:rPr>
              <w:fldChar w:fldCharType="begin"/>
            </w:r>
            <w:r w:rsidR="00325B1A">
              <w:rPr>
                <w:webHidden/>
              </w:rPr>
              <w:instrText xml:space="preserve"> PAGEREF _Toc20289988 \h </w:instrText>
            </w:r>
            <w:r w:rsidR="00325B1A">
              <w:rPr>
                <w:webHidden/>
              </w:rPr>
            </w:r>
            <w:r w:rsidR="00325B1A">
              <w:rPr>
                <w:webHidden/>
              </w:rPr>
              <w:fldChar w:fldCharType="separate"/>
            </w:r>
            <w:r w:rsidR="00325B1A">
              <w:rPr>
                <w:webHidden/>
              </w:rPr>
              <w:t>16</w:t>
            </w:r>
            <w:r w:rsidR="00325B1A">
              <w:rPr>
                <w:webHidden/>
              </w:rPr>
              <w:fldChar w:fldCharType="end"/>
            </w:r>
          </w:hyperlink>
        </w:p>
        <w:p w14:paraId="551627B7" w14:textId="3627B2CB" w:rsidR="00325B1A" w:rsidRDefault="000C7A18">
          <w:pPr>
            <w:pStyle w:val="TOC2"/>
            <w:rPr>
              <w:rFonts w:asciiTheme="minorHAnsi" w:eastAsiaTheme="minorEastAsia" w:hAnsiTheme="minorHAnsi" w:cstheme="minorBidi"/>
              <w:sz w:val="22"/>
              <w:szCs w:val="22"/>
              <w:lang w:eastAsia="en-AU"/>
            </w:rPr>
          </w:pPr>
          <w:hyperlink w:anchor="_Toc20289989" w:history="1">
            <w:r w:rsidR="00325B1A" w:rsidRPr="00CB3389">
              <w:rPr>
                <w:rStyle w:val="Hyperlink"/>
              </w:rPr>
              <w:t>Financial measures</w:t>
            </w:r>
            <w:r w:rsidR="00325B1A">
              <w:rPr>
                <w:webHidden/>
              </w:rPr>
              <w:tab/>
            </w:r>
            <w:r w:rsidR="00325B1A">
              <w:rPr>
                <w:webHidden/>
              </w:rPr>
              <w:fldChar w:fldCharType="begin"/>
            </w:r>
            <w:r w:rsidR="00325B1A">
              <w:rPr>
                <w:webHidden/>
              </w:rPr>
              <w:instrText xml:space="preserve"> PAGEREF _Toc20289989 \h </w:instrText>
            </w:r>
            <w:r w:rsidR="00325B1A">
              <w:rPr>
                <w:webHidden/>
              </w:rPr>
            </w:r>
            <w:r w:rsidR="00325B1A">
              <w:rPr>
                <w:webHidden/>
              </w:rPr>
              <w:fldChar w:fldCharType="separate"/>
            </w:r>
            <w:r w:rsidR="00325B1A">
              <w:rPr>
                <w:webHidden/>
              </w:rPr>
              <w:t>17</w:t>
            </w:r>
            <w:r w:rsidR="00325B1A">
              <w:rPr>
                <w:webHidden/>
              </w:rPr>
              <w:fldChar w:fldCharType="end"/>
            </w:r>
          </w:hyperlink>
        </w:p>
        <w:p w14:paraId="4DFE81F4" w14:textId="4FF5519F" w:rsidR="00325B1A" w:rsidRDefault="000C7A18">
          <w:pPr>
            <w:pStyle w:val="TOC2"/>
            <w:rPr>
              <w:rFonts w:asciiTheme="minorHAnsi" w:eastAsiaTheme="minorEastAsia" w:hAnsiTheme="minorHAnsi" w:cstheme="minorBidi"/>
              <w:sz w:val="22"/>
              <w:szCs w:val="22"/>
              <w:lang w:eastAsia="en-AU"/>
            </w:rPr>
          </w:pPr>
          <w:hyperlink w:anchor="_Toc20289990" w:history="1">
            <w:r w:rsidR="00325B1A" w:rsidRPr="00CB3389">
              <w:rPr>
                <w:rStyle w:val="Hyperlink"/>
              </w:rPr>
              <w:t>Budget Paper No. 3 measures</w:t>
            </w:r>
            <w:r w:rsidR="00325B1A">
              <w:rPr>
                <w:webHidden/>
              </w:rPr>
              <w:tab/>
            </w:r>
            <w:r w:rsidR="00325B1A">
              <w:rPr>
                <w:webHidden/>
              </w:rPr>
              <w:fldChar w:fldCharType="begin"/>
            </w:r>
            <w:r w:rsidR="00325B1A">
              <w:rPr>
                <w:webHidden/>
              </w:rPr>
              <w:instrText xml:space="preserve"> PAGEREF _Toc20289990 \h </w:instrText>
            </w:r>
            <w:r w:rsidR="00325B1A">
              <w:rPr>
                <w:webHidden/>
              </w:rPr>
            </w:r>
            <w:r w:rsidR="00325B1A">
              <w:rPr>
                <w:webHidden/>
              </w:rPr>
              <w:fldChar w:fldCharType="separate"/>
            </w:r>
            <w:r w:rsidR="00325B1A">
              <w:rPr>
                <w:webHidden/>
              </w:rPr>
              <w:t>17</w:t>
            </w:r>
            <w:r w:rsidR="00325B1A">
              <w:rPr>
                <w:webHidden/>
              </w:rPr>
              <w:fldChar w:fldCharType="end"/>
            </w:r>
          </w:hyperlink>
        </w:p>
        <w:p w14:paraId="37CC4BC0" w14:textId="005108F7" w:rsidR="00325B1A" w:rsidRDefault="000C7A18">
          <w:pPr>
            <w:pStyle w:val="TOC2"/>
            <w:rPr>
              <w:rFonts w:asciiTheme="minorHAnsi" w:eastAsiaTheme="minorEastAsia" w:hAnsiTheme="minorHAnsi" w:cstheme="minorBidi"/>
              <w:sz w:val="22"/>
              <w:szCs w:val="22"/>
              <w:lang w:eastAsia="en-AU"/>
            </w:rPr>
          </w:pPr>
          <w:hyperlink w:anchor="_Toc20289991" w:history="1">
            <w:r w:rsidR="00325B1A" w:rsidRPr="00CB3389">
              <w:rPr>
                <w:rStyle w:val="Hyperlink"/>
              </w:rPr>
              <w:t>Reporting</w:t>
            </w:r>
            <w:r w:rsidR="00325B1A">
              <w:rPr>
                <w:webHidden/>
              </w:rPr>
              <w:tab/>
            </w:r>
            <w:r w:rsidR="00325B1A">
              <w:rPr>
                <w:webHidden/>
              </w:rPr>
              <w:fldChar w:fldCharType="begin"/>
            </w:r>
            <w:r w:rsidR="00325B1A">
              <w:rPr>
                <w:webHidden/>
              </w:rPr>
              <w:instrText xml:space="preserve"> PAGEREF _Toc20289991 \h </w:instrText>
            </w:r>
            <w:r w:rsidR="00325B1A">
              <w:rPr>
                <w:webHidden/>
              </w:rPr>
            </w:r>
            <w:r w:rsidR="00325B1A">
              <w:rPr>
                <w:webHidden/>
              </w:rPr>
              <w:fldChar w:fldCharType="separate"/>
            </w:r>
            <w:r w:rsidR="00325B1A">
              <w:rPr>
                <w:webHidden/>
              </w:rPr>
              <w:t>18</w:t>
            </w:r>
            <w:r w:rsidR="00325B1A">
              <w:rPr>
                <w:webHidden/>
              </w:rPr>
              <w:fldChar w:fldCharType="end"/>
            </w:r>
          </w:hyperlink>
        </w:p>
        <w:p w14:paraId="58E1BE17" w14:textId="28B3687F" w:rsidR="00890E5B" w:rsidRDefault="00F018CF">
          <w:r>
            <w:rPr>
              <w:b/>
              <w:sz w:val="20"/>
            </w:rPr>
            <w:fldChar w:fldCharType="end"/>
          </w:r>
        </w:p>
      </w:sdtContent>
    </w:sdt>
    <w:p w14:paraId="25A800B4" w14:textId="64B74740" w:rsidR="002B4970" w:rsidRPr="00A37C6E" w:rsidRDefault="002B4970" w:rsidP="00AA2CCE">
      <w:pPr>
        <w:rPr>
          <w:lang w:eastAsia="en-AU"/>
        </w:rPr>
        <w:sectPr w:rsidR="002B4970" w:rsidRPr="00A37C6E" w:rsidSect="007C05C3">
          <w:headerReference w:type="default" r:id="rId16"/>
          <w:footerReference w:type="default" r:id="rId17"/>
          <w:pgSz w:w="11906" w:h="16838" w:code="9"/>
          <w:pgMar w:top="1418" w:right="992" w:bottom="1134" w:left="1134" w:header="851" w:footer="284" w:gutter="0"/>
          <w:paperSrc w:first="7" w:other="7"/>
          <w:pgNumType w:fmt="lowerRoman" w:start="1"/>
          <w:cols w:space="720"/>
          <w:docGrid w:linePitch="299"/>
        </w:sectPr>
      </w:pPr>
    </w:p>
    <w:p w14:paraId="0742661A" w14:textId="77777777" w:rsidR="00A37933" w:rsidRDefault="00A37933" w:rsidP="00A37933">
      <w:pPr>
        <w:pStyle w:val="Heading1"/>
      </w:pPr>
      <w:bookmarkStart w:id="10" w:name="_Toc9953197"/>
      <w:bookmarkStart w:id="11" w:name="_Toc20289967"/>
      <w:r>
        <w:lastRenderedPageBreak/>
        <w:t>About us</w:t>
      </w:r>
      <w:bookmarkEnd w:id="10"/>
      <w:bookmarkEnd w:id="11"/>
    </w:p>
    <w:p w14:paraId="3834C90C" w14:textId="59DA2E7B" w:rsidR="00A37933" w:rsidRDefault="00A37933" w:rsidP="00A37933">
      <w:r>
        <w:t xml:space="preserve">We serve the broader community by providing information, legal advice and education with a focus on the prevention and early resolution of legal problems. </w:t>
      </w:r>
    </w:p>
    <w:p w14:paraId="377D295A" w14:textId="44342689" w:rsidR="00984425" w:rsidRDefault="00A37933" w:rsidP="00984425">
      <w:r>
        <w:t xml:space="preserve">We </w:t>
      </w:r>
      <w:r w:rsidRPr="00AE266A">
        <w:t>prioritise more intensive legal services</w:t>
      </w:r>
      <w:r>
        <w:t>,</w:t>
      </w:r>
      <w:r w:rsidRPr="00AE266A">
        <w:t xml:space="preserve"> such as legal advice and representation</w:t>
      </w:r>
      <w:r>
        <w:t>, to those who need it the most</w:t>
      </w:r>
      <w:r w:rsidR="004119AC">
        <w:t xml:space="preserve"> using evidence to inform what we do</w:t>
      </w:r>
      <w:r>
        <w:t>.</w:t>
      </w:r>
      <w:r w:rsidR="00984425" w:rsidRPr="00984425">
        <w:t xml:space="preserve"> </w:t>
      </w:r>
      <w:r w:rsidR="00735289">
        <w:t>We also recognise the connections between legal and social issues in the way we do our work and advocate for change.</w:t>
      </w:r>
    </w:p>
    <w:p w14:paraId="7F88343B" w14:textId="68E5B37F" w:rsidR="00984425" w:rsidRDefault="00984425" w:rsidP="00984425">
      <w:r>
        <w:t>We work to address the barriers that prevent people from accessing the justice system by participating in</w:t>
      </w:r>
      <w:r w:rsidR="00FD1F12">
        <w:t xml:space="preserve"> systemic</w:t>
      </w:r>
      <w:r>
        <w:t xml:space="preserve"> reforms and</w:t>
      </w:r>
      <w:r w:rsidR="00FD1F12">
        <w:t xml:space="preserve"> strategic </w:t>
      </w:r>
      <w:r w:rsidR="003C6050">
        <w:t>advocacy.</w:t>
      </w:r>
      <w:r>
        <w:t xml:space="preserve"> </w:t>
      </w:r>
    </w:p>
    <w:p w14:paraId="2AE7ABF6" w14:textId="77777777" w:rsidR="00A37933" w:rsidRDefault="00A37933" w:rsidP="00A37933">
      <w:pPr>
        <w:pStyle w:val="Heading2"/>
      </w:pPr>
      <w:bookmarkStart w:id="12" w:name="_Toc528158783"/>
      <w:bookmarkStart w:id="13" w:name="_Toc9953198"/>
      <w:bookmarkStart w:id="14" w:name="_Toc20289968"/>
      <w:r>
        <w:t>Our vision</w:t>
      </w:r>
      <w:bookmarkEnd w:id="12"/>
      <w:bookmarkEnd w:id="13"/>
      <w:bookmarkEnd w:id="14"/>
    </w:p>
    <w:p w14:paraId="14BCD22A" w14:textId="77777777" w:rsidR="00A37933" w:rsidRDefault="00A37933" w:rsidP="00A37933">
      <w:r>
        <w:t>A fair and just society where rights and responsibilities are upheld.</w:t>
      </w:r>
    </w:p>
    <w:p w14:paraId="2AD747E9" w14:textId="77777777" w:rsidR="00A37933" w:rsidRDefault="00A37933" w:rsidP="00A37933">
      <w:pPr>
        <w:pStyle w:val="Heading2"/>
      </w:pPr>
      <w:bookmarkStart w:id="15" w:name="_Toc528158784"/>
      <w:bookmarkStart w:id="16" w:name="_Toc9953199"/>
      <w:bookmarkStart w:id="17" w:name="_Toc20289969"/>
      <w:r>
        <w:t>Our purpose</w:t>
      </w:r>
      <w:bookmarkEnd w:id="15"/>
      <w:bookmarkEnd w:id="16"/>
      <w:bookmarkEnd w:id="17"/>
    </w:p>
    <w:p w14:paraId="1FEE8765" w14:textId="77777777" w:rsidR="00A37933" w:rsidRDefault="00A37933" w:rsidP="00A37933">
      <w:r>
        <w:t xml:space="preserve">To make a difference for clients and the community, through the provision of effective legal services and collaborative leadership of a strong and dynamic legal assistance sector.  </w:t>
      </w:r>
    </w:p>
    <w:p w14:paraId="1CCCE7B0" w14:textId="77777777" w:rsidR="00A37933" w:rsidRDefault="00A37933" w:rsidP="00A37933">
      <w:pPr>
        <w:pStyle w:val="Heading2"/>
      </w:pPr>
      <w:bookmarkStart w:id="18" w:name="_Toc20289970"/>
      <w:r>
        <w:t>Our values</w:t>
      </w:r>
      <w:bookmarkEnd w:id="18"/>
    </w:p>
    <w:p w14:paraId="7BE1150A" w14:textId="77777777" w:rsidR="00A37933" w:rsidRPr="004C1D32" w:rsidRDefault="00A37933" w:rsidP="00A37933">
      <w:pPr>
        <w:pStyle w:val="Heading3"/>
      </w:pPr>
      <w:r w:rsidRPr="004C1D32">
        <w:t>Fairness</w:t>
      </w:r>
    </w:p>
    <w:p w14:paraId="04F11321" w14:textId="77777777" w:rsidR="00A37933" w:rsidRDefault="00A37933" w:rsidP="00A37933">
      <w:r>
        <w:t>We stand up for what is fair.</w:t>
      </w:r>
      <w:r>
        <w:br/>
        <w:t>We aim to be fair when making choices about which people we help and how we help them.</w:t>
      </w:r>
    </w:p>
    <w:p w14:paraId="2F777B15" w14:textId="77777777" w:rsidR="00A37933" w:rsidRPr="004C1D32" w:rsidRDefault="00A37933" w:rsidP="00A37933">
      <w:pPr>
        <w:pStyle w:val="Heading3"/>
      </w:pPr>
      <w:r w:rsidRPr="004C1D32">
        <w:t>Care</w:t>
      </w:r>
    </w:p>
    <w:p w14:paraId="15B9A0E9" w14:textId="77777777" w:rsidR="00A37933" w:rsidRDefault="00A37933" w:rsidP="00A37933">
      <w:r>
        <w:t>We care about our clients and the community in which we live.</w:t>
      </w:r>
      <w:r>
        <w:br/>
        <w:t>We look out for and take care of each other.</w:t>
      </w:r>
    </w:p>
    <w:p w14:paraId="0D5EBAAD" w14:textId="77777777" w:rsidR="00A37933" w:rsidRPr="004C1D32" w:rsidRDefault="00A37933" w:rsidP="00A37933">
      <w:pPr>
        <w:pStyle w:val="Heading3"/>
      </w:pPr>
      <w:r w:rsidRPr="004C1D32">
        <w:t>Courage</w:t>
      </w:r>
    </w:p>
    <w:p w14:paraId="062C42E3" w14:textId="77777777" w:rsidR="00A37933" w:rsidRDefault="00A37933" w:rsidP="00A37933">
      <w:r>
        <w:t>We act with courage backed by evidence about what is best for clients and the community.</w:t>
      </w:r>
      <w:r>
        <w:br/>
        <w:t>We act with courage to be the best we can be.</w:t>
      </w:r>
    </w:p>
    <w:p w14:paraId="6B0EAF3E" w14:textId="77777777" w:rsidR="00A37933" w:rsidRPr="00AF4903" w:rsidRDefault="00A37933" w:rsidP="00A37933">
      <w:pPr>
        <w:pStyle w:val="Heading2"/>
      </w:pPr>
      <w:bookmarkStart w:id="19" w:name="_Toc20289971"/>
      <w:r w:rsidRPr="00AF4903">
        <w:t>Our statutory objectives</w:t>
      </w:r>
      <w:bookmarkEnd w:id="19"/>
    </w:p>
    <w:p w14:paraId="2D65C0E1" w14:textId="067E4496" w:rsidR="00A37933" w:rsidRDefault="00A37933" w:rsidP="00A37933">
      <w:r w:rsidRPr="00AD5D31">
        <w:t xml:space="preserve">Victoria Legal Aid was established under the </w:t>
      </w:r>
      <w:r w:rsidR="00C3567F" w:rsidRPr="0084183F">
        <w:rPr>
          <w:i/>
        </w:rPr>
        <w:t xml:space="preserve">Legal Aid </w:t>
      </w:r>
      <w:r w:rsidRPr="0084183F">
        <w:rPr>
          <w:i/>
        </w:rPr>
        <w:t>Act</w:t>
      </w:r>
      <w:r w:rsidR="00C3567F" w:rsidRPr="0084183F">
        <w:rPr>
          <w:i/>
        </w:rPr>
        <w:t xml:space="preserve"> 1978</w:t>
      </w:r>
      <w:r w:rsidRPr="00AD5D31">
        <w:t xml:space="preserve"> with the objectives to:</w:t>
      </w:r>
    </w:p>
    <w:p w14:paraId="33A54C2F" w14:textId="77777777" w:rsidR="00A37933" w:rsidRDefault="00A37933" w:rsidP="00A37933">
      <w:pPr>
        <w:pStyle w:val="ListBullet"/>
        <w:numPr>
          <w:ilvl w:val="0"/>
          <w:numId w:val="5"/>
        </w:numPr>
        <w:tabs>
          <w:tab w:val="clear" w:pos="510"/>
        </w:tabs>
      </w:pPr>
      <w:r>
        <w:t>provide legal aid in the most effective, economic and efficient manner</w:t>
      </w:r>
    </w:p>
    <w:p w14:paraId="676875BF" w14:textId="77777777" w:rsidR="00A37933" w:rsidRDefault="00A37933" w:rsidP="00A37933">
      <w:pPr>
        <w:pStyle w:val="ListBullet"/>
        <w:numPr>
          <w:ilvl w:val="0"/>
          <w:numId w:val="5"/>
        </w:numPr>
        <w:tabs>
          <w:tab w:val="clear" w:pos="510"/>
        </w:tabs>
      </w:pPr>
      <w:r>
        <w:t>manage our resources to make legal aid available at a reasonable cost to the community and on an equitable basis throughout the state</w:t>
      </w:r>
    </w:p>
    <w:p w14:paraId="2D7A15F3" w14:textId="77777777" w:rsidR="00A37933" w:rsidRPr="00C515CC" w:rsidRDefault="00A37933" w:rsidP="00A37933">
      <w:pPr>
        <w:pStyle w:val="ListBullet"/>
        <w:numPr>
          <w:ilvl w:val="0"/>
          <w:numId w:val="5"/>
        </w:numPr>
        <w:tabs>
          <w:tab w:val="clear" w:pos="510"/>
        </w:tabs>
      </w:pPr>
      <w:r w:rsidRPr="00C515CC">
        <w:t>ensure the coordination of the provision of legal aid so that it responds to the legal and related needs of the community</w:t>
      </w:r>
    </w:p>
    <w:p w14:paraId="3FA8E4E4" w14:textId="3128FF6C" w:rsidR="00A37933" w:rsidRPr="00C515CC" w:rsidRDefault="00A37933" w:rsidP="00A37933">
      <w:pPr>
        <w:pStyle w:val="ListBullet"/>
        <w:numPr>
          <w:ilvl w:val="0"/>
          <w:numId w:val="5"/>
        </w:numPr>
        <w:tabs>
          <w:tab w:val="clear" w:pos="510"/>
        </w:tabs>
      </w:pPr>
      <w:r w:rsidRPr="00C515CC">
        <w:t xml:space="preserve">ensure the coordination of the provision of legal assistance information so that the information responds to the legal and related needs of the community, including by </w:t>
      </w:r>
      <w:r w:rsidR="003C6050" w:rsidRPr="00C515CC">
        <w:t>being</w:t>
      </w:r>
      <w:r w:rsidRPr="00C515CC">
        <w:t xml:space="preserve"> accessible, current, high quality and of </w:t>
      </w:r>
      <w:proofErr w:type="gramStart"/>
      <w:r w:rsidRPr="00C515CC">
        <w:t>sufficient</w:t>
      </w:r>
      <w:proofErr w:type="gramEnd"/>
      <w:r w:rsidRPr="00C515CC">
        <w:t xml:space="preserve"> breadth</w:t>
      </w:r>
    </w:p>
    <w:p w14:paraId="4D61E1F5" w14:textId="77777777" w:rsidR="00A37933" w:rsidRDefault="00A37933" w:rsidP="00A37933">
      <w:pPr>
        <w:pStyle w:val="ListBullet"/>
        <w:numPr>
          <w:ilvl w:val="0"/>
          <w:numId w:val="5"/>
        </w:numPr>
        <w:tabs>
          <w:tab w:val="clear" w:pos="510"/>
        </w:tabs>
      </w:pPr>
      <w:r>
        <w:t>provide the community with improved access to justice and legal remedies</w:t>
      </w:r>
    </w:p>
    <w:p w14:paraId="38154ACB" w14:textId="7219ED3E" w:rsidR="00C45853" w:rsidRDefault="00A37933" w:rsidP="00A37933">
      <w:pPr>
        <w:pStyle w:val="ListParagraph"/>
        <w:numPr>
          <w:ilvl w:val="0"/>
          <w:numId w:val="5"/>
        </w:numPr>
      </w:pPr>
      <w:r>
        <w:lastRenderedPageBreak/>
        <w:t>pursue innovative means of providing legal aid directed at minimising the need for individual legal services in the community.</w:t>
      </w:r>
    </w:p>
    <w:p w14:paraId="392FBB1A" w14:textId="294ADD37" w:rsidR="007550FB" w:rsidRDefault="00514588" w:rsidP="007F7A68">
      <w:pPr>
        <w:pStyle w:val="Heading1"/>
      </w:pPr>
      <w:bookmarkStart w:id="20" w:name="_Toc20289972"/>
      <w:r>
        <w:t>The year ahead</w:t>
      </w:r>
      <w:bookmarkEnd w:id="20"/>
    </w:p>
    <w:p w14:paraId="69BADE52" w14:textId="02D2C1B7" w:rsidR="009F6C2D" w:rsidRDefault="00177CC8" w:rsidP="0073207C">
      <w:r w:rsidRPr="0078527C">
        <w:t xml:space="preserve">In the coming 12 months we will </w:t>
      </w:r>
      <w:r w:rsidR="00281BAB">
        <w:rPr>
          <w:lang w:val="en-US" w:eastAsia="en-AU"/>
        </w:rPr>
        <w:t xml:space="preserve">deliver services to best meet the legal needs of our clients </w:t>
      </w:r>
      <w:r>
        <w:t xml:space="preserve">as we </w:t>
      </w:r>
      <w:r w:rsidR="00872828">
        <w:t>continue</w:t>
      </w:r>
      <w:r w:rsidR="00872828" w:rsidRPr="0078527C">
        <w:t xml:space="preserve"> </w:t>
      </w:r>
      <w:r w:rsidRPr="0078527C">
        <w:t>to align our efforts to the directions set in</w:t>
      </w:r>
      <w:r w:rsidR="002D7202">
        <w:t xml:space="preserve"> our </w:t>
      </w:r>
      <w:r w:rsidR="002D7202" w:rsidRPr="00C8455A">
        <w:rPr>
          <w:lang w:eastAsia="en-AU"/>
        </w:rPr>
        <w:t>Strategy 2018–22</w:t>
      </w:r>
      <w:r w:rsidR="002D7202">
        <w:rPr>
          <w:lang w:eastAsia="en-AU"/>
        </w:rPr>
        <w:t xml:space="preserve"> (‘Strategy 22’</w:t>
      </w:r>
      <w:r w:rsidR="002D7202">
        <w:t>)</w:t>
      </w:r>
      <w:r w:rsidR="004D56C1">
        <w:t>.</w:t>
      </w:r>
      <w:r>
        <w:t xml:space="preserve"> </w:t>
      </w:r>
    </w:p>
    <w:p w14:paraId="183C9CDF" w14:textId="0C9629F5" w:rsidR="00711FC2" w:rsidRDefault="000A2070" w:rsidP="00711FC2">
      <w:pPr>
        <w:rPr>
          <w:lang w:val="en-US" w:eastAsia="en-AU"/>
        </w:rPr>
      </w:pPr>
      <w:r>
        <w:t xml:space="preserve">We </w:t>
      </w:r>
      <w:r w:rsidR="002D5A1F">
        <w:t xml:space="preserve">are </w:t>
      </w:r>
      <w:r w:rsidR="00C56649">
        <w:t>reinforcing</w:t>
      </w:r>
      <w:r w:rsidR="00C027E9">
        <w:t xml:space="preserve"> a strong foundation for delivering </w:t>
      </w:r>
      <w:r w:rsidR="009E52F8" w:rsidRPr="007870BA">
        <w:t xml:space="preserve">more </w:t>
      </w:r>
      <w:r w:rsidR="00C86FD8">
        <w:t xml:space="preserve">effective, </w:t>
      </w:r>
      <w:r w:rsidR="009E52F8" w:rsidRPr="007870BA">
        <w:t>accessible, client-centred services</w:t>
      </w:r>
      <w:r w:rsidR="00A2761B">
        <w:t xml:space="preserve"> </w:t>
      </w:r>
      <w:r w:rsidR="002C2C56">
        <w:t xml:space="preserve">by </w:t>
      </w:r>
      <w:r w:rsidR="009C7B67">
        <w:t>listening to our clients</w:t>
      </w:r>
      <w:r w:rsidR="009069FF">
        <w:t xml:space="preserve"> and </w:t>
      </w:r>
      <w:r w:rsidR="002C2C56">
        <w:t xml:space="preserve">developing our </w:t>
      </w:r>
      <w:r w:rsidR="0031712D">
        <w:t>data</w:t>
      </w:r>
      <w:r w:rsidR="00150061">
        <w:t xml:space="preserve"> and service design capabilities</w:t>
      </w:r>
      <w:r w:rsidR="0078380F">
        <w:t>.</w:t>
      </w:r>
      <w:r w:rsidR="009F6C2D">
        <w:t xml:space="preserve"> </w:t>
      </w:r>
      <w:r w:rsidR="00711FC2">
        <w:rPr>
          <w:lang w:val="en-US" w:eastAsia="en-AU"/>
        </w:rPr>
        <w:t xml:space="preserve">We cannot do any of this work in isolation. We will continue to work closely with our practice partners and the </w:t>
      </w:r>
      <w:r w:rsidR="00EC4987">
        <w:rPr>
          <w:lang w:val="en-US" w:eastAsia="en-AU"/>
        </w:rPr>
        <w:t xml:space="preserve">legal assistance </w:t>
      </w:r>
      <w:r w:rsidR="00711FC2">
        <w:rPr>
          <w:lang w:val="en-US" w:eastAsia="en-AU"/>
        </w:rPr>
        <w:t xml:space="preserve">sector to improve the </w:t>
      </w:r>
      <w:r w:rsidR="00DC67C7">
        <w:rPr>
          <w:lang w:val="en-US" w:eastAsia="en-AU"/>
        </w:rPr>
        <w:t xml:space="preserve">justice </w:t>
      </w:r>
      <w:r w:rsidR="00711FC2">
        <w:rPr>
          <w:lang w:val="en-US" w:eastAsia="en-AU"/>
        </w:rPr>
        <w:t>system for Victorians</w:t>
      </w:r>
      <w:r w:rsidR="003B60E2">
        <w:rPr>
          <w:lang w:val="en-US" w:eastAsia="en-AU"/>
        </w:rPr>
        <w:t>,</w:t>
      </w:r>
      <w:r w:rsidR="008C08D1">
        <w:rPr>
          <w:lang w:val="en-US" w:eastAsia="en-AU"/>
        </w:rPr>
        <w:t xml:space="preserve"> particularly those experiencing disadvantage</w:t>
      </w:r>
      <w:r w:rsidR="00711FC2">
        <w:rPr>
          <w:lang w:val="en-US" w:eastAsia="en-AU"/>
        </w:rPr>
        <w:t>.</w:t>
      </w:r>
      <w:r w:rsidR="00B678FF">
        <w:rPr>
          <w:lang w:val="en-US" w:eastAsia="en-AU"/>
        </w:rPr>
        <w:t xml:space="preserve"> </w:t>
      </w:r>
      <w:r w:rsidR="002D7202">
        <w:rPr>
          <w:lang w:val="en-US" w:eastAsia="en-AU"/>
        </w:rPr>
        <w:t xml:space="preserve">We </w:t>
      </w:r>
      <w:r w:rsidR="00735289">
        <w:rPr>
          <w:lang w:val="en-US" w:eastAsia="en-AU"/>
        </w:rPr>
        <w:t xml:space="preserve">will also be actively supporting the work of a number of Royal Commissions including the Informants Royal Commission.  </w:t>
      </w:r>
    </w:p>
    <w:p w14:paraId="0A36D647" w14:textId="7ECBCD71" w:rsidR="002D21CC" w:rsidRDefault="002D21CC" w:rsidP="002D21CC">
      <w:pPr>
        <w:pStyle w:val="Heading2"/>
        <w:rPr>
          <w:lang w:val="en-US"/>
        </w:rPr>
      </w:pPr>
      <w:bookmarkStart w:id="21" w:name="_Toc20289973"/>
      <w:r>
        <w:rPr>
          <w:lang w:val="en-US"/>
        </w:rPr>
        <w:t>The effects of a justice sector under pressure</w:t>
      </w:r>
      <w:bookmarkEnd w:id="21"/>
    </w:p>
    <w:p w14:paraId="34B98CE9" w14:textId="3C4D3DC6" w:rsidR="004C48E2" w:rsidRDefault="00B926AB" w:rsidP="001C1BE8">
      <w:pPr>
        <w:rPr>
          <w:lang w:val="en-US" w:eastAsia="en-AU"/>
        </w:rPr>
      </w:pPr>
      <w:r>
        <w:t>Over the past three years</w:t>
      </w:r>
      <w:r w:rsidR="0013743A">
        <w:t>,</w:t>
      </w:r>
      <w:r>
        <w:t xml:space="preserve"> we made the decision to go into operating deficits and draw on our cash reserves to meet the growing community demand for our services. This has been triggered by a range of </w:t>
      </w:r>
      <w:r w:rsidR="004119AC">
        <w:t>issues</w:t>
      </w:r>
      <w:r w:rsidR="007D5469">
        <w:t>,</w:t>
      </w:r>
      <w:r>
        <w:t xml:space="preserve"> </w:t>
      </w:r>
      <w:r w:rsidR="00150B56">
        <w:t>including</w:t>
      </w:r>
      <w:r>
        <w:t xml:space="preserve"> </w:t>
      </w:r>
      <w:r w:rsidR="005F60DB">
        <w:t xml:space="preserve">population growth, </w:t>
      </w:r>
      <w:r>
        <w:t>additional police and child prote</w:t>
      </w:r>
      <w:r w:rsidR="009909B5">
        <w:t>c</w:t>
      </w:r>
      <w:r>
        <w:t>tio</w:t>
      </w:r>
      <w:r w:rsidR="009909B5">
        <w:t>n</w:t>
      </w:r>
      <w:r>
        <w:t xml:space="preserve"> officers and </w:t>
      </w:r>
      <w:r w:rsidR="004119AC">
        <w:t xml:space="preserve">reforms </w:t>
      </w:r>
      <w:r>
        <w:t xml:space="preserve">to </w:t>
      </w:r>
      <w:r w:rsidR="004119AC">
        <w:t>legislation</w:t>
      </w:r>
      <w:r>
        <w:t xml:space="preserve">. </w:t>
      </w:r>
      <w:r w:rsidR="00283321">
        <w:rPr>
          <w:lang w:val="en-US" w:eastAsia="en-AU"/>
        </w:rPr>
        <w:t>W</w:t>
      </w:r>
      <w:r w:rsidR="004253E8">
        <w:rPr>
          <w:lang w:val="en-US" w:eastAsia="en-AU"/>
        </w:rPr>
        <w:t>hile w</w:t>
      </w:r>
      <w:r w:rsidR="00B34C1D">
        <w:rPr>
          <w:lang w:val="en-US" w:eastAsia="en-AU"/>
        </w:rPr>
        <w:t>e have received pockets of specific-purpose funding in recent years</w:t>
      </w:r>
      <w:r w:rsidR="00283321">
        <w:rPr>
          <w:lang w:val="en-US" w:eastAsia="en-AU"/>
        </w:rPr>
        <w:t xml:space="preserve">, </w:t>
      </w:r>
      <w:r w:rsidR="00B34C1D">
        <w:rPr>
          <w:lang w:val="en-US" w:eastAsia="en-AU"/>
        </w:rPr>
        <w:t xml:space="preserve">such as for the expansion of duty lawyer services </w:t>
      </w:r>
      <w:r w:rsidR="00B611CD">
        <w:rPr>
          <w:lang w:val="en-US" w:eastAsia="en-AU"/>
        </w:rPr>
        <w:t>for family violence</w:t>
      </w:r>
      <w:r w:rsidR="002D7202">
        <w:rPr>
          <w:lang w:val="en-US" w:eastAsia="en-AU"/>
        </w:rPr>
        <w:t>,</w:t>
      </w:r>
      <w:r w:rsidR="00325B1A">
        <w:rPr>
          <w:lang w:val="en-US" w:eastAsia="en-AU"/>
        </w:rPr>
        <w:t xml:space="preserve"> </w:t>
      </w:r>
      <w:r w:rsidR="00B34C1D">
        <w:rPr>
          <w:lang w:val="en-US" w:eastAsia="en-AU"/>
        </w:rPr>
        <w:t xml:space="preserve">to support the Bail and Remand Court and the </w:t>
      </w:r>
      <w:r w:rsidR="00895192">
        <w:rPr>
          <w:lang w:val="en-US" w:eastAsia="en-AU"/>
        </w:rPr>
        <w:t>i</w:t>
      </w:r>
      <w:r w:rsidR="00B34C1D">
        <w:rPr>
          <w:lang w:val="en-US" w:eastAsia="en-AU"/>
        </w:rPr>
        <w:t>mplementation of Digital Legal Aid</w:t>
      </w:r>
      <w:r w:rsidR="00D52835">
        <w:rPr>
          <w:lang w:val="en-US" w:eastAsia="en-AU"/>
        </w:rPr>
        <w:t>, t</w:t>
      </w:r>
      <w:r w:rsidR="00B34C1D">
        <w:rPr>
          <w:lang w:val="en-US" w:eastAsia="en-AU"/>
        </w:rPr>
        <w:t>hese resources are targeted and cannot be used to meet the broader increases in demand for our services.</w:t>
      </w:r>
      <w:r w:rsidR="002F253E">
        <w:rPr>
          <w:lang w:val="en-US" w:eastAsia="en-AU"/>
        </w:rPr>
        <w:t xml:space="preserve"> </w:t>
      </w:r>
    </w:p>
    <w:p w14:paraId="7578A021" w14:textId="77D46654" w:rsidR="008C08D1" w:rsidRDefault="00532CB0" w:rsidP="001C1BE8">
      <w:r w:rsidRPr="00265D45">
        <w:t>D</w:t>
      </w:r>
      <w:r w:rsidR="00240ACB" w:rsidRPr="00265D45">
        <w:t xml:space="preserve">rawing on cash reserves </w:t>
      </w:r>
      <w:r w:rsidR="00FD667E" w:rsidRPr="00265D45">
        <w:t>is no</w:t>
      </w:r>
      <w:r w:rsidR="00240ACB" w:rsidRPr="00265D45">
        <w:t xml:space="preserve"> longer</w:t>
      </w:r>
      <w:r w:rsidR="00FD667E" w:rsidRPr="00265D45">
        <w:t xml:space="preserve"> </w:t>
      </w:r>
      <w:r w:rsidR="004119AC">
        <w:t>possible</w:t>
      </w:r>
      <w:r w:rsidR="008C08D1" w:rsidRPr="00265D45">
        <w:t xml:space="preserve"> to meet community demand for our services</w:t>
      </w:r>
      <w:r w:rsidR="00A23BF5" w:rsidRPr="00265D45">
        <w:t>.</w:t>
      </w:r>
      <w:r w:rsidR="004119AC">
        <w:t xml:space="preserve"> We are focused on a more sustainable strategy</w:t>
      </w:r>
      <w:r w:rsidR="003127FE">
        <w:t xml:space="preserve"> to enable us to reverse forecasted deficits</w:t>
      </w:r>
      <w:r w:rsidR="004119AC">
        <w:t>.</w:t>
      </w:r>
    </w:p>
    <w:p w14:paraId="1854B380" w14:textId="4CA0ACEA" w:rsidR="005539C2" w:rsidRDefault="007C6CD6" w:rsidP="004C48E2">
      <w:pPr>
        <w:pStyle w:val="Heading2"/>
      </w:pPr>
      <w:bookmarkStart w:id="22" w:name="_Toc20289974"/>
      <w:r>
        <w:t>Securing financial su</w:t>
      </w:r>
      <w:r w:rsidR="004C48E2">
        <w:t>stainability</w:t>
      </w:r>
      <w:bookmarkEnd w:id="22"/>
    </w:p>
    <w:p w14:paraId="25995551" w14:textId="518FD9C2" w:rsidR="00F30545" w:rsidRDefault="001C1BE8" w:rsidP="005433B8">
      <w:r>
        <w:t xml:space="preserve">Moving forward, we </w:t>
      </w:r>
      <w:r w:rsidRPr="00265D45">
        <w:t xml:space="preserve">plan to return to a balanced </w:t>
      </w:r>
      <w:r w:rsidR="003C6050" w:rsidRPr="00265D45">
        <w:t>budget,</w:t>
      </w:r>
      <w:r w:rsidRPr="00265D45">
        <w:t xml:space="preserve"> </w:t>
      </w:r>
      <w:r w:rsidR="00C93372" w:rsidRPr="00265D45">
        <w:t>and we are now taking active steps to secure our long term financial sustainability</w:t>
      </w:r>
      <w:r w:rsidR="003964D9" w:rsidRPr="00265D45">
        <w:t xml:space="preserve"> with the welcome assistance of the Department of Justice and Community Safety</w:t>
      </w:r>
      <w:r w:rsidR="001503C4">
        <w:t xml:space="preserve"> (DJCS)</w:t>
      </w:r>
      <w:r w:rsidR="00DA3E85">
        <w:t xml:space="preserve">, </w:t>
      </w:r>
      <w:r w:rsidR="003964D9">
        <w:t>while the government undertakes its review of base funding of departments and government funded agencies. The base review was an efficiencies commitment in the State Budget.</w:t>
      </w:r>
      <w:r w:rsidR="00F72DC6">
        <w:t xml:space="preserve"> We are also developing savings measures in</w:t>
      </w:r>
      <w:r w:rsidR="008848D1">
        <w:t xml:space="preserve"> the</w:t>
      </w:r>
      <w:r w:rsidR="00F72DC6">
        <w:t xml:space="preserve"> </w:t>
      </w:r>
      <w:r w:rsidR="00BD7D87">
        <w:t xml:space="preserve">absence </w:t>
      </w:r>
      <w:r w:rsidR="00F72DC6">
        <w:t>of additional funding to our base, which will be implemented later this financial year or next as needed.</w:t>
      </w:r>
      <w:r w:rsidR="003964D9">
        <w:t xml:space="preserve"> Some will be pursued as a matter of good </w:t>
      </w:r>
      <w:proofErr w:type="gramStart"/>
      <w:r w:rsidR="003964D9">
        <w:t>practice</w:t>
      </w:r>
      <w:r w:rsidR="00DB29B6">
        <w:t>,</w:t>
      </w:r>
      <w:proofErr w:type="gramEnd"/>
      <w:r w:rsidR="003964D9">
        <w:t xml:space="preserve"> some will </w:t>
      </w:r>
      <w:r w:rsidR="00716F4E">
        <w:t xml:space="preserve">be </w:t>
      </w:r>
      <w:r w:rsidR="003964D9">
        <w:t xml:space="preserve">subject to further consultation </w:t>
      </w:r>
      <w:r w:rsidR="00EB5F79">
        <w:t xml:space="preserve">with staff and our practice partners </w:t>
      </w:r>
      <w:r w:rsidR="003964D9">
        <w:t xml:space="preserve">and others will be subject to the outcome of the base </w:t>
      </w:r>
      <w:r w:rsidR="00EB5F79">
        <w:t xml:space="preserve">funding </w:t>
      </w:r>
      <w:r w:rsidR="003964D9">
        <w:t>review</w:t>
      </w:r>
      <w:r w:rsidR="00EB5F79">
        <w:t xml:space="preserve"> process. </w:t>
      </w:r>
      <w:r w:rsidR="00F72DC6">
        <w:t>T</w:t>
      </w:r>
      <w:r w:rsidR="00F55E5C">
        <w:t xml:space="preserve">he lack of certainty means </w:t>
      </w:r>
      <w:r w:rsidR="00EB5F79">
        <w:t xml:space="preserve">we must continue </w:t>
      </w:r>
      <w:r w:rsidR="003964D9">
        <w:t xml:space="preserve">our preparations for implementation </w:t>
      </w:r>
      <w:r w:rsidR="00EB5F79">
        <w:t xml:space="preserve">of our savings measures </w:t>
      </w:r>
      <w:r w:rsidR="003964D9">
        <w:t xml:space="preserve">during the second half of the year. </w:t>
      </w:r>
    </w:p>
    <w:p w14:paraId="1A9AA70C" w14:textId="41CE8314" w:rsidR="008015AE" w:rsidRDefault="00E325A4" w:rsidP="008015AE">
      <w:r>
        <w:t>This has</w:t>
      </w:r>
      <w:r w:rsidR="008015AE">
        <w:t xml:space="preserve"> been guided by the following principles:</w:t>
      </w:r>
    </w:p>
    <w:p w14:paraId="3A0745CF" w14:textId="286ACB5F" w:rsidR="008015AE" w:rsidRDefault="008848D1" w:rsidP="008015AE">
      <w:pPr>
        <w:pStyle w:val="ListParagraph"/>
        <w:numPr>
          <w:ilvl w:val="0"/>
          <w:numId w:val="19"/>
        </w:numPr>
      </w:pPr>
      <w:r>
        <w:t>p</w:t>
      </w:r>
      <w:r w:rsidR="008015AE">
        <w:t>rioritis</w:t>
      </w:r>
      <w:r w:rsidR="007B1223">
        <w:t>e</w:t>
      </w:r>
      <w:r w:rsidR="008015AE">
        <w:t xml:space="preserve"> internal savings and efficiency measures before external measures</w:t>
      </w:r>
    </w:p>
    <w:p w14:paraId="440DF6DB" w14:textId="020A6E14" w:rsidR="008015AE" w:rsidRDefault="008848D1" w:rsidP="008015AE">
      <w:pPr>
        <w:pStyle w:val="ListParagraph"/>
        <w:numPr>
          <w:ilvl w:val="0"/>
          <w:numId w:val="19"/>
        </w:numPr>
      </w:pPr>
      <w:r>
        <w:t>a</w:t>
      </w:r>
      <w:r w:rsidR="008015AE">
        <w:t>cknowledg</w:t>
      </w:r>
      <w:r w:rsidR="007B1223">
        <w:t>e</w:t>
      </w:r>
      <w:r w:rsidR="008015AE">
        <w:t xml:space="preserve"> and quantify the impact of the savings measures on staff, stakeholders and clients</w:t>
      </w:r>
    </w:p>
    <w:p w14:paraId="66C41589" w14:textId="2330D864" w:rsidR="008015AE" w:rsidRDefault="008848D1" w:rsidP="008015AE">
      <w:pPr>
        <w:pStyle w:val="ListParagraph"/>
        <w:numPr>
          <w:ilvl w:val="0"/>
          <w:numId w:val="19"/>
        </w:numPr>
      </w:pPr>
      <w:r>
        <w:t>d</w:t>
      </w:r>
      <w:r w:rsidR="006D1E72">
        <w:t xml:space="preserve">on’t </w:t>
      </w:r>
      <w:r w:rsidR="008015AE">
        <w:t>compromis</w:t>
      </w:r>
      <w:r w:rsidR="006D1E72">
        <w:t>e</w:t>
      </w:r>
      <w:r w:rsidR="008015AE">
        <w:t xml:space="preserve"> workload or wellbeing objectives</w:t>
      </w:r>
    </w:p>
    <w:p w14:paraId="0B7B0AC7" w14:textId="6AD4A6AF" w:rsidR="008015AE" w:rsidRDefault="008848D1" w:rsidP="008015AE">
      <w:pPr>
        <w:pStyle w:val="ListParagraph"/>
        <w:numPr>
          <w:ilvl w:val="0"/>
          <w:numId w:val="19"/>
        </w:numPr>
      </w:pPr>
      <w:r>
        <w:t>b</w:t>
      </w:r>
      <w:r w:rsidR="008015AE">
        <w:t>e transparent with staff and key stakeholders</w:t>
      </w:r>
    </w:p>
    <w:p w14:paraId="0A593E40" w14:textId="02A1636C" w:rsidR="008015AE" w:rsidRDefault="008848D1" w:rsidP="008015AE">
      <w:pPr>
        <w:pStyle w:val="ListParagraph"/>
        <w:numPr>
          <w:ilvl w:val="0"/>
          <w:numId w:val="19"/>
        </w:numPr>
      </w:pPr>
      <w:r>
        <w:t>d</w:t>
      </w:r>
      <w:r w:rsidR="006D1E72">
        <w:t>o n</w:t>
      </w:r>
      <w:r w:rsidR="008015AE">
        <w:t>ot tak</w:t>
      </w:r>
      <w:r w:rsidR="006D1E72">
        <w:t>e</w:t>
      </w:r>
      <w:r w:rsidR="008015AE">
        <w:t xml:space="preserve"> on new initiatives or projects unless adequate levels of funding </w:t>
      </w:r>
      <w:r w:rsidR="006420A8">
        <w:t xml:space="preserve">are </w:t>
      </w:r>
      <w:r w:rsidR="008015AE">
        <w:t>provided</w:t>
      </w:r>
    </w:p>
    <w:p w14:paraId="1CB5DB71" w14:textId="5341DE4E" w:rsidR="008015AE" w:rsidRDefault="008848D1" w:rsidP="008015AE">
      <w:pPr>
        <w:pStyle w:val="ListParagraph"/>
        <w:numPr>
          <w:ilvl w:val="0"/>
          <w:numId w:val="19"/>
        </w:numPr>
      </w:pPr>
      <w:r>
        <w:t>e</w:t>
      </w:r>
      <w:r w:rsidR="008015AE">
        <w:t>xclud</w:t>
      </w:r>
      <w:r w:rsidR="002C02B0">
        <w:t>e</w:t>
      </w:r>
      <w:r w:rsidR="008015AE">
        <w:t xml:space="preserve"> initiatives that have tied funding</w:t>
      </w:r>
    </w:p>
    <w:p w14:paraId="07B04EC1" w14:textId="20FA4586" w:rsidR="008015AE" w:rsidRDefault="008848D1" w:rsidP="00A20072">
      <w:pPr>
        <w:pStyle w:val="ListParagraph"/>
        <w:numPr>
          <w:ilvl w:val="0"/>
          <w:numId w:val="19"/>
        </w:numPr>
        <w:ind w:left="714" w:hanging="357"/>
      </w:pPr>
      <w:r>
        <w:t>u</w:t>
      </w:r>
      <w:r w:rsidR="008015AE">
        <w:t>tilis</w:t>
      </w:r>
      <w:r w:rsidR="002C02B0">
        <w:t>e</w:t>
      </w:r>
      <w:r w:rsidR="008015AE">
        <w:t xml:space="preserve"> tools such as the Client Priority and Capability Policy</w:t>
      </w:r>
      <w:r w:rsidR="00035F53">
        <w:t xml:space="preserve"> to </w:t>
      </w:r>
      <w:r w:rsidR="002F7956">
        <w:t xml:space="preserve">help </w:t>
      </w:r>
      <w:r w:rsidR="00724C68">
        <w:t>us in identifying the highest</w:t>
      </w:r>
      <w:r w:rsidR="00035F53">
        <w:t>-</w:t>
      </w:r>
      <w:r w:rsidR="00724C68">
        <w:t xml:space="preserve">need clients and most </w:t>
      </w:r>
      <w:r w:rsidR="000834E7">
        <w:t>effective</w:t>
      </w:r>
      <w:r w:rsidR="00724C68">
        <w:t xml:space="preserve"> use of funding</w:t>
      </w:r>
      <w:r w:rsidR="008015AE">
        <w:t xml:space="preserve">. </w:t>
      </w:r>
    </w:p>
    <w:p w14:paraId="411C5078" w14:textId="3FDDEC2D" w:rsidR="00A20072" w:rsidRPr="00A20072" w:rsidRDefault="00771670" w:rsidP="00A20072">
      <w:pPr>
        <w:rPr>
          <w:lang w:val="en-US" w:eastAsia="en-AU"/>
        </w:rPr>
      </w:pPr>
      <w:r>
        <w:rPr>
          <w:lang w:val="en-US" w:eastAsia="en-AU"/>
        </w:rPr>
        <w:lastRenderedPageBreak/>
        <w:t xml:space="preserve">It is also important that we seek to grow our revenue and not just manage our expenditure. In the coming year, we </w:t>
      </w:r>
      <w:r w:rsidR="00A20072" w:rsidRPr="00A20072">
        <w:rPr>
          <w:lang w:val="en-US" w:eastAsia="en-AU"/>
        </w:rPr>
        <w:t xml:space="preserve">will work with </w:t>
      </w:r>
      <w:r w:rsidR="005D2597">
        <w:rPr>
          <w:lang w:val="en-US" w:eastAsia="en-AU"/>
        </w:rPr>
        <w:t xml:space="preserve">the Department of Justice and Community Safety, other </w:t>
      </w:r>
      <w:r w:rsidR="005D2597" w:rsidRPr="00A20072">
        <w:rPr>
          <w:lang w:val="en-US" w:eastAsia="en-AU"/>
        </w:rPr>
        <w:t xml:space="preserve">Victorian </w:t>
      </w:r>
      <w:r w:rsidR="005D2597">
        <w:rPr>
          <w:lang w:val="en-US" w:eastAsia="en-AU"/>
        </w:rPr>
        <w:t xml:space="preserve">legal assistance </w:t>
      </w:r>
      <w:r w:rsidR="00A20072" w:rsidRPr="00A20072">
        <w:rPr>
          <w:lang w:val="en-US" w:eastAsia="en-AU"/>
        </w:rPr>
        <w:t xml:space="preserve">sector partners and the national Legal Aid Commissions to </w:t>
      </w:r>
      <w:r w:rsidR="00F72DC6">
        <w:rPr>
          <w:lang w:val="en-US" w:eastAsia="en-AU"/>
        </w:rPr>
        <w:t xml:space="preserve">assist with and support </w:t>
      </w:r>
      <w:r w:rsidR="00A20072" w:rsidRPr="00A20072">
        <w:rPr>
          <w:lang w:val="en-US" w:eastAsia="en-AU"/>
        </w:rPr>
        <w:t>negotiat</w:t>
      </w:r>
      <w:r w:rsidR="00F72DC6">
        <w:rPr>
          <w:lang w:val="en-US" w:eastAsia="en-AU"/>
        </w:rPr>
        <w:t>ions of</w:t>
      </w:r>
      <w:r w:rsidR="00A20072" w:rsidRPr="00A20072">
        <w:rPr>
          <w:lang w:val="en-US" w:eastAsia="en-AU"/>
        </w:rPr>
        <w:t xml:space="preserve"> </w:t>
      </w:r>
      <w:r w:rsidR="008425CD">
        <w:rPr>
          <w:lang w:val="en-US" w:eastAsia="en-AU"/>
        </w:rPr>
        <w:t>the next</w:t>
      </w:r>
      <w:r w:rsidR="00A20072" w:rsidRPr="00A20072">
        <w:rPr>
          <w:lang w:val="en-US" w:eastAsia="en-AU"/>
        </w:rPr>
        <w:t xml:space="preserve"> </w:t>
      </w:r>
      <w:r w:rsidR="002F7956">
        <w:rPr>
          <w:lang w:val="en-US" w:eastAsia="en-AU"/>
        </w:rPr>
        <w:t>n</w:t>
      </w:r>
      <w:r w:rsidR="00A20072" w:rsidRPr="00A20072">
        <w:rPr>
          <w:lang w:val="en-US" w:eastAsia="en-AU"/>
        </w:rPr>
        <w:t xml:space="preserve">ational </w:t>
      </w:r>
      <w:r w:rsidR="00735289">
        <w:rPr>
          <w:lang w:val="en-US" w:eastAsia="en-AU"/>
        </w:rPr>
        <w:t>a</w:t>
      </w:r>
      <w:r w:rsidR="00A20072" w:rsidRPr="00A20072">
        <w:rPr>
          <w:lang w:val="en-US" w:eastAsia="en-AU"/>
        </w:rPr>
        <w:t xml:space="preserve">greement </w:t>
      </w:r>
      <w:r w:rsidR="002F7956">
        <w:rPr>
          <w:lang w:val="en-US" w:eastAsia="en-AU"/>
        </w:rPr>
        <w:t xml:space="preserve">for legal assistance services </w:t>
      </w:r>
      <w:r w:rsidR="00A20072" w:rsidRPr="00A20072">
        <w:rPr>
          <w:lang w:val="en-US" w:eastAsia="en-AU"/>
        </w:rPr>
        <w:t xml:space="preserve">with the Commonwealth </w:t>
      </w:r>
      <w:r w:rsidR="003B60E2">
        <w:rPr>
          <w:lang w:val="en-US" w:eastAsia="en-AU"/>
        </w:rPr>
        <w:t>G</w:t>
      </w:r>
      <w:r w:rsidR="00A20072" w:rsidRPr="00A20072">
        <w:rPr>
          <w:lang w:val="en-US" w:eastAsia="en-AU"/>
        </w:rPr>
        <w:t xml:space="preserve">overnment. </w:t>
      </w:r>
      <w:r w:rsidR="00EB5F79" w:rsidRPr="009D454E">
        <w:rPr>
          <w:lang w:val="en-US" w:eastAsia="en-AU"/>
        </w:rPr>
        <w:t>We will seek an increase to our base</w:t>
      </w:r>
      <w:r w:rsidR="00EB5F79">
        <w:rPr>
          <w:lang w:val="en-US" w:eastAsia="en-AU"/>
        </w:rPr>
        <w:t xml:space="preserve"> </w:t>
      </w:r>
      <w:r w:rsidR="00EB5F79" w:rsidRPr="009D454E">
        <w:rPr>
          <w:lang w:val="en-US" w:eastAsia="en-AU"/>
        </w:rPr>
        <w:t>funding</w:t>
      </w:r>
      <w:r w:rsidR="00EB5F79">
        <w:rPr>
          <w:lang w:val="en-US" w:eastAsia="en-AU"/>
        </w:rPr>
        <w:t xml:space="preserve"> from the Commonwealth</w:t>
      </w:r>
      <w:r w:rsidR="002F7956">
        <w:rPr>
          <w:lang w:val="en-US" w:eastAsia="en-AU"/>
        </w:rPr>
        <w:t xml:space="preserve"> to meet the growing gap in our ability to address unmet legal need</w:t>
      </w:r>
      <w:r w:rsidR="00EB5F79" w:rsidRPr="009D454E">
        <w:rPr>
          <w:lang w:val="en-US" w:eastAsia="en-AU"/>
        </w:rPr>
        <w:t>, as well as increased transparency of the funding allocation model</w:t>
      </w:r>
      <w:r w:rsidR="00EB5F79">
        <w:rPr>
          <w:lang w:val="en-US" w:eastAsia="en-AU"/>
        </w:rPr>
        <w:t>.</w:t>
      </w:r>
    </w:p>
    <w:p w14:paraId="3C43ABB7" w14:textId="33E1A00B" w:rsidR="007F781E" w:rsidRDefault="007F781E" w:rsidP="007F781E">
      <w:pPr>
        <w:pStyle w:val="Heading2"/>
      </w:pPr>
      <w:bookmarkStart w:id="23" w:name="_Toc20289975"/>
      <w:r>
        <w:t>Setting our priorities</w:t>
      </w:r>
      <w:bookmarkEnd w:id="23"/>
      <w:r w:rsidR="00AD6E54">
        <w:t xml:space="preserve"> </w:t>
      </w:r>
    </w:p>
    <w:p w14:paraId="517C4F69" w14:textId="3C49DF26" w:rsidR="000862C2" w:rsidRPr="0084183F" w:rsidRDefault="00AD6E54" w:rsidP="00BE330A">
      <w:r>
        <w:t>W</w:t>
      </w:r>
      <w:r w:rsidR="008A28CD">
        <w:t xml:space="preserve">e have </w:t>
      </w:r>
      <w:r w:rsidR="008A28CD" w:rsidRPr="0084183F">
        <w:t>carefully</w:t>
      </w:r>
      <w:r w:rsidR="008A28CD">
        <w:t xml:space="preserve"> considered our priorities </w:t>
      </w:r>
      <w:r w:rsidR="007D48E9">
        <w:t xml:space="preserve">for the year ahead </w:t>
      </w:r>
      <w:r w:rsidR="008A28CD">
        <w:t>to ensure we are being financially responsible and sustainable</w:t>
      </w:r>
      <w:r w:rsidR="008848D1">
        <w:t>,</w:t>
      </w:r>
      <w:r w:rsidR="002F7956">
        <w:t xml:space="preserve"> while coordinating and delivering ongoing critical legal help to the Victorian community</w:t>
      </w:r>
      <w:r w:rsidR="008A28CD">
        <w:t xml:space="preserve">. </w:t>
      </w:r>
      <w:r w:rsidR="00CC15DE">
        <w:t>This plan</w:t>
      </w:r>
      <w:r w:rsidR="00316433">
        <w:t xml:space="preserve"> outlines</w:t>
      </w:r>
      <w:r w:rsidR="002C02B0">
        <w:t xml:space="preserve"> our </w:t>
      </w:r>
      <w:r w:rsidR="004B6B55">
        <w:t>performance targets</w:t>
      </w:r>
      <w:r w:rsidR="00CC15DE">
        <w:t xml:space="preserve"> and </w:t>
      </w:r>
      <w:r w:rsidR="00951F1B">
        <w:t>the work we</w:t>
      </w:r>
      <w:r w:rsidR="005D7F44">
        <w:t xml:space="preserve"> will</w:t>
      </w:r>
      <w:r w:rsidR="00CC15DE">
        <w:t xml:space="preserve"> </w:t>
      </w:r>
      <w:r w:rsidR="00951F1B">
        <w:t xml:space="preserve">prioritise </w:t>
      </w:r>
      <w:r w:rsidR="008A2567">
        <w:t>in 2019–20</w:t>
      </w:r>
      <w:r w:rsidR="001346B2">
        <w:t xml:space="preserve">. </w:t>
      </w:r>
      <w:r w:rsidR="00D91398">
        <w:t xml:space="preserve">Our priorities </w:t>
      </w:r>
      <w:r w:rsidR="002C02B0">
        <w:t xml:space="preserve">are modest, funded, and </w:t>
      </w:r>
      <w:r w:rsidR="00A62605">
        <w:t>support</w:t>
      </w:r>
      <w:r w:rsidR="002C02B0">
        <w:t xml:space="preserve"> the work necessary to </w:t>
      </w:r>
      <w:r w:rsidR="00EA5120">
        <w:t>meet our strategic goals</w:t>
      </w:r>
      <w:r w:rsidR="00612DDA">
        <w:t xml:space="preserve"> under </w:t>
      </w:r>
      <w:r w:rsidR="00612DDA" w:rsidRPr="00F81438">
        <w:rPr>
          <w:iCs/>
        </w:rPr>
        <w:t>Strategy 22</w:t>
      </w:r>
      <w:r w:rsidR="00612DDA">
        <w:t>.</w:t>
      </w:r>
      <w:r w:rsidR="00635E4C">
        <w:t xml:space="preserve"> Much of the work over the next 12 months reflects a continuation of work that has </w:t>
      </w:r>
      <w:r w:rsidR="00635E4C" w:rsidRPr="0084183F">
        <w:t>already commenced.</w:t>
      </w:r>
      <w:r w:rsidR="00FA4652" w:rsidRPr="0084183F">
        <w:t xml:space="preserve"> </w:t>
      </w:r>
    </w:p>
    <w:p w14:paraId="189F6981" w14:textId="7ADB7DF6" w:rsidR="003A041E" w:rsidRDefault="003A041E" w:rsidP="00BE330A">
      <w:r w:rsidRPr="0084183F">
        <w:t>Our pri</w:t>
      </w:r>
      <w:r w:rsidR="00951F1B" w:rsidRPr="0084183F">
        <w:t>orit</w:t>
      </w:r>
      <w:r w:rsidR="00AE3C8F" w:rsidRPr="0084183F">
        <w:t xml:space="preserve">ies </w:t>
      </w:r>
      <w:r w:rsidR="00622D8B" w:rsidRPr="0084183F">
        <w:t xml:space="preserve">are also consistent with the controls </w:t>
      </w:r>
      <w:r w:rsidR="00D73166" w:rsidRPr="0084183F">
        <w:t xml:space="preserve">to manage our risks </w:t>
      </w:r>
      <w:r w:rsidR="004E3FCC" w:rsidRPr="0084183F">
        <w:t>identified in</w:t>
      </w:r>
      <w:r w:rsidR="00D73166" w:rsidRPr="0084183F">
        <w:t xml:space="preserve"> our risk profile</w:t>
      </w:r>
      <w:r w:rsidR="001F1282" w:rsidRPr="0084183F">
        <w:t xml:space="preserve">, which </w:t>
      </w:r>
      <w:r w:rsidR="007D53A1" w:rsidRPr="0084183F">
        <w:t xml:space="preserve">is </w:t>
      </w:r>
      <w:r w:rsidR="001F1282" w:rsidRPr="0084183F">
        <w:t>a requirement of</w:t>
      </w:r>
      <w:r w:rsidR="002D6C6B" w:rsidRPr="0084183F">
        <w:t xml:space="preserve"> the</w:t>
      </w:r>
      <w:r w:rsidR="00886AD4" w:rsidRPr="0084183F">
        <w:t xml:space="preserve"> </w:t>
      </w:r>
      <w:r w:rsidR="00886AD4" w:rsidRPr="0084183F">
        <w:rPr>
          <w:sz w:val="21"/>
          <w:szCs w:val="21"/>
        </w:rPr>
        <w:t>Victorian Government Risk Management Framework</w:t>
      </w:r>
      <w:r w:rsidR="00D73166" w:rsidRPr="0084183F">
        <w:t>.</w:t>
      </w:r>
      <w:r w:rsidR="00764B56">
        <w:t xml:space="preserve"> </w:t>
      </w:r>
    </w:p>
    <w:p w14:paraId="17DD0F8F" w14:textId="77777777" w:rsidR="003A1C59" w:rsidRDefault="003A1C59">
      <w:pPr>
        <w:spacing w:after="0" w:line="240" w:lineRule="auto"/>
        <w:rPr>
          <w:rFonts w:cs="Arial"/>
          <w:b/>
          <w:bCs/>
          <w:color w:val="971A4B"/>
          <w:kern w:val="32"/>
          <w:sz w:val="32"/>
          <w:szCs w:val="32"/>
          <w:lang w:eastAsia="en-AU"/>
        </w:rPr>
      </w:pPr>
      <w:bookmarkStart w:id="24" w:name="_Toc9953202"/>
      <w:r>
        <w:br w:type="page"/>
      </w:r>
    </w:p>
    <w:p w14:paraId="25A3AF1E" w14:textId="4D036F99" w:rsidR="00D228E5" w:rsidRDefault="00E82830" w:rsidP="00FF28C4">
      <w:pPr>
        <w:pStyle w:val="Heading1"/>
      </w:pPr>
      <w:bookmarkStart w:id="25" w:name="_Toc20289976"/>
      <w:r>
        <w:lastRenderedPageBreak/>
        <w:t>Ou</w:t>
      </w:r>
      <w:r w:rsidR="00A2311B">
        <w:t xml:space="preserve">r </w:t>
      </w:r>
      <w:bookmarkStart w:id="26" w:name="_Toc9953203"/>
      <w:bookmarkEnd w:id="24"/>
      <w:r w:rsidR="00991B86">
        <w:t xml:space="preserve">client </w:t>
      </w:r>
      <w:r w:rsidR="004C1D32">
        <w:t>services</w:t>
      </w:r>
      <w:bookmarkEnd w:id="25"/>
      <w:r w:rsidR="00D228E5">
        <w:t xml:space="preserve"> </w:t>
      </w:r>
    </w:p>
    <w:p w14:paraId="60660B20" w14:textId="682D6CD5" w:rsidR="007D60B3" w:rsidRDefault="002C5FBA" w:rsidP="002C5FBA">
      <w:bookmarkStart w:id="27" w:name="_Table_1:_Client"/>
      <w:bookmarkEnd w:id="26"/>
      <w:bookmarkEnd w:id="27"/>
      <w:r>
        <w:t xml:space="preserve">Our services are carefully targeted to meet the diverse needs of our clients, many of whom face complex legal problems and experience </w:t>
      </w:r>
      <w:r w:rsidRPr="00E763FB">
        <w:t>language, literacy or cultural barriers, disability or other health issues, or social and geographic isolation</w:t>
      </w:r>
      <w:r>
        <w:t xml:space="preserve">. </w:t>
      </w:r>
    </w:p>
    <w:p w14:paraId="2BE9147E" w14:textId="7E215926" w:rsidR="00D55732" w:rsidRDefault="002C5FBA" w:rsidP="002C5FBA">
      <w:r>
        <w:t xml:space="preserve">We provide a continuum of different services to make the most efficient use of our resources. </w:t>
      </w:r>
    </w:p>
    <w:p w14:paraId="0A309AF7" w14:textId="153E8DE4" w:rsidR="00766F3A" w:rsidRDefault="00CF4A4F" w:rsidP="002C5FBA">
      <w:r>
        <w:rPr>
          <w:noProof/>
        </w:rPr>
        <w:drawing>
          <wp:inline distT="0" distB="0" distL="0" distR="0" wp14:anchorId="4CF38783" wp14:editId="5093E6D4">
            <wp:extent cx="4181475" cy="3333750"/>
            <wp:effectExtent l="0" t="0" r="9525" b="0"/>
            <wp:docPr id="2" name="Picture 2" descr="Information provided over the phone or in person, the VLA website and CLE publications are available to all and are the lowest intensity of service provided. Phone advice and Community Legal Education is provided to clients with any priority indicator. Minor work files, Duty Lawyer services and new client appointments are provided to people on low incomes, people in detention and children. Ongoing Casework is provided subject to Grant Guidelines meaning the number of clients eligible for this service is small, this category is the highest intensity of service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81475" cy="3333750"/>
                    </a:xfrm>
                    <a:prstGeom prst="rect">
                      <a:avLst/>
                    </a:prstGeom>
                    <a:noFill/>
                    <a:ln>
                      <a:noFill/>
                    </a:ln>
                  </pic:spPr>
                </pic:pic>
              </a:graphicData>
            </a:graphic>
          </wp:inline>
        </w:drawing>
      </w:r>
    </w:p>
    <w:p w14:paraId="4207CECA" w14:textId="66E1B231" w:rsidR="002C5FBA" w:rsidRDefault="002C5FBA" w:rsidP="00AD6137">
      <w:pPr>
        <w:pStyle w:val="Heading2"/>
      </w:pPr>
      <w:bookmarkStart w:id="28" w:name="_Toc20289977"/>
      <w:r>
        <w:t>Performance targets</w:t>
      </w:r>
      <w:bookmarkEnd w:id="28"/>
    </w:p>
    <w:p w14:paraId="409500B9" w14:textId="5E330B4D" w:rsidR="002C5FBA" w:rsidRDefault="000C7A18" w:rsidP="002C5FBA">
      <w:hyperlink w:anchor="_Table_1:_Snapshot" w:history="1">
        <w:r w:rsidR="008848D1" w:rsidRPr="00D63018">
          <w:rPr>
            <w:rStyle w:val="Hyperlink"/>
          </w:rPr>
          <w:t>Table 1</w:t>
        </w:r>
      </w:hyperlink>
      <w:r w:rsidR="001503C4">
        <w:t xml:space="preserve"> </w:t>
      </w:r>
      <w:r w:rsidR="002C5FBA">
        <w:t xml:space="preserve">provides an overview of our service delivery performance over the past </w:t>
      </w:r>
      <w:r w:rsidR="00F66CF7">
        <w:t xml:space="preserve">two </w:t>
      </w:r>
      <w:r w:rsidR="002C5FBA">
        <w:t xml:space="preserve">years and </w:t>
      </w:r>
      <w:r w:rsidR="00604F9D">
        <w:t xml:space="preserve">our </w:t>
      </w:r>
      <w:r w:rsidR="00474188">
        <w:t>targets for</w:t>
      </w:r>
      <w:r w:rsidR="002C5FBA">
        <w:t xml:space="preserve"> 2019–</w:t>
      </w:r>
      <w:r w:rsidR="003C6050">
        <w:t xml:space="preserve">20. </w:t>
      </w:r>
    </w:p>
    <w:p w14:paraId="24760CE5" w14:textId="596381BC" w:rsidR="00C57D17" w:rsidRDefault="00C57D17" w:rsidP="00C57D17">
      <w:r>
        <w:t>Continuing reforms to Legal Help will enable us to better target services to Victorians. We are expecting to continue to respond to more high priority clients by providing a greater number of complex and time intensive legal advice sessions. This will contribute to a decline in the total number of clients assisted by Legal Help this year due to longer call times and a shift in our resourcing model. We will keep expanding webchat as a service channel because for many people it’s a simple and effective way to access legal information and referrals: clients can use webchat anywhere on their mobile devices and wait time is much shorter than the phoneline.</w:t>
      </w:r>
      <w:r>
        <w:rPr>
          <w:rStyle w:val="FootnoteReference"/>
        </w:rPr>
        <w:footnoteReference w:id="2"/>
      </w:r>
      <w:r>
        <w:t xml:space="preserve"> This year, we anticipate up to 25,000 people</w:t>
      </w:r>
      <w:r w:rsidR="00A1084B">
        <w:t xml:space="preserve">, </w:t>
      </w:r>
      <w:r>
        <w:t>or around 20</w:t>
      </w:r>
      <w:r w:rsidR="00A1084B">
        <w:t xml:space="preserve"> per cent </w:t>
      </w:r>
      <w:r>
        <w:t>of Legal Help’s total client numbers</w:t>
      </w:r>
      <w:r w:rsidR="00A1084B">
        <w:t xml:space="preserve">, </w:t>
      </w:r>
      <w:r>
        <w:t xml:space="preserve">will seek </w:t>
      </w:r>
      <w:r w:rsidR="003B60E2">
        <w:t>and</w:t>
      </w:r>
      <w:r>
        <w:t xml:space="preserve"> receive assistance through webchat, diverting that demand away from the phoneline.</w:t>
      </w:r>
    </w:p>
    <w:p w14:paraId="5FD97439" w14:textId="77777777" w:rsidR="00C57D17" w:rsidRDefault="00C57D17" w:rsidP="00C57D17">
      <w:r>
        <w:t xml:space="preserve">Service demand remains high and we are forecasting a similar number of grants of aid when compared to the previous year, and small declines in duty lawyer services (less than one per cent) and the number of legal advice and minor assistance services (approximately five per cent) across a range of criminal, family law and child protection services. </w:t>
      </w:r>
    </w:p>
    <w:p w14:paraId="2BA20D87" w14:textId="11B6C584" w:rsidR="003A1C59" w:rsidRDefault="003A1C59" w:rsidP="005B79C1"/>
    <w:p w14:paraId="7A49950A" w14:textId="77777777" w:rsidR="00FD314D" w:rsidRPr="00E139E8" w:rsidRDefault="00FD314D" w:rsidP="00FD314D">
      <w:pPr>
        <w:rPr>
          <w:b/>
          <w:bCs/>
        </w:rPr>
      </w:pPr>
      <w:bookmarkStart w:id="29" w:name="_Table_1:_Snapshot"/>
      <w:bookmarkEnd w:id="29"/>
      <w:r w:rsidRPr="00E45E00">
        <w:rPr>
          <w:b/>
          <w:bCs/>
          <w:sz w:val="24"/>
          <w:szCs w:val="28"/>
        </w:rPr>
        <w:t>Table 1: Snapshot of key service performance</w:t>
      </w:r>
      <w:r>
        <w:rPr>
          <w:rStyle w:val="FootnoteReference"/>
          <w:b/>
          <w:bCs/>
        </w:rPr>
        <w:footnoteReference w:id="3"/>
      </w:r>
      <w:r w:rsidRPr="00E139E8">
        <w:rPr>
          <w:b/>
          <w:bCs/>
        </w:rPr>
        <w:t xml:space="preserv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89"/>
        <w:gridCol w:w="2360"/>
        <w:gridCol w:w="2360"/>
        <w:gridCol w:w="2361"/>
      </w:tblGrid>
      <w:tr w:rsidR="00BB00E9" w:rsidRPr="00454884" w14:paraId="014AA843" w14:textId="77777777" w:rsidTr="00F81438">
        <w:trPr>
          <w:cnfStyle w:val="100000000000" w:firstRow="1" w:lastRow="0" w:firstColumn="0" w:lastColumn="0" w:oddVBand="0" w:evenVBand="0" w:oddHBand="0" w:evenHBand="0" w:firstRowFirstColumn="0" w:firstRowLastColumn="0" w:lastRowFirstColumn="0" w:lastRowLastColumn="0"/>
          <w:cantSplit w:val="0"/>
          <w:trHeight w:val="442"/>
          <w:tblHeader w:val="0"/>
        </w:trPr>
        <w:tc>
          <w:tcPr>
            <w:cnfStyle w:val="000010000000" w:firstRow="0" w:lastRow="0" w:firstColumn="0" w:lastColumn="0" w:oddVBand="1"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D5D84D0" w14:textId="59481829" w:rsidR="00003CB7" w:rsidRPr="00F81438" w:rsidRDefault="00DA0DC6" w:rsidP="00BB65B7">
            <w:pPr>
              <w:rPr>
                <w:b/>
                <w:color w:val="auto"/>
                <w:szCs w:val="22"/>
              </w:rPr>
            </w:pPr>
            <w:r w:rsidRPr="00EB2507">
              <w:rPr>
                <w:b/>
                <w:color w:val="auto"/>
                <w:szCs w:val="22"/>
              </w:rPr>
              <w:t>Clients</w:t>
            </w:r>
          </w:p>
        </w:tc>
        <w:tc>
          <w:tcPr>
            <w:cnfStyle w:val="000001000000" w:firstRow="0" w:lastRow="0" w:firstColumn="0" w:lastColumn="0" w:oddVBand="0" w:evenVBand="1" w:oddHBand="0" w:evenHBand="0" w:firstRowFirstColumn="0" w:firstRowLastColumn="0" w:lastRowFirstColumn="0" w:lastRowLastColumn="0"/>
            <w:tcW w:w="23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7BD1799" w14:textId="6F9DEB53" w:rsidR="00003CB7" w:rsidRPr="00817AC6" w:rsidRDefault="00003CB7" w:rsidP="00F81438">
            <w:pPr>
              <w:jc w:val="right"/>
              <w:rPr>
                <w:b/>
                <w:color w:val="auto"/>
              </w:rPr>
            </w:pPr>
            <w:r w:rsidRPr="00817AC6">
              <w:rPr>
                <w:b/>
                <w:color w:val="auto"/>
              </w:rPr>
              <w:t>2017–18</w:t>
            </w:r>
            <w:r w:rsidR="00F66D44">
              <w:rPr>
                <w:b/>
                <w:color w:val="auto"/>
              </w:rPr>
              <w:t xml:space="preserve"> actual</w:t>
            </w:r>
          </w:p>
        </w:tc>
        <w:tc>
          <w:tcPr>
            <w:cnfStyle w:val="000010000000" w:firstRow="0" w:lastRow="0" w:firstColumn="0" w:lastColumn="0" w:oddVBand="1" w:evenVBand="0" w:oddHBand="0" w:evenHBand="0" w:firstRowFirstColumn="0" w:firstRowLastColumn="0" w:lastRowFirstColumn="0" w:lastRowLastColumn="0"/>
            <w:tcW w:w="23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6C3F221E" w14:textId="49BA66E3" w:rsidR="00003CB7" w:rsidRPr="00817AC6" w:rsidRDefault="00F67593" w:rsidP="00F81438">
            <w:pPr>
              <w:jc w:val="right"/>
              <w:rPr>
                <w:b/>
                <w:color w:val="auto"/>
              </w:rPr>
            </w:pPr>
            <w:r>
              <w:rPr>
                <w:b/>
                <w:color w:val="auto"/>
              </w:rPr>
              <w:t>2018–19</w:t>
            </w:r>
            <w:r w:rsidR="00F66D44">
              <w:rPr>
                <w:b/>
                <w:color w:val="auto"/>
              </w:rPr>
              <w:t xml:space="preserve"> </w:t>
            </w:r>
            <w:r w:rsidR="007416DC">
              <w:rPr>
                <w:b/>
                <w:color w:val="auto"/>
              </w:rPr>
              <w:t>actual</w:t>
            </w:r>
          </w:p>
        </w:tc>
        <w:tc>
          <w:tcPr>
            <w:cnfStyle w:val="000001000000" w:firstRow="0" w:lastRow="0" w:firstColumn="0" w:lastColumn="0" w:oddVBand="0" w:evenVBand="1" w:oddHBand="0" w:evenHBand="0" w:firstRowFirstColumn="0" w:firstRowLastColumn="0" w:lastRowFirstColumn="0" w:lastRowLastColumn="0"/>
            <w:tcW w:w="2361"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D0CDB6C" w14:textId="616F815A" w:rsidR="00003CB7" w:rsidRPr="00817AC6" w:rsidRDefault="00E428D9" w:rsidP="00F81438">
            <w:pPr>
              <w:jc w:val="right"/>
              <w:rPr>
                <w:b/>
                <w:color w:val="auto"/>
              </w:rPr>
            </w:pPr>
            <w:r>
              <w:rPr>
                <w:b/>
                <w:color w:val="auto"/>
              </w:rPr>
              <w:t>2019</w:t>
            </w:r>
            <w:r w:rsidR="00327AB1">
              <w:rPr>
                <w:b/>
                <w:color w:val="auto"/>
              </w:rPr>
              <w:t>–</w:t>
            </w:r>
            <w:r>
              <w:rPr>
                <w:b/>
                <w:color w:val="auto"/>
              </w:rPr>
              <w:t>20</w:t>
            </w:r>
            <w:r w:rsidR="005F3D6D">
              <w:rPr>
                <w:b/>
                <w:color w:val="auto"/>
              </w:rPr>
              <w:t xml:space="preserve"> target</w:t>
            </w:r>
          </w:p>
        </w:tc>
      </w:tr>
      <w:tr w:rsidR="00BB65B7" w:rsidRPr="00454884" w14:paraId="3C8234AB" w14:textId="77777777" w:rsidTr="00F81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9" w:type="dxa"/>
          </w:tcPr>
          <w:p w14:paraId="2825C6A4" w14:textId="4DEF853B" w:rsidR="00BB65B7" w:rsidRPr="00454884" w:rsidRDefault="00EE6A05" w:rsidP="00BB65B7">
            <w:r w:rsidRPr="00E139E8">
              <w:t>Unique clients</w:t>
            </w:r>
            <w:r>
              <w:rPr>
                <w:rStyle w:val="FootnoteReference"/>
              </w:rPr>
              <w:footnoteReference w:id="4"/>
            </w:r>
          </w:p>
        </w:tc>
        <w:tc>
          <w:tcPr>
            <w:cnfStyle w:val="000001000000" w:firstRow="0" w:lastRow="0" w:firstColumn="0" w:lastColumn="0" w:oddVBand="0" w:evenVBand="1" w:oddHBand="0" w:evenHBand="0" w:firstRowFirstColumn="0" w:firstRowLastColumn="0" w:lastRowFirstColumn="0" w:lastRowLastColumn="0"/>
            <w:tcW w:w="2360" w:type="dxa"/>
          </w:tcPr>
          <w:p w14:paraId="4C42532D" w14:textId="77777777" w:rsidR="00BB65B7" w:rsidRPr="00454884" w:rsidRDefault="00BB65B7" w:rsidP="00BB65B7">
            <w:pPr>
              <w:jc w:val="right"/>
            </w:pPr>
            <w:r w:rsidRPr="00454884">
              <w:t>94,485</w:t>
            </w:r>
          </w:p>
        </w:tc>
        <w:tc>
          <w:tcPr>
            <w:cnfStyle w:val="000010000000" w:firstRow="0" w:lastRow="0" w:firstColumn="0" w:lastColumn="0" w:oddVBand="1" w:evenVBand="0" w:oddHBand="0" w:evenHBand="0" w:firstRowFirstColumn="0" w:firstRowLastColumn="0" w:lastRowFirstColumn="0" w:lastRowLastColumn="0"/>
            <w:tcW w:w="2360" w:type="dxa"/>
          </w:tcPr>
          <w:p w14:paraId="277DC346" w14:textId="18CC1511" w:rsidR="00BB65B7" w:rsidRPr="00265D45" w:rsidRDefault="01663989" w:rsidP="01663989">
            <w:pPr>
              <w:jc w:val="right"/>
            </w:pPr>
            <w:r w:rsidRPr="00265D45">
              <w:t>10</w:t>
            </w:r>
            <w:r w:rsidR="00130D23" w:rsidRPr="00265D45">
              <w:t>0</w:t>
            </w:r>
            <w:r w:rsidRPr="00265D45">
              <w:t>,</w:t>
            </w:r>
            <w:r w:rsidR="00130D23" w:rsidRPr="00265D45">
              <w:t>061</w:t>
            </w:r>
          </w:p>
        </w:tc>
        <w:tc>
          <w:tcPr>
            <w:cnfStyle w:val="000001000000" w:firstRow="0" w:lastRow="0" w:firstColumn="0" w:lastColumn="0" w:oddVBand="0" w:evenVBand="1" w:oddHBand="0" w:evenHBand="0" w:firstRowFirstColumn="0" w:firstRowLastColumn="0" w:lastRowFirstColumn="0" w:lastRowLastColumn="0"/>
            <w:tcW w:w="2361" w:type="dxa"/>
          </w:tcPr>
          <w:p w14:paraId="1EB90F07" w14:textId="6850F328" w:rsidR="00BB65B7" w:rsidRPr="00FA316F" w:rsidRDefault="00130D23" w:rsidP="00BB65B7">
            <w:pPr>
              <w:jc w:val="right"/>
              <w:rPr>
                <w:highlight w:val="yellow"/>
              </w:rPr>
            </w:pPr>
            <w:r>
              <w:t>101,273</w:t>
            </w:r>
          </w:p>
        </w:tc>
      </w:tr>
    </w:tbl>
    <w:p w14:paraId="5641F860" w14:textId="3D4F728E" w:rsidR="003D449D" w:rsidRPr="00AF482C" w:rsidRDefault="003D449D" w:rsidP="00AF482C">
      <w:pPr>
        <w:spacing w:after="0" w:line="240" w:lineRule="auto"/>
        <w:rPr>
          <w:sz w:val="16"/>
          <w:szCs w:val="16"/>
        </w:rPr>
      </w:pPr>
    </w:p>
    <w:tbl>
      <w:tblPr>
        <w:tblStyle w:val="PlainTable2"/>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84"/>
        <w:gridCol w:w="2358"/>
        <w:gridCol w:w="2359"/>
        <w:gridCol w:w="2359"/>
      </w:tblGrid>
      <w:tr w:rsidR="00356868" w:rsidRPr="00454884" w14:paraId="52774E1E" w14:textId="77777777" w:rsidTr="00F81438">
        <w:trPr>
          <w:cnfStyle w:val="100000000000" w:firstRow="1" w:lastRow="0" w:firstColumn="0" w:lastColumn="0" w:oddVBand="0" w:evenVBand="0" w:oddHBand="0" w:evenHBand="0" w:firstRowFirstColumn="0" w:firstRowLastColumn="0" w:lastRowFirstColumn="0" w:lastRowLastColumn="0"/>
          <w:cantSplit w:val="0"/>
          <w:tblHeader w:val="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BDFF5" w14:textId="4CE08D64" w:rsidR="00356868" w:rsidRPr="00F81438" w:rsidRDefault="00356868" w:rsidP="000338D2">
            <w:pPr>
              <w:spacing w:before="240"/>
              <w:rPr>
                <w:b/>
                <w:bCs w:val="0"/>
              </w:rPr>
            </w:pPr>
            <w:r w:rsidRPr="00F81438">
              <w:rPr>
                <w:b/>
                <w:color w:val="000000" w:themeColor="text1"/>
              </w:rPr>
              <w:t>Independent Mental Health Advocacy</w:t>
            </w:r>
            <w:r>
              <w:rPr>
                <w:b/>
                <w:bCs w:val="0"/>
                <w:color w:val="000000" w:themeColor="text1"/>
              </w:rPr>
              <w:t xml:space="preserve"> (IMHA)</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B9F74" w14:textId="3FB0021C" w:rsidR="00356868" w:rsidRPr="00454884" w:rsidRDefault="00356868" w:rsidP="000338D2">
            <w:pPr>
              <w:spacing w:before="240"/>
              <w:jc w:val="right"/>
            </w:pPr>
            <w:r w:rsidRPr="00817AC6">
              <w:rPr>
                <w:b/>
                <w:color w:val="auto"/>
              </w:rPr>
              <w:t>2017–18</w:t>
            </w:r>
            <w:r>
              <w:rPr>
                <w:b/>
                <w:color w:val="auto"/>
              </w:rPr>
              <w:t xml:space="preserve"> actual</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12319" w14:textId="5E4DC33D" w:rsidR="00356868" w:rsidRPr="00FA316F" w:rsidRDefault="00356868" w:rsidP="000338D2">
            <w:pPr>
              <w:spacing w:before="240"/>
              <w:jc w:val="right"/>
              <w:rPr>
                <w:highlight w:val="yellow"/>
              </w:rPr>
            </w:pPr>
            <w:r>
              <w:rPr>
                <w:b/>
                <w:color w:val="auto"/>
              </w:rPr>
              <w:t>2018–19 actual</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C3699" w14:textId="6847D78B" w:rsidR="00356868" w:rsidRPr="00454884" w:rsidRDefault="00356868" w:rsidP="000338D2">
            <w:pPr>
              <w:spacing w:before="240"/>
              <w:jc w:val="right"/>
            </w:pPr>
            <w:r>
              <w:rPr>
                <w:b/>
                <w:color w:val="auto"/>
              </w:rPr>
              <w:t>2019–20 target</w:t>
            </w:r>
          </w:p>
        </w:tc>
      </w:tr>
      <w:tr w:rsidR="00CD72BF" w:rsidRPr="00454884" w14:paraId="5A03BA06" w14:textId="77777777" w:rsidTr="00F81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shd w:val="clear" w:color="auto" w:fill="auto"/>
          </w:tcPr>
          <w:p w14:paraId="10F34169" w14:textId="7C634FF2" w:rsidR="00CD72BF" w:rsidRPr="0084183F" w:rsidRDefault="00F57284" w:rsidP="000338D2">
            <w:pPr>
              <w:spacing w:before="240"/>
            </w:pPr>
            <w:r w:rsidRPr="0084183F">
              <w:t>High intensity</w:t>
            </w:r>
            <w:r>
              <w:rPr>
                <w:rStyle w:val="FootnoteReference"/>
              </w:rPr>
              <w:footnoteReference w:id="5"/>
            </w:r>
            <w:r w:rsidRPr="0084183F">
              <w:t xml:space="preserve"> occasions of service (advocacy and self-advocacy)</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auto"/>
          </w:tcPr>
          <w:p w14:paraId="683E0FCF" w14:textId="77777777" w:rsidR="00184AA8" w:rsidRDefault="00184AA8" w:rsidP="00184AA8">
            <w:pPr>
              <w:spacing w:before="240"/>
              <w:jc w:val="right"/>
            </w:pPr>
            <w:r>
              <w:t>8,301</w:t>
            </w:r>
          </w:p>
          <w:p w14:paraId="5F21153C" w14:textId="14A3BAB3" w:rsidR="00CD72BF" w:rsidRPr="00454884" w:rsidRDefault="00CD72BF" w:rsidP="000338D2">
            <w:pPr>
              <w:spacing w:before="240"/>
              <w:jc w:val="right"/>
            </w:pP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auto"/>
          </w:tcPr>
          <w:p w14:paraId="13389290" w14:textId="7668C224" w:rsidR="00CD72BF" w:rsidRPr="0084183F" w:rsidRDefault="00820330" w:rsidP="000338D2">
            <w:pPr>
              <w:spacing w:before="240"/>
              <w:jc w:val="right"/>
            </w:pPr>
            <w:r>
              <w:t>7,424</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auto"/>
          </w:tcPr>
          <w:p w14:paraId="7C5B6A23" w14:textId="0A1EB715" w:rsidR="00CD72BF" w:rsidRPr="00454884" w:rsidRDefault="00507670" w:rsidP="000338D2">
            <w:pPr>
              <w:spacing w:before="240"/>
              <w:jc w:val="right"/>
            </w:pPr>
            <w:r>
              <w:t>2,</w:t>
            </w:r>
            <w:r w:rsidR="00072BA6">
              <w:t>400</w:t>
            </w:r>
          </w:p>
        </w:tc>
      </w:tr>
      <w:tr w:rsidR="00CD72BF" w:rsidRPr="00454884" w14:paraId="1BA5AB89" w14:textId="77777777" w:rsidTr="00F814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shd w:val="clear" w:color="auto" w:fill="auto"/>
          </w:tcPr>
          <w:p w14:paraId="4428D11C" w14:textId="0FA9E143" w:rsidR="00CD72BF" w:rsidRPr="0084183F" w:rsidRDefault="00B6592B" w:rsidP="000338D2">
            <w:pPr>
              <w:spacing w:before="240"/>
            </w:pPr>
            <w:r w:rsidRPr="0084183F">
              <w:t>Low intensity</w:t>
            </w:r>
            <w:r>
              <w:rPr>
                <w:rStyle w:val="FootnoteReference"/>
              </w:rPr>
              <w:footnoteReference w:id="6"/>
            </w:r>
            <w:r w:rsidRPr="0084183F">
              <w:t xml:space="preserve"> occasions of service (information and referral)</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auto"/>
          </w:tcPr>
          <w:p w14:paraId="6CEAF736" w14:textId="5D65BD7A" w:rsidR="00CD72BF" w:rsidRPr="00454884" w:rsidRDefault="00FA2A38" w:rsidP="000338D2">
            <w:pPr>
              <w:spacing w:before="240"/>
              <w:jc w:val="right"/>
            </w:pPr>
            <w:r>
              <w:t>17,223</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auto"/>
          </w:tcPr>
          <w:p w14:paraId="0D1ABCDE" w14:textId="18DCEB9B" w:rsidR="00CD72BF" w:rsidRPr="0084183F" w:rsidRDefault="005420A5" w:rsidP="000338D2">
            <w:pPr>
              <w:spacing w:before="240"/>
              <w:jc w:val="right"/>
            </w:pPr>
            <w:r>
              <w:t>17,070</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auto"/>
          </w:tcPr>
          <w:p w14:paraId="55CC5A01" w14:textId="0731E416" w:rsidR="00CD72BF" w:rsidRPr="00454884" w:rsidRDefault="00072BA6" w:rsidP="000338D2">
            <w:pPr>
              <w:spacing w:before="240"/>
              <w:jc w:val="right"/>
            </w:pPr>
            <w:r w:rsidRPr="00072BA6">
              <w:t>7</w:t>
            </w:r>
            <w:r>
              <w:t>,500</w:t>
            </w:r>
          </w:p>
        </w:tc>
      </w:tr>
      <w:tr w:rsidR="00356868" w:rsidRPr="00454884" w14:paraId="132C1669" w14:textId="77777777" w:rsidTr="00F81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D065C" w14:textId="77777777" w:rsidR="00356868" w:rsidRPr="00BB65B7" w:rsidRDefault="00356868" w:rsidP="000338D2">
            <w:pPr>
              <w:spacing w:before="240"/>
            </w:pPr>
            <w:r w:rsidRPr="00BB65B7">
              <w:rPr>
                <w:b/>
              </w:rPr>
              <w:t>Preventative services</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9BE3B" w14:textId="46867CC5" w:rsidR="00356868" w:rsidRPr="00454884" w:rsidRDefault="00356868" w:rsidP="000338D2">
            <w:pPr>
              <w:spacing w:before="240"/>
              <w:jc w:val="right"/>
            </w:pPr>
            <w:r w:rsidRPr="00817AC6">
              <w:rPr>
                <w:b/>
              </w:rPr>
              <w:t>2017–18</w:t>
            </w:r>
            <w:r>
              <w:rPr>
                <w:b/>
              </w:rPr>
              <w:t xml:space="preserve"> actual</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3A9DD" w14:textId="306D5D05" w:rsidR="00356868" w:rsidRPr="00FA316F" w:rsidRDefault="00356868" w:rsidP="000338D2">
            <w:pPr>
              <w:spacing w:before="240"/>
              <w:jc w:val="right"/>
              <w:rPr>
                <w:highlight w:val="yellow"/>
              </w:rPr>
            </w:pPr>
            <w:r>
              <w:rPr>
                <w:b/>
              </w:rPr>
              <w:t>2018–19 actual</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84141" w14:textId="6E965F48" w:rsidR="00356868" w:rsidRPr="00454884" w:rsidRDefault="00356868" w:rsidP="000338D2">
            <w:pPr>
              <w:spacing w:before="240"/>
              <w:jc w:val="right"/>
            </w:pPr>
            <w:r>
              <w:rPr>
                <w:b/>
              </w:rPr>
              <w:t>2019–20 target</w:t>
            </w:r>
          </w:p>
        </w:tc>
      </w:tr>
      <w:tr w:rsidR="00003CB7" w:rsidRPr="00454884" w14:paraId="4676E6EA" w14:textId="77777777" w:rsidTr="00F814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1D646BAD" w14:textId="07AFA93A" w:rsidR="00003CB7" w:rsidRPr="00454884" w:rsidRDefault="00C1736D" w:rsidP="000338D2">
            <w:pPr>
              <w:spacing w:before="240"/>
            </w:pPr>
            <w:r w:rsidRPr="00454884">
              <w:t>Calls</w:t>
            </w:r>
            <w:r w:rsidR="00F9099A">
              <w:t xml:space="preserve"> and web chats</w:t>
            </w:r>
            <w:r w:rsidR="00B414FC">
              <w:t xml:space="preserve"> </w:t>
            </w:r>
            <w:r w:rsidR="00DA5347">
              <w:t>answered</w:t>
            </w:r>
            <w:r w:rsidR="00B414FC">
              <w:t xml:space="preserve"> by</w:t>
            </w:r>
            <w:r w:rsidRPr="00454884">
              <w:t xml:space="preserve"> our Legal Help service</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tcPr>
          <w:p w14:paraId="308381CC" w14:textId="6E4746B6" w:rsidR="00003CB7" w:rsidRPr="00454884" w:rsidRDefault="00A67ABB" w:rsidP="000338D2">
            <w:pPr>
              <w:spacing w:before="240"/>
              <w:jc w:val="right"/>
            </w:pPr>
            <w:r>
              <w:t>143,219</w:t>
            </w:r>
            <w:r>
              <w:rPr>
                <w:rStyle w:val="FootnoteReference"/>
              </w:rPr>
              <w:footnoteReference w:id="7"/>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4017408F" w14:textId="408C70A5" w:rsidR="00003CB7" w:rsidRPr="00A97FC3" w:rsidRDefault="00DA1573" w:rsidP="000338D2">
            <w:pPr>
              <w:spacing w:before="240"/>
              <w:jc w:val="right"/>
            </w:pPr>
            <w:r w:rsidRPr="00A97FC3">
              <w:t>140,224</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5714726F" w14:textId="38D00B09" w:rsidR="00003CB7" w:rsidRPr="00D70E61" w:rsidRDefault="00D2778E" w:rsidP="000338D2">
            <w:pPr>
              <w:spacing w:before="240"/>
              <w:jc w:val="right"/>
            </w:pPr>
            <w:r w:rsidRPr="007641A7">
              <w:t>127,123</w:t>
            </w:r>
          </w:p>
        </w:tc>
      </w:tr>
      <w:tr w:rsidR="00520633" w:rsidRPr="00454884" w14:paraId="41B5F33D" w14:textId="77777777" w:rsidTr="00F81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7A098D5B" w14:textId="5DC22CF0" w:rsidR="00520633" w:rsidRPr="00B67E78" w:rsidRDefault="00520633" w:rsidP="000338D2">
            <w:pPr>
              <w:spacing w:before="240"/>
            </w:pPr>
            <w:r>
              <w:t xml:space="preserve">Legal information services </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tcPr>
          <w:p w14:paraId="5B80E194" w14:textId="66CA34F1" w:rsidR="00520633" w:rsidRPr="00520633" w:rsidRDefault="00DA1573" w:rsidP="000338D2">
            <w:pPr>
              <w:spacing w:before="240"/>
              <w:jc w:val="right"/>
              <w:rPr>
                <w:highlight w:val="yellow"/>
              </w:rPr>
            </w:pPr>
            <w:r w:rsidRPr="00265D45">
              <w:t>124,976</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7A5ADEFA" w14:textId="765DFAEE" w:rsidR="00520633" w:rsidRPr="00265D45" w:rsidRDefault="00DA1573" w:rsidP="000338D2">
            <w:pPr>
              <w:spacing w:before="240"/>
              <w:jc w:val="right"/>
            </w:pPr>
            <w:r w:rsidRPr="00265D45">
              <w:t>122,761</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0B291276" w14:textId="0DE6C670" w:rsidR="00520633" w:rsidRPr="00265D45" w:rsidRDefault="00DA1573" w:rsidP="000338D2">
            <w:pPr>
              <w:spacing w:before="240"/>
              <w:jc w:val="right"/>
            </w:pPr>
            <w:r w:rsidRPr="00265D45">
              <w:t>122,461</w:t>
            </w:r>
          </w:p>
        </w:tc>
      </w:tr>
      <w:tr w:rsidR="00003CB7" w:rsidRPr="00454884" w14:paraId="59007EF3" w14:textId="77777777" w:rsidTr="00F814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5A8569A3" w14:textId="303A5C9E" w:rsidR="00003CB7" w:rsidRPr="00B67E78" w:rsidRDefault="006F744F" w:rsidP="000338D2">
            <w:pPr>
              <w:spacing w:before="240"/>
            </w:pPr>
            <w:r w:rsidRPr="00B67E78">
              <w:t>Community legal</w:t>
            </w:r>
            <w:r>
              <w:rPr>
                <w:rStyle w:val="FootnoteReference"/>
              </w:rPr>
              <w:footnoteReference w:id="8"/>
            </w:r>
            <w:r w:rsidRPr="00B67E78">
              <w:t xml:space="preserve"> education participants</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tcPr>
          <w:p w14:paraId="4B3268C2" w14:textId="3F70B72B" w:rsidR="00003CB7" w:rsidRPr="00454884" w:rsidRDefault="001A2FF9" w:rsidP="000338D2">
            <w:pPr>
              <w:spacing w:before="240"/>
              <w:jc w:val="right"/>
            </w:pPr>
            <w:r>
              <w:t>13,958</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67E9AC72" w14:textId="622FBA9F" w:rsidR="00003CB7" w:rsidRPr="00FA316F" w:rsidRDefault="00635E64" w:rsidP="000338D2">
            <w:pPr>
              <w:spacing w:before="240"/>
              <w:jc w:val="right"/>
              <w:rPr>
                <w:highlight w:val="yellow"/>
              </w:rPr>
            </w:pPr>
            <w:r w:rsidRPr="00265D45">
              <w:t>17,0</w:t>
            </w:r>
            <w:r>
              <w:t>65</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0A8986AE" w14:textId="1A21F480" w:rsidR="00003CB7" w:rsidRPr="00FA316F" w:rsidRDefault="00265D45" w:rsidP="000338D2">
            <w:pPr>
              <w:spacing w:before="240"/>
              <w:jc w:val="right"/>
              <w:rPr>
                <w:highlight w:val="yellow"/>
              </w:rPr>
            </w:pPr>
            <w:r w:rsidRPr="00265D45">
              <w:t>15,500</w:t>
            </w:r>
          </w:p>
        </w:tc>
      </w:tr>
      <w:tr w:rsidR="00400FA7" w:rsidRPr="00454884" w14:paraId="5A45826C" w14:textId="77777777" w:rsidTr="00F81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031323E5" w14:textId="08345B48" w:rsidR="00400FA7" w:rsidRPr="00B67E78" w:rsidRDefault="00400FA7" w:rsidP="000338D2">
            <w:pPr>
              <w:spacing w:before="240"/>
            </w:pPr>
            <w:r w:rsidRPr="00B67E78">
              <w:t>Community legal</w:t>
            </w:r>
            <w:r w:rsidR="00680DE2">
              <w:rPr>
                <w:rStyle w:val="FootnoteReference"/>
              </w:rPr>
              <w:footnoteReference w:id="9"/>
            </w:r>
            <w:r w:rsidRPr="00B67E78">
              <w:t xml:space="preserve"> education sessions</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tcPr>
          <w:p w14:paraId="1054C616" w14:textId="5C1742F9" w:rsidR="00400FA7" w:rsidRPr="00454884" w:rsidRDefault="00865CAA" w:rsidP="000338D2">
            <w:pPr>
              <w:spacing w:before="240"/>
              <w:jc w:val="right"/>
            </w:pPr>
            <w:r w:rsidRPr="00454884">
              <w:t>35</w:t>
            </w:r>
            <w:r>
              <w:t>9</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1F3FEED2" w14:textId="14C23DAF" w:rsidR="00400FA7" w:rsidRPr="00265D45" w:rsidRDefault="00265D45" w:rsidP="000338D2">
            <w:pPr>
              <w:spacing w:before="240"/>
              <w:jc w:val="right"/>
            </w:pPr>
            <w:r w:rsidRPr="00265D45">
              <w:t>556</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72B9BAF0" w14:textId="76E01766" w:rsidR="00400FA7" w:rsidRPr="00265D45" w:rsidRDefault="00265D45" w:rsidP="000338D2">
            <w:pPr>
              <w:spacing w:before="240"/>
              <w:jc w:val="right"/>
            </w:pPr>
            <w:r w:rsidRPr="00265D45">
              <w:t>440</w:t>
            </w:r>
          </w:p>
        </w:tc>
      </w:tr>
      <w:tr w:rsidR="00400FA7" w:rsidRPr="00454884" w14:paraId="06B7D6E5" w14:textId="77777777" w:rsidTr="00F814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37A93F2E" w14:textId="3ECA555B" w:rsidR="00400FA7" w:rsidRPr="00454884" w:rsidRDefault="001C650F" w:rsidP="000338D2">
            <w:pPr>
              <w:spacing w:before="240"/>
            </w:pPr>
            <w:r w:rsidRPr="004A5E84">
              <w:lastRenderedPageBreak/>
              <w:t>Sessions on our website</w:t>
            </w:r>
            <w:r>
              <w:rPr>
                <w:rStyle w:val="FootnoteReference"/>
              </w:rPr>
              <w:footnoteReference w:id="10"/>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tcPr>
          <w:p w14:paraId="72E9884C" w14:textId="77777777" w:rsidR="00400FA7" w:rsidRPr="00454884" w:rsidRDefault="00400FA7" w:rsidP="000338D2">
            <w:pPr>
              <w:spacing w:before="240"/>
              <w:jc w:val="right"/>
            </w:pPr>
            <w:r w:rsidRPr="00454884">
              <w:t>2,268,256</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041EBB7B" w14:textId="03A85D06" w:rsidR="00400FA7" w:rsidRPr="000C2E87" w:rsidRDefault="000C2E87" w:rsidP="000338D2">
            <w:pPr>
              <w:spacing w:before="240"/>
              <w:jc w:val="right"/>
            </w:pPr>
            <w:r w:rsidRPr="000C2E87">
              <w:t>2,583,255</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2A0B1881" w14:textId="70B16520" w:rsidR="00400FA7" w:rsidRPr="00454884" w:rsidRDefault="00323D66" w:rsidP="000338D2">
            <w:pPr>
              <w:spacing w:before="240"/>
              <w:jc w:val="right"/>
            </w:pPr>
            <w:r>
              <w:t>2,</w:t>
            </w:r>
            <w:r w:rsidR="000A7049">
              <w:t>400,000</w:t>
            </w:r>
          </w:p>
        </w:tc>
      </w:tr>
      <w:tr w:rsidR="00356868" w:rsidRPr="00454884" w14:paraId="18A4863D" w14:textId="77777777" w:rsidTr="00F81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E4D46" w14:textId="77777777" w:rsidR="00356868" w:rsidRPr="00BB65B7" w:rsidRDefault="00356868" w:rsidP="000338D2">
            <w:pPr>
              <w:spacing w:before="240"/>
            </w:pPr>
            <w:r w:rsidRPr="00BB65B7">
              <w:rPr>
                <w:b/>
              </w:rPr>
              <w:t>Early intervention services</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774256" w14:textId="2E8B37F3" w:rsidR="00356868" w:rsidRPr="00454884" w:rsidRDefault="00356868" w:rsidP="000338D2">
            <w:pPr>
              <w:spacing w:before="240"/>
              <w:jc w:val="right"/>
            </w:pPr>
            <w:r w:rsidRPr="00817AC6">
              <w:rPr>
                <w:b/>
              </w:rPr>
              <w:t>2017–18</w:t>
            </w:r>
            <w:r>
              <w:rPr>
                <w:b/>
              </w:rPr>
              <w:t xml:space="preserve"> actual</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3890CB" w14:textId="2DEE3B12" w:rsidR="00356868" w:rsidRPr="00FA316F" w:rsidRDefault="00356868" w:rsidP="000338D2">
            <w:pPr>
              <w:spacing w:before="240"/>
              <w:jc w:val="right"/>
              <w:rPr>
                <w:highlight w:val="yellow"/>
              </w:rPr>
            </w:pPr>
            <w:r>
              <w:rPr>
                <w:b/>
              </w:rPr>
              <w:t>2018–19 actual</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79463" w14:textId="275CFA8E" w:rsidR="00356868" w:rsidRPr="00454884" w:rsidRDefault="00356868" w:rsidP="000338D2">
            <w:pPr>
              <w:spacing w:before="240"/>
              <w:jc w:val="right"/>
            </w:pPr>
            <w:r>
              <w:rPr>
                <w:b/>
              </w:rPr>
              <w:t>2019–20 target</w:t>
            </w:r>
          </w:p>
        </w:tc>
      </w:tr>
      <w:tr w:rsidR="00400FA7" w:rsidRPr="00454884" w14:paraId="0F9274F2" w14:textId="77777777" w:rsidTr="00F814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7ABE97C4" w14:textId="77777777" w:rsidR="00400FA7" w:rsidRPr="00454884" w:rsidRDefault="00400FA7" w:rsidP="000338D2">
            <w:pPr>
              <w:spacing w:before="240"/>
            </w:pPr>
            <w:r w:rsidRPr="00454884">
              <w:t>Legal advice, minor assistance and advocacy</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tcPr>
          <w:p w14:paraId="7CD13096" w14:textId="38A19150" w:rsidR="00400FA7" w:rsidRPr="00454884" w:rsidRDefault="00356868" w:rsidP="000338D2">
            <w:pPr>
              <w:spacing w:before="240"/>
              <w:jc w:val="right"/>
            </w:pPr>
            <w:r w:rsidRPr="00454884">
              <w:t>41,</w:t>
            </w:r>
            <w:r>
              <w:t>901</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0041EA66" w14:textId="50381C35" w:rsidR="00400FA7" w:rsidRPr="00FA316F" w:rsidRDefault="000C2E87" w:rsidP="000338D2">
            <w:pPr>
              <w:spacing w:before="240"/>
              <w:jc w:val="right"/>
              <w:rPr>
                <w:highlight w:val="yellow"/>
              </w:rPr>
            </w:pPr>
            <w:r w:rsidRPr="00E56203">
              <w:t>4</w:t>
            </w:r>
            <w:r>
              <w:t>7,438</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7BCA00ED" w14:textId="6E12BFB4" w:rsidR="00400FA7" w:rsidRPr="00454884" w:rsidRDefault="00405A63" w:rsidP="000338D2">
            <w:pPr>
              <w:spacing w:before="240"/>
              <w:jc w:val="right"/>
            </w:pPr>
            <w:r w:rsidRPr="007641A7">
              <w:t>44,975</w:t>
            </w:r>
          </w:p>
        </w:tc>
      </w:tr>
      <w:tr w:rsidR="00356868" w:rsidRPr="00454884" w14:paraId="30ECE06C" w14:textId="77777777" w:rsidTr="00F81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361EB" w14:textId="77777777" w:rsidR="00356868" w:rsidRPr="00BB65B7" w:rsidRDefault="00356868" w:rsidP="000338D2">
            <w:pPr>
              <w:spacing w:before="240"/>
            </w:pPr>
            <w:r w:rsidRPr="00BB65B7">
              <w:rPr>
                <w:b/>
              </w:rPr>
              <w:t>Family Dispute Resolution Service</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902A8B" w14:textId="3E6BEA92" w:rsidR="00356868" w:rsidRPr="00454884" w:rsidRDefault="00356868" w:rsidP="000338D2">
            <w:pPr>
              <w:spacing w:before="240"/>
              <w:jc w:val="right"/>
            </w:pPr>
            <w:r w:rsidRPr="00817AC6">
              <w:rPr>
                <w:b/>
              </w:rPr>
              <w:t>2017–18</w:t>
            </w:r>
            <w:r>
              <w:rPr>
                <w:b/>
              </w:rPr>
              <w:t xml:space="preserve"> actual</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D0859" w14:textId="4D12BEFA" w:rsidR="00356868" w:rsidRPr="00FA316F" w:rsidRDefault="00356868" w:rsidP="000338D2">
            <w:pPr>
              <w:spacing w:before="240"/>
              <w:jc w:val="right"/>
              <w:rPr>
                <w:highlight w:val="yellow"/>
              </w:rPr>
            </w:pPr>
            <w:r>
              <w:rPr>
                <w:b/>
              </w:rPr>
              <w:t>2018–19 actual</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62B6D" w14:textId="633551CA" w:rsidR="00356868" w:rsidRPr="00454884" w:rsidRDefault="00356868" w:rsidP="000338D2">
            <w:pPr>
              <w:spacing w:before="240"/>
              <w:jc w:val="right"/>
            </w:pPr>
            <w:r>
              <w:rPr>
                <w:b/>
              </w:rPr>
              <w:t>2019–20 target</w:t>
            </w:r>
          </w:p>
        </w:tc>
      </w:tr>
      <w:tr w:rsidR="00400FA7" w:rsidRPr="00454884" w14:paraId="30300C3D" w14:textId="77777777" w:rsidTr="00F814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0A6A5153" w14:textId="77777777" w:rsidR="00400FA7" w:rsidRPr="00454884" w:rsidRDefault="00400FA7" w:rsidP="000338D2">
            <w:pPr>
              <w:spacing w:before="240"/>
            </w:pPr>
            <w:r w:rsidRPr="00473A93">
              <w:t>Number of conferences</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tcPr>
          <w:p w14:paraId="2BBE9892" w14:textId="037122CD" w:rsidR="00400FA7" w:rsidRPr="00454884" w:rsidRDefault="00C20BD5" w:rsidP="000338D2">
            <w:pPr>
              <w:spacing w:before="240"/>
              <w:jc w:val="right"/>
            </w:pPr>
            <w:r w:rsidRPr="00454884">
              <w:t>1,0</w:t>
            </w:r>
            <w:r>
              <w:t>10</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49EFF474" w14:textId="414F519E" w:rsidR="00400FA7" w:rsidRPr="00FA316F" w:rsidRDefault="000C2E87" w:rsidP="000338D2">
            <w:pPr>
              <w:spacing w:before="240"/>
              <w:jc w:val="right"/>
              <w:rPr>
                <w:highlight w:val="yellow"/>
              </w:rPr>
            </w:pPr>
            <w:r w:rsidRPr="000C2E87">
              <w:t>1010</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1581D0B2" w14:textId="493200AE" w:rsidR="00400FA7" w:rsidRPr="00454884" w:rsidRDefault="00D70EA4" w:rsidP="000338D2">
            <w:pPr>
              <w:spacing w:before="240"/>
              <w:jc w:val="right"/>
            </w:pPr>
            <w:r>
              <w:t>1,000</w:t>
            </w:r>
          </w:p>
        </w:tc>
      </w:tr>
      <w:tr w:rsidR="00356868" w:rsidRPr="00454884" w14:paraId="7FFE9FB8" w14:textId="77777777" w:rsidTr="00F81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3CA23" w14:textId="47C77C36" w:rsidR="00356868" w:rsidRPr="00F06A1B" w:rsidRDefault="00356868" w:rsidP="000338D2">
            <w:pPr>
              <w:spacing w:before="240"/>
            </w:pPr>
            <w:r>
              <w:rPr>
                <w:b/>
              </w:rPr>
              <w:t>Legal assistance at courts or tribunals</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E8858" w14:textId="4F484EB1" w:rsidR="00356868" w:rsidRPr="00454884" w:rsidRDefault="00356868" w:rsidP="000338D2">
            <w:pPr>
              <w:spacing w:before="240"/>
              <w:jc w:val="right"/>
            </w:pPr>
            <w:r w:rsidRPr="00817AC6">
              <w:rPr>
                <w:b/>
              </w:rPr>
              <w:t>2017–18</w:t>
            </w:r>
            <w:r>
              <w:rPr>
                <w:b/>
              </w:rPr>
              <w:t xml:space="preserve"> actual</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15389" w14:textId="23FFC474" w:rsidR="00356868" w:rsidRPr="00FA316F" w:rsidRDefault="00356868" w:rsidP="000338D2">
            <w:pPr>
              <w:spacing w:before="240"/>
              <w:jc w:val="right"/>
              <w:rPr>
                <w:highlight w:val="yellow"/>
              </w:rPr>
            </w:pPr>
            <w:r>
              <w:rPr>
                <w:b/>
              </w:rPr>
              <w:t>2018–19 actual</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E981F" w14:textId="26205C0D" w:rsidR="00356868" w:rsidRPr="00454884" w:rsidRDefault="00356868" w:rsidP="000338D2">
            <w:pPr>
              <w:spacing w:before="240"/>
              <w:jc w:val="right"/>
            </w:pPr>
            <w:r>
              <w:rPr>
                <w:b/>
              </w:rPr>
              <w:t>2019–20 target</w:t>
            </w:r>
          </w:p>
        </w:tc>
      </w:tr>
      <w:tr w:rsidR="00400FA7" w:rsidRPr="00454884" w14:paraId="4245A5BF" w14:textId="77777777" w:rsidTr="00F814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66425A77" w14:textId="63938CC2" w:rsidR="00400FA7" w:rsidRPr="00454884" w:rsidRDefault="00761B65" w:rsidP="000338D2">
            <w:pPr>
              <w:spacing w:before="240"/>
            </w:pPr>
            <w:r>
              <w:t>D</w:t>
            </w:r>
            <w:r w:rsidRPr="00454884">
              <w:t>uty lawyer services</w:t>
            </w:r>
            <w:r>
              <w:rPr>
                <w:rStyle w:val="FootnoteReference"/>
              </w:rPr>
              <w:footnoteReference w:id="11"/>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tcPr>
          <w:p w14:paraId="1A95748E" w14:textId="3B568BBB" w:rsidR="00400FA7" w:rsidRPr="00454884" w:rsidRDefault="00400FA7" w:rsidP="000338D2">
            <w:pPr>
              <w:spacing w:before="240"/>
              <w:jc w:val="right"/>
            </w:pPr>
            <w:r>
              <w:t>93,564</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72A51F95" w14:textId="7584AC37" w:rsidR="00400FA7" w:rsidRPr="00FA316F" w:rsidRDefault="004A752D" w:rsidP="000338D2">
            <w:pPr>
              <w:spacing w:before="240"/>
              <w:jc w:val="right"/>
              <w:rPr>
                <w:highlight w:val="yellow"/>
              </w:rPr>
            </w:pPr>
            <w:r w:rsidRPr="00072BA6">
              <w:t>97,796</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43B99994" w14:textId="7DCFA739" w:rsidR="00400FA7" w:rsidRPr="00FA316F" w:rsidRDefault="004A752D" w:rsidP="000338D2">
            <w:pPr>
              <w:spacing w:before="240"/>
              <w:jc w:val="right"/>
              <w:rPr>
                <w:highlight w:val="yellow"/>
              </w:rPr>
            </w:pPr>
            <w:r>
              <w:t>95,454</w:t>
            </w:r>
          </w:p>
        </w:tc>
      </w:tr>
      <w:tr w:rsidR="00356868" w:rsidRPr="00454884" w14:paraId="6618BAF5" w14:textId="77777777" w:rsidTr="00F81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23518" w14:textId="0092186D" w:rsidR="00356868" w:rsidRPr="002962DE" w:rsidRDefault="00356868" w:rsidP="000338D2">
            <w:pPr>
              <w:spacing w:before="240"/>
            </w:pPr>
            <w:r w:rsidRPr="002962DE">
              <w:rPr>
                <w:b/>
              </w:rPr>
              <w:t>Legal representation</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B9224" w14:textId="18F86F44" w:rsidR="00356868" w:rsidRPr="00454884" w:rsidRDefault="00356868" w:rsidP="000338D2">
            <w:pPr>
              <w:spacing w:before="240"/>
              <w:jc w:val="right"/>
            </w:pPr>
            <w:r w:rsidRPr="00817AC6">
              <w:rPr>
                <w:b/>
              </w:rPr>
              <w:t>2017–18</w:t>
            </w:r>
            <w:r>
              <w:rPr>
                <w:b/>
              </w:rPr>
              <w:t xml:space="preserve"> actual</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2404D" w14:textId="0DD13EAD" w:rsidR="00356868" w:rsidRPr="00FA316F" w:rsidRDefault="00356868" w:rsidP="000338D2">
            <w:pPr>
              <w:spacing w:before="240"/>
              <w:jc w:val="right"/>
              <w:rPr>
                <w:highlight w:val="yellow"/>
              </w:rPr>
            </w:pPr>
            <w:r>
              <w:rPr>
                <w:b/>
              </w:rPr>
              <w:t>2018–19 actual</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99FEB" w14:textId="2F5E2474" w:rsidR="00356868" w:rsidRPr="00FA316F" w:rsidRDefault="00356868" w:rsidP="000338D2">
            <w:pPr>
              <w:spacing w:before="240"/>
              <w:jc w:val="right"/>
              <w:rPr>
                <w:highlight w:val="yellow"/>
              </w:rPr>
            </w:pPr>
            <w:r>
              <w:rPr>
                <w:b/>
              </w:rPr>
              <w:t>2019–20 target</w:t>
            </w:r>
          </w:p>
        </w:tc>
      </w:tr>
      <w:tr w:rsidR="00400FA7" w:rsidRPr="00454884" w14:paraId="4245FF87" w14:textId="77777777" w:rsidTr="00F814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5DC938DF" w14:textId="77777777" w:rsidR="00400FA7" w:rsidRPr="00454884" w:rsidRDefault="00400FA7" w:rsidP="000338D2">
            <w:pPr>
              <w:spacing w:before="240"/>
            </w:pPr>
            <w:r w:rsidRPr="00454884">
              <w:t>Grants of legal assistance</w:t>
            </w:r>
          </w:p>
        </w:tc>
        <w:tc>
          <w:tcPr>
            <w:cnfStyle w:val="000001000000" w:firstRow="0" w:lastRow="0" w:firstColumn="0" w:lastColumn="0" w:oddVBand="0" w:evenVBand="1"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tcPr>
          <w:p w14:paraId="0B97A41F" w14:textId="2650CBDF" w:rsidR="00400FA7" w:rsidRPr="00454884" w:rsidRDefault="006E5354" w:rsidP="000338D2">
            <w:pPr>
              <w:spacing w:before="240"/>
              <w:jc w:val="right"/>
            </w:pPr>
            <w:r>
              <w:t>43,095</w:t>
            </w:r>
          </w:p>
        </w:tc>
        <w:tc>
          <w:tcPr>
            <w:cnfStyle w:val="000010000000" w:firstRow="0" w:lastRow="0" w:firstColumn="0" w:lastColumn="0" w:oddVBand="1" w:evenVBand="0"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537FFC52" w14:textId="52E28841" w:rsidR="00400FA7" w:rsidRPr="00FA316F" w:rsidRDefault="004A752D" w:rsidP="000338D2">
            <w:pPr>
              <w:spacing w:before="240"/>
              <w:jc w:val="right"/>
              <w:rPr>
                <w:highlight w:val="yellow"/>
              </w:rPr>
            </w:pPr>
            <w:r w:rsidRPr="00072BA6">
              <w:t>45,180</w:t>
            </w:r>
          </w:p>
        </w:tc>
        <w:tc>
          <w:tcPr>
            <w:cnfStyle w:val="000001000000" w:firstRow="0" w:lastRow="0" w:firstColumn="0" w:lastColumn="0" w:oddVBand="0" w:evenVBand="1" w:oddHBand="0" w:evenHBand="0" w:firstRowFirstColumn="0" w:firstRowLastColumn="0" w:lastRowFirstColumn="0" w:lastRowLastColumn="0"/>
            <w:tcW w:w="2359" w:type="dxa"/>
            <w:tcBorders>
              <w:top w:val="single" w:sz="4" w:space="0" w:color="auto"/>
              <w:left w:val="single" w:sz="4" w:space="0" w:color="auto"/>
              <w:bottom w:val="single" w:sz="4" w:space="0" w:color="auto"/>
              <w:right w:val="single" w:sz="4" w:space="0" w:color="auto"/>
            </w:tcBorders>
          </w:tcPr>
          <w:p w14:paraId="6FFFC56E" w14:textId="579206DE" w:rsidR="00400FA7" w:rsidRPr="00D70E61" w:rsidRDefault="004A752D" w:rsidP="000338D2">
            <w:pPr>
              <w:spacing w:before="240"/>
              <w:jc w:val="right"/>
            </w:pPr>
            <w:r>
              <w:t>45,643</w:t>
            </w:r>
          </w:p>
        </w:tc>
      </w:tr>
    </w:tbl>
    <w:p w14:paraId="201B7312" w14:textId="4695E13A" w:rsidR="008950AD" w:rsidRPr="00907AC5" w:rsidRDefault="008950AD" w:rsidP="008950AD">
      <w:pPr>
        <w:pStyle w:val="Heading3"/>
        <w:rPr>
          <w:iCs/>
          <w:color w:val="971A4B"/>
          <w:sz w:val="28"/>
          <w:szCs w:val="28"/>
        </w:rPr>
      </w:pPr>
      <w:r w:rsidRPr="00907AC5">
        <w:rPr>
          <w:iCs/>
          <w:color w:val="971A4B"/>
          <w:sz w:val="28"/>
          <w:szCs w:val="28"/>
        </w:rPr>
        <w:t>Legal assistance sector</w:t>
      </w:r>
    </w:p>
    <w:p w14:paraId="581A3DB9" w14:textId="58AA92EA" w:rsidR="008950AD" w:rsidRPr="00CD342B" w:rsidRDefault="008950AD" w:rsidP="008950AD">
      <w:pPr>
        <w:spacing w:line="256" w:lineRule="auto"/>
        <w:contextualSpacing/>
        <w:rPr>
          <w:rFonts w:eastAsia="Calibri" w:cs="Arial"/>
        </w:rPr>
      </w:pPr>
      <w:r>
        <w:rPr>
          <w:rFonts w:eastAsia="Calibri" w:cs="Arial"/>
        </w:rPr>
        <w:t>We deliver</w:t>
      </w:r>
      <w:r w:rsidRPr="00CD342B">
        <w:rPr>
          <w:rFonts w:eastAsia="Calibri" w:cs="Arial"/>
        </w:rPr>
        <w:t xml:space="preserve"> legal services through a mixed model of service delivery</w:t>
      </w:r>
      <w:r>
        <w:rPr>
          <w:rFonts w:eastAsia="Calibri" w:cs="Arial"/>
        </w:rPr>
        <w:t xml:space="preserve"> in partnership with the </w:t>
      </w:r>
      <w:r w:rsidR="008C659B">
        <w:rPr>
          <w:rFonts w:eastAsia="Calibri" w:cs="Arial"/>
        </w:rPr>
        <w:t xml:space="preserve">broader </w:t>
      </w:r>
      <w:r>
        <w:rPr>
          <w:rFonts w:eastAsia="Calibri" w:cs="Arial"/>
        </w:rPr>
        <w:t>legal assistance sector</w:t>
      </w:r>
      <w:r w:rsidRPr="00CD342B">
        <w:rPr>
          <w:rFonts w:eastAsia="Calibri" w:cs="Arial"/>
        </w:rPr>
        <w:t>.</w:t>
      </w:r>
      <w:r>
        <w:rPr>
          <w:rFonts w:eastAsia="Calibri" w:cs="Arial"/>
        </w:rPr>
        <w:t xml:space="preserve"> </w:t>
      </w:r>
      <w:r w:rsidRPr="00CD342B">
        <w:rPr>
          <w:rFonts w:eastAsia="Calibri" w:cs="Arial"/>
        </w:rPr>
        <w:t>The mixed model comprises:</w:t>
      </w:r>
    </w:p>
    <w:p w14:paraId="01BEC74A" w14:textId="77777777" w:rsidR="008950AD" w:rsidRPr="00CD342B" w:rsidRDefault="008950AD" w:rsidP="008950AD">
      <w:pPr>
        <w:pStyle w:val="ListParagraph"/>
        <w:numPr>
          <w:ilvl w:val="0"/>
          <w:numId w:val="22"/>
        </w:numPr>
        <w:spacing w:line="256" w:lineRule="auto"/>
        <w:rPr>
          <w:rFonts w:eastAsia="Calibri" w:cs="Arial"/>
        </w:rPr>
      </w:pPr>
      <w:r w:rsidRPr="00CD342B">
        <w:rPr>
          <w:rFonts w:eastAsia="Calibri" w:cs="Arial"/>
        </w:rPr>
        <w:t xml:space="preserve">solicitors working as sole practitioners or in law firms and incorporated legal practices </w:t>
      </w:r>
    </w:p>
    <w:p w14:paraId="0EF016A3" w14:textId="77777777" w:rsidR="008950AD" w:rsidRPr="00CD342B" w:rsidRDefault="008950AD" w:rsidP="008950AD">
      <w:pPr>
        <w:pStyle w:val="ListParagraph"/>
        <w:numPr>
          <w:ilvl w:val="0"/>
          <w:numId w:val="22"/>
        </w:numPr>
        <w:spacing w:line="256" w:lineRule="auto"/>
        <w:rPr>
          <w:rFonts w:eastAsia="Calibri" w:cs="Arial"/>
        </w:rPr>
      </w:pPr>
      <w:r w:rsidRPr="00CD342B">
        <w:rPr>
          <w:rFonts w:eastAsia="Calibri" w:cs="Arial"/>
        </w:rPr>
        <w:t>barristers</w:t>
      </w:r>
    </w:p>
    <w:p w14:paraId="2BA119E6" w14:textId="77777777" w:rsidR="008950AD" w:rsidRPr="00CD342B" w:rsidRDefault="008950AD" w:rsidP="008950AD">
      <w:pPr>
        <w:pStyle w:val="ListParagraph"/>
        <w:numPr>
          <w:ilvl w:val="0"/>
          <w:numId w:val="22"/>
        </w:numPr>
        <w:spacing w:line="256" w:lineRule="auto"/>
        <w:rPr>
          <w:rFonts w:eastAsia="Calibri" w:cs="Arial"/>
        </w:rPr>
      </w:pPr>
      <w:r w:rsidRPr="00CD342B">
        <w:rPr>
          <w:rFonts w:eastAsia="Calibri" w:cs="Arial"/>
        </w:rPr>
        <w:t>Victoria Legal Aid’s staff practice</w:t>
      </w:r>
    </w:p>
    <w:p w14:paraId="5E6B5D40" w14:textId="77777777" w:rsidR="008950AD" w:rsidRPr="00CD342B" w:rsidRDefault="008950AD" w:rsidP="008950AD">
      <w:pPr>
        <w:pStyle w:val="ListParagraph"/>
        <w:numPr>
          <w:ilvl w:val="0"/>
          <w:numId w:val="22"/>
        </w:numPr>
        <w:spacing w:line="256" w:lineRule="auto"/>
        <w:rPr>
          <w:rFonts w:eastAsia="Calibri" w:cs="Arial"/>
        </w:rPr>
      </w:pPr>
      <w:r w:rsidRPr="00CD342B">
        <w:rPr>
          <w:rFonts w:eastAsia="Calibri" w:cs="Arial"/>
        </w:rPr>
        <w:t>community legal centres</w:t>
      </w:r>
    </w:p>
    <w:p w14:paraId="57E55224" w14:textId="6711B90F" w:rsidR="008950AD" w:rsidRPr="00CD342B" w:rsidRDefault="008950AD" w:rsidP="008950AD">
      <w:pPr>
        <w:pStyle w:val="ListParagraph"/>
        <w:numPr>
          <w:ilvl w:val="0"/>
          <w:numId w:val="22"/>
        </w:numPr>
        <w:spacing w:line="256" w:lineRule="auto"/>
        <w:rPr>
          <w:rFonts w:eastAsia="Calibri" w:cs="Arial"/>
        </w:rPr>
      </w:pPr>
      <w:r w:rsidRPr="00CD342B">
        <w:rPr>
          <w:rFonts w:eastAsia="Calibri" w:cs="Arial"/>
        </w:rPr>
        <w:t xml:space="preserve">Aboriginal Legal Services, the Victorian Aboriginal Legal Service and </w:t>
      </w:r>
      <w:r w:rsidR="00380037">
        <w:rPr>
          <w:rFonts w:eastAsia="Calibri" w:cs="Arial"/>
        </w:rPr>
        <w:t>the Aboriginal Family Violence Legal Service</w:t>
      </w:r>
      <w:r w:rsidR="00A413A4">
        <w:rPr>
          <w:rFonts w:eastAsia="Calibri" w:cs="Arial"/>
        </w:rPr>
        <w:t>,</w:t>
      </w:r>
      <w:r w:rsidR="00380037" w:rsidRPr="00CD342B">
        <w:rPr>
          <w:rFonts w:eastAsia="Calibri" w:cs="Arial"/>
        </w:rPr>
        <w:t xml:space="preserve"> </w:t>
      </w:r>
      <w:proofErr w:type="spellStart"/>
      <w:r w:rsidR="00CA4538" w:rsidRPr="00CD342B">
        <w:rPr>
          <w:rFonts w:eastAsia="Calibri" w:cs="Arial"/>
        </w:rPr>
        <w:t>Djirra</w:t>
      </w:r>
      <w:proofErr w:type="spellEnd"/>
      <w:r w:rsidR="00CA4538">
        <w:rPr>
          <w:rStyle w:val="FootnoteReference"/>
          <w:rFonts w:eastAsia="Calibri" w:cs="Arial"/>
        </w:rPr>
        <w:footnoteReference w:id="12"/>
      </w:r>
      <w:r w:rsidR="00CA4538" w:rsidRPr="00CD342B">
        <w:rPr>
          <w:rFonts w:eastAsia="Calibri" w:cs="Arial"/>
        </w:rPr>
        <w:t>.</w:t>
      </w:r>
    </w:p>
    <w:p w14:paraId="138D0C84" w14:textId="4960092D" w:rsidR="008950AD" w:rsidRDefault="008950AD" w:rsidP="008950AD">
      <w:pPr>
        <w:rPr>
          <w:rFonts w:eastAsia="Calibri"/>
        </w:rPr>
      </w:pPr>
      <w:r w:rsidRPr="00CD342B">
        <w:rPr>
          <w:rFonts w:eastAsia="Calibri" w:cs="Arial"/>
        </w:rPr>
        <w:t>The mixed model provides several benefits</w:t>
      </w:r>
      <w:r>
        <w:rPr>
          <w:rFonts w:eastAsia="Calibri" w:cs="Arial"/>
        </w:rPr>
        <w:t xml:space="preserve">, </w:t>
      </w:r>
      <w:r w:rsidRPr="00CD342B">
        <w:rPr>
          <w:rFonts w:eastAsia="Calibri" w:cs="Arial"/>
        </w:rPr>
        <w:t>including the flexibility to respond to changes in demand for legal aid services, and support for a client</w:t>
      </w:r>
      <w:r w:rsidR="002F7956">
        <w:rPr>
          <w:rFonts w:eastAsia="Calibri" w:cs="Arial"/>
        </w:rPr>
        <w:t xml:space="preserve"> to get assistance from </w:t>
      </w:r>
      <w:r w:rsidRPr="00CD342B">
        <w:rPr>
          <w:rFonts w:eastAsia="Calibri" w:cs="Arial"/>
        </w:rPr>
        <w:t>a legal practitioner.</w:t>
      </w:r>
    </w:p>
    <w:p w14:paraId="24F3C508" w14:textId="2950BD28" w:rsidR="00454689" w:rsidRDefault="00454689" w:rsidP="00454689">
      <w:pPr>
        <w:pStyle w:val="Heading1"/>
      </w:pPr>
      <w:bookmarkStart w:id="30" w:name="_Toc20289978"/>
      <w:r>
        <w:lastRenderedPageBreak/>
        <w:t>2019–20 budget</w:t>
      </w:r>
      <w:bookmarkEnd w:id="30"/>
    </w:p>
    <w:p w14:paraId="2E8FF4A0" w14:textId="77777777" w:rsidR="00B64D33" w:rsidRDefault="00B64D33" w:rsidP="00B64D33">
      <w:r w:rsidRPr="00B7105B">
        <w:t xml:space="preserve">The 2019–20 budget sets out our income and spending plans for the coming financial year and reflects our commitment to implementing savings options to return to a balanced budget. To that end we are budgeting for a </w:t>
      </w:r>
      <w:r>
        <w:t>balanced operating budget</w:t>
      </w:r>
      <w:r w:rsidRPr="00B7105B">
        <w:t xml:space="preserve"> </w:t>
      </w:r>
      <w:r>
        <w:t xml:space="preserve">with a net surplus result of $3.5 million after reflecting the accounting treatment of the Digital Legal Aid (DLA) capital income.   </w:t>
      </w:r>
    </w:p>
    <w:p w14:paraId="78D49D3B" w14:textId="77777777" w:rsidR="00454689" w:rsidRPr="002303D2" w:rsidRDefault="00454689" w:rsidP="00454689">
      <w:pPr>
        <w:pStyle w:val="Heading2"/>
      </w:pPr>
      <w:bookmarkStart w:id="31" w:name="_Toc528158790"/>
      <w:bookmarkStart w:id="32" w:name="_Toc9953206"/>
      <w:bookmarkStart w:id="33" w:name="_Toc20289979"/>
      <w:r w:rsidRPr="002303D2">
        <w:t>Our revenue</w:t>
      </w:r>
      <w:bookmarkEnd w:id="31"/>
      <w:bookmarkEnd w:id="32"/>
      <w:bookmarkEnd w:id="33"/>
      <w:r w:rsidRPr="002303D2">
        <w:t xml:space="preserve"> </w:t>
      </w:r>
    </w:p>
    <w:p w14:paraId="5EB0480B" w14:textId="2678A18F" w:rsidR="00325B1A" w:rsidRPr="00DB29B6" w:rsidRDefault="000C7A18" w:rsidP="005107AD">
      <w:pPr>
        <w:pStyle w:val="FootnoteText"/>
        <w:ind w:left="0" w:firstLine="0"/>
        <w:rPr>
          <w:sz w:val="22"/>
          <w:szCs w:val="22"/>
        </w:rPr>
      </w:pPr>
      <w:hyperlink w:anchor="_Chart_1:_2018–19" w:history="1">
        <w:r w:rsidR="001503C4" w:rsidRPr="00DB29B6">
          <w:rPr>
            <w:rStyle w:val="Hyperlink"/>
            <w:sz w:val="22"/>
            <w:szCs w:val="22"/>
          </w:rPr>
          <w:t>Table 2</w:t>
        </w:r>
      </w:hyperlink>
      <w:r w:rsidR="00D63018" w:rsidRPr="00DB29B6">
        <w:rPr>
          <w:sz w:val="22"/>
          <w:szCs w:val="22"/>
        </w:rPr>
        <w:t xml:space="preserve"> </w:t>
      </w:r>
      <w:r w:rsidR="00C86836" w:rsidRPr="00DB29B6">
        <w:rPr>
          <w:sz w:val="22"/>
          <w:szCs w:val="22"/>
        </w:rPr>
        <w:t>shows that Victoria Legal Aid receives funding from a range of sources including State and</w:t>
      </w:r>
      <w:r w:rsidR="005107AD">
        <w:rPr>
          <w:sz w:val="22"/>
          <w:szCs w:val="22"/>
        </w:rPr>
        <w:t xml:space="preserve"> </w:t>
      </w:r>
      <w:r w:rsidR="00C86836" w:rsidRPr="00DB29B6">
        <w:rPr>
          <w:sz w:val="22"/>
          <w:szCs w:val="22"/>
        </w:rPr>
        <w:t xml:space="preserve">Commonwealth government grants, and the Legal Services Board. In 2019–20, we have budgeted for $256.9 million in revenue, which is an increase of 6.2 percent on the level of revenue received in 2018–19. The increased revenue is largely driven by the increased State </w:t>
      </w:r>
      <w:r w:rsidR="003B60E2">
        <w:rPr>
          <w:sz w:val="22"/>
          <w:szCs w:val="22"/>
        </w:rPr>
        <w:t>f</w:t>
      </w:r>
      <w:r w:rsidR="00C86836" w:rsidRPr="00DB29B6">
        <w:rPr>
          <w:sz w:val="22"/>
          <w:szCs w:val="22"/>
        </w:rPr>
        <w:t>unding. Commonwealth funding has declined slightly due to higher than expected costs in 2018</w:t>
      </w:r>
      <w:r w:rsidR="003B60E2">
        <w:rPr>
          <w:sz w:val="22"/>
          <w:szCs w:val="22"/>
        </w:rPr>
        <w:t>–</w:t>
      </w:r>
      <w:r w:rsidR="00C86836" w:rsidRPr="00DB29B6">
        <w:rPr>
          <w:sz w:val="22"/>
          <w:szCs w:val="22"/>
        </w:rPr>
        <w:t>19 to support complex criminal trials via the Expensive Commonwealth Criminal Case (</w:t>
      </w:r>
      <w:r w:rsidR="00A1084B">
        <w:rPr>
          <w:sz w:val="22"/>
          <w:szCs w:val="22"/>
        </w:rPr>
        <w:t>‘</w:t>
      </w:r>
      <w:r w:rsidR="00C86836" w:rsidRPr="00DB29B6">
        <w:rPr>
          <w:sz w:val="22"/>
          <w:szCs w:val="22"/>
        </w:rPr>
        <w:t>ECCCF</w:t>
      </w:r>
      <w:r w:rsidR="00A1084B">
        <w:rPr>
          <w:sz w:val="22"/>
          <w:szCs w:val="22"/>
        </w:rPr>
        <w:t>’</w:t>
      </w:r>
      <w:r w:rsidR="00C86836" w:rsidRPr="00DB29B6">
        <w:rPr>
          <w:sz w:val="22"/>
          <w:szCs w:val="22"/>
        </w:rPr>
        <w:t>)</w:t>
      </w:r>
      <w:r w:rsidR="00C86836" w:rsidRPr="00DB29B6">
        <w:rPr>
          <w:rStyle w:val="FootnoteReference"/>
          <w:sz w:val="22"/>
          <w:szCs w:val="22"/>
        </w:rPr>
        <w:footnoteReference w:id="13"/>
      </w:r>
      <w:r w:rsidR="00C86836" w:rsidRPr="00DB29B6">
        <w:rPr>
          <w:sz w:val="22"/>
          <w:szCs w:val="22"/>
        </w:rPr>
        <w:t>.</w:t>
      </w:r>
      <w:bookmarkStart w:id="34" w:name="_Hlk19712850"/>
    </w:p>
    <w:p w14:paraId="74132F3D" w14:textId="6F23F1E8" w:rsidR="00FA0F86" w:rsidRDefault="00FA0F86" w:rsidP="00454689">
      <w:r>
        <w:t>We are</w:t>
      </w:r>
      <w:r w:rsidR="003B60E2">
        <w:t>,</w:t>
      </w:r>
      <w:r>
        <w:t xml:space="preserve"> though</w:t>
      </w:r>
      <w:r w:rsidR="003B60E2">
        <w:t>,</w:t>
      </w:r>
      <w:r>
        <w:t xml:space="preserve"> expecting continued high demand for expensive Commonwealth criminal trials for the year ahead and will work with the Commonwealth Government to seek reimbursement for these matters. The Commonwealth Attorney-General’s Department administers the ECCCF and determines when reimbursement can be sought. </w:t>
      </w:r>
    </w:p>
    <w:bookmarkEnd w:id="34"/>
    <w:p w14:paraId="2B075141" w14:textId="78DF5428" w:rsidR="00454689" w:rsidRDefault="00454689" w:rsidP="00F81438">
      <w:pPr>
        <w:pStyle w:val="Heading3"/>
      </w:pPr>
      <w:r>
        <w:t xml:space="preserve">Table </w:t>
      </w:r>
      <w:r w:rsidR="00293F2A">
        <w:t>2</w:t>
      </w:r>
      <w:r>
        <w:t>: 2018–19 revenue by source ($m)</w:t>
      </w:r>
    </w:p>
    <w:tbl>
      <w:tblPr>
        <w:tblW w:w="9509" w:type="dxa"/>
        <w:tblLook w:val="04A0" w:firstRow="1" w:lastRow="0" w:firstColumn="1" w:lastColumn="0" w:noHBand="0" w:noVBand="1"/>
      </w:tblPr>
      <w:tblGrid>
        <w:gridCol w:w="4768"/>
        <w:gridCol w:w="1432"/>
        <w:gridCol w:w="1477"/>
        <w:gridCol w:w="1832"/>
      </w:tblGrid>
      <w:tr w:rsidR="0036085D" w:rsidRPr="00E37218" w14:paraId="041FF6A9" w14:textId="77777777" w:rsidTr="00F137E8">
        <w:trPr>
          <w:trHeight w:val="367"/>
        </w:trPr>
        <w:tc>
          <w:tcPr>
            <w:tcW w:w="47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5F8CC0" w14:textId="77777777" w:rsidR="0036085D" w:rsidRPr="00E37218" w:rsidRDefault="0036085D" w:rsidP="00F137E8">
            <w:pPr>
              <w:spacing w:after="0" w:line="240" w:lineRule="auto"/>
              <w:rPr>
                <w:rFonts w:cs="Arial"/>
                <w:b/>
                <w:bCs/>
                <w:color w:val="000000"/>
                <w:szCs w:val="22"/>
                <w:lang w:eastAsia="en-AU"/>
              </w:rPr>
            </w:pPr>
            <w:r w:rsidRPr="00E37218">
              <w:rPr>
                <w:rFonts w:cs="Arial"/>
                <w:b/>
                <w:bCs/>
                <w:color w:val="000000"/>
                <w:szCs w:val="22"/>
                <w:lang w:eastAsia="en-AU"/>
              </w:rPr>
              <w:t>Source of revenue</w:t>
            </w:r>
          </w:p>
        </w:tc>
        <w:tc>
          <w:tcPr>
            <w:tcW w:w="1432" w:type="dxa"/>
            <w:tcBorders>
              <w:top w:val="single" w:sz="4" w:space="0" w:color="auto"/>
              <w:left w:val="nil"/>
              <w:bottom w:val="single" w:sz="4" w:space="0" w:color="auto"/>
              <w:right w:val="single" w:sz="4" w:space="0" w:color="auto"/>
            </w:tcBorders>
            <w:shd w:val="clear" w:color="000000" w:fill="D9D9D9"/>
            <w:vAlign w:val="center"/>
            <w:hideMark/>
          </w:tcPr>
          <w:p w14:paraId="47A7615D" w14:textId="77777777" w:rsidR="0036085D" w:rsidRPr="00E37218" w:rsidRDefault="0036085D" w:rsidP="00F137E8">
            <w:pPr>
              <w:spacing w:after="0" w:line="240" w:lineRule="auto"/>
              <w:jc w:val="right"/>
              <w:rPr>
                <w:rFonts w:cs="Arial"/>
                <w:b/>
                <w:bCs/>
                <w:color w:val="000000"/>
                <w:szCs w:val="22"/>
                <w:lang w:eastAsia="en-AU"/>
              </w:rPr>
            </w:pPr>
            <w:r w:rsidRPr="00E37218">
              <w:rPr>
                <w:rFonts w:cs="Arial"/>
                <w:b/>
                <w:bCs/>
                <w:szCs w:val="22"/>
                <w:lang w:eastAsia="en-AU"/>
              </w:rPr>
              <w:t>2018–19 (Actual)</w:t>
            </w:r>
          </w:p>
        </w:tc>
        <w:tc>
          <w:tcPr>
            <w:tcW w:w="1477" w:type="dxa"/>
            <w:tcBorders>
              <w:top w:val="single" w:sz="4" w:space="0" w:color="auto"/>
              <w:left w:val="nil"/>
              <w:bottom w:val="single" w:sz="4" w:space="0" w:color="auto"/>
              <w:right w:val="single" w:sz="4" w:space="0" w:color="auto"/>
            </w:tcBorders>
            <w:shd w:val="clear" w:color="000000" w:fill="D9D9D9"/>
            <w:vAlign w:val="center"/>
            <w:hideMark/>
          </w:tcPr>
          <w:p w14:paraId="7B4F0ECA" w14:textId="77777777" w:rsidR="0036085D" w:rsidRPr="00E37218" w:rsidRDefault="0036085D" w:rsidP="00F137E8">
            <w:pPr>
              <w:spacing w:after="0" w:line="240" w:lineRule="auto"/>
              <w:jc w:val="right"/>
              <w:rPr>
                <w:rFonts w:cs="Arial"/>
                <w:b/>
                <w:bCs/>
                <w:color w:val="000000"/>
                <w:szCs w:val="22"/>
                <w:lang w:eastAsia="en-AU"/>
              </w:rPr>
            </w:pPr>
            <w:r w:rsidRPr="00E37218">
              <w:rPr>
                <w:rFonts w:cs="Arial"/>
                <w:b/>
                <w:bCs/>
                <w:szCs w:val="22"/>
                <w:lang w:eastAsia="en-AU"/>
              </w:rPr>
              <w:t>2019–20 (Budget)</w:t>
            </w:r>
          </w:p>
        </w:tc>
        <w:tc>
          <w:tcPr>
            <w:tcW w:w="1832" w:type="dxa"/>
            <w:tcBorders>
              <w:top w:val="single" w:sz="4" w:space="0" w:color="auto"/>
              <w:left w:val="nil"/>
              <w:bottom w:val="single" w:sz="4" w:space="0" w:color="auto"/>
              <w:right w:val="single" w:sz="4" w:space="0" w:color="auto"/>
            </w:tcBorders>
            <w:shd w:val="clear" w:color="000000" w:fill="D9D9D9"/>
            <w:vAlign w:val="center"/>
            <w:hideMark/>
          </w:tcPr>
          <w:p w14:paraId="22F74BB4" w14:textId="77777777" w:rsidR="0036085D" w:rsidRPr="00E37218" w:rsidRDefault="0036085D" w:rsidP="00F137E8">
            <w:pPr>
              <w:spacing w:after="0" w:line="240" w:lineRule="auto"/>
              <w:jc w:val="right"/>
              <w:rPr>
                <w:rFonts w:cs="Arial"/>
                <w:b/>
                <w:bCs/>
                <w:color w:val="000000"/>
                <w:szCs w:val="22"/>
                <w:lang w:eastAsia="en-AU"/>
              </w:rPr>
            </w:pPr>
            <w:r w:rsidRPr="00E37218">
              <w:rPr>
                <w:rFonts w:cs="Arial"/>
                <w:b/>
                <w:bCs/>
                <w:szCs w:val="22"/>
                <w:lang w:eastAsia="en-AU"/>
              </w:rPr>
              <w:t>Growth percentage</w:t>
            </w:r>
          </w:p>
        </w:tc>
      </w:tr>
      <w:tr w:rsidR="0036085D" w:rsidRPr="00E37218" w14:paraId="0889FC0F" w14:textId="77777777" w:rsidTr="005E28EF">
        <w:trPr>
          <w:trHeight w:val="367"/>
        </w:trPr>
        <w:tc>
          <w:tcPr>
            <w:tcW w:w="4768" w:type="dxa"/>
            <w:tcBorders>
              <w:top w:val="nil"/>
              <w:left w:val="single" w:sz="4" w:space="0" w:color="auto"/>
              <w:bottom w:val="single" w:sz="4" w:space="0" w:color="auto"/>
              <w:right w:val="single" w:sz="4" w:space="0" w:color="auto"/>
            </w:tcBorders>
            <w:shd w:val="clear" w:color="auto" w:fill="auto"/>
            <w:vAlign w:val="center"/>
            <w:hideMark/>
          </w:tcPr>
          <w:p w14:paraId="594662B2" w14:textId="2BE528BF" w:rsidR="0036085D" w:rsidRPr="00E37218" w:rsidRDefault="0036085D" w:rsidP="00F137E8">
            <w:pPr>
              <w:spacing w:after="0" w:line="240" w:lineRule="auto"/>
              <w:rPr>
                <w:rFonts w:cs="Arial"/>
                <w:b/>
                <w:bCs/>
                <w:color w:val="000000"/>
                <w:szCs w:val="22"/>
                <w:lang w:eastAsia="en-AU"/>
              </w:rPr>
            </w:pPr>
            <w:r w:rsidRPr="00E37218">
              <w:rPr>
                <w:rFonts w:cs="Arial"/>
                <w:b/>
                <w:bCs/>
                <w:color w:val="000000"/>
                <w:szCs w:val="22"/>
                <w:lang w:eastAsia="en-AU"/>
              </w:rPr>
              <w:t xml:space="preserve">State </w:t>
            </w:r>
            <w:r w:rsidR="003B60E2">
              <w:rPr>
                <w:rFonts w:cs="Arial"/>
                <w:b/>
                <w:bCs/>
                <w:color w:val="000000"/>
                <w:szCs w:val="22"/>
                <w:lang w:eastAsia="en-AU"/>
              </w:rPr>
              <w:t>G</w:t>
            </w:r>
            <w:r w:rsidRPr="00E37218">
              <w:rPr>
                <w:rFonts w:cs="Arial"/>
                <w:b/>
                <w:bCs/>
                <w:color w:val="000000"/>
                <w:szCs w:val="22"/>
                <w:lang w:eastAsia="en-AU"/>
              </w:rPr>
              <w:t>overnment</w:t>
            </w:r>
          </w:p>
        </w:tc>
        <w:tc>
          <w:tcPr>
            <w:tcW w:w="1432" w:type="dxa"/>
            <w:tcBorders>
              <w:top w:val="nil"/>
              <w:left w:val="nil"/>
              <w:bottom w:val="single" w:sz="4" w:space="0" w:color="auto"/>
              <w:right w:val="single" w:sz="4" w:space="0" w:color="auto"/>
            </w:tcBorders>
            <w:shd w:val="clear" w:color="auto" w:fill="auto"/>
            <w:vAlign w:val="bottom"/>
            <w:hideMark/>
          </w:tcPr>
          <w:p w14:paraId="7C45346E"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129.7</w:t>
            </w:r>
          </w:p>
        </w:tc>
        <w:tc>
          <w:tcPr>
            <w:tcW w:w="1477" w:type="dxa"/>
            <w:tcBorders>
              <w:top w:val="nil"/>
              <w:left w:val="nil"/>
              <w:bottom w:val="single" w:sz="4" w:space="0" w:color="auto"/>
              <w:right w:val="single" w:sz="4" w:space="0" w:color="auto"/>
            </w:tcBorders>
            <w:shd w:val="clear" w:color="auto" w:fill="auto"/>
            <w:vAlign w:val="bottom"/>
            <w:hideMark/>
          </w:tcPr>
          <w:p w14:paraId="05F96423"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147.5</w:t>
            </w:r>
          </w:p>
        </w:tc>
        <w:tc>
          <w:tcPr>
            <w:tcW w:w="1832" w:type="dxa"/>
            <w:tcBorders>
              <w:top w:val="nil"/>
              <w:left w:val="nil"/>
              <w:bottom w:val="single" w:sz="4" w:space="0" w:color="auto"/>
              <w:right w:val="single" w:sz="4" w:space="0" w:color="auto"/>
            </w:tcBorders>
            <w:shd w:val="clear" w:color="auto" w:fill="auto"/>
            <w:vAlign w:val="bottom"/>
            <w:hideMark/>
          </w:tcPr>
          <w:p w14:paraId="4B835613"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12.1%</w:t>
            </w:r>
          </w:p>
        </w:tc>
      </w:tr>
      <w:tr w:rsidR="0036085D" w:rsidRPr="00E37218" w14:paraId="2550D3C7" w14:textId="77777777" w:rsidTr="005E28EF">
        <w:trPr>
          <w:trHeight w:val="367"/>
        </w:trPr>
        <w:tc>
          <w:tcPr>
            <w:tcW w:w="4768" w:type="dxa"/>
            <w:tcBorders>
              <w:top w:val="nil"/>
              <w:left w:val="single" w:sz="4" w:space="0" w:color="auto"/>
              <w:bottom w:val="single" w:sz="4" w:space="0" w:color="auto"/>
              <w:right w:val="single" w:sz="4" w:space="0" w:color="auto"/>
            </w:tcBorders>
            <w:shd w:val="clear" w:color="auto" w:fill="auto"/>
            <w:vAlign w:val="center"/>
            <w:hideMark/>
          </w:tcPr>
          <w:p w14:paraId="3097872B" w14:textId="1C1B5C11" w:rsidR="0036085D" w:rsidRPr="00E37218" w:rsidRDefault="0036085D" w:rsidP="00F137E8">
            <w:pPr>
              <w:spacing w:after="0" w:line="240" w:lineRule="auto"/>
              <w:rPr>
                <w:rFonts w:cs="Arial"/>
                <w:b/>
                <w:bCs/>
                <w:color w:val="000000"/>
                <w:szCs w:val="22"/>
                <w:lang w:eastAsia="en-AU"/>
              </w:rPr>
            </w:pPr>
            <w:r w:rsidRPr="00E37218">
              <w:rPr>
                <w:rFonts w:cs="Arial"/>
                <w:b/>
                <w:bCs/>
                <w:color w:val="000000"/>
                <w:szCs w:val="22"/>
                <w:lang w:eastAsia="en-AU"/>
              </w:rPr>
              <w:t xml:space="preserve">Commonwealth </w:t>
            </w:r>
            <w:r w:rsidR="003B60E2">
              <w:rPr>
                <w:rFonts w:cs="Arial"/>
                <w:b/>
                <w:bCs/>
                <w:color w:val="000000"/>
                <w:szCs w:val="22"/>
                <w:lang w:eastAsia="en-AU"/>
              </w:rPr>
              <w:t>G</w:t>
            </w:r>
            <w:r w:rsidRPr="00E37218">
              <w:rPr>
                <w:rFonts w:cs="Arial"/>
                <w:b/>
                <w:bCs/>
                <w:color w:val="000000"/>
                <w:szCs w:val="22"/>
                <w:lang w:eastAsia="en-AU"/>
              </w:rPr>
              <w:t>overnment</w:t>
            </w:r>
          </w:p>
        </w:tc>
        <w:tc>
          <w:tcPr>
            <w:tcW w:w="1432" w:type="dxa"/>
            <w:tcBorders>
              <w:top w:val="nil"/>
              <w:left w:val="nil"/>
              <w:bottom w:val="single" w:sz="4" w:space="0" w:color="auto"/>
              <w:right w:val="single" w:sz="4" w:space="0" w:color="auto"/>
            </w:tcBorders>
            <w:shd w:val="clear" w:color="auto" w:fill="auto"/>
            <w:vAlign w:val="bottom"/>
            <w:hideMark/>
          </w:tcPr>
          <w:p w14:paraId="40294D8B"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69.9</w:t>
            </w:r>
          </w:p>
        </w:tc>
        <w:tc>
          <w:tcPr>
            <w:tcW w:w="1477" w:type="dxa"/>
            <w:tcBorders>
              <w:top w:val="nil"/>
              <w:left w:val="nil"/>
              <w:bottom w:val="single" w:sz="4" w:space="0" w:color="auto"/>
              <w:right w:val="single" w:sz="4" w:space="0" w:color="auto"/>
            </w:tcBorders>
            <w:shd w:val="clear" w:color="auto" w:fill="auto"/>
            <w:vAlign w:val="bottom"/>
            <w:hideMark/>
          </w:tcPr>
          <w:p w14:paraId="0B90ADEF"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68.2</w:t>
            </w:r>
          </w:p>
        </w:tc>
        <w:tc>
          <w:tcPr>
            <w:tcW w:w="1832" w:type="dxa"/>
            <w:tcBorders>
              <w:top w:val="nil"/>
              <w:left w:val="nil"/>
              <w:bottom w:val="single" w:sz="4" w:space="0" w:color="auto"/>
              <w:right w:val="single" w:sz="4" w:space="0" w:color="auto"/>
            </w:tcBorders>
            <w:shd w:val="clear" w:color="auto" w:fill="auto"/>
            <w:vAlign w:val="bottom"/>
            <w:hideMark/>
          </w:tcPr>
          <w:p w14:paraId="486D5488"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-2.5%</w:t>
            </w:r>
          </w:p>
        </w:tc>
      </w:tr>
      <w:tr w:rsidR="0036085D" w:rsidRPr="00E37218" w14:paraId="2ED4E2B2" w14:textId="77777777" w:rsidTr="005E28EF">
        <w:trPr>
          <w:trHeight w:val="367"/>
        </w:trPr>
        <w:tc>
          <w:tcPr>
            <w:tcW w:w="4768" w:type="dxa"/>
            <w:tcBorders>
              <w:top w:val="nil"/>
              <w:left w:val="single" w:sz="4" w:space="0" w:color="auto"/>
              <w:bottom w:val="single" w:sz="4" w:space="0" w:color="auto"/>
              <w:right w:val="single" w:sz="4" w:space="0" w:color="auto"/>
            </w:tcBorders>
            <w:shd w:val="clear" w:color="auto" w:fill="auto"/>
            <w:vAlign w:val="center"/>
            <w:hideMark/>
          </w:tcPr>
          <w:p w14:paraId="28D94220" w14:textId="77777777" w:rsidR="0036085D" w:rsidRPr="00E37218" w:rsidRDefault="0036085D" w:rsidP="00F137E8">
            <w:pPr>
              <w:spacing w:after="0" w:line="240" w:lineRule="auto"/>
              <w:rPr>
                <w:rFonts w:cs="Arial"/>
                <w:b/>
                <w:bCs/>
                <w:color w:val="000000"/>
                <w:szCs w:val="22"/>
                <w:lang w:eastAsia="en-AU"/>
              </w:rPr>
            </w:pPr>
            <w:r w:rsidRPr="00E37218">
              <w:rPr>
                <w:rFonts w:cs="Arial"/>
                <w:b/>
                <w:bCs/>
                <w:color w:val="000000"/>
                <w:szCs w:val="22"/>
                <w:lang w:eastAsia="en-AU"/>
              </w:rPr>
              <w:t>Public purpose fund</w:t>
            </w:r>
          </w:p>
        </w:tc>
        <w:tc>
          <w:tcPr>
            <w:tcW w:w="1432" w:type="dxa"/>
            <w:tcBorders>
              <w:top w:val="nil"/>
              <w:left w:val="nil"/>
              <w:bottom w:val="single" w:sz="4" w:space="0" w:color="auto"/>
              <w:right w:val="single" w:sz="4" w:space="0" w:color="auto"/>
            </w:tcBorders>
            <w:shd w:val="clear" w:color="auto" w:fill="auto"/>
            <w:vAlign w:val="bottom"/>
            <w:hideMark/>
          </w:tcPr>
          <w:p w14:paraId="31CA8E62"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31.5</w:t>
            </w:r>
          </w:p>
        </w:tc>
        <w:tc>
          <w:tcPr>
            <w:tcW w:w="1477" w:type="dxa"/>
            <w:tcBorders>
              <w:top w:val="nil"/>
              <w:left w:val="nil"/>
              <w:bottom w:val="single" w:sz="4" w:space="0" w:color="auto"/>
              <w:right w:val="single" w:sz="4" w:space="0" w:color="auto"/>
            </w:tcBorders>
            <w:shd w:val="clear" w:color="auto" w:fill="auto"/>
            <w:vAlign w:val="bottom"/>
            <w:hideMark/>
          </w:tcPr>
          <w:p w14:paraId="42C50764"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31.5</w:t>
            </w:r>
          </w:p>
        </w:tc>
        <w:tc>
          <w:tcPr>
            <w:tcW w:w="1832" w:type="dxa"/>
            <w:tcBorders>
              <w:top w:val="nil"/>
              <w:left w:val="nil"/>
              <w:bottom w:val="single" w:sz="4" w:space="0" w:color="auto"/>
              <w:right w:val="single" w:sz="4" w:space="0" w:color="auto"/>
            </w:tcBorders>
            <w:shd w:val="clear" w:color="auto" w:fill="auto"/>
            <w:vAlign w:val="bottom"/>
            <w:hideMark/>
          </w:tcPr>
          <w:p w14:paraId="1BB94D3D"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0.0%</w:t>
            </w:r>
          </w:p>
        </w:tc>
      </w:tr>
      <w:tr w:rsidR="0036085D" w:rsidRPr="00E37218" w14:paraId="5BA7CC5C" w14:textId="77777777" w:rsidTr="005E28EF">
        <w:trPr>
          <w:trHeight w:val="734"/>
        </w:trPr>
        <w:tc>
          <w:tcPr>
            <w:tcW w:w="4768" w:type="dxa"/>
            <w:tcBorders>
              <w:top w:val="nil"/>
              <w:left w:val="single" w:sz="4" w:space="0" w:color="auto"/>
              <w:bottom w:val="single" w:sz="4" w:space="0" w:color="auto"/>
              <w:right w:val="single" w:sz="4" w:space="0" w:color="auto"/>
            </w:tcBorders>
            <w:shd w:val="clear" w:color="auto" w:fill="auto"/>
            <w:vAlign w:val="center"/>
            <w:hideMark/>
          </w:tcPr>
          <w:p w14:paraId="38098FB8" w14:textId="77777777" w:rsidR="0036085D" w:rsidRPr="00E37218" w:rsidRDefault="0036085D" w:rsidP="00F137E8">
            <w:pPr>
              <w:spacing w:after="0" w:line="240" w:lineRule="auto"/>
              <w:rPr>
                <w:rFonts w:cs="Arial"/>
                <w:b/>
                <w:bCs/>
                <w:color w:val="000000"/>
                <w:szCs w:val="22"/>
                <w:lang w:eastAsia="en-AU"/>
              </w:rPr>
            </w:pPr>
            <w:r w:rsidRPr="00E37218">
              <w:rPr>
                <w:rFonts w:cs="Arial"/>
                <w:b/>
                <w:bCs/>
                <w:color w:val="000000"/>
                <w:szCs w:val="22"/>
                <w:lang w:eastAsia="en-AU"/>
              </w:rPr>
              <w:t>Case revenue (including client contributions) &amp; other income</w:t>
            </w:r>
          </w:p>
        </w:tc>
        <w:tc>
          <w:tcPr>
            <w:tcW w:w="1432" w:type="dxa"/>
            <w:tcBorders>
              <w:top w:val="nil"/>
              <w:left w:val="nil"/>
              <w:bottom w:val="single" w:sz="4" w:space="0" w:color="auto"/>
              <w:right w:val="single" w:sz="4" w:space="0" w:color="auto"/>
            </w:tcBorders>
            <w:shd w:val="clear" w:color="auto" w:fill="auto"/>
            <w:vAlign w:val="bottom"/>
            <w:hideMark/>
          </w:tcPr>
          <w:p w14:paraId="61DB6381"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6.8</w:t>
            </w:r>
          </w:p>
        </w:tc>
        <w:tc>
          <w:tcPr>
            <w:tcW w:w="1477" w:type="dxa"/>
            <w:tcBorders>
              <w:top w:val="nil"/>
              <w:left w:val="nil"/>
              <w:bottom w:val="single" w:sz="4" w:space="0" w:color="auto"/>
              <w:right w:val="single" w:sz="4" w:space="0" w:color="auto"/>
            </w:tcBorders>
            <w:shd w:val="clear" w:color="auto" w:fill="auto"/>
            <w:vAlign w:val="bottom"/>
            <w:hideMark/>
          </w:tcPr>
          <w:p w14:paraId="388527A7"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6.2</w:t>
            </w:r>
          </w:p>
        </w:tc>
        <w:tc>
          <w:tcPr>
            <w:tcW w:w="1832" w:type="dxa"/>
            <w:tcBorders>
              <w:top w:val="nil"/>
              <w:left w:val="nil"/>
              <w:bottom w:val="single" w:sz="4" w:space="0" w:color="auto"/>
              <w:right w:val="single" w:sz="4" w:space="0" w:color="auto"/>
            </w:tcBorders>
            <w:shd w:val="clear" w:color="auto" w:fill="auto"/>
            <w:vAlign w:val="bottom"/>
            <w:hideMark/>
          </w:tcPr>
          <w:p w14:paraId="674EF8B3" w14:textId="77777777" w:rsidR="0036085D" w:rsidRPr="00E37218" w:rsidRDefault="0036085D" w:rsidP="005E28EF">
            <w:pPr>
              <w:spacing w:after="0" w:line="240" w:lineRule="auto"/>
              <w:jc w:val="right"/>
              <w:rPr>
                <w:rFonts w:cs="Arial"/>
                <w:color w:val="000000"/>
                <w:szCs w:val="22"/>
                <w:lang w:eastAsia="en-AU"/>
              </w:rPr>
            </w:pPr>
            <w:r w:rsidRPr="00E37218">
              <w:rPr>
                <w:rFonts w:cs="Arial"/>
                <w:color w:val="000000"/>
                <w:szCs w:val="22"/>
                <w:lang w:eastAsia="en-AU"/>
              </w:rPr>
              <w:t>-9.7%</w:t>
            </w:r>
          </w:p>
        </w:tc>
      </w:tr>
      <w:tr w:rsidR="0036085D" w:rsidRPr="00E37218" w14:paraId="6116612C" w14:textId="77777777" w:rsidTr="005E28EF">
        <w:trPr>
          <w:trHeight w:val="367"/>
        </w:trPr>
        <w:tc>
          <w:tcPr>
            <w:tcW w:w="4768" w:type="dxa"/>
            <w:tcBorders>
              <w:top w:val="nil"/>
              <w:left w:val="single" w:sz="4" w:space="0" w:color="auto"/>
              <w:bottom w:val="single" w:sz="4" w:space="0" w:color="auto"/>
              <w:right w:val="single" w:sz="4" w:space="0" w:color="auto"/>
            </w:tcBorders>
            <w:shd w:val="clear" w:color="auto" w:fill="auto"/>
            <w:vAlign w:val="center"/>
            <w:hideMark/>
          </w:tcPr>
          <w:p w14:paraId="4F57BD63" w14:textId="77777777" w:rsidR="0036085D" w:rsidRPr="00E37218" w:rsidRDefault="0036085D" w:rsidP="00F137E8">
            <w:pPr>
              <w:spacing w:after="0" w:line="240" w:lineRule="auto"/>
              <w:rPr>
                <w:rFonts w:cs="Arial"/>
                <w:b/>
                <w:bCs/>
                <w:color w:val="000000"/>
                <w:szCs w:val="22"/>
                <w:lang w:eastAsia="en-AU"/>
              </w:rPr>
            </w:pPr>
            <w:r w:rsidRPr="00E37218">
              <w:rPr>
                <w:rFonts w:cs="Arial"/>
                <w:b/>
                <w:bCs/>
                <w:color w:val="000000"/>
                <w:szCs w:val="22"/>
                <w:lang w:eastAsia="en-AU"/>
              </w:rPr>
              <w:t>Operating Revenue</w:t>
            </w:r>
          </w:p>
        </w:tc>
        <w:tc>
          <w:tcPr>
            <w:tcW w:w="1432" w:type="dxa"/>
            <w:tcBorders>
              <w:top w:val="nil"/>
              <w:left w:val="nil"/>
              <w:bottom w:val="single" w:sz="4" w:space="0" w:color="auto"/>
              <w:right w:val="single" w:sz="4" w:space="0" w:color="auto"/>
            </w:tcBorders>
            <w:shd w:val="clear" w:color="auto" w:fill="auto"/>
            <w:vAlign w:val="bottom"/>
            <w:hideMark/>
          </w:tcPr>
          <w:p w14:paraId="7409623E" w14:textId="77777777" w:rsidR="0036085D" w:rsidRPr="00E37218" w:rsidRDefault="0036085D" w:rsidP="005E28EF">
            <w:pPr>
              <w:spacing w:after="0" w:line="240" w:lineRule="auto"/>
              <w:jc w:val="right"/>
              <w:rPr>
                <w:rFonts w:cs="Arial"/>
                <w:b/>
                <w:bCs/>
                <w:color w:val="000000"/>
                <w:szCs w:val="22"/>
                <w:lang w:eastAsia="en-AU"/>
              </w:rPr>
            </w:pPr>
            <w:r w:rsidRPr="00E37218">
              <w:rPr>
                <w:rFonts w:cs="Arial"/>
                <w:b/>
                <w:bCs/>
                <w:color w:val="000000"/>
                <w:szCs w:val="22"/>
                <w:lang w:eastAsia="en-AU"/>
              </w:rPr>
              <w:t>237.9</w:t>
            </w:r>
          </w:p>
        </w:tc>
        <w:tc>
          <w:tcPr>
            <w:tcW w:w="1477" w:type="dxa"/>
            <w:tcBorders>
              <w:top w:val="nil"/>
              <w:left w:val="nil"/>
              <w:bottom w:val="single" w:sz="4" w:space="0" w:color="auto"/>
              <w:right w:val="single" w:sz="4" w:space="0" w:color="auto"/>
            </w:tcBorders>
            <w:shd w:val="clear" w:color="auto" w:fill="auto"/>
            <w:vAlign w:val="bottom"/>
            <w:hideMark/>
          </w:tcPr>
          <w:p w14:paraId="270AD837" w14:textId="77777777" w:rsidR="0036085D" w:rsidRPr="00E37218" w:rsidRDefault="0036085D" w:rsidP="005E28EF">
            <w:pPr>
              <w:spacing w:after="0" w:line="240" w:lineRule="auto"/>
              <w:jc w:val="right"/>
              <w:rPr>
                <w:rFonts w:cs="Arial"/>
                <w:b/>
                <w:bCs/>
                <w:color w:val="000000"/>
                <w:szCs w:val="22"/>
                <w:lang w:eastAsia="en-AU"/>
              </w:rPr>
            </w:pPr>
            <w:r w:rsidRPr="00E37218">
              <w:rPr>
                <w:rFonts w:cs="Arial"/>
                <w:b/>
                <w:bCs/>
                <w:color w:val="000000"/>
                <w:szCs w:val="22"/>
                <w:lang w:eastAsia="en-AU"/>
              </w:rPr>
              <w:t>253.4</w:t>
            </w:r>
          </w:p>
        </w:tc>
        <w:tc>
          <w:tcPr>
            <w:tcW w:w="1832" w:type="dxa"/>
            <w:tcBorders>
              <w:top w:val="nil"/>
              <w:left w:val="nil"/>
              <w:bottom w:val="single" w:sz="4" w:space="0" w:color="auto"/>
              <w:right w:val="single" w:sz="4" w:space="0" w:color="auto"/>
            </w:tcBorders>
            <w:shd w:val="clear" w:color="auto" w:fill="auto"/>
            <w:vAlign w:val="bottom"/>
            <w:hideMark/>
          </w:tcPr>
          <w:p w14:paraId="66157AD6" w14:textId="77777777" w:rsidR="0036085D" w:rsidRPr="00E37218" w:rsidRDefault="0036085D" w:rsidP="005E28EF">
            <w:pPr>
              <w:spacing w:after="0" w:line="240" w:lineRule="auto"/>
              <w:jc w:val="right"/>
              <w:rPr>
                <w:rFonts w:cs="Arial"/>
                <w:b/>
                <w:bCs/>
                <w:color w:val="000000"/>
                <w:szCs w:val="22"/>
                <w:lang w:eastAsia="en-AU"/>
              </w:rPr>
            </w:pPr>
            <w:r w:rsidRPr="00E37218">
              <w:rPr>
                <w:rFonts w:cs="Arial"/>
                <w:b/>
                <w:bCs/>
                <w:color w:val="000000"/>
                <w:szCs w:val="22"/>
                <w:lang w:eastAsia="en-AU"/>
              </w:rPr>
              <w:t>6.1%</w:t>
            </w:r>
          </w:p>
        </w:tc>
      </w:tr>
      <w:tr w:rsidR="005E28EF" w:rsidRPr="00E37218" w14:paraId="1A336874" w14:textId="77777777" w:rsidTr="005E28EF">
        <w:trPr>
          <w:trHeight w:val="367"/>
        </w:trPr>
        <w:tc>
          <w:tcPr>
            <w:tcW w:w="4768" w:type="dxa"/>
            <w:tcBorders>
              <w:top w:val="nil"/>
              <w:left w:val="single" w:sz="4" w:space="0" w:color="auto"/>
              <w:bottom w:val="single" w:sz="4" w:space="0" w:color="auto"/>
              <w:right w:val="single" w:sz="4" w:space="0" w:color="auto"/>
            </w:tcBorders>
            <w:shd w:val="clear" w:color="auto" w:fill="auto"/>
            <w:noWrap/>
            <w:vAlign w:val="bottom"/>
            <w:hideMark/>
          </w:tcPr>
          <w:p w14:paraId="329AB15F" w14:textId="77777777" w:rsidR="005E28EF" w:rsidRPr="00E37218" w:rsidRDefault="005E28EF" w:rsidP="005E28EF">
            <w:pPr>
              <w:spacing w:after="0" w:line="240" w:lineRule="auto"/>
              <w:rPr>
                <w:rFonts w:cs="Arial"/>
                <w:color w:val="000000"/>
                <w:szCs w:val="22"/>
                <w:lang w:eastAsia="en-AU"/>
              </w:rPr>
            </w:pPr>
            <w:r w:rsidRPr="00E37218">
              <w:rPr>
                <w:rFonts w:cs="Arial"/>
                <w:color w:val="000000"/>
                <w:szCs w:val="22"/>
                <w:lang w:eastAsia="en-AU"/>
              </w:rPr>
              <w:t>Digital Legal Aid income</w:t>
            </w:r>
          </w:p>
        </w:tc>
        <w:tc>
          <w:tcPr>
            <w:tcW w:w="1432" w:type="dxa"/>
            <w:tcBorders>
              <w:top w:val="nil"/>
              <w:left w:val="nil"/>
              <w:bottom w:val="single" w:sz="4" w:space="0" w:color="auto"/>
              <w:right w:val="single" w:sz="4" w:space="0" w:color="auto"/>
            </w:tcBorders>
            <w:shd w:val="clear" w:color="auto" w:fill="auto"/>
            <w:vAlign w:val="bottom"/>
            <w:hideMark/>
          </w:tcPr>
          <w:p w14:paraId="739361ED" w14:textId="77777777" w:rsidR="005E28EF" w:rsidRPr="00E37218" w:rsidRDefault="005E28EF" w:rsidP="005E28EF">
            <w:pPr>
              <w:spacing w:after="0" w:line="240" w:lineRule="auto"/>
              <w:jc w:val="right"/>
              <w:rPr>
                <w:rFonts w:cs="Arial"/>
                <w:color w:val="000000"/>
                <w:szCs w:val="22"/>
                <w:lang w:eastAsia="en-AU"/>
              </w:rPr>
            </w:pPr>
            <w:r w:rsidRPr="00E37218">
              <w:rPr>
                <w:rFonts w:cs="Arial"/>
                <w:color w:val="000000"/>
                <w:szCs w:val="22"/>
                <w:lang w:eastAsia="en-AU"/>
              </w:rPr>
              <w:t>4</w:t>
            </w:r>
            <w:r w:rsidRPr="00BB01CF">
              <w:rPr>
                <w:rFonts w:cs="Arial"/>
                <w:color w:val="000000"/>
                <w:szCs w:val="22"/>
                <w:lang w:eastAsia="en-AU"/>
              </w:rPr>
              <w:t>.0</w:t>
            </w:r>
          </w:p>
        </w:tc>
        <w:tc>
          <w:tcPr>
            <w:tcW w:w="1477" w:type="dxa"/>
            <w:tcBorders>
              <w:top w:val="nil"/>
              <w:left w:val="nil"/>
              <w:bottom w:val="single" w:sz="4" w:space="0" w:color="auto"/>
              <w:right w:val="single" w:sz="4" w:space="0" w:color="auto"/>
            </w:tcBorders>
            <w:shd w:val="clear" w:color="auto" w:fill="auto"/>
            <w:vAlign w:val="bottom"/>
            <w:hideMark/>
          </w:tcPr>
          <w:p w14:paraId="7820A7D2" w14:textId="77777777" w:rsidR="005E28EF" w:rsidRPr="00E37218" w:rsidRDefault="005E28EF" w:rsidP="005E28EF">
            <w:pPr>
              <w:spacing w:after="0" w:line="240" w:lineRule="auto"/>
              <w:jc w:val="right"/>
              <w:rPr>
                <w:rFonts w:cs="Arial"/>
                <w:color w:val="000000"/>
                <w:szCs w:val="22"/>
                <w:lang w:eastAsia="en-AU"/>
              </w:rPr>
            </w:pPr>
            <w:r w:rsidRPr="00E37218">
              <w:rPr>
                <w:rFonts w:cs="Arial"/>
                <w:color w:val="000000"/>
                <w:szCs w:val="22"/>
                <w:lang w:eastAsia="en-AU"/>
              </w:rPr>
              <w:t>3.5</w:t>
            </w:r>
          </w:p>
        </w:tc>
        <w:tc>
          <w:tcPr>
            <w:tcW w:w="1832" w:type="dxa"/>
            <w:tcBorders>
              <w:top w:val="nil"/>
              <w:left w:val="nil"/>
              <w:bottom w:val="single" w:sz="4" w:space="0" w:color="auto"/>
              <w:right w:val="single" w:sz="4" w:space="0" w:color="auto"/>
            </w:tcBorders>
            <w:shd w:val="clear" w:color="auto" w:fill="auto"/>
            <w:noWrap/>
            <w:vAlign w:val="bottom"/>
            <w:hideMark/>
          </w:tcPr>
          <w:p w14:paraId="17D324B1" w14:textId="452D7CAC" w:rsidR="005E28EF" w:rsidRPr="00E37218" w:rsidRDefault="005E28EF" w:rsidP="005E28EF">
            <w:pPr>
              <w:spacing w:after="0" w:line="240" w:lineRule="auto"/>
              <w:jc w:val="right"/>
              <w:rPr>
                <w:rFonts w:cs="Arial"/>
                <w:color w:val="000000"/>
                <w:szCs w:val="22"/>
                <w:lang w:eastAsia="en-AU"/>
              </w:rPr>
            </w:pPr>
            <w:r w:rsidRPr="00984CD6">
              <w:t xml:space="preserve"> -</w:t>
            </w:r>
            <w:r w:rsidR="00292BB4" w:rsidRPr="00292BB4">
              <w:t>12.5%</w:t>
            </w:r>
          </w:p>
        </w:tc>
      </w:tr>
      <w:tr w:rsidR="005E28EF" w:rsidRPr="00E37218" w14:paraId="5E702500" w14:textId="77777777" w:rsidTr="005E28EF">
        <w:trPr>
          <w:trHeight w:val="403"/>
        </w:trPr>
        <w:tc>
          <w:tcPr>
            <w:tcW w:w="4768" w:type="dxa"/>
            <w:tcBorders>
              <w:top w:val="nil"/>
              <w:left w:val="single" w:sz="4" w:space="0" w:color="auto"/>
              <w:bottom w:val="single" w:sz="4" w:space="0" w:color="auto"/>
              <w:right w:val="single" w:sz="4" w:space="0" w:color="auto"/>
            </w:tcBorders>
            <w:shd w:val="clear" w:color="auto" w:fill="auto"/>
            <w:vAlign w:val="center"/>
            <w:hideMark/>
          </w:tcPr>
          <w:p w14:paraId="413AEEED" w14:textId="77777777" w:rsidR="005E28EF" w:rsidRPr="00E37218" w:rsidRDefault="005E28EF" w:rsidP="005E28EF">
            <w:pPr>
              <w:spacing w:after="0" w:line="240" w:lineRule="auto"/>
              <w:rPr>
                <w:rFonts w:cs="Arial"/>
                <w:b/>
                <w:bCs/>
                <w:color w:val="000000"/>
                <w:szCs w:val="22"/>
                <w:lang w:eastAsia="en-AU"/>
              </w:rPr>
            </w:pPr>
            <w:r w:rsidRPr="00E37218">
              <w:rPr>
                <w:rFonts w:cs="Arial"/>
                <w:b/>
                <w:bCs/>
                <w:color w:val="000000"/>
                <w:szCs w:val="22"/>
                <w:lang w:eastAsia="en-AU"/>
              </w:rPr>
              <w:t>Total Revenue</w:t>
            </w:r>
          </w:p>
        </w:tc>
        <w:tc>
          <w:tcPr>
            <w:tcW w:w="1432" w:type="dxa"/>
            <w:tcBorders>
              <w:top w:val="nil"/>
              <w:left w:val="nil"/>
              <w:bottom w:val="single" w:sz="4" w:space="0" w:color="auto"/>
              <w:right w:val="single" w:sz="4" w:space="0" w:color="auto"/>
            </w:tcBorders>
            <w:shd w:val="clear" w:color="auto" w:fill="auto"/>
            <w:noWrap/>
            <w:vAlign w:val="bottom"/>
            <w:hideMark/>
          </w:tcPr>
          <w:p w14:paraId="0CECCA33" w14:textId="77777777" w:rsidR="005E28EF" w:rsidRPr="00E37218" w:rsidRDefault="005E28EF" w:rsidP="005E28EF">
            <w:pPr>
              <w:spacing w:after="0" w:line="240" w:lineRule="auto"/>
              <w:jc w:val="right"/>
              <w:rPr>
                <w:rFonts w:cs="Arial"/>
                <w:b/>
                <w:bCs/>
                <w:color w:val="000000"/>
                <w:szCs w:val="22"/>
                <w:lang w:eastAsia="en-AU"/>
              </w:rPr>
            </w:pPr>
            <w:r w:rsidRPr="00E37218">
              <w:rPr>
                <w:rFonts w:cs="Arial"/>
                <w:b/>
                <w:bCs/>
                <w:color w:val="000000"/>
                <w:szCs w:val="22"/>
                <w:lang w:eastAsia="en-AU"/>
              </w:rPr>
              <w:t>241.9</w:t>
            </w:r>
          </w:p>
        </w:tc>
        <w:tc>
          <w:tcPr>
            <w:tcW w:w="1477" w:type="dxa"/>
            <w:tcBorders>
              <w:top w:val="nil"/>
              <w:left w:val="nil"/>
              <w:bottom w:val="single" w:sz="4" w:space="0" w:color="auto"/>
              <w:right w:val="single" w:sz="4" w:space="0" w:color="auto"/>
            </w:tcBorders>
            <w:shd w:val="clear" w:color="auto" w:fill="auto"/>
            <w:noWrap/>
            <w:vAlign w:val="bottom"/>
            <w:hideMark/>
          </w:tcPr>
          <w:p w14:paraId="7315C0AB" w14:textId="77777777" w:rsidR="005E28EF" w:rsidRPr="00E37218" w:rsidRDefault="005E28EF" w:rsidP="005E28EF">
            <w:pPr>
              <w:spacing w:after="0" w:line="240" w:lineRule="auto"/>
              <w:jc w:val="right"/>
              <w:rPr>
                <w:rFonts w:cs="Arial"/>
                <w:b/>
                <w:bCs/>
                <w:color w:val="000000"/>
                <w:szCs w:val="22"/>
                <w:lang w:eastAsia="en-AU"/>
              </w:rPr>
            </w:pPr>
            <w:r w:rsidRPr="00E37218">
              <w:rPr>
                <w:rFonts w:cs="Arial"/>
                <w:b/>
                <w:bCs/>
                <w:color w:val="000000"/>
                <w:szCs w:val="22"/>
                <w:lang w:eastAsia="en-AU"/>
              </w:rPr>
              <w:t>256.9</w:t>
            </w:r>
          </w:p>
        </w:tc>
        <w:tc>
          <w:tcPr>
            <w:tcW w:w="1832" w:type="dxa"/>
            <w:tcBorders>
              <w:top w:val="nil"/>
              <w:left w:val="nil"/>
              <w:bottom w:val="single" w:sz="4" w:space="0" w:color="auto"/>
              <w:right w:val="single" w:sz="4" w:space="0" w:color="auto"/>
            </w:tcBorders>
            <w:shd w:val="clear" w:color="auto" w:fill="auto"/>
            <w:noWrap/>
            <w:vAlign w:val="bottom"/>
            <w:hideMark/>
          </w:tcPr>
          <w:p w14:paraId="248D5E87" w14:textId="18DB05AC" w:rsidR="005E28EF" w:rsidRPr="00E37218" w:rsidRDefault="005E28EF" w:rsidP="005E28EF">
            <w:pPr>
              <w:spacing w:after="0" w:line="240" w:lineRule="auto"/>
              <w:jc w:val="right"/>
              <w:rPr>
                <w:rFonts w:cs="Arial"/>
                <w:color w:val="000000"/>
                <w:szCs w:val="22"/>
                <w:lang w:eastAsia="en-AU"/>
              </w:rPr>
            </w:pPr>
            <w:r w:rsidRPr="00984CD6">
              <w:t xml:space="preserve"> 6.2%</w:t>
            </w:r>
          </w:p>
        </w:tc>
      </w:tr>
    </w:tbl>
    <w:p w14:paraId="54400EE1" w14:textId="2F6A0BBF" w:rsidR="00454689" w:rsidRDefault="00454689" w:rsidP="00454689">
      <w:pPr>
        <w:pStyle w:val="Heading2"/>
      </w:pPr>
      <w:bookmarkStart w:id="35" w:name="_Toc528158791"/>
      <w:bookmarkStart w:id="36" w:name="_Toc20289980"/>
      <w:bookmarkStart w:id="37" w:name="_Toc9953207"/>
      <w:r>
        <w:t>Our expenditure</w:t>
      </w:r>
      <w:bookmarkEnd w:id="35"/>
      <w:bookmarkEnd w:id="36"/>
      <w:r>
        <w:t xml:space="preserve"> </w:t>
      </w:r>
      <w:bookmarkEnd w:id="37"/>
    </w:p>
    <w:p w14:paraId="56C2A851" w14:textId="3A77E1EE" w:rsidR="009B296F" w:rsidRDefault="009B296F" w:rsidP="009B296F">
      <w:r w:rsidRPr="00A97FC3">
        <w:t xml:space="preserve">Overall </w:t>
      </w:r>
      <w:r>
        <w:t xml:space="preserve">budgeted </w:t>
      </w:r>
      <w:r w:rsidRPr="00A97FC3">
        <w:t xml:space="preserve">expenditure is expected to increase by </w:t>
      </w:r>
      <w:r w:rsidRPr="003B2097">
        <w:t>$</w:t>
      </w:r>
      <w:r>
        <w:t>14.5</w:t>
      </w:r>
      <w:r w:rsidRPr="003B2097">
        <w:t xml:space="preserve"> </w:t>
      </w:r>
      <w:r w:rsidRPr="00A97FC3">
        <w:t>million from $23</w:t>
      </w:r>
      <w:r>
        <w:t>8</w:t>
      </w:r>
      <w:r w:rsidRPr="00A97FC3">
        <w:t>.</w:t>
      </w:r>
      <w:r>
        <w:t>8</w:t>
      </w:r>
      <w:r w:rsidRPr="00A97FC3">
        <w:t xml:space="preserve"> million in 2018–19 to $</w:t>
      </w:r>
      <w:r>
        <w:t>253.3</w:t>
      </w:r>
      <w:r w:rsidRPr="00A97FC3">
        <w:t xml:space="preserve"> million in 2019–20</w:t>
      </w:r>
      <w:r w:rsidR="003B60E2">
        <w:t>. This is</w:t>
      </w:r>
      <w:r>
        <w:t xml:space="preserve"> largely due to additional tied funding provided to deliver legal services in support of the rollout of five new specialist family violence courts</w:t>
      </w:r>
      <w:r w:rsidR="003B60E2">
        <w:t>,</w:t>
      </w:r>
      <w:r>
        <w:t xml:space="preserve"> and the deferral of some savings measures. </w:t>
      </w:r>
    </w:p>
    <w:p w14:paraId="3E5CF11B" w14:textId="294C8339" w:rsidR="00A747A9" w:rsidRDefault="000C7A18" w:rsidP="00A747A9">
      <w:hyperlink w:anchor="_Table_3:_Expenditure" w:history="1">
        <w:r w:rsidR="00454689" w:rsidRPr="00D63018">
          <w:rPr>
            <w:rStyle w:val="Hyperlink"/>
          </w:rPr>
          <w:t xml:space="preserve">Table </w:t>
        </w:r>
        <w:r w:rsidR="004A10D8" w:rsidRPr="00D63018">
          <w:rPr>
            <w:rStyle w:val="Hyperlink"/>
          </w:rPr>
          <w:t>3</w:t>
        </w:r>
      </w:hyperlink>
      <w:r w:rsidR="00454689">
        <w:t xml:space="preserve"> shows a breakdown of budgeted expenditure by program. </w:t>
      </w:r>
      <w:r w:rsidR="00A747A9">
        <w:t xml:space="preserve">The Criminal Law program continues to be our largest program in terms of services and expenditure at 45.0 percent of overall VLA expenditure or $114.6 million. Much of the increase in expenditure in our Criminal Law program </w:t>
      </w:r>
      <w:r w:rsidR="00A747A9">
        <w:lastRenderedPageBreak/>
        <w:t>relates to the growth in grant approvals to private practitioners in response to demand driven by legislative and policy changes.</w:t>
      </w:r>
    </w:p>
    <w:p w14:paraId="57139622" w14:textId="519F873F" w:rsidR="00910730" w:rsidRDefault="00910730" w:rsidP="00910730">
      <w:r w:rsidRPr="000675A8">
        <w:t>Expenditure in our Family, Youth and Children’s Law program area is also expected to increase in 2019–20</w:t>
      </w:r>
      <w:r>
        <w:t xml:space="preserve"> </w:t>
      </w:r>
      <w:r w:rsidRPr="006525E8">
        <w:t xml:space="preserve">to $83.6 million or 33 percent of total VLA spend. This </w:t>
      </w:r>
      <w:r w:rsidRPr="000675A8">
        <w:t>growth is attributable to increased demand for child protection</w:t>
      </w:r>
      <w:r>
        <w:t xml:space="preserve"> </w:t>
      </w:r>
      <w:r w:rsidRPr="006525E8">
        <w:t>and parenting disputes grant approvals and subsequent payments on legally aided cases, as well as family violen</w:t>
      </w:r>
      <w:r w:rsidRPr="000675A8">
        <w:t xml:space="preserve">ce legal services and </w:t>
      </w:r>
      <w:r>
        <w:t xml:space="preserve">the </w:t>
      </w:r>
      <w:r w:rsidRPr="000675A8">
        <w:t xml:space="preserve">roll out of </w:t>
      </w:r>
      <w:r>
        <w:t>five new</w:t>
      </w:r>
      <w:r w:rsidRPr="000675A8">
        <w:t xml:space="preserve"> specialist family violence courts</w:t>
      </w:r>
      <w:r>
        <w:t xml:space="preserve"> (‘SFVCs’)</w:t>
      </w:r>
      <w:r w:rsidRPr="000675A8">
        <w:t xml:space="preserve"> across Victoria.</w:t>
      </w:r>
      <w:r>
        <w:t xml:space="preserve"> VLA received funding in the 2017</w:t>
      </w:r>
      <w:r w:rsidRPr="000675A8">
        <w:t>–</w:t>
      </w:r>
      <w:r>
        <w:t>18 State Budget to deliver legal services in the SFVCs. The service delivery model within the SFVCs will be therapeutic, resource intensive and developed collaboratively with stakeholders. The intent is for court users to have all their legal needs considered with the aim of promoting safety, reducing risk and reoffending. Working collaboratively with stakeholders and utilising available service demand data</w:t>
      </w:r>
      <w:r w:rsidR="003B60E2">
        <w:t>,</w:t>
      </w:r>
      <w:r>
        <w:t xml:space="preserve"> VLA will determine the best way to maximise the mixed model to provide legal services at the SFVCs. </w:t>
      </w:r>
    </w:p>
    <w:p w14:paraId="5E9DB910" w14:textId="77777777" w:rsidR="004D41FC" w:rsidRDefault="004D41FC" w:rsidP="004D41FC">
      <w:r>
        <w:t>Our support for community legal centres (CLCs) will increase by $</w:t>
      </w:r>
      <w:r w:rsidRPr="000675A8">
        <w:t>1.2</w:t>
      </w:r>
      <w:r>
        <w:t xml:space="preserve"> million</w:t>
      </w:r>
      <w:r>
        <w:rPr>
          <w:rStyle w:val="FootnoteReference"/>
        </w:rPr>
        <w:footnoteReference w:id="14"/>
      </w:r>
      <w:r>
        <w:t xml:space="preserve">, or 3.8. percent, compared to last financial year, reflecting the important role CLCs play in the broader legal assistance sector. </w:t>
      </w:r>
    </w:p>
    <w:p w14:paraId="7ACFD3B6" w14:textId="353D4DC5" w:rsidR="00454689" w:rsidRDefault="00454689" w:rsidP="00F81438">
      <w:pPr>
        <w:pStyle w:val="Heading3"/>
      </w:pPr>
      <w:bookmarkStart w:id="38" w:name="_Chart_2:_Expenditure"/>
      <w:bookmarkStart w:id="39" w:name="_Table_3:_Expenditure"/>
      <w:bookmarkEnd w:id="38"/>
      <w:bookmarkEnd w:id="39"/>
      <w:r>
        <w:t xml:space="preserve">Table </w:t>
      </w:r>
      <w:r w:rsidR="00293F2A">
        <w:t>3</w:t>
      </w:r>
      <w:r>
        <w:t>: Expenditure by program area ($m)</w:t>
      </w:r>
    </w:p>
    <w:tbl>
      <w:tblPr>
        <w:tblStyle w:val="TableGrid"/>
        <w:tblW w:w="5058" w:type="pct"/>
        <w:tblLook w:val="04A0" w:firstRow="1" w:lastRow="0" w:firstColumn="1" w:lastColumn="0" w:noHBand="0" w:noVBand="1"/>
      </w:tblPr>
      <w:tblGrid>
        <w:gridCol w:w="5021"/>
        <w:gridCol w:w="1196"/>
        <w:gridCol w:w="1322"/>
        <w:gridCol w:w="2344"/>
      </w:tblGrid>
      <w:tr w:rsidR="00695139" w:rsidRPr="005C6FE3" w14:paraId="675C4A9D" w14:textId="77777777" w:rsidTr="00695139">
        <w:tc>
          <w:tcPr>
            <w:tcW w:w="2540" w:type="pct"/>
          </w:tcPr>
          <w:p w14:paraId="6C1E1DE6" w14:textId="08B323FB" w:rsidR="00B01FEB" w:rsidRPr="005C6FE3" w:rsidRDefault="00B01FEB" w:rsidP="00F137E8">
            <w:pPr>
              <w:rPr>
                <w:b/>
                <w:lang w:eastAsia="en-AU"/>
              </w:rPr>
            </w:pPr>
            <w:bookmarkStart w:id="40" w:name="_Hlk25067804"/>
            <w:r w:rsidRPr="00A447A5">
              <w:rPr>
                <w:b/>
                <w:lang w:eastAsia="en-AU"/>
              </w:rPr>
              <w:t>Program area</w:t>
            </w:r>
          </w:p>
        </w:tc>
        <w:tc>
          <w:tcPr>
            <w:tcW w:w="605" w:type="pct"/>
          </w:tcPr>
          <w:p w14:paraId="44267D71" w14:textId="73E46637" w:rsidR="00B01FEB" w:rsidRPr="00EC18A3" w:rsidRDefault="00B01FEB" w:rsidP="00EC18A3">
            <w:pPr>
              <w:rPr>
                <w:b/>
                <w:bCs/>
                <w:lang w:eastAsia="en-AU"/>
              </w:rPr>
            </w:pPr>
            <w:r w:rsidRPr="00EC18A3">
              <w:rPr>
                <w:b/>
                <w:bCs/>
                <w:lang w:eastAsia="en-AU"/>
              </w:rPr>
              <w:t>2018–19</w:t>
            </w:r>
            <w:r w:rsidR="00EC18A3" w:rsidRPr="00EC18A3">
              <w:rPr>
                <w:b/>
                <w:bCs/>
                <w:lang w:eastAsia="en-AU"/>
              </w:rPr>
              <w:t xml:space="preserve"> </w:t>
            </w:r>
            <w:r w:rsidRPr="00EC18A3">
              <w:rPr>
                <w:b/>
                <w:bCs/>
                <w:lang w:eastAsia="en-AU"/>
              </w:rPr>
              <w:t>(Actual)</w:t>
            </w:r>
          </w:p>
        </w:tc>
        <w:tc>
          <w:tcPr>
            <w:tcW w:w="669" w:type="pct"/>
          </w:tcPr>
          <w:p w14:paraId="13A721A2" w14:textId="695BBE92" w:rsidR="00B01FEB" w:rsidRPr="00EC18A3" w:rsidRDefault="00B01FEB" w:rsidP="00EC18A3">
            <w:pPr>
              <w:rPr>
                <w:b/>
                <w:bCs/>
                <w:lang w:eastAsia="en-AU"/>
              </w:rPr>
            </w:pPr>
            <w:r w:rsidRPr="00EC18A3">
              <w:rPr>
                <w:b/>
                <w:bCs/>
                <w:lang w:eastAsia="en-AU"/>
              </w:rPr>
              <w:t>2019–20 (Budget)</w:t>
            </w:r>
          </w:p>
        </w:tc>
        <w:tc>
          <w:tcPr>
            <w:tcW w:w="1186" w:type="pct"/>
          </w:tcPr>
          <w:p w14:paraId="0DC20591" w14:textId="5A50A8E0" w:rsidR="00B01FEB" w:rsidRPr="00EC18A3" w:rsidRDefault="00B01FEB" w:rsidP="00EC18A3">
            <w:pPr>
              <w:rPr>
                <w:b/>
                <w:bCs/>
                <w:lang w:eastAsia="en-AU"/>
              </w:rPr>
            </w:pPr>
            <w:r w:rsidRPr="00EC18A3">
              <w:rPr>
                <w:b/>
                <w:bCs/>
                <w:lang w:eastAsia="en-AU"/>
              </w:rPr>
              <w:t>Growth percentage</w:t>
            </w:r>
          </w:p>
        </w:tc>
      </w:tr>
      <w:tr w:rsidR="00695139" w14:paraId="64C30CCB" w14:textId="77777777" w:rsidTr="00695139">
        <w:tc>
          <w:tcPr>
            <w:tcW w:w="2540" w:type="pct"/>
          </w:tcPr>
          <w:p w14:paraId="5AA7590D" w14:textId="0CC0846A" w:rsidR="00B01FEB" w:rsidRPr="005C6FE3" w:rsidRDefault="00B01FEB" w:rsidP="00F137E8">
            <w:pPr>
              <w:rPr>
                <w:b/>
                <w:lang w:eastAsia="en-AU"/>
              </w:rPr>
            </w:pPr>
            <w:r>
              <w:rPr>
                <w:b/>
                <w:lang w:eastAsia="en-AU"/>
              </w:rPr>
              <w:t>Criminal Law</w:t>
            </w:r>
          </w:p>
        </w:tc>
        <w:tc>
          <w:tcPr>
            <w:tcW w:w="605" w:type="pct"/>
          </w:tcPr>
          <w:p w14:paraId="611036C4" w14:textId="108D9734" w:rsidR="00B01FEB" w:rsidRPr="00B9167D" w:rsidRDefault="00B01FEB" w:rsidP="00F137E8">
            <w:pPr>
              <w:jc w:val="right"/>
              <w:rPr>
                <w:highlight w:val="yellow"/>
                <w:lang w:eastAsia="en-AU"/>
              </w:rPr>
            </w:pPr>
            <w:r w:rsidRPr="00B9167D">
              <w:rPr>
                <w:lang w:eastAsia="en-AU"/>
              </w:rPr>
              <w:t>108.</w:t>
            </w:r>
            <w:r>
              <w:rPr>
                <w:lang w:eastAsia="en-AU"/>
              </w:rPr>
              <w:t>6</w:t>
            </w:r>
          </w:p>
        </w:tc>
        <w:tc>
          <w:tcPr>
            <w:tcW w:w="669" w:type="pct"/>
          </w:tcPr>
          <w:p w14:paraId="4611DE63" w14:textId="2CCD5DFC" w:rsidR="00B01FEB" w:rsidRPr="00B9167D" w:rsidRDefault="00B01FEB" w:rsidP="00F137E8">
            <w:pPr>
              <w:jc w:val="right"/>
              <w:rPr>
                <w:lang w:eastAsia="en-AU"/>
              </w:rPr>
            </w:pPr>
            <w:r>
              <w:rPr>
                <w:lang w:eastAsia="en-AU"/>
              </w:rPr>
              <w:t>114.6</w:t>
            </w:r>
          </w:p>
        </w:tc>
        <w:tc>
          <w:tcPr>
            <w:tcW w:w="1186" w:type="pct"/>
          </w:tcPr>
          <w:p w14:paraId="368D45FF" w14:textId="79F8841E" w:rsidR="00B01FEB" w:rsidRPr="00B9167D" w:rsidRDefault="00B01FEB" w:rsidP="00F137E8">
            <w:pPr>
              <w:jc w:val="right"/>
              <w:rPr>
                <w:lang w:eastAsia="en-AU"/>
              </w:rPr>
            </w:pPr>
            <w:r>
              <w:rPr>
                <w:lang w:eastAsia="en-AU"/>
              </w:rPr>
              <w:t>5.5</w:t>
            </w:r>
            <w:r w:rsidRPr="00B9167D">
              <w:rPr>
                <w:lang w:eastAsia="en-AU"/>
              </w:rPr>
              <w:t>%</w:t>
            </w:r>
          </w:p>
        </w:tc>
      </w:tr>
      <w:tr w:rsidR="00695139" w14:paraId="1F4368C7" w14:textId="77777777" w:rsidTr="00695139">
        <w:tc>
          <w:tcPr>
            <w:tcW w:w="2540" w:type="pct"/>
          </w:tcPr>
          <w:p w14:paraId="29CEBAB0" w14:textId="5E874FAE" w:rsidR="00B01FEB" w:rsidRPr="005C6FE3" w:rsidRDefault="00B01FEB" w:rsidP="00F137E8">
            <w:pPr>
              <w:rPr>
                <w:b/>
                <w:lang w:eastAsia="en-AU"/>
              </w:rPr>
            </w:pPr>
            <w:r>
              <w:rPr>
                <w:b/>
                <w:lang w:eastAsia="en-AU"/>
              </w:rPr>
              <w:t>Family, Youth and Children’s Law</w:t>
            </w:r>
          </w:p>
        </w:tc>
        <w:tc>
          <w:tcPr>
            <w:tcW w:w="605" w:type="pct"/>
          </w:tcPr>
          <w:p w14:paraId="7ADCBDD6" w14:textId="72F1FEFC" w:rsidR="00B01FEB" w:rsidRPr="00B9167D" w:rsidRDefault="00B01FEB" w:rsidP="00F137E8">
            <w:pPr>
              <w:jc w:val="right"/>
              <w:rPr>
                <w:highlight w:val="yellow"/>
                <w:lang w:eastAsia="en-AU"/>
              </w:rPr>
            </w:pPr>
            <w:r w:rsidRPr="00B9167D">
              <w:rPr>
                <w:lang w:eastAsia="en-AU"/>
              </w:rPr>
              <w:t>74.</w:t>
            </w:r>
            <w:r>
              <w:rPr>
                <w:lang w:eastAsia="en-AU"/>
              </w:rPr>
              <w:t>4</w:t>
            </w:r>
          </w:p>
        </w:tc>
        <w:tc>
          <w:tcPr>
            <w:tcW w:w="669" w:type="pct"/>
          </w:tcPr>
          <w:p w14:paraId="016BBB06" w14:textId="6F21675C" w:rsidR="00B01FEB" w:rsidRPr="00B9167D" w:rsidRDefault="00B01FEB" w:rsidP="00F137E8">
            <w:pPr>
              <w:jc w:val="right"/>
              <w:rPr>
                <w:lang w:eastAsia="en-AU"/>
              </w:rPr>
            </w:pPr>
            <w:r>
              <w:rPr>
                <w:lang w:eastAsia="en-AU"/>
              </w:rPr>
              <w:t>83.6</w:t>
            </w:r>
          </w:p>
        </w:tc>
        <w:tc>
          <w:tcPr>
            <w:tcW w:w="1186" w:type="pct"/>
          </w:tcPr>
          <w:p w14:paraId="1CF28776" w14:textId="34A3E979" w:rsidR="00B01FEB" w:rsidRPr="00B9167D" w:rsidRDefault="00B01FEB" w:rsidP="00F137E8">
            <w:pPr>
              <w:jc w:val="right"/>
              <w:rPr>
                <w:lang w:eastAsia="en-AU"/>
              </w:rPr>
            </w:pPr>
            <w:r>
              <w:rPr>
                <w:lang w:eastAsia="en-AU"/>
              </w:rPr>
              <w:t>12.4</w:t>
            </w:r>
            <w:r w:rsidRPr="00B9167D">
              <w:rPr>
                <w:lang w:eastAsia="en-AU"/>
              </w:rPr>
              <w:t>%</w:t>
            </w:r>
          </w:p>
        </w:tc>
      </w:tr>
      <w:tr w:rsidR="00695139" w14:paraId="6D1B3644" w14:textId="77777777" w:rsidTr="00695139">
        <w:tc>
          <w:tcPr>
            <w:tcW w:w="2540" w:type="pct"/>
          </w:tcPr>
          <w:p w14:paraId="78174E07" w14:textId="10813BB7" w:rsidR="00B01FEB" w:rsidRPr="005C6FE3" w:rsidRDefault="00B01FEB" w:rsidP="00F137E8">
            <w:pPr>
              <w:rPr>
                <w:b/>
                <w:lang w:eastAsia="en-AU"/>
              </w:rPr>
            </w:pPr>
            <w:r>
              <w:rPr>
                <w:b/>
                <w:lang w:eastAsia="en-AU"/>
              </w:rPr>
              <w:t>Civil Justice</w:t>
            </w:r>
          </w:p>
        </w:tc>
        <w:tc>
          <w:tcPr>
            <w:tcW w:w="605" w:type="pct"/>
          </w:tcPr>
          <w:p w14:paraId="31195FC9" w14:textId="156F3C8D" w:rsidR="00B01FEB" w:rsidRPr="00B9167D" w:rsidRDefault="00B01FEB" w:rsidP="00F137E8">
            <w:pPr>
              <w:jc w:val="right"/>
              <w:rPr>
                <w:highlight w:val="yellow"/>
                <w:lang w:eastAsia="en-AU"/>
              </w:rPr>
            </w:pPr>
            <w:r w:rsidRPr="00B9167D">
              <w:rPr>
                <w:lang w:eastAsia="en-AU"/>
              </w:rPr>
              <w:t>24.</w:t>
            </w:r>
            <w:r>
              <w:rPr>
                <w:lang w:eastAsia="en-AU"/>
              </w:rPr>
              <w:t>6</w:t>
            </w:r>
          </w:p>
        </w:tc>
        <w:tc>
          <w:tcPr>
            <w:tcW w:w="669" w:type="pct"/>
          </w:tcPr>
          <w:p w14:paraId="357C8035" w14:textId="3349A7AD" w:rsidR="00B01FEB" w:rsidRPr="00B9167D" w:rsidRDefault="00B01FEB" w:rsidP="00F137E8">
            <w:pPr>
              <w:jc w:val="right"/>
              <w:rPr>
                <w:lang w:eastAsia="en-AU"/>
              </w:rPr>
            </w:pPr>
            <w:r>
              <w:rPr>
                <w:lang w:eastAsia="en-AU"/>
              </w:rPr>
              <w:t>22.7</w:t>
            </w:r>
          </w:p>
        </w:tc>
        <w:tc>
          <w:tcPr>
            <w:tcW w:w="1186" w:type="pct"/>
          </w:tcPr>
          <w:p w14:paraId="044F3119" w14:textId="7BF82BDE" w:rsidR="00B01FEB" w:rsidRPr="00B9167D" w:rsidRDefault="00B01FEB" w:rsidP="00F137E8">
            <w:pPr>
              <w:jc w:val="right"/>
              <w:rPr>
                <w:lang w:eastAsia="en-AU"/>
              </w:rPr>
            </w:pPr>
            <w:r w:rsidRPr="00B9167D">
              <w:rPr>
                <w:lang w:eastAsia="en-AU"/>
              </w:rPr>
              <w:t>-</w:t>
            </w:r>
            <w:r>
              <w:rPr>
                <w:lang w:eastAsia="en-AU"/>
              </w:rPr>
              <w:t>7.7</w:t>
            </w:r>
            <w:r w:rsidRPr="00B9167D">
              <w:rPr>
                <w:lang w:eastAsia="en-AU"/>
              </w:rPr>
              <w:t>%</w:t>
            </w:r>
          </w:p>
        </w:tc>
      </w:tr>
      <w:tr w:rsidR="00695139" w14:paraId="59850866" w14:textId="77777777" w:rsidTr="00695139">
        <w:tc>
          <w:tcPr>
            <w:tcW w:w="2540" w:type="pct"/>
          </w:tcPr>
          <w:p w14:paraId="47FDB2A8" w14:textId="2D953F8E" w:rsidR="00B01FEB" w:rsidRPr="005C6FE3" w:rsidRDefault="00B01FEB" w:rsidP="00F137E8">
            <w:pPr>
              <w:rPr>
                <w:b/>
                <w:lang w:eastAsia="en-AU"/>
              </w:rPr>
            </w:pPr>
            <w:r w:rsidRPr="00B9167D">
              <w:rPr>
                <w:b/>
                <w:lang w:eastAsia="en-AU"/>
              </w:rPr>
              <w:t>Community Legal Centres</w:t>
            </w:r>
            <w:r w:rsidRPr="00B9167D" w:rsidDel="00C65164">
              <w:rPr>
                <w:b/>
                <w:lang w:eastAsia="en-AU"/>
              </w:rPr>
              <w:t xml:space="preserve"> (direct costs only)</w:t>
            </w:r>
          </w:p>
        </w:tc>
        <w:tc>
          <w:tcPr>
            <w:tcW w:w="605" w:type="pct"/>
          </w:tcPr>
          <w:p w14:paraId="6ABBBCDB" w14:textId="6FFE73E8" w:rsidR="00B01FEB" w:rsidRPr="00B9167D" w:rsidRDefault="00B01FEB" w:rsidP="00F137E8">
            <w:pPr>
              <w:jc w:val="right"/>
              <w:rPr>
                <w:highlight w:val="yellow"/>
                <w:lang w:eastAsia="en-AU"/>
              </w:rPr>
            </w:pPr>
            <w:r w:rsidRPr="00B9167D">
              <w:rPr>
                <w:lang w:eastAsia="en-AU"/>
              </w:rPr>
              <w:t>31.2</w:t>
            </w:r>
          </w:p>
        </w:tc>
        <w:tc>
          <w:tcPr>
            <w:tcW w:w="669" w:type="pct"/>
          </w:tcPr>
          <w:p w14:paraId="3F4917FE" w14:textId="53D7675F" w:rsidR="00B01FEB" w:rsidRPr="00B9167D" w:rsidRDefault="00B01FEB" w:rsidP="00F137E8">
            <w:pPr>
              <w:jc w:val="right"/>
              <w:rPr>
                <w:lang w:eastAsia="en-AU"/>
              </w:rPr>
            </w:pPr>
            <w:r w:rsidRPr="00B9167D">
              <w:rPr>
                <w:lang w:eastAsia="en-AU"/>
              </w:rPr>
              <w:t>32.4</w:t>
            </w:r>
          </w:p>
        </w:tc>
        <w:tc>
          <w:tcPr>
            <w:tcW w:w="1186" w:type="pct"/>
          </w:tcPr>
          <w:p w14:paraId="722A3D78" w14:textId="17874970" w:rsidR="00B01FEB" w:rsidRPr="00B9167D" w:rsidRDefault="00B01FEB" w:rsidP="00F137E8">
            <w:pPr>
              <w:jc w:val="right"/>
              <w:rPr>
                <w:lang w:eastAsia="en-AU"/>
              </w:rPr>
            </w:pPr>
            <w:r w:rsidRPr="00B9167D">
              <w:rPr>
                <w:lang w:eastAsia="en-AU"/>
              </w:rPr>
              <w:t>3.8%</w:t>
            </w:r>
          </w:p>
        </w:tc>
      </w:tr>
      <w:tr w:rsidR="00695139" w14:paraId="23E7C853" w14:textId="77777777" w:rsidTr="00695139">
        <w:tc>
          <w:tcPr>
            <w:tcW w:w="2540" w:type="pct"/>
          </w:tcPr>
          <w:p w14:paraId="5FA008CB" w14:textId="5A46C33D" w:rsidR="00B01FEB" w:rsidRPr="005C6FE3" w:rsidRDefault="00B01FEB" w:rsidP="00F137E8">
            <w:pPr>
              <w:rPr>
                <w:b/>
                <w:lang w:eastAsia="en-AU"/>
              </w:rPr>
            </w:pPr>
            <w:r>
              <w:rPr>
                <w:b/>
                <w:lang w:eastAsia="en-AU"/>
              </w:rPr>
              <w:t>Total</w:t>
            </w:r>
          </w:p>
        </w:tc>
        <w:tc>
          <w:tcPr>
            <w:tcW w:w="605" w:type="pct"/>
          </w:tcPr>
          <w:p w14:paraId="197E487D" w14:textId="2B699966" w:rsidR="00B01FEB" w:rsidRPr="00B9167D" w:rsidRDefault="00B01FEB" w:rsidP="00F137E8">
            <w:pPr>
              <w:jc w:val="right"/>
              <w:rPr>
                <w:highlight w:val="yellow"/>
                <w:lang w:eastAsia="en-AU"/>
              </w:rPr>
            </w:pPr>
            <w:r w:rsidRPr="00B9167D" w:rsidDel="00DE2E1E">
              <w:rPr>
                <w:lang w:eastAsia="en-AU"/>
              </w:rPr>
              <w:t>23</w:t>
            </w:r>
            <w:r w:rsidRPr="00B9167D">
              <w:rPr>
                <w:lang w:eastAsia="en-AU"/>
              </w:rPr>
              <w:t>8</w:t>
            </w:r>
            <w:r w:rsidRPr="00B9167D" w:rsidDel="00DE2E1E">
              <w:rPr>
                <w:lang w:eastAsia="en-AU"/>
              </w:rPr>
              <w:t>.</w:t>
            </w:r>
            <w:r>
              <w:rPr>
                <w:lang w:eastAsia="en-AU"/>
              </w:rPr>
              <w:t>8</w:t>
            </w:r>
          </w:p>
        </w:tc>
        <w:tc>
          <w:tcPr>
            <w:tcW w:w="669" w:type="pct"/>
          </w:tcPr>
          <w:p w14:paraId="1CAF96BD" w14:textId="54AD99B9" w:rsidR="00B01FEB" w:rsidRPr="00B9167D" w:rsidRDefault="00B01FEB" w:rsidP="00F137E8">
            <w:pPr>
              <w:jc w:val="right"/>
              <w:rPr>
                <w:lang w:eastAsia="en-AU"/>
              </w:rPr>
            </w:pPr>
            <w:r>
              <w:rPr>
                <w:lang w:eastAsia="en-AU"/>
              </w:rPr>
              <w:t>253.3</w:t>
            </w:r>
          </w:p>
        </w:tc>
        <w:tc>
          <w:tcPr>
            <w:tcW w:w="1186" w:type="pct"/>
          </w:tcPr>
          <w:p w14:paraId="17369466" w14:textId="6AB07F76" w:rsidR="00B01FEB" w:rsidRPr="00B9167D" w:rsidRDefault="00B01FEB" w:rsidP="00F137E8">
            <w:pPr>
              <w:jc w:val="right"/>
              <w:rPr>
                <w:lang w:eastAsia="en-AU"/>
              </w:rPr>
            </w:pPr>
            <w:r>
              <w:rPr>
                <w:lang w:eastAsia="en-AU"/>
              </w:rPr>
              <w:t>6.1</w:t>
            </w:r>
            <w:r w:rsidRPr="00B9167D">
              <w:rPr>
                <w:lang w:eastAsia="en-AU"/>
              </w:rPr>
              <w:t>%</w:t>
            </w:r>
          </w:p>
        </w:tc>
      </w:tr>
    </w:tbl>
    <w:p w14:paraId="2BAF16DE" w14:textId="6129D66F" w:rsidR="00BE330A" w:rsidRDefault="00532B26" w:rsidP="00847F5A">
      <w:pPr>
        <w:pStyle w:val="Heading1"/>
      </w:pPr>
      <w:bookmarkStart w:id="41" w:name="_Toc9953208"/>
      <w:bookmarkStart w:id="42" w:name="_Toc20289981"/>
      <w:bookmarkEnd w:id="40"/>
      <w:r>
        <w:t>Y</w:t>
      </w:r>
      <w:r w:rsidR="00C06CFF">
        <w:t xml:space="preserve">ear </w:t>
      </w:r>
      <w:r w:rsidR="00545885">
        <w:t>two</w:t>
      </w:r>
      <w:r w:rsidR="00C06CFF">
        <w:t xml:space="preserve"> of o</w:t>
      </w:r>
      <w:r w:rsidR="00BE330A">
        <w:t xml:space="preserve">ur </w:t>
      </w:r>
      <w:bookmarkEnd w:id="41"/>
      <w:r w:rsidR="003607C2">
        <w:t>strateg</w:t>
      </w:r>
      <w:r w:rsidR="00520633">
        <w:t>y</w:t>
      </w:r>
      <w:bookmarkEnd w:id="42"/>
    </w:p>
    <w:p w14:paraId="7BBED1E4" w14:textId="29EC9407" w:rsidR="00D417EB" w:rsidRDefault="001A6657" w:rsidP="009C2A21">
      <w:pPr>
        <w:rPr>
          <w:lang w:eastAsia="en-AU"/>
        </w:rPr>
      </w:pPr>
      <w:r>
        <w:rPr>
          <w:lang w:eastAsia="en-AU"/>
        </w:rPr>
        <w:t>Strategy 22</w:t>
      </w:r>
      <w:r w:rsidR="00166943">
        <w:rPr>
          <w:lang w:eastAsia="en-AU"/>
        </w:rPr>
        <w:t xml:space="preserve"> outlines the </w:t>
      </w:r>
      <w:r w:rsidR="00D417EB">
        <w:rPr>
          <w:lang w:eastAsia="en-AU"/>
        </w:rPr>
        <w:t xml:space="preserve">three </w:t>
      </w:r>
      <w:r>
        <w:rPr>
          <w:lang w:eastAsia="en-AU"/>
        </w:rPr>
        <w:t>k</w:t>
      </w:r>
      <w:r w:rsidR="00D417EB">
        <w:rPr>
          <w:lang w:eastAsia="en-AU"/>
        </w:rPr>
        <w:t xml:space="preserve">ey </w:t>
      </w:r>
      <w:r w:rsidR="00F3347A">
        <w:rPr>
          <w:lang w:eastAsia="en-AU"/>
        </w:rPr>
        <w:t xml:space="preserve">directions </w:t>
      </w:r>
      <w:r w:rsidR="00D63018">
        <w:rPr>
          <w:lang w:eastAsia="en-AU"/>
        </w:rPr>
        <w:t xml:space="preserve">(clients, impact and together) </w:t>
      </w:r>
      <w:r w:rsidR="00166943">
        <w:rPr>
          <w:lang w:eastAsia="en-AU"/>
        </w:rPr>
        <w:t xml:space="preserve">that drive our work </w:t>
      </w:r>
      <w:r w:rsidR="00A776D9">
        <w:rPr>
          <w:lang w:eastAsia="en-AU"/>
        </w:rPr>
        <w:t>over the coming years</w:t>
      </w:r>
      <w:r w:rsidR="00932ACA">
        <w:rPr>
          <w:lang w:eastAsia="en-AU"/>
        </w:rPr>
        <w:t>. These directions</w:t>
      </w:r>
      <w:r w:rsidR="00A776D9">
        <w:rPr>
          <w:lang w:eastAsia="en-AU"/>
        </w:rPr>
        <w:t xml:space="preserve"> </w:t>
      </w:r>
      <w:r w:rsidR="001C6D5F">
        <w:rPr>
          <w:lang w:eastAsia="en-AU"/>
        </w:rPr>
        <w:t xml:space="preserve">act as the foundation for more </w:t>
      </w:r>
      <w:r w:rsidR="00F509A8">
        <w:rPr>
          <w:lang w:eastAsia="en-AU"/>
        </w:rPr>
        <w:t xml:space="preserve">effective and </w:t>
      </w:r>
      <w:r w:rsidR="001C6D5F">
        <w:rPr>
          <w:lang w:eastAsia="en-AU"/>
        </w:rPr>
        <w:t xml:space="preserve">accessible, client-centred services and </w:t>
      </w:r>
      <w:r w:rsidR="001B0AC5">
        <w:rPr>
          <w:lang w:eastAsia="en-AU"/>
        </w:rPr>
        <w:t>the</w:t>
      </w:r>
      <w:r w:rsidR="001C6D5F">
        <w:rPr>
          <w:lang w:eastAsia="en-AU"/>
        </w:rPr>
        <w:t xml:space="preserve"> </w:t>
      </w:r>
      <w:r w:rsidR="00632FCE">
        <w:rPr>
          <w:lang w:eastAsia="en-AU"/>
        </w:rPr>
        <w:t>collaborative leadership of a strong and dynamic legal assistance sector.</w:t>
      </w:r>
    </w:p>
    <w:p w14:paraId="15F12814" w14:textId="11CA2DDA" w:rsidR="00855211" w:rsidRPr="00F81438" w:rsidRDefault="00855211" w:rsidP="00325B1A">
      <w:pPr>
        <w:rPr>
          <w:rStyle w:val="Strong"/>
          <w:b w:val="0"/>
          <w:bCs w:val="0"/>
        </w:rPr>
      </w:pPr>
      <w:r w:rsidRPr="00F81438">
        <w:rPr>
          <w:rStyle w:val="Strong"/>
          <w:bCs w:val="0"/>
        </w:rPr>
        <w:t>Clients</w:t>
      </w:r>
      <w:r w:rsidR="001503C4" w:rsidRPr="00F81438">
        <w:rPr>
          <w:rStyle w:val="Strong"/>
          <w:bCs w:val="0"/>
        </w:rPr>
        <w:t xml:space="preserve"> </w:t>
      </w:r>
      <w:r w:rsidR="001503C4" w:rsidRPr="00F81438">
        <w:rPr>
          <w:rStyle w:val="Strong"/>
          <w:b w:val="0"/>
          <w:bCs w:val="0"/>
        </w:rPr>
        <w:t>–</w:t>
      </w:r>
      <w:r w:rsidRPr="00F81438">
        <w:rPr>
          <w:rStyle w:val="Strong"/>
          <w:bCs w:val="0"/>
        </w:rPr>
        <w:t xml:space="preserve"> </w:t>
      </w:r>
      <w:r w:rsidRPr="00F81438">
        <w:rPr>
          <w:rStyle w:val="Strong"/>
          <w:b w:val="0"/>
          <w:bCs w:val="0"/>
        </w:rPr>
        <w:t>We listen to our clients and make meeting their diverse needs our priority</w:t>
      </w:r>
      <w:r w:rsidR="001503C4" w:rsidRPr="00F81438">
        <w:rPr>
          <w:rStyle w:val="Strong"/>
          <w:b w:val="0"/>
          <w:bCs w:val="0"/>
        </w:rPr>
        <w:t>.</w:t>
      </w:r>
    </w:p>
    <w:p w14:paraId="6E059C50" w14:textId="144DC2FD" w:rsidR="00C55149" w:rsidRPr="00F81438" w:rsidRDefault="00C55149" w:rsidP="00325B1A">
      <w:pPr>
        <w:rPr>
          <w:rStyle w:val="Strong"/>
          <w:bCs w:val="0"/>
        </w:rPr>
      </w:pPr>
      <w:r w:rsidRPr="00F81438">
        <w:rPr>
          <w:rStyle w:val="Strong"/>
          <w:bCs w:val="0"/>
        </w:rPr>
        <w:t>Impact</w:t>
      </w:r>
      <w:r w:rsidR="001503C4" w:rsidRPr="00F81438">
        <w:rPr>
          <w:rStyle w:val="Strong"/>
          <w:b w:val="0"/>
        </w:rPr>
        <w:t xml:space="preserve"> </w:t>
      </w:r>
      <w:r w:rsidR="001503C4" w:rsidRPr="00F81438">
        <w:rPr>
          <w:rStyle w:val="Strong"/>
          <w:b w:val="0"/>
          <w:bCs w:val="0"/>
        </w:rPr>
        <w:t>–</w:t>
      </w:r>
      <w:r w:rsidRPr="00F81438">
        <w:rPr>
          <w:rStyle w:val="Strong"/>
          <w:bCs w:val="0"/>
        </w:rPr>
        <w:t xml:space="preserve"> </w:t>
      </w:r>
      <w:r w:rsidRPr="00F81438">
        <w:rPr>
          <w:rStyle w:val="Strong"/>
          <w:b w:val="0"/>
          <w:bCs w:val="0"/>
        </w:rPr>
        <w:t>We design services using evidence and feedback before deciding how and where they are delivered</w:t>
      </w:r>
      <w:r w:rsidR="001503C4" w:rsidRPr="00F81438">
        <w:rPr>
          <w:rStyle w:val="Strong"/>
          <w:b w:val="0"/>
          <w:bCs w:val="0"/>
        </w:rPr>
        <w:t>.</w:t>
      </w:r>
      <w:r w:rsidRPr="00F81438">
        <w:rPr>
          <w:rStyle w:val="Strong"/>
          <w:bCs w:val="0"/>
        </w:rPr>
        <w:t xml:space="preserve"> </w:t>
      </w:r>
    </w:p>
    <w:p w14:paraId="581DC35A" w14:textId="063E1FA2" w:rsidR="00855211" w:rsidRPr="00F81438" w:rsidRDefault="00855211" w:rsidP="00325B1A">
      <w:pPr>
        <w:rPr>
          <w:rStyle w:val="Strong"/>
          <w:b w:val="0"/>
          <w:bCs w:val="0"/>
        </w:rPr>
      </w:pPr>
      <w:r w:rsidRPr="00F81438">
        <w:rPr>
          <w:rStyle w:val="Strong"/>
          <w:bCs w:val="0"/>
        </w:rPr>
        <w:t>Together</w:t>
      </w:r>
      <w:r w:rsidR="001503C4" w:rsidRPr="00F81438">
        <w:rPr>
          <w:rStyle w:val="Strong"/>
          <w:b w:val="0"/>
        </w:rPr>
        <w:t xml:space="preserve"> </w:t>
      </w:r>
      <w:r w:rsidR="001503C4" w:rsidRPr="00F81438">
        <w:rPr>
          <w:rStyle w:val="Strong"/>
          <w:b w:val="0"/>
          <w:bCs w:val="0"/>
        </w:rPr>
        <w:t>–</w:t>
      </w:r>
      <w:r w:rsidRPr="00F81438">
        <w:rPr>
          <w:rStyle w:val="Strong"/>
          <w:bCs w:val="0"/>
        </w:rPr>
        <w:t xml:space="preserve"> </w:t>
      </w:r>
      <w:r w:rsidRPr="00F81438">
        <w:rPr>
          <w:rStyle w:val="Strong"/>
          <w:b w:val="0"/>
          <w:bCs w:val="0"/>
        </w:rPr>
        <w:t>We act in ways that build trust and deepen relationships with colleagues, partners and the community</w:t>
      </w:r>
      <w:r w:rsidR="001503C4" w:rsidRPr="00F81438">
        <w:rPr>
          <w:rStyle w:val="Strong"/>
          <w:b w:val="0"/>
          <w:bCs w:val="0"/>
        </w:rPr>
        <w:t>.</w:t>
      </w:r>
    </w:p>
    <w:p w14:paraId="770D2002" w14:textId="19274CAE" w:rsidR="00BE330A" w:rsidRDefault="009F4DA4" w:rsidP="00BE330A">
      <w:r w:rsidRPr="002303D2">
        <w:t xml:space="preserve">To </w:t>
      </w:r>
      <w:r w:rsidR="000742C7" w:rsidRPr="002303D2">
        <w:t>realise</w:t>
      </w:r>
      <w:r w:rsidR="00926713" w:rsidRPr="002303D2">
        <w:t xml:space="preserve"> our strategic </w:t>
      </w:r>
      <w:r w:rsidR="002C0746" w:rsidRPr="002303D2">
        <w:t>directions</w:t>
      </w:r>
      <w:r w:rsidR="00377DD3">
        <w:t xml:space="preserve"> and deliver on our statutory objectives</w:t>
      </w:r>
      <w:r w:rsidRPr="002303D2">
        <w:t xml:space="preserve">, we </w:t>
      </w:r>
      <w:r w:rsidR="00767E4B">
        <w:t>will</w:t>
      </w:r>
      <w:r w:rsidR="00DE397C" w:rsidRPr="002303D2">
        <w:t xml:space="preserve"> </w:t>
      </w:r>
      <w:r w:rsidR="00156410" w:rsidRPr="002303D2">
        <w:t xml:space="preserve">deliver </w:t>
      </w:r>
      <w:r w:rsidR="00767E4B">
        <w:t>10</w:t>
      </w:r>
      <w:r w:rsidR="00DE397C" w:rsidRPr="002303D2">
        <w:t xml:space="preserve"> priority actions</w:t>
      </w:r>
      <w:r w:rsidR="00156410" w:rsidRPr="002303D2">
        <w:t xml:space="preserve"> in </w:t>
      </w:r>
      <w:r w:rsidR="00156410">
        <w:t>2019–20</w:t>
      </w:r>
      <w:r w:rsidR="00156410" w:rsidRPr="002303D2">
        <w:t>.</w:t>
      </w:r>
      <w:r w:rsidR="00105242">
        <w:t xml:space="preserve"> </w:t>
      </w:r>
      <w:r w:rsidR="00BE330A">
        <w:t xml:space="preserve">They are not intended to be a comprehensive or exhaustive picture of our work </w:t>
      </w:r>
      <w:r w:rsidR="00BE330A">
        <w:lastRenderedPageBreak/>
        <w:t xml:space="preserve">program; rather, they represent where we must focus our efforts the most </w:t>
      </w:r>
      <w:r w:rsidR="00BF4CAF">
        <w:t xml:space="preserve">to </w:t>
      </w:r>
      <w:r w:rsidR="00BE330A">
        <w:t>ensure efficient and effective use of our funds.</w:t>
      </w:r>
      <w:r w:rsidR="00B678FF">
        <w:t xml:space="preserve"> </w:t>
      </w:r>
    </w:p>
    <w:p w14:paraId="76518A95" w14:textId="57F78093" w:rsidR="00104781" w:rsidRDefault="00BE330A" w:rsidP="002A768C">
      <w:pPr>
        <w:pStyle w:val="Heading2"/>
      </w:pPr>
      <w:bookmarkStart w:id="43" w:name="_Toc20289982"/>
      <w:bookmarkStart w:id="44" w:name="_Toc9953209"/>
      <w:r>
        <w:t>Clients</w:t>
      </w:r>
      <w:bookmarkEnd w:id="43"/>
      <w:r w:rsidR="002A768C">
        <w:t xml:space="preserve"> </w:t>
      </w:r>
    </w:p>
    <w:bookmarkEnd w:id="44"/>
    <w:p w14:paraId="69FF8CE2" w14:textId="4D0C7ED6" w:rsidR="00AB7BD5" w:rsidRDefault="00AB7BD5" w:rsidP="00BE330A">
      <w:r>
        <w:t xml:space="preserve">To </w:t>
      </w:r>
      <w:r w:rsidR="00854BAF">
        <w:t xml:space="preserve">make </w:t>
      </w:r>
      <w:r w:rsidR="00325B1A">
        <w:t>Victoria Legal Aid</w:t>
      </w:r>
      <w:r w:rsidR="00854BAF">
        <w:t xml:space="preserve"> a more </w:t>
      </w:r>
      <w:r w:rsidR="00185E54">
        <w:t>client-centred organisation where clients</w:t>
      </w:r>
      <w:r w:rsidR="00CF289D">
        <w:t xml:space="preserve"> </w:t>
      </w:r>
      <w:r>
        <w:t>feel safe, understood and respected when dealing with us,</w:t>
      </w:r>
      <w:r w:rsidR="00174B9D">
        <w:t xml:space="preserve"> we will</w:t>
      </w:r>
      <w:r w:rsidR="00C02A6F">
        <w:t>:</w:t>
      </w:r>
    </w:p>
    <w:p w14:paraId="7DBE523E" w14:textId="65000B48" w:rsidR="00A45CFA" w:rsidRDefault="00A45CFA" w:rsidP="00A45CFA">
      <w:pPr>
        <w:pStyle w:val="ListParagraph"/>
        <w:numPr>
          <w:ilvl w:val="0"/>
          <w:numId w:val="25"/>
        </w:numPr>
      </w:pPr>
      <w:r>
        <w:t xml:space="preserve">implement our </w:t>
      </w:r>
      <w:r w:rsidR="00341AB8">
        <w:t xml:space="preserve">second </w:t>
      </w:r>
      <w:r w:rsidRPr="00325B1A">
        <w:rPr>
          <w:b/>
        </w:rPr>
        <w:t>Reconciliation Action Plan</w:t>
      </w:r>
      <w:r w:rsidR="00F20ADD">
        <w:rPr>
          <w:b/>
        </w:rPr>
        <w:t xml:space="preserve"> </w:t>
      </w:r>
      <w:r w:rsidR="00823EBD">
        <w:t xml:space="preserve">to ensure </w:t>
      </w:r>
      <w:r w:rsidR="00F20ADD" w:rsidRPr="001D70E3">
        <w:rPr>
          <w:rFonts w:cs="Arial"/>
          <w:szCs w:val="22"/>
          <w:lang w:eastAsia="en-AU"/>
        </w:rPr>
        <w:t>our services are culturally safe, responsive and accessible for Aboriginal and Torres Strait Islanders</w:t>
      </w:r>
      <w:r w:rsidR="00950467">
        <w:rPr>
          <w:rFonts w:cs="Arial"/>
          <w:szCs w:val="22"/>
          <w:lang w:eastAsia="en-AU"/>
        </w:rPr>
        <w:t xml:space="preserve"> </w:t>
      </w:r>
      <w:r w:rsidR="0021722E">
        <w:rPr>
          <w:rFonts w:cs="Arial"/>
          <w:szCs w:val="22"/>
          <w:lang w:eastAsia="en-AU"/>
        </w:rPr>
        <w:t xml:space="preserve">and </w:t>
      </w:r>
      <w:r w:rsidR="0021722E" w:rsidRPr="001D70E3">
        <w:rPr>
          <w:rFonts w:cs="Arial"/>
          <w:szCs w:val="22"/>
          <w:lang w:eastAsia="en-AU"/>
        </w:rPr>
        <w:t>recruitment, retention and career pathways</w:t>
      </w:r>
      <w:r w:rsidR="0021722E">
        <w:rPr>
          <w:rFonts w:cs="Arial"/>
          <w:szCs w:val="22"/>
          <w:lang w:eastAsia="en-AU"/>
        </w:rPr>
        <w:t xml:space="preserve"> </w:t>
      </w:r>
      <w:r w:rsidR="00E63EB8">
        <w:rPr>
          <w:rFonts w:cs="Arial"/>
          <w:szCs w:val="22"/>
          <w:lang w:eastAsia="en-AU"/>
        </w:rPr>
        <w:t xml:space="preserve">within VLA for </w:t>
      </w:r>
      <w:r w:rsidR="0021722E" w:rsidRPr="001D70E3">
        <w:rPr>
          <w:rFonts w:cs="Arial"/>
          <w:szCs w:val="22"/>
          <w:lang w:eastAsia="en-AU"/>
        </w:rPr>
        <w:t>Aboriginal and Torres Strait Islander</w:t>
      </w:r>
      <w:r w:rsidR="002F2077">
        <w:rPr>
          <w:rFonts w:cs="Arial"/>
          <w:szCs w:val="22"/>
          <w:lang w:eastAsia="en-AU"/>
        </w:rPr>
        <w:t>s</w:t>
      </w:r>
      <w:r w:rsidR="007F1F83">
        <w:rPr>
          <w:rFonts w:cs="Arial"/>
          <w:szCs w:val="22"/>
          <w:lang w:eastAsia="en-AU"/>
        </w:rPr>
        <w:t xml:space="preserve"> is </w:t>
      </w:r>
      <w:r w:rsidR="007F1F83" w:rsidRPr="001D70E3">
        <w:rPr>
          <w:rFonts w:cs="Arial"/>
          <w:szCs w:val="22"/>
          <w:lang w:eastAsia="en-AU"/>
        </w:rPr>
        <w:t>strengthen</w:t>
      </w:r>
      <w:r w:rsidR="007F1F83">
        <w:rPr>
          <w:rFonts w:cs="Arial"/>
          <w:szCs w:val="22"/>
          <w:lang w:eastAsia="en-AU"/>
        </w:rPr>
        <w:t>ed</w:t>
      </w:r>
    </w:p>
    <w:p w14:paraId="1F0D0F81" w14:textId="30DFBD2C" w:rsidR="0013117A" w:rsidRDefault="001D5303" w:rsidP="00A45CFA">
      <w:pPr>
        <w:pStyle w:val="ListParagraph"/>
        <w:numPr>
          <w:ilvl w:val="0"/>
          <w:numId w:val="25"/>
        </w:numPr>
      </w:pPr>
      <w:r>
        <w:t>deliver</w:t>
      </w:r>
      <w:r w:rsidR="00A23BEE">
        <w:t xml:space="preserve"> our </w:t>
      </w:r>
      <w:r w:rsidR="00297EE4" w:rsidRPr="00CF289D">
        <w:rPr>
          <w:b/>
        </w:rPr>
        <w:t>Client</w:t>
      </w:r>
      <w:r w:rsidR="00A1084B">
        <w:rPr>
          <w:b/>
        </w:rPr>
        <w:t xml:space="preserve"> First S</w:t>
      </w:r>
      <w:r w:rsidR="00297EE4" w:rsidRPr="00CF289D">
        <w:rPr>
          <w:b/>
        </w:rPr>
        <w:t>trategy</w:t>
      </w:r>
      <w:r w:rsidR="00297EE4">
        <w:t xml:space="preserve"> </w:t>
      </w:r>
      <w:r w:rsidRPr="001D5303">
        <w:t xml:space="preserve">to </w:t>
      </w:r>
      <w:r w:rsidR="00AD502A">
        <w:t xml:space="preserve">help us </w:t>
      </w:r>
      <w:r w:rsidR="00A67254">
        <w:t xml:space="preserve">increase the use of client feedback in the design of our </w:t>
      </w:r>
      <w:r w:rsidR="00CB225C">
        <w:t xml:space="preserve">policies, </w:t>
      </w:r>
      <w:r w:rsidR="00A67254">
        <w:t>services</w:t>
      </w:r>
      <w:r w:rsidR="00CB225C">
        <w:t xml:space="preserve"> and projects</w:t>
      </w:r>
      <w:r w:rsidR="00A67254">
        <w:t xml:space="preserve"> </w:t>
      </w:r>
      <w:r w:rsidR="0020790C">
        <w:t>so we</w:t>
      </w:r>
      <w:r w:rsidR="007C10C7">
        <w:t xml:space="preserve"> </w:t>
      </w:r>
      <w:r w:rsidR="00DF51FF">
        <w:t xml:space="preserve">understand </w:t>
      </w:r>
      <w:r w:rsidR="0020790C">
        <w:t xml:space="preserve">our </w:t>
      </w:r>
      <w:r w:rsidR="00A6266A">
        <w:t>client</w:t>
      </w:r>
      <w:r w:rsidR="00391D01">
        <w:t>s’</w:t>
      </w:r>
      <w:r w:rsidR="00A6266A">
        <w:t xml:space="preserve"> experience</w:t>
      </w:r>
      <w:r w:rsidR="00391D01">
        <w:t>s and diverse needs</w:t>
      </w:r>
      <w:r w:rsidR="00622FE1">
        <w:t>,</w:t>
      </w:r>
      <w:r w:rsidR="0020790C">
        <w:t xml:space="preserve"> which </w:t>
      </w:r>
      <w:r w:rsidR="00095CB1">
        <w:t xml:space="preserve">will </w:t>
      </w:r>
      <w:r w:rsidR="0020790C">
        <w:t xml:space="preserve">lead to </w:t>
      </w:r>
      <w:r w:rsidR="00A10511">
        <w:t xml:space="preserve">better service delivery and </w:t>
      </w:r>
      <w:r w:rsidR="00DF51FF">
        <w:t>improve</w:t>
      </w:r>
      <w:r w:rsidR="0020790C">
        <w:t>d</w:t>
      </w:r>
      <w:r w:rsidR="00DF51FF">
        <w:t xml:space="preserve"> </w:t>
      </w:r>
      <w:r w:rsidR="00BB548A">
        <w:t>outcomes</w:t>
      </w:r>
      <w:r w:rsidR="00622FE1">
        <w:t xml:space="preserve"> for</w:t>
      </w:r>
      <w:r w:rsidR="00622FE1" w:rsidRPr="00622FE1">
        <w:t xml:space="preserve"> </w:t>
      </w:r>
      <w:r w:rsidR="00622FE1">
        <w:t>clients</w:t>
      </w:r>
    </w:p>
    <w:p w14:paraId="18BDE162" w14:textId="281B7004" w:rsidR="00FE7F83" w:rsidRDefault="0013117A" w:rsidP="00A45CFA">
      <w:pPr>
        <w:pStyle w:val="ListParagraph"/>
        <w:numPr>
          <w:ilvl w:val="0"/>
          <w:numId w:val="25"/>
        </w:numPr>
      </w:pPr>
      <w:r>
        <w:t xml:space="preserve">continue our program of work under </w:t>
      </w:r>
      <w:r w:rsidRPr="00325B1A">
        <w:rPr>
          <w:b/>
        </w:rPr>
        <w:t>Digital Legal Aid</w:t>
      </w:r>
      <w:r>
        <w:t xml:space="preserve"> to make it easier for clients to access our services</w:t>
      </w:r>
      <w:r w:rsidR="002E404C" w:rsidRPr="002E404C">
        <w:t xml:space="preserve">, especially in high-volume channels such as </w:t>
      </w:r>
      <w:r w:rsidR="00235D40">
        <w:t xml:space="preserve">our </w:t>
      </w:r>
      <w:r w:rsidR="002E404C" w:rsidRPr="002E404C">
        <w:t xml:space="preserve">Legal Help </w:t>
      </w:r>
      <w:r w:rsidR="00235D40">
        <w:t xml:space="preserve">telephone service, </w:t>
      </w:r>
      <w:r w:rsidR="002E404C" w:rsidRPr="002E404C">
        <w:t>duty lawyer services</w:t>
      </w:r>
      <w:r w:rsidR="00235D40">
        <w:t xml:space="preserve"> and our website</w:t>
      </w:r>
      <w:r w:rsidR="00622FE1">
        <w:t>.</w:t>
      </w:r>
    </w:p>
    <w:p w14:paraId="76156714" w14:textId="312AFEE6" w:rsidR="008344FA" w:rsidRDefault="00AB2505" w:rsidP="002303D2">
      <w:pPr>
        <w:pStyle w:val="Heading3"/>
      </w:pPr>
      <w:r>
        <w:t>What we will do</w:t>
      </w:r>
      <w:r w:rsidR="006C104E">
        <w:t xml:space="preserve"> in 2019</w:t>
      </w:r>
      <w:r w:rsidR="00D47DC2">
        <w:t xml:space="preserve">–20 </w:t>
      </w:r>
    </w:p>
    <w:p w14:paraId="0A6BBDE9" w14:textId="4A2DA04A" w:rsidR="00C504E6" w:rsidRDefault="00C504E6" w:rsidP="00545885">
      <w:pPr>
        <w:pStyle w:val="Heading4"/>
      </w:pPr>
      <w:bookmarkStart w:id="45" w:name="_Hlk20736734"/>
      <w:r>
        <w:t xml:space="preserve">1. </w:t>
      </w:r>
      <w:r w:rsidRPr="0030023F">
        <w:t>Reconciliation Action Plan</w:t>
      </w:r>
    </w:p>
    <w:tbl>
      <w:tblPr>
        <w:tblStyle w:val="TableGrid"/>
        <w:tblW w:w="0" w:type="auto"/>
        <w:tblLook w:val="04A0" w:firstRow="1" w:lastRow="0" w:firstColumn="1" w:lastColumn="0" w:noHBand="0" w:noVBand="1"/>
      </w:tblPr>
      <w:tblGrid>
        <w:gridCol w:w="3937"/>
        <w:gridCol w:w="3938"/>
        <w:gridCol w:w="1895"/>
      </w:tblGrid>
      <w:tr w:rsidR="00C504E6" w:rsidRPr="002A768C" w14:paraId="09F1FFD5" w14:textId="77777777" w:rsidTr="008A00EA">
        <w:trPr>
          <w:trHeight w:val="507"/>
          <w:tblHeader/>
        </w:trPr>
        <w:tc>
          <w:tcPr>
            <w:tcW w:w="3937" w:type="dxa"/>
            <w:tcBorders>
              <w:bottom w:val="single" w:sz="4" w:space="0" w:color="auto"/>
            </w:tcBorders>
            <w:shd w:val="clear" w:color="auto" w:fill="D9D9D9" w:themeFill="background1" w:themeFillShade="D9"/>
          </w:tcPr>
          <w:p w14:paraId="5EA83D6E" w14:textId="77777777" w:rsidR="00C504E6" w:rsidRPr="002A768C" w:rsidRDefault="00C504E6" w:rsidP="008A00EA">
            <w:pPr>
              <w:spacing w:after="0" w:line="276" w:lineRule="auto"/>
              <w:rPr>
                <w:b/>
              </w:rPr>
            </w:pPr>
            <w:bookmarkStart w:id="46" w:name="_Hlk20736741"/>
            <w:bookmarkEnd w:id="45"/>
            <w:r w:rsidRPr="002A768C">
              <w:rPr>
                <w:b/>
              </w:rPr>
              <w:t xml:space="preserve">Priority </w:t>
            </w:r>
            <w:r>
              <w:rPr>
                <w:b/>
              </w:rPr>
              <w:t>actions</w:t>
            </w:r>
          </w:p>
        </w:tc>
        <w:tc>
          <w:tcPr>
            <w:tcW w:w="3938" w:type="dxa"/>
            <w:tcBorders>
              <w:bottom w:val="single" w:sz="4" w:space="0" w:color="auto"/>
            </w:tcBorders>
            <w:shd w:val="clear" w:color="auto" w:fill="D9D9D9" w:themeFill="background1" w:themeFillShade="D9"/>
          </w:tcPr>
          <w:p w14:paraId="77497D00" w14:textId="77777777" w:rsidR="00C504E6" w:rsidRPr="002A768C" w:rsidRDefault="00C504E6" w:rsidP="008A00EA">
            <w:pPr>
              <w:spacing w:after="0" w:line="276" w:lineRule="auto"/>
              <w:rPr>
                <w:b/>
              </w:rPr>
            </w:pPr>
            <w:r>
              <w:rPr>
                <w:b/>
              </w:rPr>
              <w:t>Success measures</w:t>
            </w:r>
          </w:p>
        </w:tc>
        <w:tc>
          <w:tcPr>
            <w:tcW w:w="1895" w:type="dxa"/>
            <w:tcBorders>
              <w:bottom w:val="single" w:sz="4" w:space="0" w:color="auto"/>
            </w:tcBorders>
            <w:shd w:val="clear" w:color="auto" w:fill="D9D9D9" w:themeFill="background1" w:themeFillShade="D9"/>
          </w:tcPr>
          <w:p w14:paraId="594D6A40" w14:textId="77777777" w:rsidR="00C504E6" w:rsidRPr="002A768C" w:rsidRDefault="00C504E6" w:rsidP="008A00EA">
            <w:pPr>
              <w:spacing w:after="0" w:line="276" w:lineRule="auto"/>
              <w:rPr>
                <w:b/>
              </w:rPr>
            </w:pPr>
            <w:r w:rsidRPr="002A768C">
              <w:rPr>
                <w:b/>
              </w:rPr>
              <w:t>Responsibility</w:t>
            </w:r>
          </w:p>
        </w:tc>
      </w:tr>
      <w:tr w:rsidR="00C504E6" w:rsidRPr="00EE0474" w14:paraId="206CBA9D" w14:textId="77777777" w:rsidTr="008A00EA">
        <w:trPr>
          <w:trHeight w:val="899"/>
        </w:trPr>
        <w:tc>
          <w:tcPr>
            <w:tcW w:w="3937" w:type="dxa"/>
            <w:tcBorders>
              <w:top w:val="single" w:sz="4" w:space="0" w:color="auto"/>
            </w:tcBorders>
          </w:tcPr>
          <w:p w14:paraId="65695364" w14:textId="77777777" w:rsidR="00C504E6" w:rsidRPr="004A35D1" w:rsidRDefault="00C504E6" w:rsidP="008A00EA">
            <w:pPr>
              <w:pStyle w:val="Style1"/>
              <w:spacing w:before="0" w:after="0" w:line="276" w:lineRule="auto"/>
            </w:pPr>
            <w:r w:rsidRPr="001D70E3">
              <w:rPr>
                <w:szCs w:val="22"/>
                <w:lang w:eastAsia="en-AU"/>
              </w:rPr>
              <w:t xml:space="preserve">Develop and implement a Cultural Learning Strategy to ensure our staff and services are culturally </w:t>
            </w:r>
            <w:r>
              <w:rPr>
                <w:szCs w:val="22"/>
                <w:lang w:eastAsia="en-AU"/>
              </w:rPr>
              <w:t>appropriate</w:t>
            </w:r>
          </w:p>
        </w:tc>
        <w:tc>
          <w:tcPr>
            <w:tcW w:w="3938" w:type="dxa"/>
            <w:tcBorders>
              <w:top w:val="single" w:sz="4" w:space="0" w:color="auto"/>
            </w:tcBorders>
          </w:tcPr>
          <w:p w14:paraId="14B10FC1" w14:textId="77777777" w:rsidR="00C504E6" w:rsidRPr="00545885" w:rsidRDefault="00C504E6" w:rsidP="00545885">
            <w:pPr>
              <w:pStyle w:val="ListParagraph"/>
              <w:numPr>
                <w:ilvl w:val="0"/>
                <w:numId w:val="53"/>
              </w:numPr>
              <w:spacing w:after="0" w:line="276" w:lineRule="auto"/>
              <w:ind w:left="199" w:hanging="199"/>
              <w:rPr>
                <w:rFonts w:cs="Arial"/>
                <w:sz w:val="20"/>
              </w:rPr>
            </w:pPr>
            <w:r w:rsidRPr="00545885">
              <w:rPr>
                <w:rFonts w:cs="Arial"/>
                <w:sz w:val="20"/>
              </w:rPr>
              <w:t xml:space="preserve">120 staff have completed the Aboriginal Cultural eLearning module or face-to-face cultural awareness training </w:t>
            </w:r>
          </w:p>
          <w:p w14:paraId="63CA77B9" w14:textId="7A08AFEA" w:rsidR="00C504E6" w:rsidRPr="00545885" w:rsidRDefault="00C504E6" w:rsidP="00545885">
            <w:pPr>
              <w:pStyle w:val="ListParagraph"/>
              <w:numPr>
                <w:ilvl w:val="0"/>
                <w:numId w:val="53"/>
              </w:numPr>
              <w:spacing w:after="0" w:line="276" w:lineRule="auto"/>
              <w:ind w:left="199" w:hanging="199"/>
              <w:rPr>
                <w:rFonts w:cs="Arial"/>
                <w:sz w:val="20"/>
              </w:rPr>
            </w:pPr>
            <w:r w:rsidRPr="00545885">
              <w:rPr>
                <w:rFonts w:cs="Arial"/>
                <w:sz w:val="20"/>
              </w:rPr>
              <w:t>All Executive Directors complete cultural awareness training</w:t>
            </w:r>
          </w:p>
        </w:tc>
        <w:tc>
          <w:tcPr>
            <w:tcW w:w="1895" w:type="dxa"/>
            <w:tcBorders>
              <w:top w:val="single" w:sz="4" w:space="0" w:color="auto"/>
            </w:tcBorders>
          </w:tcPr>
          <w:p w14:paraId="695FEF50" w14:textId="77777777" w:rsidR="00C504E6" w:rsidRPr="00EE0474" w:rsidRDefault="00C504E6" w:rsidP="008A00EA">
            <w:pPr>
              <w:spacing w:after="0" w:line="276" w:lineRule="auto"/>
              <w:rPr>
                <w:sz w:val="20"/>
              </w:rPr>
            </w:pPr>
            <w:r>
              <w:rPr>
                <w:sz w:val="20"/>
              </w:rPr>
              <w:t>Head of People and Culture</w:t>
            </w:r>
            <w:r w:rsidRPr="00EE0474">
              <w:rPr>
                <w:sz w:val="20"/>
              </w:rPr>
              <w:t xml:space="preserve"> and Associate Director Aboriginal Legal Services</w:t>
            </w:r>
          </w:p>
        </w:tc>
      </w:tr>
      <w:tr w:rsidR="00C504E6" w:rsidRPr="00EE0474" w14:paraId="61D12BFF" w14:textId="77777777" w:rsidTr="008A00EA">
        <w:trPr>
          <w:trHeight w:val="899"/>
        </w:trPr>
        <w:tc>
          <w:tcPr>
            <w:tcW w:w="3937" w:type="dxa"/>
            <w:tcBorders>
              <w:top w:val="single" w:sz="4" w:space="0" w:color="auto"/>
            </w:tcBorders>
          </w:tcPr>
          <w:p w14:paraId="063FD7C1" w14:textId="77777777" w:rsidR="00C504E6" w:rsidRDefault="00C504E6" w:rsidP="008A00EA">
            <w:pPr>
              <w:pStyle w:val="Style1"/>
              <w:spacing w:before="0" w:after="0" w:line="276" w:lineRule="auto"/>
            </w:pPr>
            <w:r w:rsidRPr="001D70E3">
              <w:rPr>
                <w:szCs w:val="22"/>
                <w:lang w:eastAsia="en-AU"/>
              </w:rPr>
              <w:t>Refresh our Aboriginal and Torres Strait Islander Employment Strategy</w:t>
            </w:r>
          </w:p>
        </w:tc>
        <w:tc>
          <w:tcPr>
            <w:tcW w:w="3938" w:type="dxa"/>
            <w:tcBorders>
              <w:top w:val="single" w:sz="4" w:space="0" w:color="auto"/>
            </w:tcBorders>
          </w:tcPr>
          <w:p w14:paraId="5A44BBDD" w14:textId="16255705" w:rsidR="00C504E6" w:rsidRPr="00545885" w:rsidRDefault="00C504E6" w:rsidP="00545885">
            <w:pPr>
              <w:pStyle w:val="ListParagraph"/>
              <w:numPr>
                <w:ilvl w:val="0"/>
                <w:numId w:val="54"/>
              </w:numPr>
              <w:spacing w:after="0" w:line="276" w:lineRule="auto"/>
              <w:ind w:left="199" w:hanging="199"/>
              <w:rPr>
                <w:sz w:val="20"/>
                <w:szCs w:val="20"/>
                <w:lang w:eastAsia="en-AU"/>
              </w:rPr>
            </w:pPr>
            <w:r w:rsidRPr="00545885">
              <w:rPr>
                <w:sz w:val="20"/>
                <w:szCs w:val="20"/>
                <w:lang w:eastAsia="en-AU"/>
              </w:rPr>
              <w:t>Increase employment of Aboriginal and Torres Strait Islanders to contribute to the VLA 5</w:t>
            </w:r>
            <w:r w:rsidR="00325B1A" w:rsidRPr="00545885">
              <w:rPr>
                <w:sz w:val="20"/>
                <w:szCs w:val="20"/>
                <w:lang w:eastAsia="en-AU"/>
              </w:rPr>
              <w:t xml:space="preserve"> per cent</w:t>
            </w:r>
            <w:r w:rsidRPr="00545885">
              <w:rPr>
                <w:sz w:val="20"/>
                <w:szCs w:val="20"/>
                <w:lang w:eastAsia="en-AU"/>
              </w:rPr>
              <w:t xml:space="preserve"> target within our Employment Strategy by 2025</w:t>
            </w:r>
          </w:p>
          <w:p w14:paraId="19E7E255" w14:textId="77777777" w:rsidR="00C504E6" w:rsidRPr="000725B9" w:rsidRDefault="00C504E6" w:rsidP="00545885">
            <w:pPr>
              <w:spacing w:after="0" w:line="276" w:lineRule="auto"/>
              <w:ind w:left="199" w:hanging="199"/>
              <w:rPr>
                <w:sz w:val="20"/>
                <w:szCs w:val="20"/>
                <w:lang w:eastAsia="en-AU"/>
              </w:rPr>
            </w:pPr>
          </w:p>
        </w:tc>
        <w:tc>
          <w:tcPr>
            <w:tcW w:w="1895" w:type="dxa"/>
            <w:tcBorders>
              <w:top w:val="single" w:sz="4" w:space="0" w:color="auto"/>
            </w:tcBorders>
          </w:tcPr>
          <w:p w14:paraId="6FE29092" w14:textId="77777777" w:rsidR="00C504E6" w:rsidRPr="00EE0474" w:rsidRDefault="00C504E6" w:rsidP="008A00EA">
            <w:pPr>
              <w:spacing w:after="0" w:line="276" w:lineRule="auto"/>
              <w:rPr>
                <w:sz w:val="20"/>
              </w:rPr>
            </w:pPr>
            <w:r w:rsidRPr="0084183F">
              <w:rPr>
                <w:sz w:val="20"/>
                <w:lang w:val="en-GB"/>
              </w:rPr>
              <w:t>Head of People Culture</w:t>
            </w:r>
          </w:p>
        </w:tc>
      </w:tr>
    </w:tbl>
    <w:p w14:paraId="75BBD3F3" w14:textId="3FF32007" w:rsidR="00C504E6" w:rsidRDefault="00C504E6" w:rsidP="00C504E6">
      <w:pPr>
        <w:pStyle w:val="Heading4"/>
        <w:numPr>
          <w:ilvl w:val="0"/>
          <w:numId w:val="30"/>
        </w:numPr>
      </w:pPr>
      <w:bookmarkStart w:id="47" w:name="_Client_Services_Strategy"/>
      <w:bookmarkStart w:id="48" w:name="_Hlk20736781"/>
      <w:bookmarkEnd w:id="46"/>
      <w:bookmarkEnd w:id="47"/>
      <w:r w:rsidRPr="00E91A0A">
        <w:t xml:space="preserve">Client </w:t>
      </w:r>
      <w:r w:rsidR="006A7864">
        <w:t>First</w:t>
      </w:r>
      <w:r w:rsidR="006A7864" w:rsidRPr="00E91A0A">
        <w:t xml:space="preserve"> </w:t>
      </w:r>
      <w:r w:rsidRPr="00E91A0A">
        <w:t>Strategy</w:t>
      </w:r>
    </w:p>
    <w:tbl>
      <w:tblPr>
        <w:tblStyle w:val="TableGrid"/>
        <w:tblW w:w="0" w:type="auto"/>
        <w:tblLook w:val="04A0" w:firstRow="1" w:lastRow="0" w:firstColumn="1" w:lastColumn="0" w:noHBand="0" w:noVBand="1"/>
      </w:tblPr>
      <w:tblGrid>
        <w:gridCol w:w="3937"/>
        <w:gridCol w:w="3938"/>
        <w:gridCol w:w="1895"/>
      </w:tblGrid>
      <w:tr w:rsidR="003B3F34" w:rsidRPr="002A768C" w14:paraId="5C007C3E" w14:textId="77777777" w:rsidTr="008A00EA">
        <w:trPr>
          <w:trHeight w:val="507"/>
          <w:tblHeader/>
        </w:trPr>
        <w:tc>
          <w:tcPr>
            <w:tcW w:w="3937" w:type="dxa"/>
            <w:tcBorders>
              <w:bottom w:val="single" w:sz="4" w:space="0" w:color="auto"/>
            </w:tcBorders>
            <w:shd w:val="clear" w:color="auto" w:fill="D9D9D9" w:themeFill="background1" w:themeFillShade="D9"/>
          </w:tcPr>
          <w:p w14:paraId="7270B3E6" w14:textId="77777777" w:rsidR="003B3F34" w:rsidRPr="002A768C" w:rsidRDefault="003B3F34" w:rsidP="008A00EA">
            <w:pPr>
              <w:spacing w:after="0" w:line="276" w:lineRule="auto"/>
              <w:rPr>
                <w:b/>
              </w:rPr>
            </w:pPr>
            <w:bookmarkStart w:id="49" w:name="_Hlk20736787"/>
            <w:bookmarkEnd w:id="48"/>
            <w:r w:rsidRPr="002A768C">
              <w:rPr>
                <w:b/>
              </w:rPr>
              <w:t xml:space="preserve">Priority </w:t>
            </w:r>
            <w:r>
              <w:rPr>
                <w:b/>
              </w:rPr>
              <w:t>actions</w:t>
            </w:r>
          </w:p>
        </w:tc>
        <w:tc>
          <w:tcPr>
            <w:tcW w:w="3938" w:type="dxa"/>
            <w:tcBorders>
              <w:bottom w:val="single" w:sz="4" w:space="0" w:color="auto"/>
            </w:tcBorders>
            <w:shd w:val="clear" w:color="auto" w:fill="D9D9D9" w:themeFill="background1" w:themeFillShade="D9"/>
          </w:tcPr>
          <w:p w14:paraId="68B26EDF" w14:textId="77777777" w:rsidR="003B3F34" w:rsidRPr="002A768C" w:rsidRDefault="003B3F34" w:rsidP="008A00EA">
            <w:pPr>
              <w:spacing w:after="0" w:line="276" w:lineRule="auto"/>
              <w:rPr>
                <w:b/>
              </w:rPr>
            </w:pPr>
            <w:r>
              <w:rPr>
                <w:b/>
              </w:rPr>
              <w:t>Success measures</w:t>
            </w:r>
          </w:p>
        </w:tc>
        <w:tc>
          <w:tcPr>
            <w:tcW w:w="1895" w:type="dxa"/>
            <w:tcBorders>
              <w:bottom w:val="single" w:sz="4" w:space="0" w:color="auto"/>
            </w:tcBorders>
            <w:shd w:val="clear" w:color="auto" w:fill="D9D9D9" w:themeFill="background1" w:themeFillShade="D9"/>
          </w:tcPr>
          <w:p w14:paraId="205445A5" w14:textId="77777777" w:rsidR="003B3F34" w:rsidRPr="002A768C" w:rsidRDefault="003B3F34" w:rsidP="008A00EA">
            <w:pPr>
              <w:spacing w:after="0" w:line="276" w:lineRule="auto"/>
              <w:rPr>
                <w:b/>
              </w:rPr>
            </w:pPr>
            <w:r w:rsidRPr="002A768C">
              <w:rPr>
                <w:b/>
              </w:rPr>
              <w:t>Responsibility</w:t>
            </w:r>
          </w:p>
        </w:tc>
      </w:tr>
      <w:tr w:rsidR="003B3F34" w:rsidRPr="00DB54C4" w14:paraId="5054E39D" w14:textId="77777777" w:rsidTr="008A00EA">
        <w:trPr>
          <w:trHeight w:val="1938"/>
        </w:trPr>
        <w:tc>
          <w:tcPr>
            <w:tcW w:w="3937" w:type="dxa"/>
          </w:tcPr>
          <w:p w14:paraId="4ACBFDC7" w14:textId="7C6FB3EF" w:rsidR="003B3F34" w:rsidRPr="00EE0474" w:rsidRDefault="003B3F34" w:rsidP="008A00EA">
            <w:pPr>
              <w:pStyle w:val="Style1"/>
              <w:spacing w:before="0" w:after="0" w:line="276" w:lineRule="auto"/>
            </w:pPr>
            <w:r w:rsidRPr="00CF289D">
              <w:rPr>
                <w:lang w:eastAsia="en-AU"/>
              </w:rPr>
              <w:t>F</w:t>
            </w:r>
            <w:r w:rsidRPr="00BA3895">
              <w:rPr>
                <w:lang w:eastAsia="en-AU"/>
              </w:rPr>
              <w:t>inalise our</w:t>
            </w:r>
            <w:r>
              <w:rPr>
                <w:lang w:eastAsia="en-AU"/>
              </w:rPr>
              <w:t xml:space="preserve"> </w:t>
            </w:r>
            <w:r w:rsidR="008E65BD">
              <w:rPr>
                <w:lang w:eastAsia="en-AU"/>
              </w:rPr>
              <w:t>Client</w:t>
            </w:r>
            <w:r w:rsidR="00A1084B">
              <w:rPr>
                <w:lang w:eastAsia="en-AU"/>
              </w:rPr>
              <w:t xml:space="preserve"> First Strategy </w:t>
            </w:r>
            <w:r w:rsidRPr="00CF289D">
              <w:rPr>
                <w:lang w:eastAsia="en-AU"/>
              </w:rPr>
              <w:t>to improve client experience and embed client feedback and engagement into service design and delivery</w:t>
            </w:r>
          </w:p>
        </w:tc>
        <w:tc>
          <w:tcPr>
            <w:tcW w:w="3938" w:type="dxa"/>
          </w:tcPr>
          <w:p w14:paraId="0ED38C38" w14:textId="4373DF5D" w:rsidR="003B3F34" w:rsidRPr="00A1084B" w:rsidRDefault="003B3F34" w:rsidP="00545885">
            <w:pPr>
              <w:pStyle w:val="ListParagraph"/>
              <w:numPr>
                <w:ilvl w:val="0"/>
                <w:numId w:val="54"/>
              </w:numPr>
              <w:spacing w:after="0" w:line="276" w:lineRule="auto"/>
              <w:ind w:left="199" w:hanging="199"/>
              <w:rPr>
                <w:sz w:val="20"/>
                <w:szCs w:val="20"/>
                <w:lang w:val="en-GB"/>
              </w:rPr>
            </w:pPr>
            <w:r w:rsidRPr="00A1084B">
              <w:rPr>
                <w:sz w:val="20"/>
                <w:szCs w:val="20"/>
                <w:lang w:val="en-GB"/>
              </w:rPr>
              <w:t xml:space="preserve">Endorsed </w:t>
            </w:r>
            <w:r w:rsidR="008E65BD" w:rsidRPr="00A1084B">
              <w:rPr>
                <w:sz w:val="20"/>
                <w:szCs w:val="20"/>
                <w:lang w:eastAsia="en-AU"/>
              </w:rPr>
              <w:t>Client</w:t>
            </w:r>
            <w:r w:rsidR="00A1084B">
              <w:rPr>
                <w:sz w:val="20"/>
                <w:szCs w:val="20"/>
                <w:lang w:eastAsia="en-AU"/>
              </w:rPr>
              <w:t xml:space="preserve"> First S</w:t>
            </w:r>
            <w:r w:rsidR="008E65BD" w:rsidRPr="00A1084B">
              <w:rPr>
                <w:sz w:val="20"/>
                <w:szCs w:val="20"/>
                <w:lang w:eastAsia="en-AU"/>
              </w:rPr>
              <w:t xml:space="preserve">trategy </w:t>
            </w:r>
            <w:r w:rsidRPr="00A1084B">
              <w:rPr>
                <w:sz w:val="20"/>
                <w:szCs w:val="20"/>
                <w:lang w:val="en-GB"/>
              </w:rPr>
              <w:t>by end of 2019</w:t>
            </w:r>
          </w:p>
          <w:p w14:paraId="64B6FA69" w14:textId="428A460C" w:rsidR="003B3F34" w:rsidRPr="00545885" w:rsidRDefault="003B3F34" w:rsidP="00545885">
            <w:pPr>
              <w:pStyle w:val="ListParagraph"/>
              <w:numPr>
                <w:ilvl w:val="0"/>
                <w:numId w:val="54"/>
              </w:numPr>
              <w:spacing w:after="0" w:line="276" w:lineRule="auto"/>
              <w:ind w:left="199" w:hanging="199"/>
              <w:rPr>
                <w:sz w:val="20"/>
                <w:lang w:val="en-GB"/>
              </w:rPr>
            </w:pPr>
            <w:r w:rsidRPr="00545885">
              <w:rPr>
                <w:sz w:val="20"/>
                <w:lang w:val="en-GB"/>
              </w:rPr>
              <w:t xml:space="preserve">Number of VLA areas using client feedback and engagement and or engagement models  </w:t>
            </w:r>
          </w:p>
          <w:p w14:paraId="5AB18594" w14:textId="5CE59831" w:rsidR="003B3F34" w:rsidRPr="00545885" w:rsidRDefault="003B3F34" w:rsidP="00545885">
            <w:pPr>
              <w:pStyle w:val="ListParagraph"/>
              <w:numPr>
                <w:ilvl w:val="0"/>
                <w:numId w:val="54"/>
              </w:numPr>
              <w:spacing w:after="0" w:line="276" w:lineRule="auto"/>
              <w:ind w:left="199" w:hanging="199"/>
              <w:rPr>
                <w:sz w:val="20"/>
                <w:lang w:val="en-GB"/>
              </w:rPr>
            </w:pPr>
            <w:r w:rsidRPr="00545885">
              <w:rPr>
                <w:sz w:val="20"/>
                <w:lang w:val="en-GB"/>
              </w:rPr>
              <w:t>Effective client involvement in the development of the</w:t>
            </w:r>
            <w:r w:rsidR="00A1084B">
              <w:rPr>
                <w:sz w:val="20"/>
                <w:lang w:val="en-GB"/>
              </w:rPr>
              <w:t xml:space="preserve"> </w:t>
            </w:r>
            <w:r w:rsidR="00A1084B" w:rsidRPr="00A1084B">
              <w:rPr>
                <w:sz w:val="20"/>
                <w:lang w:val="en-GB"/>
              </w:rPr>
              <w:t>Client First Strategy</w:t>
            </w:r>
            <w:r w:rsidRPr="00545885">
              <w:rPr>
                <w:sz w:val="20"/>
                <w:lang w:val="en-GB"/>
              </w:rPr>
              <w:t xml:space="preserve"> </w:t>
            </w:r>
          </w:p>
        </w:tc>
        <w:tc>
          <w:tcPr>
            <w:tcW w:w="1895" w:type="dxa"/>
          </w:tcPr>
          <w:p w14:paraId="675E6D22" w14:textId="77777777" w:rsidR="003B3F34" w:rsidRPr="00DB54C4" w:rsidRDefault="003B3F34" w:rsidP="008A00EA">
            <w:pPr>
              <w:spacing w:after="0" w:line="276" w:lineRule="auto"/>
              <w:rPr>
                <w:sz w:val="20"/>
                <w:lang w:val="en-GB"/>
              </w:rPr>
            </w:pPr>
            <w:r w:rsidRPr="00DB54C4">
              <w:rPr>
                <w:sz w:val="20"/>
                <w:lang w:val="en-GB"/>
              </w:rPr>
              <w:t>Executive Director, Civil Justice Access and Equity</w:t>
            </w:r>
          </w:p>
          <w:p w14:paraId="2C8DA08C" w14:textId="77777777" w:rsidR="003B3F34" w:rsidRPr="00DB54C4" w:rsidRDefault="003B3F34" w:rsidP="008A00EA">
            <w:pPr>
              <w:spacing w:after="0" w:line="276" w:lineRule="auto"/>
              <w:rPr>
                <w:sz w:val="20"/>
                <w:lang w:val="en-GB"/>
              </w:rPr>
            </w:pPr>
          </w:p>
        </w:tc>
      </w:tr>
    </w:tbl>
    <w:p w14:paraId="7B078558" w14:textId="5B061613" w:rsidR="003B3F34" w:rsidRPr="00E91A0A" w:rsidRDefault="003B3F34" w:rsidP="00545885">
      <w:pPr>
        <w:pStyle w:val="Heading4"/>
        <w:numPr>
          <w:ilvl w:val="0"/>
          <w:numId w:val="30"/>
        </w:numPr>
      </w:pPr>
      <w:bookmarkStart w:id="50" w:name="_Digital_Legal_Aid"/>
      <w:bookmarkStart w:id="51" w:name="_Hlk20736807"/>
      <w:bookmarkEnd w:id="49"/>
      <w:bookmarkEnd w:id="50"/>
      <w:r w:rsidRPr="0030023F">
        <w:lastRenderedPageBreak/>
        <w:t>Digital Legal Aid</w:t>
      </w:r>
    </w:p>
    <w:tbl>
      <w:tblPr>
        <w:tblStyle w:val="TableGrid"/>
        <w:tblW w:w="0" w:type="auto"/>
        <w:tblLook w:val="04A0" w:firstRow="1" w:lastRow="0" w:firstColumn="1" w:lastColumn="0" w:noHBand="0" w:noVBand="1"/>
      </w:tblPr>
      <w:tblGrid>
        <w:gridCol w:w="3937"/>
        <w:gridCol w:w="3938"/>
        <w:gridCol w:w="1895"/>
      </w:tblGrid>
      <w:tr w:rsidR="009614BD" w:rsidRPr="002A768C" w14:paraId="4068ACBA" w14:textId="77777777" w:rsidTr="002D7202">
        <w:trPr>
          <w:trHeight w:val="507"/>
          <w:tblHeader/>
        </w:trPr>
        <w:tc>
          <w:tcPr>
            <w:tcW w:w="3937" w:type="dxa"/>
            <w:tcBorders>
              <w:bottom w:val="single" w:sz="4" w:space="0" w:color="auto"/>
            </w:tcBorders>
            <w:shd w:val="clear" w:color="auto" w:fill="D9D9D9" w:themeFill="background1" w:themeFillShade="D9"/>
          </w:tcPr>
          <w:p w14:paraId="6208CDC7" w14:textId="77777777" w:rsidR="009614BD" w:rsidRPr="002A768C" w:rsidRDefault="009614BD" w:rsidP="002D7202">
            <w:pPr>
              <w:spacing w:after="0" w:line="276" w:lineRule="auto"/>
              <w:rPr>
                <w:b/>
              </w:rPr>
            </w:pPr>
            <w:bookmarkStart w:id="52" w:name="_Hlk8293198"/>
            <w:bookmarkEnd w:id="51"/>
            <w:r w:rsidRPr="002A768C">
              <w:rPr>
                <w:b/>
              </w:rPr>
              <w:t xml:space="preserve">Priority </w:t>
            </w:r>
            <w:r>
              <w:rPr>
                <w:b/>
              </w:rPr>
              <w:t>actions</w:t>
            </w:r>
          </w:p>
        </w:tc>
        <w:tc>
          <w:tcPr>
            <w:tcW w:w="3938" w:type="dxa"/>
            <w:tcBorders>
              <w:bottom w:val="single" w:sz="4" w:space="0" w:color="auto"/>
            </w:tcBorders>
            <w:shd w:val="clear" w:color="auto" w:fill="D9D9D9" w:themeFill="background1" w:themeFillShade="D9"/>
          </w:tcPr>
          <w:p w14:paraId="06CB432F" w14:textId="77777777" w:rsidR="009614BD" w:rsidRPr="002A768C" w:rsidRDefault="009614BD" w:rsidP="002D7202">
            <w:pPr>
              <w:spacing w:after="0" w:line="276" w:lineRule="auto"/>
              <w:rPr>
                <w:b/>
              </w:rPr>
            </w:pPr>
            <w:r>
              <w:rPr>
                <w:b/>
              </w:rPr>
              <w:t>Success measures</w:t>
            </w:r>
          </w:p>
        </w:tc>
        <w:tc>
          <w:tcPr>
            <w:tcW w:w="1895" w:type="dxa"/>
            <w:tcBorders>
              <w:bottom w:val="single" w:sz="4" w:space="0" w:color="auto"/>
            </w:tcBorders>
            <w:shd w:val="clear" w:color="auto" w:fill="D9D9D9" w:themeFill="background1" w:themeFillShade="D9"/>
          </w:tcPr>
          <w:p w14:paraId="3EDD072A" w14:textId="77777777" w:rsidR="009614BD" w:rsidRPr="002A768C" w:rsidRDefault="009614BD" w:rsidP="002D7202">
            <w:pPr>
              <w:spacing w:after="0" w:line="276" w:lineRule="auto"/>
              <w:rPr>
                <w:b/>
              </w:rPr>
            </w:pPr>
            <w:r w:rsidRPr="002A768C">
              <w:rPr>
                <w:b/>
              </w:rPr>
              <w:t>Responsibility</w:t>
            </w:r>
          </w:p>
        </w:tc>
      </w:tr>
      <w:tr w:rsidR="0013117A" w14:paraId="2DBB234E" w14:textId="77777777" w:rsidTr="6E0FA8F8">
        <w:trPr>
          <w:trHeight w:val="1938"/>
        </w:trPr>
        <w:tc>
          <w:tcPr>
            <w:tcW w:w="3937" w:type="dxa"/>
          </w:tcPr>
          <w:p w14:paraId="586117AC" w14:textId="6B68FCAE" w:rsidR="0013117A" w:rsidRPr="007C64D0" w:rsidRDefault="0013117A" w:rsidP="00E660BE">
            <w:pPr>
              <w:pStyle w:val="Style1"/>
              <w:spacing w:before="0" w:after="0" w:line="276" w:lineRule="auto"/>
            </w:pPr>
            <w:r w:rsidRPr="00034DA1">
              <w:t xml:space="preserve">Develop a </w:t>
            </w:r>
            <w:r w:rsidRPr="00900966">
              <w:t>new client intake solution</w:t>
            </w:r>
            <w:r w:rsidRPr="00034DA1">
              <w:t xml:space="preserve"> to provide Legal Help </w:t>
            </w:r>
            <w:r w:rsidR="00213001">
              <w:t xml:space="preserve">with </w:t>
            </w:r>
            <w:r w:rsidRPr="00034DA1">
              <w:t xml:space="preserve">the information and functions they need to work efficiently, including </w:t>
            </w:r>
            <w:r w:rsidR="003470AD">
              <w:t>Legal Help C</w:t>
            </w:r>
            <w:r w:rsidRPr="00034DA1">
              <w:t>hat and client tools to enable information sharing</w:t>
            </w:r>
          </w:p>
        </w:tc>
        <w:tc>
          <w:tcPr>
            <w:tcW w:w="3938" w:type="dxa"/>
          </w:tcPr>
          <w:p w14:paraId="458CE53C" w14:textId="04563D69" w:rsidR="00F359DA" w:rsidRDefault="00F359DA" w:rsidP="00545885">
            <w:pPr>
              <w:pStyle w:val="ListParagraph"/>
              <w:numPr>
                <w:ilvl w:val="0"/>
                <w:numId w:val="55"/>
              </w:numPr>
              <w:ind w:left="347" w:hanging="290"/>
              <w:rPr>
                <w:sz w:val="20"/>
              </w:rPr>
            </w:pPr>
            <w:r>
              <w:rPr>
                <w:sz w:val="20"/>
              </w:rPr>
              <w:t>Increase</w:t>
            </w:r>
            <w:r w:rsidR="001814E7">
              <w:rPr>
                <w:sz w:val="20"/>
              </w:rPr>
              <w:t xml:space="preserve">d efficiency in </w:t>
            </w:r>
            <w:r w:rsidR="00AF2376">
              <w:rPr>
                <w:sz w:val="20"/>
              </w:rPr>
              <w:t>L</w:t>
            </w:r>
            <w:r w:rsidR="001814E7">
              <w:rPr>
                <w:sz w:val="20"/>
              </w:rPr>
              <w:t xml:space="preserve">egal </w:t>
            </w:r>
            <w:r w:rsidR="00AF2376">
              <w:rPr>
                <w:sz w:val="20"/>
              </w:rPr>
              <w:t>H</w:t>
            </w:r>
            <w:r w:rsidR="001814E7">
              <w:rPr>
                <w:sz w:val="20"/>
              </w:rPr>
              <w:t xml:space="preserve">elp providing clients with information  </w:t>
            </w:r>
          </w:p>
          <w:p w14:paraId="1FD61480" w14:textId="4716384E" w:rsidR="00746719" w:rsidRPr="00560D00" w:rsidRDefault="00746719" w:rsidP="00545885">
            <w:pPr>
              <w:spacing w:after="0" w:line="276" w:lineRule="auto"/>
              <w:ind w:left="347" w:hanging="290"/>
              <w:rPr>
                <w:sz w:val="20"/>
                <w:szCs w:val="20"/>
              </w:rPr>
            </w:pPr>
          </w:p>
        </w:tc>
        <w:tc>
          <w:tcPr>
            <w:tcW w:w="1895" w:type="dxa"/>
          </w:tcPr>
          <w:p w14:paraId="72DD455E" w14:textId="400576D6" w:rsidR="0013117A" w:rsidRPr="00DB54C4" w:rsidRDefault="0013117A" w:rsidP="00E660BE">
            <w:pPr>
              <w:spacing w:after="0" w:line="276" w:lineRule="auto"/>
              <w:rPr>
                <w:sz w:val="20"/>
                <w:lang w:val="en-GB"/>
              </w:rPr>
            </w:pPr>
            <w:r w:rsidRPr="00DB54C4">
              <w:rPr>
                <w:sz w:val="20"/>
                <w:lang w:val="en-GB"/>
              </w:rPr>
              <w:t xml:space="preserve">Executive Director, </w:t>
            </w:r>
            <w:r w:rsidR="007C2E00">
              <w:rPr>
                <w:sz w:val="20"/>
                <w:lang w:val="en-GB"/>
              </w:rPr>
              <w:t xml:space="preserve">Access &amp; Equity and Executive Director, </w:t>
            </w:r>
            <w:r w:rsidRPr="00DB54C4">
              <w:rPr>
                <w:sz w:val="20"/>
                <w:lang w:val="en-GB"/>
              </w:rPr>
              <w:t xml:space="preserve">Corporate Affairs </w:t>
            </w:r>
          </w:p>
        </w:tc>
      </w:tr>
      <w:tr w:rsidR="00B6436F" w14:paraId="0DBFE34A" w14:textId="77777777" w:rsidTr="6E0FA8F8">
        <w:trPr>
          <w:trHeight w:val="1938"/>
        </w:trPr>
        <w:tc>
          <w:tcPr>
            <w:tcW w:w="3937" w:type="dxa"/>
          </w:tcPr>
          <w:p w14:paraId="39639374" w14:textId="38F057A8" w:rsidR="00B6436F" w:rsidRPr="00034DA1" w:rsidRDefault="00B6436F" w:rsidP="00E660BE">
            <w:pPr>
              <w:pStyle w:val="Style1"/>
              <w:spacing w:before="0" w:after="0" w:line="276" w:lineRule="auto"/>
            </w:pPr>
            <w:r w:rsidRPr="00AF55EC">
              <w:t>Develop a</w:t>
            </w:r>
            <w:r w:rsidRPr="00AF55EC">
              <w:rPr>
                <w:b/>
                <w:bCs/>
              </w:rPr>
              <w:t xml:space="preserve"> </w:t>
            </w:r>
            <w:r w:rsidRPr="00900966">
              <w:t>new client intake solution</w:t>
            </w:r>
            <w:r w:rsidRPr="00034DA1">
              <w:t xml:space="preserve"> </w:t>
            </w:r>
            <w:r>
              <w:t xml:space="preserve">for our duty lawyer services </w:t>
            </w:r>
            <w:r w:rsidRPr="00AF55EC">
              <w:t>to enable</w:t>
            </w:r>
            <w:r w:rsidRPr="00AF55EC">
              <w:rPr>
                <w:b/>
                <w:bCs/>
              </w:rPr>
              <w:t xml:space="preserve"> </w:t>
            </w:r>
            <w:r w:rsidRPr="00AF55EC">
              <w:t>quick and reliable digital capture, transfer and retrieval of client and case information, and provide tools to more effectively triage and assist clients</w:t>
            </w:r>
          </w:p>
        </w:tc>
        <w:tc>
          <w:tcPr>
            <w:tcW w:w="3938" w:type="dxa"/>
          </w:tcPr>
          <w:p w14:paraId="2CB44BCF" w14:textId="027311D7" w:rsidR="00ED200C" w:rsidRPr="00545885" w:rsidRDefault="00B6436F" w:rsidP="00545885">
            <w:pPr>
              <w:pStyle w:val="ListParagraph"/>
              <w:numPr>
                <w:ilvl w:val="0"/>
                <w:numId w:val="55"/>
              </w:numPr>
              <w:spacing w:after="0" w:line="276" w:lineRule="auto"/>
              <w:ind w:left="347" w:hanging="290"/>
              <w:rPr>
                <w:sz w:val="20"/>
              </w:rPr>
            </w:pPr>
            <w:r w:rsidRPr="00545885">
              <w:rPr>
                <w:sz w:val="20"/>
              </w:rPr>
              <w:t xml:space="preserve">A prototype digital solution for duty lawyer services </w:t>
            </w:r>
            <w:r w:rsidR="006146D5" w:rsidRPr="00545885">
              <w:rPr>
                <w:sz w:val="20"/>
              </w:rPr>
              <w:t>is</w:t>
            </w:r>
            <w:r w:rsidRPr="00545885">
              <w:rPr>
                <w:sz w:val="20"/>
              </w:rPr>
              <w:t xml:space="preserve"> deployed in </w:t>
            </w:r>
            <w:r w:rsidR="00ED1335" w:rsidRPr="00545885">
              <w:rPr>
                <w:sz w:val="20"/>
              </w:rPr>
              <w:t>at least one</w:t>
            </w:r>
            <w:r w:rsidRPr="00545885">
              <w:rPr>
                <w:sz w:val="20"/>
              </w:rPr>
              <w:t xml:space="preserve"> court</w:t>
            </w:r>
            <w:r w:rsidR="00DE597B" w:rsidRPr="00545885">
              <w:rPr>
                <w:sz w:val="20"/>
              </w:rPr>
              <w:t xml:space="preserve"> </w:t>
            </w:r>
          </w:p>
          <w:p w14:paraId="1F4CBC2C" w14:textId="7B7E8CA1" w:rsidR="00F56CF9" w:rsidRDefault="00F56CF9" w:rsidP="00545885">
            <w:pPr>
              <w:spacing w:after="0" w:line="276" w:lineRule="auto"/>
              <w:ind w:left="347" w:hanging="290"/>
              <w:rPr>
                <w:sz w:val="20"/>
              </w:rPr>
            </w:pPr>
          </w:p>
          <w:p w14:paraId="3C1C950B" w14:textId="5C8B7710" w:rsidR="00B6436F" w:rsidRPr="00B6436F" w:rsidRDefault="00B6436F" w:rsidP="00545885">
            <w:pPr>
              <w:spacing w:after="0" w:line="276" w:lineRule="auto"/>
              <w:ind w:left="347" w:hanging="290"/>
              <w:rPr>
                <w:sz w:val="20"/>
              </w:rPr>
            </w:pPr>
          </w:p>
        </w:tc>
        <w:tc>
          <w:tcPr>
            <w:tcW w:w="1895" w:type="dxa"/>
          </w:tcPr>
          <w:p w14:paraId="2F8EA0E9" w14:textId="11EDADF8" w:rsidR="00B6436F" w:rsidRPr="00DB54C4" w:rsidRDefault="007C2E00" w:rsidP="00E660BE">
            <w:pPr>
              <w:spacing w:after="0" w:line="276" w:lineRule="auto"/>
              <w:rPr>
                <w:sz w:val="20"/>
                <w:lang w:val="en-GB"/>
              </w:rPr>
            </w:pPr>
            <w:r>
              <w:rPr>
                <w:sz w:val="20"/>
                <w:lang w:val="en-GB"/>
              </w:rPr>
              <w:t xml:space="preserve">Executive Director, Criminal Law and </w:t>
            </w:r>
            <w:r w:rsidR="00F12BEA" w:rsidRPr="00DB54C4">
              <w:rPr>
                <w:sz w:val="20"/>
                <w:lang w:val="en-GB"/>
              </w:rPr>
              <w:t xml:space="preserve">Executive Director, Corporate Affairs </w:t>
            </w:r>
          </w:p>
        </w:tc>
      </w:tr>
      <w:tr w:rsidR="00B6436F" w14:paraId="097BCAB4" w14:textId="77777777" w:rsidTr="6E0FA8F8">
        <w:trPr>
          <w:trHeight w:val="1938"/>
        </w:trPr>
        <w:tc>
          <w:tcPr>
            <w:tcW w:w="3937" w:type="dxa"/>
          </w:tcPr>
          <w:p w14:paraId="125E4608" w14:textId="3B57ED3D" w:rsidR="00B6436F" w:rsidRPr="00034DA1" w:rsidRDefault="00B6436F" w:rsidP="00E660BE">
            <w:pPr>
              <w:pStyle w:val="Style1"/>
              <w:spacing w:before="0" w:after="0" w:line="276" w:lineRule="auto"/>
            </w:pPr>
            <w:r>
              <w:t xml:space="preserve">Commence redesign of VLA’s website </w:t>
            </w:r>
            <w:r w:rsidRPr="00AF55EC">
              <w:t>to provide intuitive navigation and interactive triage and referral</w:t>
            </w:r>
            <w:r>
              <w:t xml:space="preserve"> that is responsive to clients’ needs</w:t>
            </w:r>
          </w:p>
        </w:tc>
        <w:tc>
          <w:tcPr>
            <w:tcW w:w="3938" w:type="dxa"/>
          </w:tcPr>
          <w:p w14:paraId="720B3DC8" w14:textId="77777777" w:rsidR="00B6436F" w:rsidRPr="00545885" w:rsidRDefault="00E510DE" w:rsidP="00545885">
            <w:pPr>
              <w:pStyle w:val="ListParagraph"/>
              <w:numPr>
                <w:ilvl w:val="0"/>
                <w:numId w:val="55"/>
              </w:numPr>
              <w:spacing w:after="0" w:line="276" w:lineRule="auto"/>
              <w:ind w:left="347" w:hanging="290"/>
              <w:rPr>
                <w:sz w:val="20"/>
              </w:rPr>
            </w:pPr>
            <w:r w:rsidRPr="00545885">
              <w:rPr>
                <w:sz w:val="20"/>
              </w:rPr>
              <w:t>We have identified</w:t>
            </w:r>
            <w:r w:rsidR="00A1713B" w:rsidRPr="00545885">
              <w:rPr>
                <w:sz w:val="20"/>
              </w:rPr>
              <w:t xml:space="preserve"> functional, design and technical requirements and content management system software for </w:t>
            </w:r>
            <w:r w:rsidR="00E46A15" w:rsidRPr="00545885">
              <w:rPr>
                <w:sz w:val="20"/>
              </w:rPr>
              <w:t xml:space="preserve">the </w:t>
            </w:r>
            <w:r w:rsidR="00A1713B" w:rsidRPr="00545885">
              <w:rPr>
                <w:sz w:val="20"/>
              </w:rPr>
              <w:t>new website</w:t>
            </w:r>
          </w:p>
          <w:p w14:paraId="45B15D60" w14:textId="1A05A49D" w:rsidR="00AD3AFC" w:rsidRPr="00B6436F" w:rsidRDefault="00AD3AFC" w:rsidP="00545885">
            <w:pPr>
              <w:spacing w:after="0" w:line="276" w:lineRule="auto"/>
              <w:ind w:left="347" w:hanging="290"/>
              <w:rPr>
                <w:sz w:val="20"/>
              </w:rPr>
            </w:pPr>
          </w:p>
        </w:tc>
        <w:tc>
          <w:tcPr>
            <w:tcW w:w="1895" w:type="dxa"/>
          </w:tcPr>
          <w:p w14:paraId="4057F5C1" w14:textId="5B993AF0" w:rsidR="00B6436F" w:rsidRPr="00DB54C4" w:rsidRDefault="00F12BEA" w:rsidP="00E660BE">
            <w:pPr>
              <w:spacing w:after="0" w:line="276" w:lineRule="auto"/>
              <w:rPr>
                <w:sz w:val="20"/>
                <w:lang w:val="en-GB"/>
              </w:rPr>
            </w:pPr>
            <w:r w:rsidRPr="00DB54C4">
              <w:rPr>
                <w:sz w:val="20"/>
                <w:lang w:val="en-GB"/>
              </w:rPr>
              <w:t xml:space="preserve">Executive Director, Corporate Affairs </w:t>
            </w:r>
          </w:p>
        </w:tc>
      </w:tr>
    </w:tbl>
    <w:p w14:paraId="13D6B609" w14:textId="736AC61C" w:rsidR="0082025E" w:rsidRDefault="00BE330A">
      <w:pPr>
        <w:pStyle w:val="Heading2"/>
      </w:pPr>
      <w:bookmarkStart w:id="53" w:name="_Toc20289983"/>
      <w:bookmarkStart w:id="54" w:name="_Toc9953210"/>
      <w:bookmarkEnd w:id="52"/>
      <w:r>
        <w:t>Impact</w:t>
      </w:r>
      <w:bookmarkEnd w:id="53"/>
      <w:r w:rsidR="000A5AA1">
        <w:t xml:space="preserve"> </w:t>
      </w:r>
    </w:p>
    <w:bookmarkEnd w:id="54"/>
    <w:p w14:paraId="231EF8C7" w14:textId="6C9B7283" w:rsidR="009C50BA" w:rsidRDefault="009C50BA" w:rsidP="00BE330A">
      <w:r w:rsidRPr="00E926D0">
        <w:rPr>
          <w:rFonts w:eastAsia="Calibri" w:cs="Arial"/>
        </w:rPr>
        <w:t>Our use of public funds makes it important for us to monitor and evaluate the efficiency and effectiveness of our services across Victoria</w:t>
      </w:r>
      <w:r>
        <w:rPr>
          <w:rFonts w:eastAsia="Calibri" w:cs="Arial"/>
        </w:rPr>
        <w:t>.</w:t>
      </w:r>
      <w:r w:rsidR="00DA6CC0">
        <w:rPr>
          <w:rFonts w:eastAsia="Calibri" w:cs="Arial"/>
        </w:rPr>
        <w:t xml:space="preserve"> To be</w:t>
      </w:r>
      <w:r w:rsidR="00DA6CC0" w:rsidRPr="00E926D0">
        <w:rPr>
          <w:rFonts w:eastAsia="Calibri" w:cs="Arial"/>
        </w:rPr>
        <w:t xml:space="preserve"> able to monitor and anticipate evolving needs through more effective use of service data and demographic information</w:t>
      </w:r>
      <w:r w:rsidR="00DA6CC0">
        <w:rPr>
          <w:rFonts w:eastAsia="Calibri" w:cs="Arial"/>
        </w:rPr>
        <w:t>, we will:</w:t>
      </w:r>
      <w:r w:rsidR="00DA6CC0" w:rsidRPr="00E926D0">
        <w:rPr>
          <w:rFonts w:eastAsia="Calibri" w:cs="Arial"/>
        </w:rPr>
        <w:t xml:space="preserve">  </w:t>
      </w:r>
    </w:p>
    <w:p w14:paraId="0DFB6C5C" w14:textId="3B67AB9A" w:rsidR="000F0D27" w:rsidRPr="00325B1A" w:rsidRDefault="001E3FD1" w:rsidP="00FF00A1">
      <w:pPr>
        <w:pStyle w:val="ListParagraph"/>
        <w:numPr>
          <w:ilvl w:val="0"/>
          <w:numId w:val="12"/>
        </w:numPr>
        <w:rPr>
          <w:bCs/>
        </w:rPr>
      </w:pPr>
      <w:r>
        <w:t xml:space="preserve">continue </w:t>
      </w:r>
      <w:r w:rsidR="005E5284">
        <w:t>our</w:t>
      </w:r>
      <w:r>
        <w:t xml:space="preserve"> program of work under </w:t>
      </w:r>
      <w:r w:rsidR="00FF00A1" w:rsidRPr="00325B1A">
        <w:rPr>
          <w:b/>
        </w:rPr>
        <w:t>Digital Legal Aid</w:t>
      </w:r>
      <w:r w:rsidRPr="00D63018">
        <w:rPr>
          <w:bCs/>
        </w:rPr>
        <w:t xml:space="preserve"> to </w:t>
      </w:r>
      <w:r w:rsidR="00C41236" w:rsidRPr="00D63018">
        <w:rPr>
          <w:bCs/>
        </w:rPr>
        <w:t xml:space="preserve">make operations more efficient and </w:t>
      </w:r>
      <w:r w:rsidR="003A56E8" w:rsidRPr="00325B1A">
        <w:rPr>
          <w:bCs/>
        </w:rPr>
        <w:t>strengthen our data and systems</w:t>
      </w:r>
      <w:r w:rsidR="00A37B25" w:rsidRPr="00325B1A">
        <w:rPr>
          <w:bCs/>
        </w:rPr>
        <w:t xml:space="preserve"> </w:t>
      </w:r>
      <w:r w:rsidR="00DA4A08" w:rsidRPr="00325B1A">
        <w:rPr>
          <w:bCs/>
        </w:rPr>
        <w:t>capability</w:t>
      </w:r>
      <w:r w:rsidR="00E36575" w:rsidRPr="00325B1A">
        <w:rPr>
          <w:bCs/>
        </w:rPr>
        <w:t xml:space="preserve"> </w:t>
      </w:r>
      <w:r w:rsidR="00255FCF" w:rsidRPr="00325B1A">
        <w:rPr>
          <w:bCs/>
        </w:rPr>
        <w:t>so we can</w:t>
      </w:r>
      <w:r w:rsidR="00594F55" w:rsidRPr="00325B1A">
        <w:rPr>
          <w:bCs/>
        </w:rPr>
        <w:t xml:space="preserve"> provide</w:t>
      </w:r>
      <w:r w:rsidR="00E36575" w:rsidRPr="00325B1A">
        <w:rPr>
          <w:bCs/>
        </w:rPr>
        <w:t xml:space="preserve"> evidence </w:t>
      </w:r>
      <w:r w:rsidR="003056E4" w:rsidRPr="00325B1A">
        <w:rPr>
          <w:bCs/>
        </w:rPr>
        <w:t>to</w:t>
      </w:r>
      <w:r w:rsidR="00E36575" w:rsidRPr="00325B1A">
        <w:rPr>
          <w:bCs/>
        </w:rPr>
        <w:t xml:space="preserve"> </w:t>
      </w:r>
      <w:r w:rsidR="00FC69C4" w:rsidRPr="00325B1A">
        <w:rPr>
          <w:bCs/>
        </w:rPr>
        <w:t>guide decision-making and measure impact</w:t>
      </w:r>
    </w:p>
    <w:p w14:paraId="4DFFB2AA" w14:textId="623F0F5D" w:rsidR="009F2130" w:rsidRPr="00325B1A" w:rsidRDefault="007E19AA" w:rsidP="009F2130">
      <w:pPr>
        <w:pStyle w:val="ListParagraph"/>
        <w:numPr>
          <w:ilvl w:val="0"/>
          <w:numId w:val="12"/>
        </w:numPr>
        <w:rPr>
          <w:rFonts w:eastAsia="Calibri" w:cs="Arial"/>
          <w:bCs/>
        </w:rPr>
      </w:pPr>
      <w:r w:rsidRPr="00325B1A">
        <w:rPr>
          <w:bCs/>
        </w:rPr>
        <w:t xml:space="preserve">implement the </w:t>
      </w:r>
      <w:r w:rsidR="004B79A2" w:rsidRPr="00325B1A">
        <w:rPr>
          <w:bCs/>
        </w:rPr>
        <w:t xml:space="preserve">first year of our </w:t>
      </w:r>
      <w:r w:rsidR="00FF00A1" w:rsidRPr="00325B1A">
        <w:rPr>
          <w:b/>
        </w:rPr>
        <w:t>Regional Services Plan</w:t>
      </w:r>
      <w:r w:rsidR="004B79A2" w:rsidRPr="00D63018">
        <w:rPr>
          <w:bCs/>
        </w:rPr>
        <w:t xml:space="preserve"> to ensure </w:t>
      </w:r>
      <w:r w:rsidR="0087355D" w:rsidRPr="00D63018">
        <w:rPr>
          <w:bCs/>
        </w:rPr>
        <w:t xml:space="preserve">we </w:t>
      </w:r>
      <w:r w:rsidR="008C20CF" w:rsidRPr="00325B1A">
        <w:rPr>
          <w:bCs/>
        </w:rPr>
        <w:t xml:space="preserve">make informed decisions about infrastructure and resource </w:t>
      </w:r>
      <w:r w:rsidR="00325B1A" w:rsidRPr="00325B1A">
        <w:rPr>
          <w:bCs/>
        </w:rPr>
        <w:t>allocation,</w:t>
      </w:r>
      <w:r w:rsidR="008C20CF" w:rsidRPr="00325B1A">
        <w:rPr>
          <w:bCs/>
        </w:rPr>
        <w:t xml:space="preserve"> </w:t>
      </w:r>
      <w:r w:rsidR="006B0433" w:rsidRPr="00325B1A">
        <w:rPr>
          <w:bCs/>
        </w:rPr>
        <w:t xml:space="preserve">so we </w:t>
      </w:r>
      <w:r w:rsidR="008C20CF" w:rsidRPr="00325B1A">
        <w:rPr>
          <w:bCs/>
        </w:rPr>
        <w:t>provide</w:t>
      </w:r>
      <w:r w:rsidR="004B79A2" w:rsidRPr="00325B1A">
        <w:rPr>
          <w:bCs/>
        </w:rPr>
        <w:t xml:space="preserve"> the right services</w:t>
      </w:r>
      <w:r w:rsidR="00A45DCD" w:rsidRPr="00325B1A">
        <w:rPr>
          <w:bCs/>
        </w:rPr>
        <w:t xml:space="preserve"> to meet the current and emerging needs of outer-metropolitan and regional Victorians </w:t>
      </w:r>
      <w:r w:rsidR="00BB296A" w:rsidRPr="00325B1A">
        <w:rPr>
          <w:bCs/>
        </w:rPr>
        <w:t>using data, evidence and collaborative planning</w:t>
      </w:r>
    </w:p>
    <w:p w14:paraId="5AE637B5" w14:textId="5BD03290" w:rsidR="007D2A8C" w:rsidRPr="0062786D" w:rsidRDefault="00037F0E" w:rsidP="0084183F">
      <w:pPr>
        <w:pStyle w:val="ListParagraph"/>
        <w:numPr>
          <w:ilvl w:val="0"/>
          <w:numId w:val="12"/>
        </w:numPr>
        <w:rPr>
          <w:i/>
          <w:iCs/>
        </w:rPr>
      </w:pPr>
      <w:r w:rsidRPr="00325B1A">
        <w:rPr>
          <w:rFonts w:eastAsia="Calibri" w:cs="Arial"/>
          <w:bCs/>
        </w:rPr>
        <w:t>work on the justice system as well as within it</w:t>
      </w:r>
      <w:r w:rsidR="00C87BD2" w:rsidRPr="00325B1A">
        <w:rPr>
          <w:rFonts w:eastAsia="Calibri" w:cs="Arial"/>
          <w:bCs/>
        </w:rPr>
        <w:t xml:space="preserve"> through </w:t>
      </w:r>
      <w:r w:rsidR="00C87BD2" w:rsidRPr="00325B1A">
        <w:rPr>
          <w:rFonts w:eastAsia="Calibri" w:cs="Arial"/>
          <w:b/>
        </w:rPr>
        <w:t>strategic advocacy</w:t>
      </w:r>
      <w:r w:rsidR="00C87BD2" w:rsidRPr="00D63018">
        <w:rPr>
          <w:rFonts w:eastAsia="Calibri" w:cs="Arial"/>
          <w:bCs/>
        </w:rPr>
        <w:t xml:space="preserve"> </w:t>
      </w:r>
      <w:r w:rsidR="00C87BD2" w:rsidRPr="00D63018">
        <w:rPr>
          <w:bCs/>
        </w:rPr>
        <w:t>that</w:t>
      </w:r>
      <w:r w:rsidR="00C87BD2">
        <w:t xml:space="preserve"> delivers broad community benefit and helps clarify law and policy</w:t>
      </w:r>
      <w:r w:rsidR="00675F4B" w:rsidRPr="009F2130">
        <w:rPr>
          <w:rFonts w:eastAsia="Calibri" w:cs="Arial"/>
        </w:rPr>
        <w:t xml:space="preserve">. </w:t>
      </w:r>
    </w:p>
    <w:p w14:paraId="326018B5" w14:textId="2BD37210" w:rsidR="00D47DC2" w:rsidRDefault="00D47DC2" w:rsidP="00D47DC2">
      <w:pPr>
        <w:pStyle w:val="Heading3"/>
      </w:pPr>
      <w:r>
        <w:t xml:space="preserve">What we will do in 2019–20 </w:t>
      </w:r>
    </w:p>
    <w:p w14:paraId="69CB9246" w14:textId="499DCBE1" w:rsidR="008A00EA" w:rsidRDefault="008A00EA" w:rsidP="008A00EA">
      <w:pPr>
        <w:pStyle w:val="Heading4"/>
        <w:numPr>
          <w:ilvl w:val="0"/>
          <w:numId w:val="30"/>
        </w:numPr>
      </w:pPr>
      <w:bookmarkStart w:id="55" w:name="_Hlk20737027"/>
      <w:r w:rsidRPr="00325B1A">
        <w:t>Digital Legal Aid</w:t>
      </w:r>
    </w:p>
    <w:tbl>
      <w:tblPr>
        <w:tblStyle w:val="TableGrid"/>
        <w:tblW w:w="5000" w:type="pct"/>
        <w:tblLook w:val="04A0" w:firstRow="1" w:lastRow="0" w:firstColumn="1" w:lastColumn="0" w:noHBand="0" w:noVBand="1"/>
      </w:tblPr>
      <w:tblGrid>
        <w:gridCol w:w="3785"/>
        <w:gridCol w:w="3785"/>
        <w:gridCol w:w="2200"/>
      </w:tblGrid>
      <w:tr w:rsidR="008A00EA" w:rsidRPr="000A5AA1" w14:paraId="626B48FE" w14:textId="77777777" w:rsidTr="008A00EA">
        <w:trPr>
          <w:tblHeader/>
        </w:trPr>
        <w:tc>
          <w:tcPr>
            <w:tcW w:w="1937" w:type="pct"/>
            <w:shd w:val="clear" w:color="auto" w:fill="D9D9D9" w:themeFill="background1" w:themeFillShade="D9"/>
          </w:tcPr>
          <w:p w14:paraId="25E5BD9A" w14:textId="77777777" w:rsidR="008A00EA" w:rsidRPr="000A5AA1" w:rsidRDefault="008A00EA" w:rsidP="008A00EA">
            <w:pPr>
              <w:spacing w:after="0" w:line="276" w:lineRule="auto"/>
              <w:rPr>
                <w:b/>
              </w:rPr>
            </w:pPr>
            <w:bookmarkStart w:id="56" w:name="_Hlk20737033"/>
            <w:bookmarkEnd w:id="55"/>
            <w:r w:rsidRPr="002A768C">
              <w:rPr>
                <w:b/>
              </w:rPr>
              <w:t xml:space="preserve">Priority </w:t>
            </w:r>
            <w:r>
              <w:rPr>
                <w:b/>
              </w:rPr>
              <w:t>actions</w:t>
            </w:r>
          </w:p>
        </w:tc>
        <w:tc>
          <w:tcPr>
            <w:tcW w:w="1937" w:type="pct"/>
            <w:shd w:val="clear" w:color="auto" w:fill="D9D9D9" w:themeFill="background1" w:themeFillShade="D9"/>
          </w:tcPr>
          <w:p w14:paraId="79A78DB7" w14:textId="77777777" w:rsidR="008A00EA" w:rsidRPr="000A5AA1" w:rsidRDefault="008A00EA" w:rsidP="008A00EA">
            <w:pPr>
              <w:spacing w:after="0" w:line="276" w:lineRule="auto"/>
              <w:rPr>
                <w:b/>
              </w:rPr>
            </w:pPr>
            <w:r>
              <w:rPr>
                <w:b/>
              </w:rPr>
              <w:t>Success measures</w:t>
            </w:r>
          </w:p>
        </w:tc>
        <w:tc>
          <w:tcPr>
            <w:tcW w:w="1126" w:type="pct"/>
            <w:shd w:val="clear" w:color="auto" w:fill="D9D9D9" w:themeFill="background1" w:themeFillShade="D9"/>
          </w:tcPr>
          <w:p w14:paraId="2BF49E57" w14:textId="77777777" w:rsidR="008A00EA" w:rsidRPr="000A5AA1" w:rsidRDefault="008A00EA" w:rsidP="008A00EA">
            <w:pPr>
              <w:spacing w:after="0" w:line="276" w:lineRule="auto"/>
              <w:rPr>
                <w:b/>
              </w:rPr>
            </w:pPr>
            <w:r w:rsidRPr="002A768C">
              <w:rPr>
                <w:b/>
              </w:rPr>
              <w:t>Responsibility</w:t>
            </w:r>
          </w:p>
        </w:tc>
      </w:tr>
      <w:tr w:rsidR="008A00EA" w:rsidRPr="00774C4E" w14:paraId="518C364B" w14:textId="77777777" w:rsidTr="008A00EA">
        <w:tc>
          <w:tcPr>
            <w:tcW w:w="1937" w:type="pct"/>
          </w:tcPr>
          <w:p w14:paraId="6FB51A1A" w14:textId="77777777" w:rsidR="008A00EA" w:rsidRPr="00DA5E63" w:rsidRDefault="008A00EA" w:rsidP="008A00EA">
            <w:pPr>
              <w:pStyle w:val="Style1"/>
              <w:spacing w:before="0" w:after="0" w:line="276" w:lineRule="auto"/>
            </w:pPr>
            <w:r w:rsidRPr="00DA5E63">
              <w:t xml:space="preserve">Building and maintaining high-quality reports and dashboards </w:t>
            </w:r>
          </w:p>
        </w:tc>
        <w:tc>
          <w:tcPr>
            <w:tcW w:w="1937" w:type="pct"/>
          </w:tcPr>
          <w:p w14:paraId="11B75374" w14:textId="77777777" w:rsidR="008A00EA" w:rsidRPr="00F81438" w:rsidRDefault="008A00EA" w:rsidP="00F81438">
            <w:pPr>
              <w:pStyle w:val="ListParagraph"/>
              <w:numPr>
                <w:ilvl w:val="0"/>
                <w:numId w:val="56"/>
              </w:numPr>
              <w:spacing w:after="0" w:line="276" w:lineRule="auto"/>
              <w:ind w:left="357" w:hanging="282"/>
              <w:rPr>
                <w:sz w:val="20"/>
              </w:rPr>
            </w:pPr>
            <w:r w:rsidRPr="00F81438">
              <w:rPr>
                <w:sz w:val="20"/>
              </w:rPr>
              <w:t>A range of high-quality reports and dashboards allowing us to engage in evidence-based planning and monitoring</w:t>
            </w:r>
          </w:p>
          <w:p w14:paraId="4109544B" w14:textId="77777777" w:rsidR="008A00EA" w:rsidRPr="00F81438" w:rsidRDefault="008A00EA" w:rsidP="00F81438">
            <w:pPr>
              <w:pStyle w:val="ListParagraph"/>
              <w:numPr>
                <w:ilvl w:val="0"/>
                <w:numId w:val="56"/>
              </w:numPr>
              <w:spacing w:after="0" w:line="276" w:lineRule="auto"/>
              <w:ind w:left="357" w:hanging="282"/>
              <w:rPr>
                <w:sz w:val="20"/>
              </w:rPr>
            </w:pPr>
            <w:r w:rsidRPr="00F81438">
              <w:rPr>
                <w:sz w:val="20"/>
              </w:rPr>
              <w:lastRenderedPageBreak/>
              <w:t>Number of staff accessing data and dashboards</w:t>
            </w:r>
          </w:p>
          <w:p w14:paraId="1DF3A235" w14:textId="77777777" w:rsidR="008A00EA" w:rsidRDefault="008A00EA" w:rsidP="00F81438">
            <w:pPr>
              <w:spacing w:after="0" w:line="276" w:lineRule="auto"/>
              <w:ind w:left="357" w:hanging="282"/>
              <w:rPr>
                <w:sz w:val="20"/>
              </w:rPr>
            </w:pPr>
          </w:p>
          <w:p w14:paraId="26A28061" w14:textId="77777777" w:rsidR="008A00EA" w:rsidRPr="00DA5E63" w:rsidRDefault="008A00EA" w:rsidP="00F81438">
            <w:pPr>
              <w:spacing w:after="0" w:line="276" w:lineRule="auto"/>
              <w:ind w:left="357" w:hanging="282"/>
              <w:rPr>
                <w:sz w:val="20"/>
              </w:rPr>
            </w:pPr>
          </w:p>
        </w:tc>
        <w:tc>
          <w:tcPr>
            <w:tcW w:w="1126" w:type="pct"/>
          </w:tcPr>
          <w:p w14:paraId="4323DAC3" w14:textId="77777777" w:rsidR="008A00EA" w:rsidRPr="00774C4E" w:rsidRDefault="008A00EA" w:rsidP="008A00EA">
            <w:pPr>
              <w:spacing w:after="0" w:line="276" w:lineRule="auto"/>
              <w:rPr>
                <w:sz w:val="20"/>
              </w:rPr>
            </w:pPr>
            <w:r w:rsidRPr="00774C4E">
              <w:rPr>
                <w:sz w:val="20"/>
              </w:rPr>
              <w:lastRenderedPageBreak/>
              <w:t xml:space="preserve">Executive Director, Corporate Affairs </w:t>
            </w:r>
          </w:p>
        </w:tc>
      </w:tr>
      <w:tr w:rsidR="008A00EA" w:rsidRPr="00774C4E" w14:paraId="3CE1D085" w14:textId="77777777" w:rsidTr="008A00EA">
        <w:tc>
          <w:tcPr>
            <w:tcW w:w="1937" w:type="pct"/>
          </w:tcPr>
          <w:p w14:paraId="0B0BB1B8" w14:textId="77777777" w:rsidR="008A00EA" w:rsidRPr="00DA5E63" w:rsidRDefault="008A00EA" w:rsidP="008A00EA">
            <w:pPr>
              <w:pStyle w:val="Style1"/>
              <w:spacing w:before="0" w:after="0" w:line="276" w:lineRule="auto"/>
            </w:pPr>
            <w:r w:rsidRPr="00DA5E63">
              <w:t>Improving the quality of core data sets to improve our analysis and reporting</w:t>
            </w:r>
            <w:r>
              <w:t>,</w:t>
            </w:r>
            <w:r w:rsidRPr="00DA5E63">
              <w:t xml:space="preserve"> focusing on matter type data, client characteristic data, service data and workforce data</w:t>
            </w:r>
          </w:p>
        </w:tc>
        <w:tc>
          <w:tcPr>
            <w:tcW w:w="1937" w:type="pct"/>
          </w:tcPr>
          <w:p w14:paraId="5AAD847B" w14:textId="77777777" w:rsidR="008A00EA" w:rsidRPr="00F81438" w:rsidRDefault="008A00EA" w:rsidP="00F81438">
            <w:pPr>
              <w:pStyle w:val="ListParagraph"/>
              <w:numPr>
                <w:ilvl w:val="0"/>
                <w:numId w:val="56"/>
              </w:numPr>
              <w:spacing w:after="0" w:line="276" w:lineRule="auto"/>
              <w:ind w:left="357" w:hanging="282"/>
              <w:rPr>
                <w:sz w:val="20"/>
              </w:rPr>
            </w:pPr>
            <w:r w:rsidRPr="00F81438">
              <w:rPr>
                <w:sz w:val="20"/>
              </w:rPr>
              <w:t>Definitions and data models for core data sets and a clear system of record of all data is enforced and maintained</w:t>
            </w:r>
          </w:p>
          <w:p w14:paraId="4DC05C11" w14:textId="77777777" w:rsidR="008A00EA" w:rsidRPr="00F81438" w:rsidRDefault="008A00EA" w:rsidP="00F81438">
            <w:pPr>
              <w:pStyle w:val="ListParagraph"/>
              <w:numPr>
                <w:ilvl w:val="0"/>
                <w:numId w:val="56"/>
              </w:numPr>
              <w:spacing w:after="0" w:line="276" w:lineRule="auto"/>
              <w:ind w:left="357" w:hanging="282"/>
              <w:rPr>
                <w:sz w:val="20"/>
              </w:rPr>
            </w:pPr>
            <w:r w:rsidRPr="00F81438">
              <w:rPr>
                <w:sz w:val="20"/>
              </w:rPr>
              <w:t xml:space="preserve">% of staff report that they are confident that the data they receive reflects that data that was captured </w:t>
            </w:r>
          </w:p>
          <w:p w14:paraId="6798DBE7" w14:textId="77777777" w:rsidR="008A00EA" w:rsidRPr="00F81438" w:rsidRDefault="008A00EA" w:rsidP="00F81438">
            <w:pPr>
              <w:pStyle w:val="ListParagraph"/>
              <w:numPr>
                <w:ilvl w:val="0"/>
                <w:numId w:val="56"/>
              </w:numPr>
              <w:spacing w:after="0" w:line="276" w:lineRule="auto"/>
              <w:ind w:left="357" w:hanging="282"/>
              <w:rPr>
                <w:sz w:val="20"/>
              </w:rPr>
            </w:pPr>
            <w:r w:rsidRPr="00F81438">
              <w:rPr>
                <w:sz w:val="20"/>
              </w:rPr>
              <w:t xml:space="preserve">% of staff reporting confidence in the accuracy of data collected </w:t>
            </w:r>
          </w:p>
          <w:p w14:paraId="6E39240D" w14:textId="52F71470" w:rsidR="008A00EA" w:rsidRPr="00F81438" w:rsidRDefault="008A00EA" w:rsidP="00F81438">
            <w:pPr>
              <w:pStyle w:val="ListParagraph"/>
              <w:numPr>
                <w:ilvl w:val="0"/>
                <w:numId w:val="56"/>
              </w:numPr>
              <w:spacing w:after="0" w:line="276" w:lineRule="auto"/>
              <w:ind w:left="357" w:hanging="282"/>
              <w:rPr>
                <w:sz w:val="20"/>
              </w:rPr>
            </w:pPr>
            <w:r w:rsidRPr="00F81438">
              <w:rPr>
                <w:sz w:val="20"/>
              </w:rPr>
              <w:t xml:space="preserve">Our master data management/data classification tool is populated with matter type, client characteristics and service and workforce data definitions and standards. </w:t>
            </w:r>
          </w:p>
        </w:tc>
        <w:tc>
          <w:tcPr>
            <w:tcW w:w="1126" w:type="pct"/>
          </w:tcPr>
          <w:p w14:paraId="2128FF96" w14:textId="77777777" w:rsidR="008A00EA" w:rsidRPr="00774C4E" w:rsidRDefault="008A00EA" w:rsidP="008A00EA">
            <w:pPr>
              <w:spacing w:after="0" w:line="276" w:lineRule="auto"/>
              <w:rPr>
                <w:sz w:val="20"/>
              </w:rPr>
            </w:pPr>
            <w:r w:rsidRPr="00774C4E">
              <w:rPr>
                <w:sz w:val="20"/>
              </w:rPr>
              <w:t xml:space="preserve">Executive Director, Corporate Affairs </w:t>
            </w:r>
          </w:p>
        </w:tc>
      </w:tr>
    </w:tbl>
    <w:p w14:paraId="45A35440" w14:textId="7C944438" w:rsidR="008A00EA" w:rsidRDefault="008A00EA" w:rsidP="00F81438">
      <w:pPr>
        <w:pStyle w:val="Heading4"/>
        <w:numPr>
          <w:ilvl w:val="0"/>
          <w:numId w:val="30"/>
        </w:numPr>
      </w:pPr>
      <w:bookmarkStart w:id="57" w:name="_Regional_Services_Program"/>
      <w:bookmarkStart w:id="58" w:name="_Hlk20737051"/>
      <w:bookmarkEnd w:id="56"/>
      <w:bookmarkEnd w:id="57"/>
      <w:r w:rsidRPr="0030023F">
        <w:t>Regional Services Program</w:t>
      </w:r>
    </w:p>
    <w:tbl>
      <w:tblPr>
        <w:tblStyle w:val="TableGrid"/>
        <w:tblW w:w="5000" w:type="pct"/>
        <w:tblLook w:val="04A0" w:firstRow="1" w:lastRow="0" w:firstColumn="1" w:lastColumn="0" w:noHBand="0" w:noVBand="1"/>
      </w:tblPr>
      <w:tblGrid>
        <w:gridCol w:w="3785"/>
        <w:gridCol w:w="3785"/>
        <w:gridCol w:w="2200"/>
      </w:tblGrid>
      <w:tr w:rsidR="008A00EA" w:rsidRPr="0030023F" w14:paraId="17963423" w14:textId="77777777" w:rsidTr="008A00EA">
        <w:tc>
          <w:tcPr>
            <w:tcW w:w="1937" w:type="pct"/>
            <w:shd w:val="clear" w:color="auto" w:fill="D9D9D9" w:themeFill="background1" w:themeFillShade="D9"/>
          </w:tcPr>
          <w:p w14:paraId="1E145D01" w14:textId="77777777" w:rsidR="008A00EA" w:rsidRPr="0030023F" w:rsidRDefault="008A00EA" w:rsidP="008A00EA">
            <w:pPr>
              <w:pStyle w:val="Style1"/>
              <w:numPr>
                <w:ilvl w:val="0"/>
                <w:numId w:val="0"/>
              </w:numPr>
              <w:spacing w:before="0" w:after="0" w:line="276" w:lineRule="auto"/>
              <w:rPr>
                <w:b/>
                <w:bCs/>
                <w:sz w:val="22"/>
                <w:szCs w:val="28"/>
              </w:rPr>
            </w:pPr>
            <w:bookmarkStart w:id="59" w:name="_Hlk20737061"/>
            <w:bookmarkEnd w:id="58"/>
            <w:r w:rsidRPr="0030023F">
              <w:rPr>
                <w:b/>
                <w:bCs/>
                <w:sz w:val="22"/>
                <w:szCs w:val="28"/>
              </w:rPr>
              <w:t xml:space="preserve">Priority actions </w:t>
            </w:r>
          </w:p>
        </w:tc>
        <w:tc>
          <w:tcPr>
            <w:tcW w:w="1937" w:type="pct"/>
            <w:shd w:val="clear" w:color="auto" w:fill="D9D9D9" w:themeFill="background1" w:themeFillShade="D9"/>
          </w:tcPr>
          <w:p w14:paraId="0E40A338" w14:textId="77777777" w:rsidR="008A00EA" w:rsidRPr="0030023F" w:rsidRDefault="008A00EA" w:rsidP="008A00EA">
            <w:pPr>
              <w:spacing w:after="0" w:line="276" w:lineRule="auto"/>
              <w:rPr>
                <w:b/>
                <w:bCs/>
                <w:szCs w:val="28"/>
              </w:rPr>
            </w:pPr>
            <w:r w:rsidRPr="0030023F">
              <w:rPr>
                <w:b/>
                <w:bCs/>
                <w:szCs w:val="28"/>
              </w:rPr>
              <w:t xml:space="preserve">Success measures </w:t>
            </w:r>
          </w:p>
        </w:tc>
        <w:tc>
          <w:tcPr>
            <w:tcW w:w="1126" w:type="pct"/>
            <w:shd w:val="clear" w:color="auto" w:fill="D9D9D9" w:themeFill="background1" w:themeFillShade="D9"/>
          </w:tcPr>
          <w:p w14:paraId="60C24321" w14:textId="77777777" w:rsidR="008A00EA" w:rsidRPr="0030023F" w:rsidRDefault="008A00EA" w:rsidP="008A00EA">
            <w:pPr>
              <w:spacing w:after="0" w:line="276" w:lineRule="auto"/>
              <w:rPr>
                <w:b/>
                <w:bCs/>
                <w:szCs w:val="28"/>
              </w:rPr>
            </w:pPr>
            <w:r w:rsidRPr="0030023F">
              <w:rPr>
                <w:b/>
                <w:bCs/>
                <w:szCs w:val="28"/>
              </w:rPr>
              <w:t xml:space="preserve">Responsibility </w:t>
            </w:r>
          </w:p>
        </w:tc>
      </w:tr>
      <w:tr w:rsidR="008A00EA" w:rsidRPr="00774C4E" w14:paraId="257C2036" w14:textId="77777777" w:rsidTr="008A00EA">
        <w:tc>
          <w:tcPr>
            <w:tcW w:w="1937" w:type="pct"/>
          </w:tcPr>
          <w:p w14:paraId="494C42A8" w14:textId="77777777" w:rsidR="008A00EA" w:rsidRPr="00826272" w:rsidRDefault="008A00EA" w:rsidP="008A00EA">
            <w:pPr>
              <w:pStyle w:val="Style1"/>
              <w:spacing w:before="0" w:after="0" w:line="276" w:lineRule="auto"/>
            </w:pPr>
            <w:r w:rsidRPr="004C6A85">
              <w:t xml:space="preserve">Review existing regional management structures </w:t>
            </w:r>
            <w:r>
              <w:t xml:space="preserve">and develop a scalable, </w:t>
            </w:r>
            <w:r w:rsidRPr="00BE39E0">
              <w:t>best practice model for the</w:t>
            </w:r>
            <w:r>
              <w:t xml:space="preserve"> management </w:t>
            </w:r>
            <w:r w:rsidRPr="00BE39E0">
              <w:t>structures, supervision, responsibilities and capability</w:t>
            </w:r>
            <w:r w:rsidRPr="008F2E87">
              <w:t xml:space="preserve"> in</w:t>
            </w:r>
            <w:r>
              <w:t xml:space="preserve"> our</w:t>
            </w:r>
            <w:r w:rsidRPr="008F2E87">
              <w:t xml:space="preserve"> regional offices</w:t>
            </w:r>
          </w:p>
        </w:tc>
        <w:tc>
          <w:tcPr>
            <w:tcW w:w="1937" w:type="pct"/>
          </w:tcPr>
          <w:p w14:paraId="0DA612A2" w14:textId="77777777" w:rsidR="008A00EA" w:rsidRPr="00F81438" w:rsidRDefault="008A00EA" w:rsidP="00F81438">
            <w:pPr>
              <w:pStyle w:val="ListParagraph"/>
              <w:numPr>
                <w:ilvl w:val="0"/>
                <w:numId w:val="57"/>
              </w:numPr>
              <w:spacing w:after="0" w:line="276" w:lineRule="auto"/>
              <w:ind w:left="217" w:hanging="217"/>
              <w:rPr>
                <w:sz w:val="20"/>
              </w:rPr>
            </w:pPr>
            <w:r w:rsidRPr="00F81438">
              <w:rPr>
                <w:sz w:val="20"/>
              </w:rPr>
              <w:t xml:space="preserve">Project plan endorsed and initiated  </w:t>
            </w:r>
          </w:p>
          <w:p w14:paraId="37257E09" w14:textId="77777777" w:rsidR="008A00EA" w:rsidRPr="00F81438" w:rsidRDefault="008A00EA" w:rsidP="00F81438">
            <w:pPr>
              <w:pStyle w:val="ListParagraph"/>
              <w:numPr>
                <w:ilvl w:val="0"/>
                <w:numId w:val="57"/>
              </w:numPr>
              <w:spacing w:after="0" w:line="276" w:lineRule="auto"/>
              <w:ind w:left="217" w:hanging="217"/>
              <w:rPr>
                <w:sz w:val="20"/>
              </w:rPr>
            </w:pPr>
            <w:r w:rsidRPr="00F81438">
              <w:rPr>
                <w:sz w:val="20"/>
              </w:rPr>
              <w:t xml:space="preserve">A new model is identified </w:t>
            </w:r>
          </w:p>
          <w:p w14:paraId="3460E70D" w14:textId="77777777" w:rsidR="008A00EA" w:rsidRPr="0084183F" w:rsidRDefault="008A00EA" w:rsidP="00F81438">
            <w:pPr>
              <w:spacing w:after="0" w:line="276" w:lineRule="auto"/>
              <w:ind w:left="217" w:hanging="217"/>
              <w:rPr>
                <w:sz w:val="20"/>
              </w:rPr>
            </w:pPr>
          </w:p>
        </w:tc>
        <w:tc>
          <w:tcPr>
            <w:tcW w:w="1126" w:type="pct"/>
          </w:tcPr>
          <w:p w14:paraId="048CB804" w14:textId="77777777" w:rsidR="008A00EA" w:rsidRPr="00774C4E" w:rsidRDefault="008A00EA" w:rsidP="008A00EA">
            <w:pPr>
              <w:spacing w:after="0" w:line="276" w:lineRule="auto"/>
              <w:rPr>
                <w:sz w:val="20"/>
              </w:rPr>
            </w:pPr>
            <w:r w:rsidRPr="00774C4E">
              <w:rPr>
                <w:sz w:val="20"/>
              </w:rPr>
              <w:t xml:space="preserve">Executive Director, Services and Innovation </w:t>
            </w:r>
          </w:p>
        </w:tc>
      </w:tr>
      <w:tr w:rsidR="008A00EA" w14:paraId="7305561A" w14:textId="77777777" w:rsidTr="008A00EA">
        <w:tc>
          <w:tcPr>
            <w:tcW w:w="1937" w:type="pct"/>
          </w:tcPr>
          <w:p w14:paraId="25EC7848" w14:textId="77777777" w:rsidR="008A00EA" w:rsidRPr="001641A5" w:rsidRDefault="008A00EA" w:rsidP="008A00EA">
            <w:pPr>
              <w:pStyle w:val="Style1"/>
              <w:spacing w:before="0" w:after="0" w:line="276" w:lineRule="auto"/>
              <w:rPr>
                <w:lang w:val="en-GB"/>
              </w:rPr>
            </w:pPr>
            <w:r>
              <w:t xml:space="preserve">Develop Stage 1 of the Accommodation Forward Plan to prioritise the </w:t>
            </w:r>
            <w:r w:rsidRPr="00774C4E">
              <w:t xml:space="preserve">relocation </w:t>
            </w:r>
            <w:r>
              <w:t>or</w:t>
            </w:r>
            <w:r w:rsidRPr="00774C4E">
              <w:t xml:space="preserve"> refurbishment </w:t>
            </w:r>
            <w:r>
              <w:t>of our</w:t>
            </w:r>
            <w:r w:rsidRPr="00774C4E">
              <w:t xml:space="preserve"> regional office</w:t>
            </w:r>
            <w:r>
              <w:t>s</w:t>
            </w:r>
            <w:r w:rsidRPr="00774C4E">
              <w:t xml:space="preserve"> </w:t>
            </w:r>
            <w:r w:rsidRPr="005C3EB0">
              <w:t xml:space="preserve">based on lease expiries, safety concerns and space </w:t>
            </w:r>
            <w:r>
              <w:t xml:space="preserve">requirements to ensure </w:t>
            </w:r>
            <w:r>
              <w:rPr>
                <w:lang w:val="en-GB"/>
              </w:rPr>
              <w:t>they are</w:t>
            </w:r>
            <w:r w:rsidRPr="00C65EC2">
              <w:rPr>
                <w:lang w:val="en-GB"/>
              </w:rPr>
              <w:t xml:space="preserve"> fit-for-purpose and aligned to need</w:t>
            </w:r>
          </w:p>
        </w:tc>
        <w:tc>
          <w:tcPr>
            <w:tcW w:w="1937" w:type="pct"/>
          </w:tcPr>
          <w:p w14:paraId="7BCF32A0" w14:textId="77777777" w:rsidR="008A00EA" w:rsidRPr="00F81438" w:rsidRDefault="008A00EA" w:rsidP="00F81438">
            <w:pPr>
              <w:pStyle w:val="ListParagraph"/>
              <w:numPr>
                <w:ilvl w:val="0"/>
                <w:numId w:val="57"/>
              </w:numPr>
              <w:spacing w:after="0" w:line="276" w:lineRule="auto"/>
              <w:ind w:left="217" w:hanging="217"/>
              <w:rPr>
                <w:sz w:val="20"/>
                <w:lang w:val="en-GB"/>
              </w:rPr>
            </w:pPr>
            <w:r w:rsidRPr="00F81438">
              <w:rPr>
                <w:sz w:val="20"/>
                <w:lang w:val="en-GB"/>
              </w:rPr>
              <w:t>The Accommodation Forward Plan articulates clear priorities to inform funding bids and future decisions</w:t>
            </w:r>
          </w:p>
          <w:p w14:paraId="56D62779" w14:textId="77777777" w:rsidR="008A00EA" w:rsidRPr="00F81438" w:rsidRDefault="008A00EA" w:rsidP="00F81438">
            <w:pPr>
              <w:pStyle w:val="ListParagraph"/>
              <w:numPr>
                <w:ilvl w:val="0"/>
                <w:numId w:val="57"/>
              </w:numPr>
              <w:spacing w:after="0" w:line="276" w:lineRule="auto"/>
              <w:ind w:left="217" w:hanging="217"/>
              <w:rPr>
                <w:sz w:val="20"/>
              </w:rPr>
            </w:pPr>
            <w:r w:rsidRPr="00F81438">
              <w:rPr>
                <w:sz w:val="20"/>
                <w:lang w:val="en-GB"/>
              </w:rPr>
              <w:t>The Ballarat office is relocated to a more suitable premises that meets our functional requirements and security standards in accordance with the Accommodation Forward Plan</w:t>
            </w:r>
          </w:p>
        </w:tc>
        <w:tc>
          <w:tcPr>
            <w:tcW w:w="1126" w:type="pct"/>
          </w:tcPr>
          <w:p w14:paraId="70B536D4" w14:textId="77777777" w:rsidR="008A00EA" w:rsidRDefault="008A00EA" w:rsidP="008A00EA">
            <w:pPr>
              <w:spacing w:after="0" w:line="276" w:lineRule="auto"/>
              <w:rPr>
                <w:sz w:val="20"/>
              </w:rPr>
            </w:pPr>
            <w:r w:rsidRPr="00774C4E">
              <w:rPr>
                <w:sz w:val="20"/>
              </w:rPr>
              <w:t>Executive Director, Corporate Affairs</w:t>
            </w:r>
          </w:p>
        </w:tc>
      </w:tr>
      <w:tr w:rsidR="008A00EA" w14:paraId="578394EC" w14:textId="77777777" w:rsidTr="008A00EA">
        <w:tc>
          <w:tcPr>
            <w:tcW w:w="1937" w:type="pct"/>
          </w:tcPr>
          <w:p w14:paraId="2EC523A6" w14:textId="77777777" w:rsidR="008A00EA" w:rsidRPr="00F716C7" w:rsidRDefault="008A00EA" w:rsidP="008A00EA">
            <w:pPr>
              <w:pStyle w:val="Style1"/>
              <w:spacing w:before="0" w:after="0" w:line="276" w:lineRule="auto"/>
            </w:pPr>
            <w:r>
              <w:t>Develop</w:t>
            </w:r>
            <w:r w:rsidRPr="00774C4E">
              <w:t xml:space="preserve"> an interactive legal needs </w:t>
            </w:r>
            <w:r>
              <w:t>modelling</w:t>
            </w:r>
            <w:r w:rsidRPr="00774C4E">
              <w:t xml:space="preserve"> </w:t>
            </w:r>
            <w:r>
              <w:t>tool</w:t>
            </w:r>
            <w:r w:rsidRPr="00774C4E">
              <w:t xml:space="preserve"> </w:t>
            </w:r>
            <w:r>
              <w:t>and</w:t>
            </w:r>
            <w:r w:rsidRPr="00774C4E">
              <w:t xml:space="preserve"> provide</w:t>
            </w:r>
            <w:r>
              <w:t xml:space="preserve"> evidence </w:t>
            </w:r>
            <w:r w:rsidRPr="00774C4E">
              <w:t>for service planning and resource allocation</w:t>
            </w:r>
          </w:p>
        </w:tc>
        <w:tc>
          <w:tcPr>
            <w:tcW w:w="1937" w:type="pct"/>
          </w:tcPr>
          <w:p w14:paraId="5BF5690D" w14:textId="77777777" w:rsidR="008A00EA" w:rsidRPr="00F81438" w:rsidRDefault="008A00EA" w:rsidP="00F81438">
            <w:pPr>
              <w:pStyle w:val="ListParagraph"/>
              <w:numPr>
                <w:ilvl w:val="0"/>
                <w:numId w:val="57"/>
              </w:numPr>
              <w:spacing w:after="0" w:line="276" w:lineRule="auto"/>
              <w:ind w:left="217" w:hanging="217"/>
              <w:rPr>
                <w:sz w:val="20"/>
              </w:rPr>
            </w:pPr>
            <w:r w:rsidRPr="00F81438">
              <w:rPr>
                <w:sz w:val="20"/>
              </w:rPr>
              <w:t xml:space="preserve">The interactive legal needs modelling tool is delivered and applied. </w:t>
            </w:r>
          </w:p>
          <w:p w14:paraId="70CBF814" w14:textId="77777777" w:rsidR="008A00EA" w:rsidRPr="00F81438" w:rsidRDefault="008A00EA" w:rsidP="00F81438">
            <w:pPr>
              <w:pStyle w:val="ListParagraph"/>
              <w:numPr>
                <w:ilvl w:val="0"/>
                <w:numId w:val="57"/>
              </w:numPr>
              <w:spacing w:after="0" w:line="276" w:lineRule="auto"/>
              <w:ind w:left="217" w:hanging="217"/>
              <w:rPr>
                <w:sz w:val="20"/>
                <w:lang w:val="en-GB"/>
              </w:rPr>
            </w:pPr>
            <w:r w:rsidRPr="00F81438">
              <w:rPr>
                <w:sz w:val="20"/>
                <w:lang w:val="en-GB"/>
              </w:rPr>
              <w:t xml:space="preserve">Number and range of program areas and CLCs using the tool </w:t>
            </w:r>
          </w:p>
          <w:p w14:paraId="5BF907BB" w14:textId="77777777" w:rsidR="008A00EA" w:rsidRPr="0084183F" w:rsidRDefault="008A00EA" w:rsidP="00F81438">
            <w:pPr>
              <w:spacing w:after="0" w:line="276" w:lineRule="auto"/>
              <w:ind w:left="217" w:hanging="217"/>
              <w:rPr>
                <w:sz w:val="20"/>
              </w:rPr>
            </w:pPr>
          </w:p>
        </w:tc>
        <w:tc>
          <w:tcPr>
            <w:tcW w:w="1126" w:type="pct"/>
          </w:tcPr>
          <w:p w14:paraId="7BAA837F" w14:textId="77777777" w:rsidR="008A00EA" w:rsidRDefault="008A00EA" w:rsidP="008A00EA">
            <w:pPr>
              <w:spacing w:after="0" w:line="276" w:lineRule="auto"/>
              <w:rPr>
                <w:sz w:val="20"/>
              </w:rPr>
            </w:pPr>
            <w:r w:rsidRPr="00774C4E">
              <w:rPr>
                <w:sz w:val="20"/>
              </w:rPr>
              <w:t>Executive Director, Services and Innovation</w:t>
            </w:r>
          </w:p>
        </w:tc>
      </w:tr>
    </w:tbl>
    <w:p w14:paraId="1D2135A9" w14:textId="54D1095E" w:rsidR="008A00EA" w:rsidRPr="00325B1A" w:rsidRDefault="008A00EA" w:rsidP="00F81438">
      <w:pPr>
        <w:pStyle w:val="Heading4"/>
        <w:numPr>
          <w:ilvl w:val="0"/>
          <w:numId w:val="30"/>
        </w:numPr>
      </w:pPr>
      <w:bookmarkStart w:id="60" w:name="_Hlk20737070"/>
      <w:bookmarkEnd w:id="59"/>
      <w:r w:rsidRPr="00F81438">
        <w:t>Strategic advocacy priorities</w:t>
      </w:r>
    </w:p>
    <w:tbl>
      <w:tblPr>
        <w:tblStyle w:val="TableGrid"/>
        <w:tblW w:w="5000" w:type="pct"/>
        <w:tblLook w:val="04A0" w:firstRow="1" w:lastRow="0" w:firstColumn="1" w:lastColumn="0" w:noHBand="0" w:noVBand="1"/>
      </w:tblPr>
      <w:tblGrid>
        <w:gridCol w:w="3785"/>
        <w:gridCol w:w="3785"/>
        <w:gridCol w:w="2200"/>
      </w:tblGrid>
      <w:tr w:rsidR="00E74497" w:rsidRPr="00E74497" w14:paraId="1030C38B" w14:textId="77777777" w:rsidTr="0030023F">
        <w:tc>
          <w:tcPr>
            <w:tcW w:w="1937" w:type="pct"/>
            <w:shd w:val="clear" w:color="auto" w:fill="D9D9D9" w:themeFill="background1" w:themeFillShade="D9"/>
          </w:tcPr>
          <w:p w14:paraId="6401B47D" w14:textId="135B0704" w:rsidR="00E74497" w:rsidRPr="0030023F" w:rsidRDefault="00E74497" w:rsidP="0030023F">
            <w:pPr>
              <w:pStyle w:val="Style1"/>
              <w:numPr>
                <w:ilvl w:val="0"/>
                <w:numId w:val="0"/>
              </w:numPr>
              <w:spacing w:before="0" w:after="0" w:line="276" w:lineRule="auto"/>
              <w:ind w:left="431" w:hanging="431"/>
              <w:rPr>
                <w:b/>
                <w:bCs/>
                <w:sz w:val="22"/>
                <w:szCs w:val="28"/>
              </w:rPr>
            </w:pPr>
            <w:bookmarkStart w:id="61" w:name="_Hlk20737078"/>
            <w:bookmarkEnd w:id="60"/>
            <w:r w:rsidRPr="0030023F">
              <w:rPr>
                <w:b/>
                <w:bCs/>
                <w:sz w:val="22"/>
                <w:szCs w:val="28"/>
              </w:rPr>
              <w:t xml:space="preserve">Priority actions </w:t>
            </w:r>
          </w:p>
        </w:tc>
        <w:tc>
          <w:tcPr>
            <w:tcW w:w="1937" w:type="pct"/>
            <w:shd w:val="clear" w:color="auto" w:fill="D9D9D9" w:themeFill="background1" w:themeFillShade="D9"/>
          </w:tcPr>
          <w:p w14:paraId="30760F94" w14:textId="756E3280" w:rsidR="00E74497" w:rsidRPr="0030023F" w:rsidRDefault="00E74497" w:rsidP="00E660BE">
            <w:pPr>
              <w:pStyle w:val="VLALetterText"/>
              <w:spacing w:after="0" w:line="276" w:lineRule="auto"/>
              <w:rPr>
                <w:b/>
                <w:bCs/>
                <w:szCs w:val="28"/>
                <w:lang w:eastAsia="en-AU"/>
              </w:rPr>
            </w:pPr>
            <w:r w:rsidRPr="0030023F">
              <w:rPr>
                <w:b/>
                <w:bCs/>
                <w:szCs w:val="28"/>
                <w:lang w:eastAsia="en-AU"/>
              </w:rPr>
              <w:t xml:space="preserve">Success measures </w:t>
            </w:r>
          </w:p>
        </w:tc>
        <w:tc>
          <w:tcPr>
            <w:tcW w:w="1126" w:type="pct"/>
            <w:shd w:val="clear" w:color="auto" w:fill="D9D9D9" w:themeFill="background1" w:themeFillShade="D9"/>
          </w:tcPr>
          <w:p w14:paraId="3C407762" w14:textId="716C5CF4" w:rsidR="00E74497" w:rsidRPr="0030023F" w:rsidRDefault="00E74497" w:rsidP="00E660BE">
            <w:pPr>
              <w:spacing w:after="0" w:line="276" w:lineRule="auto"/>
              <w:rPr>
                <w:b/>
                <w:bCs/>
                <w:szCs w:val="28"/>
              </w:rPr>
            </w:pPr>
            <w:r w:rsidRPr="0030023F">
              <w:rPr>
                <w:b/>
                <w:bCs/>
                <w:szCs w:val="28"/>
              </w:rPr>
              <w:t xml:space="preserve">Responsibility </w:t>
            </w:r>
          </w:p>
        </w:tc>
      </w:tr>
      <w:tr w:rsidR="00910138" w14:paraId="3EECADAF" w14:textId="77777777" w:rsidTr="00005EB0">
        <w:tc>
          <w:tcPr>
            <w:tcW w:w="1937" w:type="pct"/>
          </w:tcPr>
          <w:p w14:paraId="52B9BEBC" w14:textId="368F443C" w:rsidR="00910138" w:rsidRPr="005D5147" w:rsidRDefault="001641A5" w:rsidP="00E660BE">
            <w:pPr>
              <w:pStyle w:val="Style1"/>
              <w:spacing w:before="0" w:after="0" w:line="276" w:lineRule="auto"/>
            </w:pPr>
            <w:r w:rsidRPr="005D5147">
              <w:t>Contributing to the Royal Commission into Victoria’s Mental Health System</w:t>
            </w:r>
            <w:r w:rsidR="000E4D80">
              <w:t xml:space="preserve"> (RCMHS)</w:t>
            </w:r>
            <w:r w:rsidRPr="005D5147">
              <w:t xml:space="preserve"> to inform changes that promote people’s </w:t>
            </w:r>
            <w:r w:rsidRPr="005D5147">
              <w:lastRenderedPageBreak/>
              <w:t>rights and recovery and reduce the negative impact of the justice system</w:t>
            </w:r>
          </w:p>
        </w:tc>
        <w:tc>
          <w:tcPr>
            <w:tcW w:w="1937" w:type="pct"/>
          </w:tcPr>
          <w:p w14:paraId="1C7A9F5A" w14:textId="77777777" w:rsidR="00910138" w:rsidRDefault="000550F8" w:rsidP="00F81438">
            <w:pPr>
              <w:pStyle w:val="VLALetterText"/>
              <w:numPr>
                <w:ilvl w:val="0"/>
                <w:numId w:val="58"/>
              </w:numPr>
              <w:spacing w:after="0" w:line="276" w:lineRule="auto"/>
              <w:ind w:left="217" w:hanging="217"/>
              <w:rPr>
                <w:sz w:val="20"/>
                <w:szCs w:val="20"/>
                <w:lang w:eastAsia="en-AU"/>
              </w:rPr>
            </w:pPr>
            <w:r w:rsidRPr="0084183F">
              <w:rPr>
                <w:sz w:val="20"/>
                <w:szCs w:val="20"/>
                <w:lang w:eastAsia="en-AU"/>
              </w:rPr>
              <w:lastRenderedPageBreak/>
              <w:t xml:space="preserve">The Royal Commission into Victoria’s Mental Health System recognises the need for a rights and recovery focussed mental health system and </w:t>
            </w:r>
            <w:r w:rsidRPr="0084183F">
              <w:rPr>
                <w:sz w:val="20"/>
                <w:szCs w:val="20"/>
                <w:lang w:eastAsia="en-AU"/>
              </w:rPr>
              <w:lastRenderedPageBreak/>
              <w:t>the need to reduce the negative impact of the justice system on people experiencing mental health issues</w:t>
            </w:r>
          </w:p>
          <w:p w14:paraId="46C44E94" w14:textId="0302AE11" w:rsidR="00B329D1" w:rsidRDefault="00B329D1" w:rsidP="00F81438">
            <w:pPr>
              <w:pStyle w:val="VLALetterText"/>
              <w:numPr>
                <w:ilvl w:val="0"/>
                <w:numId w:val="58"/>
              </w:numPr>
              <w:spacing w:after="0" w:line="276" w:lineRule="auto"/>
              <w:ind w:left="217" w:hanging="217"/>
              <w:rPr>
                <w:sz w:val="20"/>
                <w:szCs w:val="20"/>
                <w:lang w:eastAsia="en-AU"/>
              </w:rPr>
            </w:pPr>
            <w:r>
              <w:rPr>
                <w:sz w:val="20"/>
                <w:szCs w:val="20"/>
                <w:lang w:eastAsia="en-AU"/>
              </w:rPr>
              <w:t>Number of VLA recommendations to the RCMH</w:t>
            </w:r>
            <w:r w:rsidR="000E4D80">
              <w:rPr>
                <w:sz w:val="20"/>
                <w:szCs w:val="20"/>
                <w:lang w:eastAsia="en-AU"/>
              </w:rPr>
              <w:t>S</w:t>
            </w:r>
            <w:r>
              <w:rPr>
                <w:sz w:val="20"/>
                <w:szCs w:val="20"/>
                <w:lang w:eastAsia="en-AU"/>
              </w:rPr>
              <w:t xml:space="preserve"> adopted in the final report</w:t>
            </w:r>
          </w:p>
          <w:p w14:paraId="3AD70BE9" w14:textId="3A7D68E6" w:rsidR="00B329D1" w:rsidRDefault="00B329D1" w:rsidP="00F81438">
            <w:pPr>
              <w:pStyle w:val="VLALetterText"/>
              <w:spacing w:after="0" w:line="276" w:lineRule="auto"/>
              <w:ind w:left="217" w:hanging="217"/>
              <w:rPr>
                <w:sz w:val="20"/>
                <w:szCs w:val="20"/>
                <w:lang w:eastAsia="en-AU"/>
              </w:rPr>
            </w:pPr>
          </w:p>
        </w:tc>
        <w:tc>
          <w:tcPr>
            <w:tcW w:w="1126" w:type="pct"/>
          </w:tcPr>
          <w:p w14:paraId="66F0CCC6" w14:textId="27EA982D" w:rsidR="00910138" w:rsidRPr="001641A5" w:rsidRDefault="005017FC" w:rsidP="00E660BE">
            <w:pPr>
              <w:spacing w:after="0" w:line="276" w:lineRule="auto"/>
              <w:rPr>
                <w:sz w:val="20"/>
              </w:rPr>
            </w:pPr>
            <w:r w:rsidRPr="001641A5">
              <w:rPr>
                <w:sz w:val="20"/>
              </w:rPr>
              <w:lastRenderedPageBreak/>
              <w:t>Executive Director</w:t>
            </w:r>
            <w:r w:rsidR="009E16D4">
              <w:rPr>
                <w:sz w:val="20"/>
              </w:rPr>
              <w:t>,</w:t>
            </w:r>
            <w:r w:rsidRPr="001641A5">
              <w:rPr>
                <w:sz w:val="20"/>
              </w:rPr>
              <w:t xml:space="preserve"> Civil Justice, Access and Equity</w:t>
            </w:r>
          </w:p>
        </w:tc>
      </w:tr>
      <w:tr w:rsidR="00910138" w14:paraId="740096B7" w14:textId="77777777" w:rsidTr="00005EB0">
        <w:tc>
          <w:tcPr>
            <w:tcW w:w="1937" w:type="pct"/>
          </w:tcPr>
          <w:p w14:paraId="3661A0CD" w14:textId="2372A017" w:rsidR="00910138" w:rsidRPr="005D5147" w:rsidRDefault="001641A5" w:rsidP="00E660BE">
            <w:pPr>
              <w:pStyle w:val="Style1"/>
              <w:spacing w:before="0" w:after="0" w:line="276" w:lineRule="auto"/>
            </w:pPr>
            <w:r w:rsidRPr="005D5147">
              <w:t>Continuing our Care not Custody campaign to reduce the unnecessary and disproportionate criminalisation of kids in care</w:t>
            </w:r>
          </w:p>
        </w:tc>
        <w:tc>
          <w:tcPr>
            <w:tcW w:w="1937" w:type="pct"/>
          </w:tcPr>
          <w:p w14:paraId="5A62AEDD" w14:textId="2BC4AC75" w:rsidR="00910138" w:rsidRDefault="00E338D2" w:rsidP="00F81438">
            <w:pPr>
              <w:pStyle w:val="VLALetterText"/>
              <w:numPr>
                <w:ilvl w:val="0"/>
                <w:numId w:val="58"/>
              </w:numPr>
              <w:spacing w:after="0" w:line="276" w:lineRule="auto"/>
              <w:ind w:left="217" w:hanging="217"/>
              <w:rPr>
                <w:sz w:val="20"/>
                <w:szCs w:val="20"/>
                <w:lang w:eastAsia="en-AU"/>
              </w:rPr>
            </w:pPr>
            <w:r w:rsidRPr="0084183F">
              <w:rPr>
                <w:sz w:val="20"/>
                <w:szCs w:val="20"/>
                <w:lang w:eastAsia="en-AU"/>
              </w:rPr>
              <w:t>A government agreement to reduce the criminalisation of young people in care is publicly launched</w:t>
            </w:r>
          </w:p>
        </w:tc>
        <w:tc>
          <w:tcPr>
            <w:tcW w:w="1126" w:type="pct"/>
          </w:tcPr>
          <w:p w14:paraId="16DB3EB0" w14:textId="75D1D8D4" w:rsidR="00910138" w:rsidRPr="001641A5" w:rsidRDefault="0089057B" w:rsidP="00E660BE">
            <w:pPr>
              <w:spacing w:after="0" w:line="276" w:lineRule="auto"/>
              <w:rPr>
                <w:sz w:val="20"/>
              </w:rPr>
            </w:pPr>
            <w:r w:rsidRPr="005F5C76">
              <w:rPr>
                <w:sz w:val="20"/>
              </w:rPr>
              <w:t>Executive Director, Family Youth and Children’s Law</w:t>
            </w:r>
          </w:p>
        </w:tc>
      </w:tr>
      <w:tr w:rsidR="00910138" w14:paraId="1E73EB39" w14:textId="77777777" w:rsidTr="00005EB0">
        <w:tc>
          <w:tcPr>
            <w:tcW w:w="1937" w:type="pct"/>
          </w:tcPr>
          <w:p w14:paraId="4F761EA6" w14:textId="74F4BDA9" w:rsidR="00910138" w:rsidRPr="005D5147" w:rsidRDefault="001641A5" w:rsidP="00E660BE">
            <w:pPr>
              <w:pStyle w:val="Style1"/>
              <w:spacing w:before="0" w:after="0" w:line="276" w:lineRule="auto"/>
            </w:pPr>
            <w:r w:rsidRPr="005D5147">
              <w:t>Increasing access to therapeutic programs such as the Assessment and Referral Court, the Drug Court and other effective non-custodial interventions</w:t>
            </w:r>
          </w:p>
        </w:tc>
        <w:tc>
          <w:tcPr>
            <w:tcW w:w="1937" w:type="pct"/>
          </w:tcPr>
          <w:p w14:paraId="232073C0" w14:textId="77777777" w:rsidR="00910138" w:rsidRDefault="0080202A" w:rsidP="00F81438">
            <w:pPr>
              <w:pStyle w:val="VLALetterText"/>
              <w:numPr>
                <w:ilvl w:val="0"/>
                <w:numId w:val="58"/>
              </w:numPr>
              <w:spacing w:after="0" w:line="276" w:lineRule="auto"/>
              <w:ind w:left="217" w:hanging="217"/>
              <w:rPr>
                <w:sz w:val="20"/>
                <w:szCs w:val="20"/>
                <w:lang w:eastAsia="en-AU"/>
              </w:rPr>
            </w:pPr>
            <w:r w:rsidRPr="0084183F">
              <w:rPr>
                <w:sz w:val="20"/>
                <w:szCs w:val="20"/>
                <w:lang w:eastAsia="en-AU"/>
              </w:rPr>
              <w:t>Government commits to increasing access to therapeutic courts and programs</w:t>
            </w:r>
          </w:p>
          <w:p w14:paraId="01829E93" w14:textId="6A7667B4" w:rsidR="004E3292" w:rsidRDefault="004E3292" w:rsidP="00F81438">
            <w:pPr>
              <w:pStyle w:val="VLALetterText"/>
              <w:spacing w:after="0" w:line="276" w:lineRule="auto"/>
              <w:ind w:left="217" w:hanging="217"/>
              <w:rPr>
                <w:sz w:val="20"/>
                <w:szCs w:val="20"/>
                <w:lang w:eastAsia="en-AU"/>
              </w:rPr>
            </w:pPr>
          </w:p>
        </w:tc>
        <w:tc>
          <w:tcPr>
            <w:tcW w:w="1126" w:type="pct"/>
          </w:tcPr>
          <w:p w14:paraId="0B0A1FD5" w14:textId="7821AFDC" w:rsidR="00910138" w:rsidRPr="001641A5" w:rsidRDefault="009E16D4" w:rsidP="00E660BE">
            <w:pPr>
              <w:spacing w:after="0" w:line="276" w:lineRule="auto"/>
              <w:rPr>
                <w:sz w:val="20"/>
              </w:rPr>
            </w:pPr>
            <w:r w:rsidRPr="006F0C63">
              <w:rPr>
                <w:sz w:val="20"/>
                <w:szCs w:val="20"/>
              </w:rPr>
              <w:t>Executive Director, Criminal Law</w:t>
            </w:r>
          </w:p>
        </w:tc>
      </w:tr>
    </w:tbl>
    <w:p w14:paraId="0E11F79C" w14:textId="537BF311" w:rsidR="0082025E" w:rsidRDefault="00BE330A" w:rsidP="002303D2">
      <w:pPr>
        <w:pStyle w:val="Heading2"/>
        <w:spacing w:before="480"/>
      </w:pPr>
      <w:bookmarkStart w:id="62" w:name="_Toc20289984"/>
      <w:bookmarkStart w:id="63" w:name="_Toc9953211"/>
      <w:bookmarkEnd w:id="61"/>
      <w:r>
        <w:t>Together</w:t>
      </w:r>
      <w:bookmarkEnd w:id="62"/>
      <w:r w:rsidR="000A5AA1">
        <w:t xml:space="preserve"> </w:t>
      </w:r>
    </w:p>
    <w:bookmarkEnd w:id="63"/>
    <w:p w14:paraId="48A45DA8" w14:textId="2AEED7BC" w:rsidR="00333D2B" w:rsidRDefault="00333D2B" w:rsidP="00BE330A">
      <w:pPr>
        <w:rPr>
          <w:rStyle w:val="A15"/>
        </w:rPr>
      </w:pPr>
      <w:r>
        <w:rPr>
          <w:rStyle w:val="A15"/>
        </w:rPr>
        <w:t xml:space="preserve">We </w:t>
      </w:r>
      <w:r w:rsidR="00AE5CEE">
        <w:rPr>
          <w:rStyle w:val="A15"/>
        </w:rPr>
        <w:t>are committed to</w:t>
      </w:r>
      <w:r>
        <w:rPr>
          <w:rStyle w:val="A15"/>
        </w:rPr>
        <w:t xml:space="preserve"> building and maintaining trust </w:t>
      </w:r>
      <w:r w:rsidR="00434CA5">
        <w:rPr>
          <w:rStyle w:val="A15"/>
        </w:rPr>
        <w:t xml:space="preserve">with our </w:t>
      </w:r>
      <w:r w:rsidR="00B853CC">
        <w:rPr>
          <w:rStyle w:val="A15"/>
        </w:rPr>
        <w:t>legal and community sector</w:t>
      </w:r>
      <w:r w:rsidR="00434CA5">
        <w:rPr>
          <w:rStyle w:val="A15"/>
        </w:rPr>
        <w:t xml:space="preserve"> partners </w:t>
      </w:r>
      <w:r w:rsidR="00002636">
        <w:rPr>
          <w:rStyle w:val="A15"/>
        </w:rPr>
        <w:t xml:space="preserve">as part of building a stronger, more united legal assistance </w:t>
      </w:r>
      <w:r w:rsidR="009979BE">
        <w:rPr>
          <w:rStyle w:val="A15"/>
        </w:rPr>
        <w:t>sector</w:t>
      </w:r>
      <w:r w:rsidR="00D06EFA">
        <w:rPr>
          <w:rStyle w:val="A15"/>
        </w:rPr>
        <w:t>.</w:t>
      </w:r>
      <w:r w:rsidR="009B62E0">
        <w:rPr>
          <w:rStyle w:val="A15"/>
        </w:rPr>
        <w:t xml:space="preserve"> </w:t>
      </w:r>
      <w:r w:rsidR="009777C8">
        <w:rPr>
          <w:rStyle w:val="A15"/>
        </w:rPr>
        <w:t>T</w:t>
      </w:r>
      <w:r w:rsidR="00457691">
        <w:rPr>
          <w:rStyle w:val="A15"/>
        </w:rPr>
        <w:t xml:space="preserve">his year it will be critical to </w:t>
      </w:r>
      <w:r w:rsidR="00CE2B37">
        <w:rPr>
          <w:rStyle w:val="A15"/>
        </w:rPr>
        <w:t xml:space="preserve">work </w:t>
      </w:r>
      <w:r w:rsidR="0002487C">
        <w:rPr>
          <w:rStyle w:val="A15"/>
        </w:rPr>
        <w:t xml:space="preserve">in a </w:t>
      </w:r>
      <w:r w:rsidR="00CE2B37">
        <w:rPr>
          <w:rStyle w:val="A15"/>
        </w:rPr>
        <w:t>collaborative</w:t>
      </w:r>
      <w:r w:rsidR="0002487C">
        <w:rPr>
          <w:rStyle w:val="A15"/>
        </w:rPr>
        <w:t xml:space="preserve"> and inclusive manner</w:t>
      </w:r>
      <w:r w:rsidR="00CE2B37">
        <w:rPr>
          <w:rStyle w:val="A15"/>
        </w:rPr>
        <w:t xml:space="preserve"> </w:t>
      </w:r>
      <w:r w:rsidR="00DD012C" w:rsidRPr="00EB286A">
        <w:rPr>
          <w:rStyle w:val="A15"/>
        </w:rPr>
        <w:t>with</w:t>
      </w:r>
      <w:r w:rsidR="009777C8">
        <w:rPr>
          <w:rStyle w:val="A15"/>
        </w:rPr>
        <w:t>:</w:t>
      </w:r>
    </w:p>
    <w:p w14:paraId="27DE2724" w14:textId="28CDE8F0" w:rsidR="004C2EB6" w:rsidRPr="00325B1A" w:rsidRDefault="0006296A" w:rsidP="00DB4A0A">
      <w:pPr>
        <w:pStyle w:val="ListParagraph"/>
        <w:numPr>
          <w:ilvl w:val="0"/>
          <w:numId w:val="8"/>
        </w:numPr>
        <w:rPr>
          <w:rStyle w:val="A15"/>
        </w:rPr>
      </w:pPr>
      <w:r w:rsidRPr="00EB286A">
        <w:rPr>
          <w:rStyle w:val="A15"/>
        </w:rPr>
        <w:t xml:space="preserve">our </w:t>
      </w:r>
      <w:r w:rsidRPr="00325B1A">
        <w:rPr>
          <w:rStyle w:val="A15"/>
        </w:rPr>
        <w:t xml:space="preserve">staff, practice partners and key stakeholders to </w:t>
      </w:r>
      <w:r w:rsidR="00EB286A" w:rsidRPr="00325B1A">
        <w:rPr>
          <w:rStyle w:val="A15"/>
        </w:rPr>
        <w:t xml:space="preserve">deliver our </w:t>
      </w:r>
      <w:r w:rsidR="004C2EB6" w:rsidRPr="006A6308">
        <w:rPr>
          <w:rStyle w:val="A15"/>
          <w:b/>
          <w:bCs/>
        </w:rPr>
        <w:t>Financial Sustainability Strategy</w:t>
      </w:r>
      <w:r w:rsidR="00150543" w:rsidRPr="00F81438">
        <w:rPr>
          <w:rStyle w:val="A15"/>
        </w:rPr>
        <w:t xml:space="preserve"> </w:t>
      </w:r>
      <w:r w:rsidR="00150543" w:rsidRPr="00325B1A">
        <w:rPr>
          <w:rStyle w:val="A15"/>
        </w:rPr>
        <w:t>to achieve our savings projections</w:t>
      </w:r>
      <w:r w:rsidR="004E2E1F" w:rsidRPr="00325B1A">
        <w:rPr>
          <w:rStyle w:val="A15"/>
        </w:rPr>
        <w:t xml:space="preserve"> and </w:t>
      </w:r>
      <w:r w:rsidR="00612D32" w:rsidRPr="00325B1A">
        <w:rPr>
          <w:rStyle w:val="A15"/>
        </w:rPr>
        <w:t>seek additional funding through various sources</w:t>
      </w:r>
      <w:r w:rsidR="004E2E1F" w:rsidRPr="00325B1A">
        <w:rPr>
          <w:rStyle w:val="A15"/>
        </w:rPr>
        <w:t xml:space="preserve"> </w:t>
      </w:r>
    </w:p>
    <w:p w14:paraId="064CCB23" w14:textId="006214D7" w:rsidR="00DB4A0A" w:rsidRPr="00325B1A" w:rsidRDefault="006D24DA" w:rsidP="00DB4A0A">
      <w:pPr>
        <w:pStyle w:val="ListParagraph"/>
        <w:numPr>
          <w:ilvl w:val="0"/>
          <w:numId w:val="8"/>
        </w:numPr>
        <w:rPr>
          <w:rStyle w:val="A15"/>
        </w:rPr>
      </w:pPr>
      <w:r w:rsidRPr="00325B1A">
        <w:t xml:space="preserve">our </w:t>
      </w:r>
      <w:r w:rsidR="00083109" w:rsidRPr="00325B1A">
        <w:t>partners across the justice sector</w:t>
      </w:r>
      <w:r w:rsidR="00083109" w:rsidRPr="00325B1A">
        <w:rPr>
          <w:rStyle w:val="A15"/>
        </w:rPr>
        <w:t xml:space="preserve"> </w:t>
      </w:r>
      <w:r w:rsidR="00083109" w:rsidRPr="00325B1A">
        <w:t xml:space="preserve">as we contribute to significant </w:t>
      </w:r>
      <w:r w:rsidR="00E15475" w:rsidRPr="006A6308">
        <w:rPr>
          <w:b/>
          <w:bCs/>
        </w:rPr>
        <w:t xml:space="preserve">summary crime </w:t>
      </w:r>
      <w:r w:rsidR="006F568D" w:rsidRPr="006A6308">
        <w:rPr>
          <w:b/>
          <w:bCs/>
        </w:rPr>
        <w:t xml:space="preserve">law </w:t>
      </w:r>
      <w:r w:rsidR="00083109" w:rsidRPr="006A6308">
        <w:rPr>
          <w:b/>
          <w:bCs/>
        </w:rPr>
        <w:t>reforms</w:t>
      </w:r>
      <w:r w:rsidR="00D627B0" w:rsidRPr="00325B1A">
        <w:t>,</w:t>
      </w:r>
      <w:r w:rsidR="00D627B0" w:rsidRPr="00F81438">
        <w:t xml:space="preserve"> </w:t>
      </w:r>
      <w:r w:rsidR="00D627B0" w:rsidRPr="00325B1A">
        <w:t>particularly the Magistrates</w:t>
      </w:r>
      <w:r w:rsidR="00A47801" w:rsidRPr="00325B1A">
        <w:t>’</w:t>
      </w:r>
      <w:r w:rsidR="00D627B0" w:rsidRPr="00325B1A">
        <w:t xml:space="preserve"> Court Victoria, Victoria Police and the Department of Justice and Community Safety,</w:t>
      </w:r>
      <w:r w:rsidR="00083109" w:rsidRPr="00325B1A">
        <w:t xml:space="preserve"> </w:t>
      </w:r>
      <w:r w:rsidR="00021FA9" w:rsidRPr="00325B1A">
        <w:t>to implement savings options that require system wide change</w:t>
      </w:r>
    </w:p>
    <w:p w14:paraId="437B5F86" w14:textId="2B697E31" w:rsidR="008339F3" w:rsidRPr="00325B1A" w:rsidRDefault="002E195E" w:rsidP="00DB4A0A">
      <w:pPr>
        <w:pStyle w:val="ListParagraph"/>
        <w:numPr>
          <w:ilvl w:val="0"/>
          <w:numId w:val="8"/>
        </w:numPr>
      </w:pPr>
      <w:r w:rsidRPr="00325B1A">
        <w:t xml:space="preserve">our partners </w:t>
      </w:r>
      <w:r w:rsidR="00CF7823" w:rsidRPr="00325B1A">
        <w:t xml:space="preserve">who </w:t>
      </w:r>
      <w:r w:rsidRPr="00325B1A">
        <w:t xml:space="preserve">deliver </w:t>
      </w:r>
      <w:r w:rsidRPr="006A6308">
        <w:rPr>
          <w:b/>
          <w:bCs/>
        </w:rPr>
        <w:t>family violence legal services</w:t>
      </w:r>
      <w:r w:rsidRPr="00325B1A">
        <w:t xml:space="preserve"> </w:t>
      </w:r>
      <w:r w:rsidR="0091528F" w:rsidRPr="00325B1A">
        <w:t xml:space="preserve">to </w:t>
      </w:r>
      <w:r w:rsidRPr="00325B1A">
        <w:t>support the rollout of Support and Safety Hubs (</w:t>
      </w:r>
      <w:r w:rsidR="00DC7B9D" w:rsidRPr="00325B1A">
        <w:t xml:space="preserve">The </w:t>
      </w:r>
      <w:r w:rsidRPr="00325B1A">
        <w:t>Orange Door) and specialist family violence courts in Victoria</w:t>
      </w:r>
    </w:p>
    <w:p w14:paraId="78BE6129" w14:textId="4602857A" w:rsidR="00DB4A0A" w:rsidRPr="00D8378B" w:rsidRDefault="006D24DA" w:rsidP="00DB4A0A">
      <w:pPr>
        <w:pStyle w:val="ListParagraph"/>
        <w:numPr>
          <w:ilvl w:val="0"/>
          <w:numId w:val="8"/>
        </w:numPr>
        <w:rPr>
          <w:rStyle w:val="A15"/>
        </w:rPr>
      </w:pPr>
      <w:r w:rsidRPr="00325B1A">
        <w:rPr>
          <w:rStyle w:val="A15"/>
        </w:rPr>
        <w:t xml:space="preserve">our staff to ensure </w:t>
      </w:r>
      <w:r w:rsidR="00DB4A0A" w:rsidRPr="006A6308">
        <w:rPr>
          <w:rStyle w:val="A15"/>
          <w:b/>
          <w:bCs/>
        </w:rPr>
        <w:t>people feel safe and supported at work</w:t>
      </w:r>
      <w:r w:rsidR="00D8378B" w:rsidRPr="00F81438">
        <w:rPr>
          <w:rStyle w:val="A15"/>
        </w:rPr>
        <w:t xml:space="preserve"> </w:t>
      </w:r>
      <w:r w:rsidR="00D8378B" w:rsidRPr="00325B1A">
        <w:rPr>
          <w:rStyle w:val="A15"/>
        </w:rPr>
        <w:t>because</w:t>
      </w:r>
      <w:r w:rsidR="00D8378B" w:rsidRPr="00D8378B">
        <w:rPr>
          <w:rStyle w:val="A15"/>
        </w:rPr>
        <w:t xml:space="preserve"> safety is prioritised, diversity i</w:t>
      </w:r>
      <w:r w:rsidR="00D8378B">
        <w:rPr>
          <w:rStyle w:val="A15"/>
        </w:rPr>
        <w:t>s embraced</w:t>
      </w:r>
      <w:r w:rsidR="00CE1E92">
        <w:rPr>
          <w:rStyle w:val="A15"/>
        </w:rPr>
        <w:t>, and workloads are managed</w:t>
      </w:r>
      <w:r w:rsidRPr="00D8378B">
        <w:rPr>
          <w:rStyle w:val="A15"/>
        </w:rPr>
        <w:t>.</w:t>
      </w:r>
    </w:p>
    <w:p w14:paraId="07D2E025" w14:textId="369C62F6" w:rsidR="00D47DC2" w:rsidRDefault="00D47DC2" w:rsidP="00D47DC2">
      <w:pPr>
        <w:pStyle w:val="Heading3"/>
      </w:pPr>
      <w:r>
        <w:t xml:space="preserve">What we will do in 2019–20 </w:t>
      </w:r>
    </w:p>
    <w:p w14:paraId="288D3FC0" w14:textId="4731E568" w:rsidR="008A00EA" w:rsidRDefault="008A00EA" w:rsidP="00F81438">
      <w:pPr>
        <w:pStyle w:val="Heading4"/>
        <w:numPr>
          <w:ilvl w:val="0"/>
          <w:numId w:val="30"/>
        </w:numPr>
      </w:pPr>
      <w:bookmarkStart w:id="64" w:name="_Hlk20737227"/>
      <w:r w:rsidRPr="0030023F">
        <w:t>Financial Sustainability Strategy</w:t>
      </w:r>
    </w:p>
    <w:tbl>
      <w:tblPr>
        <w:tblStyle w:val="TableGrid"/>
        <w:tblW w:w="0" w:type="auto"/>
        <w:tblLook w:val="04A0" w:firstRow="1" w:lastRow="0" w:firstColumn="1" w:lastColumn="0" w:noHBand="0" w:noVBand="1"/>
      </w:tblPr>
      <w:tblGrid>
        <w:gridCol w:w="3957"/>
        <w:gridCol w:w="3956"/>
        <w:gridCol w:w="1857"/>
      </w:tblGrid>
      <w:tr w:rsidR="008A00EA" w:rsidRPr="007B2F72" w14:paraId="44690271" w14:textId="77777777" w:rsidTr="008A00EA">
        <w:trPr>
          <w:tblHeader/>
        </w:trPr>
        <w:tc>
          <w:tcPr>
            <w:tcW w:w="3957" w:type="dxa"/>
            <w:shd w:val="clear" w:color="auto" w:fill="D0CECE"/>
          </w:tcPr>
          <w:p w14:paraId="4F0E1B42" w14:textId="77777777" w:rsidR="008A00EA" w:rsidRPr="007B2F72" w:rsidRDefault="008A00EA" w:rsidP="008A00EA">
            <w:pPr>
              <w:spacing w:after="0" w:line="276" w:lineRule="auto"/>
              <w:rPr>
                <w:szCs w:val="22"/>
              </w:rPr>
            </w:pPr>
            <w:bookmarkStart w:id="65" w:name="_Hlk20737234"/>
            <w:bookmarkEnd w:id="64"/>
            <w:r w:rsidRPr="007B2F72">
              <w:rPr>
                <w:b/>
                <w:szCs w:val="22"/>
              </w:rPr>
              <w:t>Priority actions</w:t>
            </w:r>
          </w:p>
        </w:tc>
        <w:tc>
          <w:tcPr>
            <w:tcW w:w="3956" w:type="dxa"/>
            <w:shd w:val="clear" w:color="auto" w:fill="D0CECE"/>
          </w:tcPr>
          <w:p w14:paraId="6B3898E0" w14:textId="77777777" w:rsidR="008A00EA" w:rsidRPr="007B2F72" w:rsidRDefault="008A00EA" w:rsidP="008A00EA">
            <w:pPr>
              <w:spacing w:after="0" w:line="276" w:lineRule="auto"/>
              <w:rPr>
                <w:szCs w:val="22"/>
              </w:rPr>
            </w:pPr>
            <w:r w:rsidRPr="007B2F72">
              <w:rPr>
                <w:b/>
                <w:szCs w:val="22"/>
              </w:rPr>
              <w:t>Performance measures</w:t>
            </w:r>
          </w:p>
        </w:tc>
        <w:tc>
          <w:tcPr>
            <w:tcW w:w="1857" w:type="dxa"/>
            <w:shd w:val="clear" w:color="auto" w:fill="D0CECE"/>
          </w:tcPr>
          <w:p w14:paraId="754DCAC6" w14:textId="77777777" w:rsidR="008A00EA" w:rsidRPr="007B2F72" w:rsidRDefault="008A00EA" w:rsidP="008A00EA">
            <w:pPr>
              <w:spacing w:after="0" w:line="276" w:lineRule="auto"/>
              <w:rPr>
                <w:szCs w:val="22"/>
              </w:rPr>
            </w:pPr>
            <w:r w:rsidRPr="007B2F72">
              <w:rPr>
                <w:b/>
                <w:szCs w:val="22"/>
              </w:rPr>
              <w:t>Responsibility</w:t>
            </w:r>
          </w:p>
        </w:tc>
      </w:tr>
      <w:tr w:rsidR="008A00EA" w:rsidRPr="005F5C76" w:rsidDel="00582762" w14:paraId="1E350EB8" w14:textId="77777777" w:rsidTr="008A00EA">
        <w:tc>
          <w:tcPr>
            <w:tcW w:w="3957" w:type="dxa"/>
          </w:tcPr>
          <w:p w14:paraId="7E6B1471" w14:textId="77777777" w:rsidR="008A00EA" w:rsidRPr="007F6EC9" w:rsidRDefault="008A00EA" w:rsidP="008A00EA">
            <w:pPr>
              <w:pStyle w:val="Style1"/>
              <w:spacing w:before="0" w:after="0" w:line="276" w:lineRule="auto"/>
              <w:rPr>
                <w:lang w:eastAsia="en-AU"/>
              </w:rPr>
            </w:pPr>
            <w:r w:rsidRPr="007F6EC9">
              <w:rPr>
                <w:lang w:eastAsia="en-AU"/>
              </w:rPr>
              <w:t xml:space="preserve">Implement </w:t>
            </w:r>
            <w:r>
              <w:rPr>
                <w:lang w:eastAsia="en-AU"/>
              </w:rPr>
              <w:t xml:space="preserve">and monitor </w:t>
            </w:r>
            <w:r w:rsidRPr="007F6EC9">
              <w:rPr>
                <w:lang w:eastAsia="en-AU"/>
              </w:rPr>
              <w:t>our savings initiatives, </w:t>
            </w:r>
            <w:r>
              <w:rPr>
                <w:lang w:eastAsia="en-AU"/>
              </w:rPr>
              <w:t xml:space="preserve">to achieve financial sustainability </w:t>
            </w:r>
          </w:p>
          <w:p w14:paraId="6CFC3460" w14:textId="77777777" w:rsidR="008A00EA" w:rsidRPr="002332C4" w:rsidRDefault="008A00EA" w:rsidP="008A00EA">
            <w:pPr>
              <w:spacing w:after="0" w:line="276" w:lineRule="auto"/>
              <w:rPr>
                <w:sz w:val="20"/>
                <w:szCs w:val="20"/>
                <w:highlight w:val="yellow"/>
                <w:lang w:eastAsia="en-AU"/>
              </w:rPr>
            </w:pPr>
          </w:p>
        </w:tc>
        <w:tc>
          <w:tcPr>
            <w:tcW w:w="3956" w:type="dxa"/>
          </w:tcPr>
          <w:p w14:paraId="2272347F" w14:textId="77777777" w:rsidR="008A00EA" w:rsidRPr="00F81438" w:rsidRDefault="008A00EA" w:rsidP="00F81438">
            <w:pPr>
              <w:pStyle w:val="ListParagraph"/>
              <w:numPr>
                <w:ilvl w:val="0"/>
                <w:numId w:val="59"/>
              </w:numPr>
              <w:spacing w:after="0" w:line="276" w:lineRule="auto"/>
              <w:ind w:left="321" w:hanging="284"/>
              <w:rPr>
                <w:sz w:val="20"/>
                <w:szCs w:val="20"/>
              </w:rPr>
            </w:pPr>
            <w:r w:rsidRPr="00F81438">
              <w:rPr>
                <w:sz w:val="20"/>
                <w:szCs w:val="20"/>
                <w:lang w:eastAsia="en-AU"/>
              </w:rPr>
              <w:t xml:space="preserve">Achieve savings projections for 2019–20 </w:t>
            </w:r>
          </w:p>
          <w:p w14:paraId="1254BC17" w14:textId="77777777" w:rsidR="008A00EA" w:rsidRPr="00F81438" w:rsidRDefault="008A00EA" w:rsidP="00F81438">
            <w:pPr>
              <w:pStyle w:val="ListParagraph"/>
              <w:numPr>
                <w:ilvl w:val="0"/>
                <w:numId w:val="59"/>
              </w:numPr>
              <w:spacing w:after="0" w:line="276" w:lineRule="auto"/>
              <w:ind w:left="321" w:hanging="284"/>
              <w:rPr>
                <w:sz w:val="20"/>
                <w:szCs w:val="20"/>
              </w:rPr>
            </w:pPr>
            <w:r w:rsidRPr="00F81438">
              <w:rPr>
                <w:sz w:val="20"/>
                <w:szCs w:val="20"/>
              </w:rPr>
              <w:t>Unintended consequences arising from savings identified and acted upon</w:t>
            </w:r>
          </w:p>
          <w:p w14:paraId="57C06A90" w14:textId="77777777" w:rsidR="008A00EA" w:rsidRPr="00214FFC" w:rsidDel="00582762" w:rsidRDefault="008A00EA" w:rsidP="00F81438">
            <w:pPr>
              <w:spacing w:after="0" w:line="276" w:lineRule="auto"/>
              <w:ind w:left="321" w:hanging="284"/>
              <w:rPr>
                <w:sz w:val="20"/>
                <w:szCs w:val="20"/>
              </w:rPr>
            </w:pPr>
          </w:p>
        </w:tc>
        <w:tc>
          <w:tcPr>
            <w:tcW w:w="1857" w:type="dxa"/>
          </w:tcPr>
          <w:p w14:paraId="0BC4F699" w14:textId="77777777" w:rsidR="008A00EA" w:rsidRPr="005F5C76" w:rsidDel="00582762" w:rsidRDefault="008A00EA" w:rsidP="008A00EA">
            <w:pPr>
              <w:spacing w:after="0" w:line="276" w:lineRule="auto"/>
              <w:rPr>
                <w:sz w:val="20"/>
              </w:rPr>
            </w:pPr>
            <w:r w:rsidRPr="00774C4E">
              <w:rPr>
                <w:sz w:val="20"/>
              </w:rPr>
              <w:t>Executive Director, Corporate Affairs</w:t>
            </w:r>
            <w:r>
              <w:rPr>
                <w:sz w:val="20"/>
              </w:rPr>
              <w:t xml:space="preserve"> and Chief Financial Officer</w:t>
            </w:r>
          </w:p>
        </w:tc>
      </w:tr>
      <w:tr w:rsidR="008A00EA" w:rsidRPr="007C77B6" w14:paraId="62F68D44" w14:textId="77777777" w:rsidTr="008A00EA">
        <w:tc>
          <w:tcPr>
            <w:tcW w:w="3957" w:type="dxa"/>
          </w:tcPr>
          <w:p w14:paraId="74827917" w14:textId="77777777" w:rsidR="008A00EA" w:rsidRPr="007C77B6" w:rsidRDefault="008A00EA" w:rsidP="008A00EA">
            <w:pPr>
              <w:pStyle w:val="Style1"/>
              <w:spacing w:before="0" w:after="0" w:line="276" w:lineRule="auto"/>
              <w:rPr>
                <w:lang w:eastAsia="en-AU"/>
              </w:rPr>
            </w:pPr>
            <w:r w:rsidRPr="007C77B6">
              <w:rPr>
                <w:lang w:eastAsia="en-AU"/>
              </w:rPr>
              <w:t xml:space="preserve">Work with key partners in the legal assistance sector </w:t>
            </w:r>
            <w:r>
              <w:rPr>
                <w:lang w:eastAsia="en-AU"/>
              </w:rPr>
              <w:t>and other stakeholders</w:t>
            </w:r>
            <w:r w:rsidRPr="007C77B6">
              <w:rPr>
                <w:lang w:eastAsia="en-AU"/>
              </w:rPr>
              <w:t xml:space="preserve"> in </w:t>
            </w:r>
            <w:r>
              <w:rPr>
                <w:lang w:eastAsia="en-AU"/>
              </w:rPr>
              <w:t xml:space="preserve">supporting Victoria’s </w:t>
            </w:r>
            <w:r w:rsidRPr="007C77B6">
              <w:rPr>
                <w:lang w:eastAsia="en-AU"/>
              </w:rPr>
              <w:t>negotiations of the next National Partnership Agreement with the Commonwealth Government</w:t>
            </w:r>
          </w:p>
        </w:tc>
        <w:tc>
          <w:tcPr>
            <w:tcW w:w="3956" w:type="dxa"/>
          </w:tcPr>
          <w:p w14:paraId="4C6C55CD" w14:textId="77777777" w:rsidR="008A00EA" w:rsidRPr="00F81438" w:rsidRDefault="008A00EA" w:rsidP="00F81438">
            <w:pPr>
              <w:pStyle w:val="ListParagraph"/>
              <w:numPr>
                <w:ilvl w:val="0"/>
                <w:numId w:val="59"/>
              </w:numPr>
              <w:spacing w:after="0" w:line="276" w:lineRule="auto"/>
              <w:ind w:left="321" w:hanging="284"/>
              <w:rPr>
                <w:sz w:val="20"/>
                <w:szCs w:val="20"/>
                <w:lang w:eastAsia="en-AU"/>
              </w:rPr>
            </w:pPr>
            <w:r w:rsidRPr="00F81438">
              <w:rPr>
                <w:sz w:val="20"/>
                <w:szCs w:val="20"/>
                <w:lang w:eastAsia="en-AU"/>
              </w:rPr>
              <w:t>Recommendations made by VLA and our partners are mirrored in improvements in the NPA</w:t>
            </w:r>
          </w:p>
          <w:p w14:paraId="7324696B" w14:textId="77777777" w:rsidR="008A00EA" w:rsidRPr="007C77B6" w:rsidRDefault="008A00EA" w:rsidP="00F81438">
            <w:pPr>
              <w:spacing w:after="0" w:line="276" w:lineRule="auto"/>
              <w:ind w:left="321" w:hanging="284"/>
              <w:rPr>
                <w:sz w:val="20"/>
                <w:szCs w:val="20"/>
                <w:lang w:eastAsia="en-AU"/>
              </w:rPr>
            </w:pPr>
          </w:p>
        </w:tc>
        <w:tc>
          <w:tcPr>
            <w:tcW w:w="1857" w:type="dxa"/>
          </w:tcPr>
          <w:p w14:paraId="56ED26CE" w14:textId="77777777" w:rsidR="008A00EA" w:rsidRPr="007C77B6" w:rsidRDefault="008A00EA" w:rsidP="008A00EA">
            <w:pPr>
              <w:spacing w:after="0" w:line="276" w:lineRule="auto"/>
              <w:rPr>
                <w:sz w:val="20"/>
              </w:rPr>
            </w:pPr>
            <w:r w:rsidRPr="00774C4E">
              <w:rPr>
                <w:sz w:val="20"/>
              </w:rPr>
              <w:t>Executive Director, Corporate Affairs</w:t>
            </w:r>
            <w:r>
              <w:rPr>
                <w:sz w:val="20"/>
              </w:rPr>
              <w:t xml:space="preserve"> </w:t>
            </w:r>
          </w:p>
        </w:tc>
      </w:tr>
    </w:tbl>
    <w:p w14:paraId="20F41674" w14:textId="2A24A9E9" w:rsidR="008A00EA" w:rsidRPr="00325B1A" w:rsidRDefault="008A00EA" w:rsidP="00F81438">
      <w:pPr>
        <w:pStyle w:val="Heading4"/>
        <w:numPr>
          <w:ilvl w:val="0"/>
          <w:numId w:val="30"/>
        </w:numPr>
      </w:pPr>
      <w:bookmarkStart w:id="66" w:name="_Hlk20737259"/>
      <w:bookmarkEnd w:id="65"/>
      <w:r w:rsidRPr="00325B1A">
        <w:lastRenderedPageBreak/>
        <w:t>Summary crime reforms (Better Justice Everyday project)</w:t>
      </w:r>
    </w:p>
    <w:tbl>
      <w:tblPr>
        <w:tblStyle w:val="TableGrid"/>
        <w:tblW w:w="0" w:type="auto"/>
        <w:tblLook w:val="04A0" w:firstRow="1" w:lastRow="0" w:firstColumn="1" w:lastColumn="0" w:noHBand="0" w:noVBand="1"/>
      </w:tblPr>
      <w:tblGrid>
        <w:gridCol w:w="3957"/>
        <w:gridCol w:w="3956"/>
        <w:gridCol w:w="1857"/>
      </w:tblGrid>
      <w:tr w:rsidR="008A00EA" w:rsidRPr="0030023F" w14:paraId="7D82E105" w14:textId="77777777" w:rsidTr="008A00EA">
        <w:tc>
          <w:tcPr>
            <w:tcW w:w="3957" w:type="dxa"/>
            <w:shd w:val="clear" w:color="auto" w:fill="D9D9D9" w:themeFill="background1" w:themeFillShade="D9"/>
          </w:tcPr>
          <w:p w14:paraId="052FE61E" w14:textId="77777777" w:rsidR="008A00EA" w:rsidRPr="0030023F" w:rsidRDefault="008A00EA" w:rsidP="008A00EA">
            <w:pPr>
              <w:pStyle w:val="Style1"/>
              <w:numPr>
                <w:ilvl w:val="0"/>
                <w:numId w:val="0"/>
              </w:numPr>
              <w:spacing w:before="0" w:after="0" w:line="276" w:lineRule="auto"/>
              <w:ind w:left="431" w:hanging="431"/>
              <w:rPr>
                <w:b/>
                <w:bCs/>
                <w:sz w:val="22"/>
                <w:szCs w:val="28"/>
                <w:lang w:eastAsia="en-AU"/>
              </w:rPr>
            </w:pPr>
            <w:bookmarkStart w:id="67" w:name="_Hlk20737267"/>
            <w:bookmarkEnd w:id="66"/>
            <w:r w:rsidRPr="0030023F">
              <w:rPr>
                <w:b/>
                <w:bCs/>
                <w:sz w:val="22"/>
                <w:szCs w:val="28"/>
                <w:lang w:eastAsia="en-AU"/>
              </w:rPr>
              <w:t xml:space="preserve">Priority actions </w:t>
            </w:r>
          </w:p>
        </w:tc>
        <w:tc>
          <w:tcPr>
            <w:tcW w:w="3956" w:type="dxa"/>
            <w:shd w:val="clear" w:color="auto" w:fill="D9D9D9" w:themeFill="background1" w:themeFillShade="D9"/>
          </w:tcPr>
          <w:p w14:paraId="199BB224" w14:textId="77777777" w:rsidR="008A00EA" w:rsidRPr="0030023F" w:rsidRDefault="008A00EA" w:rsidP="008A00EA">
            <w:pPr>
              <w:spacing w:after="0" w:line="276" w:lineRule="auto"/>
              <w:rPr>
                <w:b/>
                <w:bCs/>
                <w:szCs w:val="28"/>
                <w:lang w:eastAsia="en-AU"/>
              </w:rPr>
            </w:pPr>
            <w:r w:rsidRPr="0030023F">
              <w:rPr>
                <w:b/>
                <w:bCs/>
                <w:szCs w:val="28"/>
                <w:lang w:eastAsia="en-AU"/>
              </w:rPr>
              <w:t>Performance measures</w:t>
            </w:r>
          </w:p>
        </w:tc>
        <w:tc>
          <w:tcPr>
            <w:tcW w:w="1857" w:type="dxa"/>
            <w:shd w:val="clear" w:color="auto" w:fill="D9D9D9" w:themeFill="background1" w:themeFillShade="D9"/>
          </w:tcPr>
          <w:p w14:paraId="050DCD1F" w14:textId="77777777" w:rsidR="008A00EA" w:rsidRPr="0030023F" w:rsidRDefault="008A00EA" w:rsidP="008A00EA">
            <w:pPr>
              <w:spacing w:after="0" w:line="276" w:lineRule="auto"/>
              <w:rPr>
                <w:b/>
                <w:bCs/>
                <w:szCs w:val="28"/>
              </w:rPr>
            </w:pPr>
            <w:r w:rsidRPr="0030023F">
              <w:rPr>
                <w:b/>
                <w:bCs/>
                <w:szCs w:val="28"/>
              </w:rPr>
              <w:t xml:space="preserve">Responsibility </w:t>
            </w:r>
          </w:p>
        </w:tc>
      </w:tr>
      <w:tr w:rsidR="008A00EA" w:rsidRPr="005F5C76" w14:paraId="1E28207D" w14:textId="77777777" w:rsidTr="008A00EA">
        <w:tc>
          <w:tcPr>
            <w:tcW w:w="3957" w:type="dxa"/>
          </w:tcPr>
          <w:p w14:paraId="650ADE4B" w14:textId="5F2B703C" w:rsidR="008A00EA" w:rsidRPr="00457D40" w:rsidRDefault="008A00EA" w:rsidP="008A00EA">
            <w:pPr>
              <w:pStyle w:val="Style1"/>
              <w:spacing w:before="0" w:after="0" w:line="276" w:lineRule="auto"/>
            </w:pPr>
            <w:r>
              <w:t>Contribute to significant reforms in the summary crime system, in partnership with Magistrates</w:t>
            </w:r>
            <w:r w:rsidR="000C7A18">
              <w:t>’</w:t>
            </w:r>
            <w:bookmarkStart w:id="68" w:name="_GoBack"/>
            <w:bookmarkEnd w:id="68"/>
            <w:r>
              <w:t xml:space="preserve"> Court Victoria, Victoria Police and the Department of Justice and Community Safety, including by seeking support and funding to prototype a new model for summary crime at one location</w:t>
            </w:r>
          </w:p>
        </w:tc>
        <w:tc>
          <w:tcPr>
            <w:tcW w:w="3956" w:type="dxa"/>
          </w:tcPr>
          <w:p w14:paraId="6CFEE1F3" w14:textId="6897C5FE" w:rsidR="008A00EA" w:rsidRPr="00B23B08" w:rsidRDefault="008A00EA" w:rsidP="00F81438">
            <w:pPr>
              <w:pStyle w:val="ListParagraph"/>
              <w:numPr>
                <w:ilvl w:val="0"/>
                <w:numId w:val="59"/>
              </w:numPr>
              <w:spacing w:after="0" w:line="276" w:lineRule="auto"/>
              <w:ind w:left="321" w:hanging="284"/>
              <w:rPr>
                <w:szCs w:val="22"/>
              </w:rPr>
            </w:pPr>
            <w:r w:rsidRPr="00F81438">
              <w:rPr>
                <w:sz w:val="20"/>
                <w:szCs w:val="20"/>
                <w:lang w:eastAsia="en-AU"/>
              </w:rPr>
              <w:t xml:space="preserve">High </w:t>
            </w:r>
            <w:r w:rsidR="00496F56">
              <w:rPr>
                <w:sz w:val="20"/>
                <w:szCs w:val="20"/>
                <w:lang w:eastAsia="en-AU"/>
              </w:rPr>
              <w:t>l</w:t>
            </w:r>
            <w:r w:rsidRPr="00F81438">
              <w:rPr>
                <w:sz w:val="20"/>
                <w:szCs w:val="20"/>
                <w:lang w:eastAsia="en-AU"/>
              </w:rPr>
              <w:t xml:space="preserve">evel Summary Crime System Reform group re-formed with common work plan </w:t>
            </w:r>
          </w:p>
          <w:p w14:paraId="092F070A" w14:textId="77777777" w:rsidR="008A00EA" w:rsidRPr="00086E33" w:rsidRDefault="008A00EA" w:rsidP="00F81438">
            <w:pPr>
              <w:pStyle w:val="ListParagraph"/>
              <w:numPr>
                <w:ilvl w:val="0"/>
                <w:numId w:val="59"/>
              </w:numPr>
              <w:spacing w:after="0" w:line="276" w:lineRule="auto"/>
              <w:ind w:left="321" w:hanging="284"/>
            </w:pPr>
            <w:r w:rsidRPr="00F81438">
              <w:rPr>
                <w:sz w:val="20"/>
                <w:szCs w:val="20"/>
                <w:lang w:eastAsia="en-AU"/>
              </w:rPr>
              <w:t>Funding is secured to support the design and prototype of a new summary crime model</w:t>
            </w:r>
          </w:p>
          <w:p w14:paraId="6C2DC380" w14:textId="77777777" w:rsidR="008A00EA" w:rsidRPr="00F81438" w:rsidRDefault="008A00EA" w:rsidP="00F81438">
            <w:pPr>
              <w:pStyle w:val="ListParagraph"/>
              <w:numPr>
                <w:ilvl w:val="0"/>
                <w:numId w:val="59"/>
              </w:numPr>
              <w:spacing w:after="0" w:line="276" w:lineRule="auto"/>
              <w:ind w:left="321" w:hanging="284"/>
              <w:rPr>
                <w:sz w:val="20"/>
                <w:szCs w:val="20"/>
                <w:lang w:eastAsia="en-AU"/>
              </w:rPr>
            </w:pPr>
            <w:r w:rsidRPr="00F81438">
              <w:rPr>
                <w:sz w:val="20"/>
                <w:szCs w:val="20"/>
                <w:lang w:eastAsia="en-AU"/>
              </w:rPr>
              <w:t>If funding is secured, design work commences with key partners</w:t>
            </w:r>
          </w:p>
          <w:p w14:paraId="32B20089" w14:textId="77777777" w:rsidR="008A00EA" w:rsidRPr="003325EB" w:rsidRDefault="008A00EA" w:rsidP="00F81438">
            <w:pPr>
              <w:spacing w:after="0" w:line="276" w:lineRule="auto"/>
              <w:ind w:left="321" w:hanging="284"/>
            </w:pPr>
          </w:p>
        </w:tc>
        <w:tc>
          <w:tcPr>
            <w:tcW w:w="1857" w:type="dxa"/>
          </w:tcPr>
          <w:p w14:paraId="71CB4522" w14:textId="77777777" w:rsidR="008A00EA" w:rsidRPr="005F5C76" w:rsidRDefault="008A00EA" w:rsidP="008A00EA">
            <w:pPr>
              <w:spacing w:after="0" w:line="276" w:lineRule="auto"/>
              <w:rPr>
                <w:sz w:val="20"/>
              </w:rPr>
            </w:pPr>
            <w:r w:rsidRPr="006F0C63">
              <w:rPr>
                <w:sz w:val="20"/>
                <w:szCs w:val="20"/>
              </w:rPr>
              <w:t>Executive Director, Criminal Law</w:t>
            </w:r>
          </w:p>
        </w:tc>
      </w:tr>
      <w:tr w:rsidR="008A00EA" w:rsidRPr="006F0C63" w14:paraId="687EC486" w14:textId="77777777" w:rsidTr="008A00EA">
        <w:tc>
          <w:tcPr>
            <w:tcW w:w="3957" w:type="dxa"/>
          </w:tcPr>
          <w:p w14:paraId="04732E0F" w14:textId="77777777" w:rsidR="008A00EA" w:rsidRPr="0084183F" w:rsidRDefault="008A00EA" w:rsidP="008A00EA">
            <w:pPr>
              <w:pStyle w:val="Style1"/>
              <w:spacing w:before="0" w:after="0" w:line="276" w:lineRule="auto"/>
            </w:pPr>
            <w:r>
              <w:t xml:space="preserve">Develop a demand-based funding model for the summary crime system  </w:t>
            </w:r>
          </w:p>
        </w:tc>
        <w:tc>
          <w:tcPr>
            <w:tcW w:w="3956" w:type="dxa"/>
          </w:tcPr>
          <w:p w14:paraId="02F1E6A0" w14:textId="1B3E777E" w:rsidR="008A00EA" w:rsidRPr="0084183F" w:rsidRDefault="008A00EA" w:rsidP="00F81438">
            <w:pPr>
              <w:pStyle w:val="ListParagraph"/>
              <w:numPr>
                <w:ilvl w:val="0"/>
                <w:numId w:val="59"/>
              </w:numPr>
              <w:spacing w:after="0" w:line="276" w:lineRule="auto"/>
              <w:ind w:left="321" w:hanging="284"/>
              <w:rPr>
                <w:sz w:val="20"/>
                <w:szCs w:val="20"/>
              </w:rPr>
            </w:pPr>
            <w:r w:rsidRPr="00F81438">
              <w:rPr>
                <w:sz w:val="20"/>
                <w:szCs w:val="20"/>
                <w:lang w:eastAsia="en-AU"/>
              </w:rPr>
              <w:t>A data/funding model is developed in partnership with Victoria Police, the Magistrates’ Court</w:t>
            </w:r>
            <w:r w:rsidR="00496F56">
              <w:rPr>
                <w:sz w:val="20"/>
                <w:szCs w:val="20"/>
                <w:lang w:eastAsia="en-AU"/>
              </w:rPr>
              <w:t xml:space="preserve"> Victoria</w:t>
            </w:r>
            <w:r w:rsidRPr="00F81438">
              <w:rPr>
                <w:sz w:val="20"/>
                <w:szCs w:val="20"/>
                <w:lang w:eastAsia="en-AU"/>
              </w:rPr>
              <w:t xml:space="preserve"> and the Department of Justice and Community Safety</w:t>
            </w:r>
          </w:p>
        </w:tc>
        <w:tc>
          <w:tcPr>
            <w:tcW w:w="1857" w:type="dxa"/>
          </w:tcPr>
          <w:p w14:paraId="15293263" w14:textId="77777777" w:rsidR="008A00EA" w:rsidRPr="006F0C63" w:rsidRDefault="008A00EA" w:rsidP="008A00EA">
            <w:pPr>
              <w:spacing w:after="0" w:line="276" w:lineRule="auto"/>
              <w:rPr>
                <w:sz w:val="20"/>
                <w:szCs w:val="20"/>
              </w:rPr>
            </w:pPr>
            <w:r w:rsidRPr="006F0C63">
              <w:rPr>
                <w:sz w:val="20"/>
                <w:szCs w:val="20"/>
              </w:rPr>
              <w:t>Executive Director, Criminal Law</w:t>
            </w:r>
          </w:p>
        </w:tc>
      </w:tr>
      <w:tr w:rsidR="008A00EA" w:rsidRPr="006F0C63" w14:paraId="08D0BDC7" w14:textId="77777777" w:rsidTr="008A00EA">
        <w:tc>
          <w:tcPr>
            <w:tcW w:w="3957" w:type="dxa"/>
          </w:tcPr>
          <w:p w14:paraId="6246413D" w14:textId="26C888B2" w:rsidR="008A00EA" w:rsidRDefault="008A00EA" w:rsidP="008A00EA">
            <w:pPr>
              <w:pStyle w:val="Style1"/>
              <w:spacing w:before="0" w:after="0" w:line="276" w:lineRule="auto"/>
            </w:pPr>
            <w:r>
              <w:t xml:space="preserve">Advocate to reduce pressure on the Magistrates’ Court </w:t>
            </w:r>
            <w:r w:rsidR="00496F56">
              <w:rPr>
                <w:szCs w:val="20"/>
                <w:lang w:eastAsia="en-AU"/>
              </w:rPr>
              <w:t>Victoria</w:t>
            </w:r>
            <w:r w:rsidR="00496F56" w:rsidRPr="00D56EB7">
              <w:rPr>
                <w:szCs w:val="20"/>
                <w:lang w:eastAsia="en-AU"/>
              </w:rPr>
              <w:t xml:space="preserve"> </w:t>
            </w:r>
            <w:r>
              <w:t>by keeping out minor matters and i</w:t>
            </w:r>
            <w:r w:rsidRPr="0084183F">
              <w:t>ncrease access to therapeutic programs</w:t>
            </w:r>
          </w:p>
        </w:tc>
        <w:tc>
          <w:tcPr>
            <w:tcW w:w="3956" w:type="dxa"/>
          </w:tcPr>
          <w:p w14:paraId="3C41A4F7" w14:textId="5A2B6441" w:rsidR="008A00EA" w:rsidRPr="00F81438" w:rsidRDefault="008A00EA" w:rsidP="00F81438">
            <w:pPr>
              <w:pStyle w:val="ListParagraph"/>
              <w:numPr>
                <w:ilvl w:val="0"/>
                <w:numId w:val="59"/>
              </w:numPr>
              <w:spacing w:after="0" w:line="276" w:lineRule="auto"/>
              <w:ind w:left="321" w:hanging="284"/>
              <w:rPr>
                <w:sz w:val="20"/>
                <w:szCs w:val="20"/>
              </w:rPr>
            </w:pPr>
            <w:r w:rsidRPr="00F81438">
              <w:rPr>
                <w:sz w:val="20"/>
                <w:szCs w:val="20"/>
              </w:rPr>
              <w:t xml:space="preserve">Government commits to implementing change to reduce number of minor matters into the </w:t>
            </w:r>
            <w:r w:rsidR="00496F56" w:rsidRPr="00D56EB7">
              <w:rPr>
                <w:sz w:val="20"/>
                <w:szCs w:val="20"/>
                <w:lang w:eastAsia="en-AU"/>
              </w:rPr>
              <w:t>Magistrates’ Court</w:t>
            </w:r>
            <w:r w:rsidR="00496F56">
              <w:rPr>
                <w:sz w:val="20"/>
                <w:szCs w:val="20"/>
                <w:lang w:eastAsia="en-AU"/>
              </w:rPr>
              <w:t xml:space="preserve"> Victoria</w:t>
            </w:r>
          </w:p>
          <w:p w14:paraId="045B4356" w14:textId="4221F092" w:rsidR="008A00EA" w:rsidRPr="0084183F" w:rsidRDefault="008A00EA" w:rsidP="00F81438">
            <w:pPr>
              <w:pStyle w:val="ListParagraph"/>
              <w:numPr>
                <w:ilvl w:val="0"/>
                <w:numId w:val="59"/>
              </w:numPr>
              <w:spacing w:after="0" w:line="276" w:lineRule="auto"/>
              <w:ind w:left="321" w:hanging="284"/>
              <w:rPr>
                <w:sz w:val="20"/>
                <w:szCs w:val="20"/>
              </w:rPr>
            </w:pPr>
            <w:r w:rsidRPr="00F81438">
              <w:rPr>
                <w:sz w:val="20"/>
                <w:szCs w:val="20"/>
              </w:rPr>
              <w:t>Government commits to increasing access to therapeutic courts and programs</w:t>
            </w:r>
          </w:p>
        </w:tc>
        <w:tc>
          <w:tcPr>
            <w:tcW w:w="1857" w:type="dxa"/>
          </w:tcPr>
          <w:p w14:paraId="3C32ED92" w14:textId="77777777" w:rsidR="008A00EA" w:rsidRPr="006F0C63" w:rsidRDefault="008A00EA" w:rsidP="008A00EA">
            <w:pPr>
              <w:spacing w:after="0" w:line="276" w:lineRule="auto"/>
              <w:rPr>
                <w:sz w:val="20"/>
                <w:szCs w:val="20"/>
              </w:rPr>
            </w:pPr>
            <w:r w:rsidRPr="006F0C63">
              <w:rPr>
                <w:sz w:val="20"/>
                <w:szCs w:val="20"/>
              </w:rPr>
              <w:t>Executive Director, Criminal Law</w:t>
            </w:r>
          </w:p>
        </w:tc>
      </w:tr>
    </w:tbl>
    <w:p w14:paraId="7BC13B8A" w14:textId="4962F9FF" w:rsidR="008A00EA" w:rsidRDefault="008A00EA" w:rsidP="00F81438">
      <w:pPr>
        <w:pStyle w:val="Heading4"/>
        <w:numPr>
          <w:ilvl w:val="0"/>
          <w:numId w:val="30"/>
        </w:numPr>
      </w:pPr>
      <w:bookmarkStart w:id="69" w:name="_Hlk20737275"/>
      <w:bookmarkEnd w:id="67"/>
      <w:r w:rsidRPr="0030023F">
        <w:t>Family violence legal services</w:t>
      </w:r>
    </w:p>
    <w:tbl>
      <w:tblPr>
        <w:tblStyle w:val="TableGrid"/>
        <w:tblW w:w="0" w:type="auto"/>
        <w:tblLook w:val="04A0" w:firstRow="1" w:lastRow="0" w:firstColumn="1" w:lastColumn="0" w:noHBand="0" w:noVBand="1"/>
      </w:tblPr>
      <w:tblGrid>
        <w:gridCol w:w="3957"/>
        <w:gridCol w:w="3956"/>
        <w:gridCol w:w="1857"/>
      </w:tblGrid>
      <w:tr w:rsidR="008A00EA" w:rsidRPr="0030023F" w14:paraId="73D72D8D" w14:textId="77777777" w:rsidTr="008A00EA">
        <w:tc>
          <w:tcPr>
            <w:tcW w:w="3957" w:type="dxa"/>
            <w:shd w:val="clear" w:color="auto" w:fill="D9D9D9" w:themeFill="background1" w:themeFillShade="D9"/>
          </w:tcPr>
          <w:p w14:paraId="2F4A8456" w14:textId="77777777" w:rsidR="008A00EA" w:rsidRPr="0030023F" w:rsidRDefault="008A00EA" w:rsidP="008A00EA">
            <w:pPr>
              <w:pStyle w:val="Style1"/>
              <w:numPr>
                <w:ilvl w:val="0"/>
                <w:numId w:val="0"/>
              </w:numPr>
              <w:spacing w:before="0" w:after="0" w:line="276" w:lineRule="auto"/>
              <w:ind w:left="431" w:hanging="431"/>
              <w:rPr>
                <w:b/>
                <w:bCs/>
                <w:sz w:val="22"/>
                <w:szCs w:val="28"/>
              </w:rPr>
            </w:pPr>
            <w:bookmarkStart w:id="70" w:name="_Hlk20737282"/>
            <w:bookmarkEnd w:id="69"/>
            <w:r w:rsidRPr="0030023F">
              <w:rPr>
                <w:b/>
                <w:bCs/>
                <w:sz w:val="22"/>
                <w:szCs w:val="28"/>
              </w:rPr>
              <w:t xml:space="preserve">Priority actions </w:t>
            </w:r>
          </w:p>
        </w:tc>
        <w:tc>
          <w:tcPr>
            <w:tcW w:w="3956" w:type="dxa"/>
            <w:shd w:val="clear" w:color="auto" w:fill="D9D9D9" w:themeFill="background1" w:themeFillShade="D9"/>
          </w:tcPr>
          <w:p w14:paraId="58C39847" w14:textId="77777777" w:rsidR="008A00EA" w:rsidRPr="0030023F" w:rsidRDefault="008A00EA" w:rsidP="008A00EA">
            <w:pPr>
              <w:spacing w:after="0" w:line="276" w:lineRule="auto"/>
              <w:rPr>
                <w:b/>
                <w:bCs/>
                <w:szCs w:val="28"/>
              </w:rPr>
            </w:pPr>
            <w:r w:rsidRPr="0030023F">
              <w:rPr>
                <w:b/>
                <w:bCs/>
                <w:szCs w:val="28"/>
              </w:rPr>
              <w:t xml:space="preserve">Performance measures </w:t>
            </w:r>
          </w:p>
        </w:tc>
        <w:tc>
          <w:tcPr>
            <w:tcW w:w="1857" w:type="dxa"/>
            <w:shd w:val="clear" w:color="auto" w:fill="D9D9D9" w:themeFill="background1" w:themeFillShade="D9"/>
          </w:tcPr>
          <w:p w14:paraId="62B5CF1B" w14:textId="77777777" w:rsidR="008A00EA" w:rsidRPr="0030023F" w:rsidRDefault="008A00EA" w:rsidP="008A00EA">
            <w:pPr>
              <w:spacing w:after="0" w:line="276" w:lineRule="auto"/>
              <w:rPr>
                <w:b/>
                <w:bCs/>
                <w:szCs w:val="28"/>
              </w:rPr>
            </w:pPr>
            <w:r w:rsidRPr="0030023F">
              <w:rPr>
                <w:b/>
                <w:bCs/>
                <w:szCs w:val="28"/>
              </w:rPr>
              <w:t xml:space="preserve">Responsibility </w:t>
            </w:r>
          </w:p>
        </w:tc>
      </w:tr>
      <w:tr w:rsidR="008A00EA" w:rsidRPr="006F0C63" w14:paraId="560581AE" w14:textId="77777777" w:rsidTr="008A00EA">
        <w:tc>
          <w:tcPr>
            <w:tcW w:w="3957" w:type="dxa"/>
          </w:tcPr>
          <w:p w14:paraId="632AE9C8" w14:textId="77777777" w:rsidR="008A00EA" w:rsidRPr="00B544F1" w:rsidRDefault="008A00EA" w:rsidP="008A00EA">
            <w:pPr>
              <w:pStyle w:val="Style1"/>
              <w:spacing w:before="0" w:after="0" w:line="276" w:lineRule="auto"/>
            </w:pPr>
            <w:r>
              <w:t>Work collaboratively with our partners to help clients of The Orange Door and specialist family violence services get earlier access to the legal advice and information they need</w:t>
            </w:r>
          </w:p>
        </w:tc>
        <w:tc>
          <w:tcPr>
            <w:tcW w:w="3956" w:type="dxa"/>
          </w:tcPr>
          <w:p w14:paraId="005792EC" w14:textId="77777777" w:rsidR="008A00EA" w:rsidRPr="00F81438" w:rsidRDefault="008A00EA" w:rsidP="00F81438">
            <w:pPr>
              <w:pStyle w:val="ListParagraph"/>
              <w:numPr>
                <w:ilvl w:val="0"/>
                <w:numId w:val="60"/>
              </w:numPr>
              <w:spacing w:after="0" w:line="276" w:lineRule="auto"/>
              <w:ind w:left="321" w:hanging="284"/>
              <w:rPr>
                <w:sz w:val="20"/>
              </w:rPr>
            </w:pPr>
            <w:r w:rsidRPr="00F81438">
              <w:rPr>
                <w:sz w:val="20"/>
              </w:rPr>
              <w:t xml:space="preserve">We have tested and are evaluating a web-based screening, triage and referral tool to help people get earlier legal assistance for family violence and related matters  </w:t>
            </w:r>
          </w:p>
          <w:p w14:paraId="3AAC257A" w14:textId="77777777" w:rsidR="008A00EA" w:rsidRPr="00770FC3" w:rsidRDefault="008A00EA" w:rsidP="00F81438">
            <w:pPr>
              <w:spacing w:after="0" w:line="276" w:lineRule="auto"/>
              <w:ind w:left="321" w:hanging="284"/>
              <w:rPr>
                <w:sz w:val="20"/>
              </w:rPr>
            </w:pPr>
          </w:p>
        </w:tc>
        <w:tc>
          <w:tcPr>
            <w:tcW w:w="1857" w:type="dxa"/>
          </w:tcPr>
          <w:p w14:paraId="79268692" w14:textId="77777777" w:rsidR="008A00EA" w:rsidRPr="006F0C63" w:rsidRDefault="008A00EA" w:rsidP="008A00EA">
            <w:pPr>
              <w:spacing w:after="0" w:line="276" w:lineRule="auto"/>
              <w:rPr>
                <w:sz w:val="20"/>
                <w:szCs w:val="20"/>
              </w:rPr>
            </w:pPr>
            <w:r w:rsidRPr="005F5C76">
              <w:rPr>
                <w:sz w:val="20"/>
              </w:rPr>
              <w:t>Executive Director, Family Youth and Children’s Law</w:t>
            </w:r>
          </w:p>
        </w:tc>
      </w:tr>
      <w:tr w:rsidR="008A00EA" w14:paraId="75170F27" w14:textId="77777777" w:rsidTr="008A00EA">
        <w:tc>
          <w:tcPr>
            <w:tcW w:w="3957" w:type="dxa"/>
          </w:tcPr>
          <w:p w14:paraId="2C4CC6C1" w14:textId="77777777" w:rsidR="008A00EA" w:rsidRPr="000E4FD6" w:rsidRDefault="008A00EA" w:rsidP="008A00EA">
            <w:pPr>
              <w:pStyle w:val="Style1"/>
              <w:spacing w:before="0" w:after="0" w:line="276" w:lineRule="auto"/>
            </w:pPr>
            <w:r>
              <w:t>W</w:t>
            </w:r>
            <w:r w:rsidRPr="000E4FD6">
              <w:t xml:space="preserve">ork collaboratively with </w:t>
            </w:r>
            <w:r>
              <w:t xml:space="preserve">the Magistrates’ Court of Victoria and </w:t>
            </w:r>
            <w:r w:rsidRPr="000E4FD6">
              <w:t xml:space="preserve">our </w:t>
            </w:r>
            <w:r>
              <w:t xml:space="preserve">legal assistance </w:t>
            </w:r>
            <w:r w:rsidRPr="000E4FD6">
              <w:t xml:space="preserve">partners </w:t>
            </w:r>
            <w:r>
              <w:t xml:space="preserve">to </w:t>
            </w:r>
            <w:r w:rsidRPr="000E4FD6">
              <w:rPr>
                <w:szCs w:val="20"/>
              </w:rPr>
              <w:t xml:space="preserve">develop and </w:t>
            </w:r>
            <w:r>
              <w:rPr>
                <w:szCs w:val="20"/>
              </w:rPr>
              <w:t xml:space="preserve">begin delivering new legal services for people going through the new </w:t>
            </w:r>
            <w:r w:rsidRPr="000E4FD6">
              <w:rPr>
                <w:szCs w:val="20"/>
              </w:rPr>
              <w:t>Specialist Family Violence Courts in Victoria</w:t>
            </w:r>
          </w:p>
        </w:tc>
        <w:tc>
          <w:tcPr>
            <w:tcW w:w="3956" w:type="dxa"/>
          </w:tcPr>
          <w:p w14:paraId="1871AC16" w14:textId="77777777" w:rsidR="008A00EA" w:rsidRPr="00F81438" w:rsidRDefault="008A00EA" w:rsidP="00F81438">
            <w:pPr>
              <w:pStyle w:val="ListParagraph"/>
              <w:numPr>
                <w:ilvl w:val="0"/>
                <w:numId w:val="60"/>
              </w:numPr>
              <w:spacing w:after="0" w:line="276" w:lineRule="auto"/>
              <w:ind w:left="321" w:hanging="284"/>
              <w:rPr>
                <w:sz w:val="20"/>
              </w:rPr>
            </w:pPr>
            <w:r w:rsidRPr="00F81438">
              <w:rPr>
                <w:sz w:val="20"/>
              </w:rPr>
              <w:t>We are delivering services to clients within the new Specialist Family Violence Courts in Victoria as each court commences</w:t>
            </w:r>
          </w:p>
          <w:p w14:paraId="5BE396E4" w14:textId="77777777" w:rsidR="008A00EA" w:rsidRDefault="008A00EA" w:rsidP="00F81438">
            <w:pPr>
              <w:spacing w:after="0" w:line="276" w:lineRule="auto"/>
              <w:ind w:left="321" w:hanging="284"/>
              <w:rPr>
                <w:sz w:val="20"/>
              </w:rPr>
            </w:pPr>
          </w:p>
          <w:p w14:paraId="45208CEF" w14:textId="77777777" w:rsidR="008A00EA" w:rsidRPr="003C32F1" w:rsidRDefault="008A00EA" w:rsidP="00F81438">
            <w:pPr>
              <w:spacing w:after="0" w:line="276" w:lineRule="auto"/>
              <w:ind w:left="321" w:hanging="284"/>
              <w:rPr>
                <w:sz w:val="20"/>
              </w:rPr>
            </w:pPr>
          </w:p>
        </w:tc>
        <w:tc>
          <w:tcPr>
            <w:tcW w:w="1857" w:type="dxa"/>
          </w:tcPr>
          <w:p w14:paraId="0CCB7A14" w14:textId="77777777" w:rsidR="008A00EA" w:rsidRDefault="008A00EA" w:rsidP="008A00EA">
            <w:pPr>
              <w:spacing w:after="0" w:line="276" w:lineRule="auto"/>
              <w:rPr>
                <w:sz w:val="20"/>
              </w:rPr>
            </w:pPr>
            <w:r w:rsidRPr="005F5C76">
              <w:rPr>
                <w:sz w:val="20"/>
              </w:rPr>
              <w:t>Executive Director, Family Youth and Children’s Law</w:t>
            </w:r>
          </w:p>
        </w:tc>
      </w:tr>
    </w:tbl>
    <w:p w14:paraId="481BE8FE" w14:textId="5A20E333" w:rsidR="008A00EA" w:rsidRPr="00325B1A" w:rsidRDefault="00325B1A" w:rsidP="00F81438">
      <w:pPr>
        <w:pStyle w:val="Heading4"/>
        <w:numPr>
          <w:ilvl w:val="0"/>
          <w:numId w:val="30"/>
        </w:numPr>
      </w:pPr>
      <w:bookmarkStart w:id="71" w:name="_Hlk20737292"/>
      <w:bookmarkEnd w:id="70"/>
      <w:r w:rsidRPr="0030023F">
        <w:t>People feel safe and supported at work</w:t>
      </w:r>
    </w:p>
    <w:tbl>
      <w:tblPr>
        <w:tblStyle w:val="TableGrid"/>
        <w:tblW w:w="0" w:type="auto"/>
        <w:tblLook w:val="04A0" w:firstRow="1" w:lastRow="0" w:firstColumn="1" w:lastColumn="0" w:noHBand="0" w:noVBand="1"/>
      </w:tblPr>
      <w:tblGrid>
        <w:gridCol w:w="3957"/>
        <w:gridCol w:w="3956"/>
        <w:gridCol w:w="1857"/>
      </w:tblGrid>
      <w:tr w:rsidR="00CF618C" w:rsidRPr="00CF618C" w14:paraId="3F70B63B" w14:textId="77777777" w:rsidTr="0030023F">
        <w:tc>
          <w:tcPr>
            <w:tcW w:w="3957" w:type="dxa"/>
            <w:shd w:val="clear" w:color="auto" w:fill="D9D9D9" w:themeFill="background1" w:themeFillShade="D9"/>
          </w:tcPr>
          <w:p w14:paraId="615E3D0B" w14:textId="7E536D85" w:rsidR="00CF618C" w:rsidRPr="0030023F" w:rsidRDefault="00CF618C" w:rsidP="0030023F">
            <w:pPr>
              <w:pStyle w:val="Style1"/>
              <w:numPr>
                <w:ilvl w:val="0"/>
                <w:numId w:val="0"/>
              </w:numPr>
              <w:spacing w:before="0" w:after="0" w:line="276" w:lineRule="auto"/>
              <w:rPr>
                <w:rFonts w:cs="Times New Roman"/>
                <w:b/>
                <w:bCs/>
                <w:sz w:val="22"/>
                <w:szCs w:val="22"/>
              </w:rPr>
            </w:pPr>
            <w:bookmarkStart w:id="72" w:name="_Hlk20737299"/>
            <w:bookmarkEnd w:id="71"/>
            <w:r w:rsidRPr="0030023F">
              <w:rPr>
                <w:rFonts w:cs="Times New Roman"/>
                <w:b/>
                <w:bCs/>
                <w:sz w:val="22"/>
                <w:szCs w:val="22"/>
              </w:rPr>
              <w:t xml:space="preserve">Priority actions </w:t>
            </w:r>
          </w:p>
        </w:tc>
        <w:tc>
          <w:tcPr>
            <w:tcW w:w="3956" w:type="dxa"/>
            <w:shd w:val="clear" w:color="auto" w:fill="D9D9D9" w:themeFill="background1" w:themeFillShade="D9"/>
          </w:tcPr>
          <w:p w14:paraId="7758C229" w14:textId="5EE40053" w:rsidR="00CF618C" w:rsidRPr="0030023F" w:rsidRDefault="00CF618C" w:rsidP="00E660BE">
            <w:pPr>
              <w:spacing w:after="0" w:line="276" w:lineRule="auto"/>
              <w:rPr>
                <w:b/>
                <w:bCs/>
                <w:szCs w:val="22"/>
              </w:rPr>
            </w:pPr>
            <w:r w:rsidRPr="0030023F">
              <w:rPr>
                <w:b/>
                <w:bCs/>
                <w:szCs w:val="22"/>
              </w:rPr>
              <w:t xml:space="preserve">Performance measures </w:t>
            </w:r>
          </w:p>
        </w:tc>
        <w:tc>
          <w:tcPr>
            <w:tcW w:w="1857" w:type="dxa"/>
            <w:shd w:val="clear" w:color="auto" w:fill="D9D9D9" w:themeFill="background1" w:themeFillShade="D9"/>
          </w:tcPr>
          <w:p w14:paraId="231D8B2B" w14:textId="2C1CA06A" w:rsidR="00CF618C" w:rsidRPr="0030023F" w:rsidRDefault="00CF618C" w:rsidP="00E660BE">
            <w:pPr>
              <w:spacing w:after="0" w:line="276" w:lineRule="auto"/>
              <w:rPr>
                <w:b/>
                <w:bCs/>
                <w:szCs w:val="22"/>
              </w:rPr>
            </w:pPr>
            <w:r w:rsidRPr="0030023F">
              <w:rPr>
                <w:b/>
                <w:bCs/>
                <w:szCs w:val="22"/>
              </w:rPr>
              <w:t xml:space="preserve">Responsibility </w:t>
            </w:r>
          </w:p>
        </w:tc>
      </w:tr>
      <w:tr w:rsidR="00394628" w14:paraId="28456FBE" w14:textId="77777777" w:rsidTr="002C4B96">
        <w:tc>
          <w:tcPr>
            <w:tcW w:w="3957" w:type="dxa"/>
          </w:tcPr>
          <w:p w14:paraId="42148ABA" w14:textId="46F81CA2" w:rsidR="00394628" w:rsidRPr="0084183F" w:rsidRDefault="00394628" w:rsidP="00E660BE">
            <w:pPr>
              <w:pStyle w:val="Style1"/>
              <w:spacing w:before="0" w:after="0" w:line="276" w:lineRule="auto"/>
              <w:rPr>
                <w:rFonts w:cs="Times New Roman"/>
                <w:szCs w:val="20"/>
              </w:rPr>
            </w:pPr>
            <w:r w:rsidRPr="0084183F">
              <w:rPr>
                <w:rFonts w:cs="Times New Roman"/>
                <w:szCs w:val="20"/>
              </w:rPr>
              <w:t xml:space="preserve">Work with our staff to implement findings of our safe driving review and recent Health Safety Wellbeing audit and attend to high risk worksites  </w:t>
            </w:r>
          </w:p>
        </w:tc>
        <w:tc>
          <w:tcPr>
            <w:tcW w:w="3956" w:type="dxa"/>
          </w:tcPr>
          <w:p w14:paraId="236882F2" w14:textId="77777777" w:rsidR="00394628" w:rsidRPr="00F81438" w:rsidRDefault="00394628" w:rsidP="00F81438">
            <w:pPr>
              <w:pStyle w:val="ListParagraph"/>
              <w:numPr>
                <w:ilvl w:val="0"/>
                <w:numId w:val="60"/>
              </w:numPr>
              <w:spacing w:after="0" w:line="276" w:lineRule="auto"/>
              <w:ind w:left="321" w:hanging="284"/>
              <w:rPr>
                <w:sz w:val="20"/>
                <w:szCs w:val="20"/>
              </w:rPr>
            </w:pPr>
            <w:r w:rsidRPr="00F81438">
              <w:rPr>
                <w:sz w:val="20"/>
                <w:szCs w:val="20"/>
              </w:rPr>
              <w:t>Transition to a new government wide Standard Motor Vehicle Policy</w:t>
            </w:r>
          </w:p>
          <w:p w14:paraId="7B744CF6" w14:textId="77777777" w:rsidR="00394628" w:rsidRPr="00F81438" w:rsidRDefault="00394628" w:rsidP="00F81438">
            <w:pPr>
              <w:pStyle w:val="ListParagraph"/>
              <w:numPr>
                <w:ilvl w:val="0"/>
                <w:numId w:val="60"/>
              </w:numPr>
              <w:spacing w:after="0" w:line="276" w:lineRule="auto"/>
              <w:ind w:left="321" w:hanging="284"/>
              <w:rPr>
                <w:sz w:val="20"/>
                <w:szCs w:val="20"/>
              </w:rPr>
            </w:pPr>
            <w:r w:rsidRPr="00F81438">
              <w:rPr>
                <w:sz w:val="20"/>
                <w:szCs w:val="20"/>
              </w:rPr>
              <w:t xml:space="preserve">Implement updated guidelines on fatigue management and safety requirements for personal vehicle use </w:t>
            </w:r>
            <w:r w:rsidRPr="00F81438">
              <w:rPr>
                <w:sz w:val="20"/>
                <w:szCs w:val="20"/>
              </w:rPr>
              <w:lastRenderedPageBreak/>
              <w:t xml:space="preserve">for work purposes with focus on regional areas </w:t>
            </w:r>
          </w:p>
          <w:p w14:paraId="291ADF3B" w14:textId="1375E019" w:rsidR="002936C7" w:rsidRPr="00AF676D" w:rsidRDefault="0050118D" w:rsidP="00F81438">
            <w:pPr>
              <w:pStyle w:val="ListParagraph"/>
              <w:numPr>
                <w:ilvl w:val="0"/>
                <w:numId w:val="60"/>
              </w:numPr>
              <w:spacing w:after="0" w:line="276" w:lineRule="auto"/>
              <w:ind w:left="321" w:hanging="284"/>
              <w:rPr>
                <w:sz w:val="20"/>
                <w:szCs w:val="20"/>
              </w:rPr>
            </w:pPr>
            <w:r w:rsidRPr="00F81438">
              <w:rPr>
                <w:sz w:val="20"/>
                <w:szCs w:val="20"/>
              </w:rPr>
              <w:t>U</w:t>
            </w:r>
            <w:r w:rsidR="00394628" w:rsidRPr="00F81438">
              <w:rPr>
                <w:sz w:val="20"/>
                <w:szCs w:val="20"/>
              </w:rPr>
              <w:t>pgrade duty lawyer rooms at Broadmeadows Magistrates</w:t>
            </w:r>
            <w:r w:rsidR="00A47801" w:rsidRPr="00F81438">
              <w:rPr>
                <w:sz w:val="20"/>
                <w:szCs w:val="20"/>
              </w:rPr>
              <w:t>’</w:t>
            </w:r>
            <w:r w:rsidR="00394628" w:rsidRPr="00F81438">
              <w:rPr>
                <w:sz w:val="20"/>
                <w:szCs w:val="20"/>
              </w:rPr>
              <w:t xml:space="preserve"> Court in partnership with Court Services Victoria</w:t>
            </w:r>
          </w:p>
        </w:tc>
        <w:tc>
          <w:tcPr>
            <w:tcW w:w="1857" w:type="dxa"/>
          </w:tcPr>
          <w:p w14:paraId="06F2B639" w14:textId="3B5A0ED1" w:rsidR="00394628" w:rsidRPr="005F5C76" w:rsidRDefault="00394628" w:rsidP="00E660BE">
            <w:pPr>
              <w:spacing w:after="0" w:line="276" w:lineRule="auto"/>
              <w:rPr>
                <w:sz w:val="20"/>
              </w:rPr>
            </w:pPr>
            <w:r w:rsidRPr="006F0C63">
              <w:rPr>
                <w:sz w:val="20"/>
                <w:szCs w:val="20"/>
              </w:rPr>
              <w:lastRenderedPageBreak/>
              <w:t xml:space="preserve">Executive Director, Corporate Affairs </w:t>
            </w:r>
          </w:p>
        </w:tc>
      </w:tr>
      <w:tr w:rsidR="00385063" w14:paraId="4BD1AFD2" w14:textId="77777777" w:rsidTr="002C4B96">
        <w:tc>
          <w:tcPr>
            <w:tcW w:w="3957" w:type="dxa"/>
          </w:tcPr>
          <w:p w14:paraId="7464752C" w14:textId="3F1AF33E" w:rsidR="00385063" w:rsidRPr="0084183F" w:rsidRDefault="00385063" w:rsidP="00E660BE">
            <w:pPr>
              <w:pStyle w:val="Style1"/>
              <w:spacing w:before="0" w:after="0" w:line="276" w:lineRule="auto"/>
            </w:pPr>
            <w:r w:rsidRPr="0084183F">
              <w:t xml:space="preserve">Develop a </w:t>
            </w:r>
            <w:r w:rsidR="00496F56">
              <w:t>P</w:t>
            </w:r>
            <w:r w:rsidRPr="0084183F">
              <w:t xml:space="preserve">sychological </w:t>
            </w:r>
            <w:r w:rsidR="00496F56">
              <w:t>W</w:t>
            </w:r>
            <w:r w:rsidRPr="0084183F">
              <w:t xml:space="preserve">ellbeing </w:t>
            </w:r>
            <w:r w:rsidR="00496F56">
              <w:t>P</w:t>
            </w:r>
            <w:r w:rsidRPr="0084183F">
              <w:t>lan having regard to the findings of several interim initiatives and pilots</w:t>
            </w:r>
          </w:p>
        </w:tc>
        <w:tc>
          <w:tcPr>
            <w:tcW w:w="3956" w:type="dxa"/>
          </w:tcPr>
          <w:p w14:paraId="1C3F7769" w14:textId="250824F8" w:rsidR="00385063" w:rsidRPr="00F81438" w:rsidRDefault="002751B3" w:rsidP="00F81438">
            <w:pPr>
              <w:pStyle w:val="ListParagraph"/>
              <w:numPr>
                <w:ilvl w:val="0"/>
                <w:numId w:val="60"/>
              </w:numPr>
              <w:spacing w:after="0" w:line="276" w:lineRule="auto"/>
              <w:ind w:left="321" w:hanging="284"/>
              <w:rPr>
                <w:sz w:val="20"/>
                <w:szCs w:val="20"/>
              </w:rPr>
            </w:pPr>
            <w:r w:rsidRPr="00F81438">
              <w:rPr>
                <w:sz w:val="20"/>
                <w:szCs w:val="20"/>
              </w:rPr>
              <w:t xml:space="preserve">Wellbeing plan is endorsed by the Board </w:t>
            </w:r>
            <w:r w:rsidR="000D7A76" w:rsidRPr="00F81438">
              <w:rPr>
                <w:sz w:val="20"/>
                <w:szCs w:val="20"/>
              </w:rPr>
              <w:t>and</w:t>
            </w:r>
            <w:r w:rsidRPr="00F81438">
              <w:rPr>
                <w:sz w:val="20"/>
                <w:szCs w:val="20"/>
              </w:rPr>
              <w:t xml:space="preserve"> launched with staff</w:t>
            </w:r>
          </w:p>
          <w:p w14:paraId="0062A4D4" w14:textId="5B2AA4B6" w:rsidR="00C35322" w:rsidRPr="00F81438" w:rsidRDefault="00C35322" w:rsidP="00F81438">
            <w:pPr>
              <w:pStyle w:val="ListParagraph"/>
              <w:numPr>
                <w:ilvl w:val="0"/>
                <w:numId w:val="60"/>
              </w:numPr>
              <w:spacing w:after="0" w:line="276" w:lineRule="auto"/>
              <w:ind w:left="321" w:hanging="284"/>
              <w:rPr>
                <w:sz w:val="20"/>
                <w:szCs w:val="20"/>
              </w:rPr>
            </w:pPr>
            <w:r w:rsidRPr="00F81438">
              <w:rPr>
                <w:sz w:val="20"/>
                <w:szCs w:val="20"/>
              </w:rPr>
              <w:t xml:space="preserve">Number of </w:t>
            </w:r>
            <w:r w:rsidR="002751B3" w:rsidRPr="00F81438">
              <w:rPr>
                <w:sz w:val="20"/>
                <w:szCs w:val="20"/>
              </w:rPr>
              <w:t>staff</w:t>
            </w:r>
            <w:r w:rsidRPr="00F81438">
              <w:rPr>
                <w:sz w:val="20"/>
                <w:szCs w:val="20"/>
              </w:rPr>
              <w:t xml:space="preserve"> accessing service</w:t>
            </w:r>
            <w:r w:rsidR="002751B3" w:rsidRPr="00F81438">
              <w:rPr>
                <w:sz w:val="20"/>
                <w:szCs w:val="20"/>
              </w:rPr>
              <w:t>s</w:t>
            </w:r>
            <w:r w:rsidRPr="00F81438">
              <w:rPr>
                <w:sz w:val="20"/>
                <w:szCs w:val="20"/>
              </w:rPr>
              <w:t xml:space="preserve"> </w:t>
            </w:r>
          </w:p>
          <w:p w14:paraId="4CF00CAC" w14:textId="027C879D" w:rsidR="00046C6F" w:rsidRPr="0084183F" w:rsidRDefault="00046C6F" w:rsidP="00F81438">
            <w:pPr>
              <w:spacing w:after="0" w:line="276" w:lineRule="auto"/>
              <w:ind w:left="321" w:hanging="284"/>
              <w:rPr>
                <w:sz w:val="20"/>
                <w:szCs w:val="20"/>
              </w:rPr>
            </w:pPr>
          </w:p>
        </w:tc>
        <w:tc>
          <w:tcPr>
            <w:tcW w:w="1857" w:type="dxa"/>
          </w:tcPr>
          <w:p w14:paraId="30230DB5" w14:textId="642323B9" w:rsidR="00385063" w:rsidRPr="006F0C63" w:rsidRDefault="00385063" w:rsidP="00E660BE">
            <w:pPr>
              <w:spacing w:after="0" w:line="276" w:lineRule="auto"/>
              <w:rPr>
                <w:sz w:val="20"/>
                <w:szCs w:val="20"/>
              </w:rPr>
            </w:pPr>
            <w:r w:rsidRPr="006F0C63">
              <w:rPr>
                <w:sz w:val="20"/>
                <w:szCs w:val="20"/>
              </w:rPr>
              <w:t>Executive Director, Corporate Affairs</w:t>
            </w:r>
          </w:p>
        </w:tc>
      </w:tr>
      <w:tr w:rsidR="00210BE4" w14:paraId="327E36C9" w14:textId="77777777" w:rsidTr="002C4B96">
        <w:tc>
          <w:tcPr>
            <w:tcW w:w="3957" w:type="dxa"/>
          </w:tcPr>
          <w:p w14:paraId="325862CE" w14:textId="6F91318E" w:rsidR="00210BE4" w:rsidRPr="0084183F" w:rsidRDefault="00210BE4" w:rsidP="00E660BE">
            <w:pPr>
              <w:pStyle w:val="Style1"/>
              <w:spacing w:before="0" w:after="0" w:line="276" w:lineRule="auto"/>
            </w:pPr>
            <w:r w:rsidRPr="0084183F">
              <w:t xml:space="preserve">Cultural Diversity Consultative Committee </w:t>
            </w:r>
            <w:r w:rsidR="000A4D6A" w:rsidRPr="0084183F">
              <w:t xml:space="preserve">leads the </w:t>
            </w:r>
            <w:r w:rsidRPr="0084183F">
              <w:t>develop</w:t>
            </w:r>
            <w:r w:rsidR="000A4D6A" w:rsidRPr="0084183F">
              <w:t>ment of</w:t>
            </w:r>
            <w:r w:rsidRPr="0084183F">
              <w:t xml:space="preserve"> our first Cultural Diversity Inclusion Framework </w:t>
            </w:r>
          </w:p>
        </w:tc>
        <w:tc>
          <w:tcPr>
            <w:tcW w:w="3956" w:type="dxa"/>
          </w:tcPr>
          <w:p w14:paraId="6A83C021" w14:textId="2EB94B92" w:rsidR="002751B3" w:rsidRPr="00F81438" w:rsidRDefault="00210BE4" w:rsidP="00F81438">
            <w:pPr>
              <w:pStyle w:val="ListParagraph"/>
              <w:numPr>
                <w:ilvl w:val="0"/>
                <w:numId w:val="60"/>
              </w:numPr>
              <w:spacing w:after="0" w:line="276" w:lineRule="auto"/>
              <w:ind w:left="321" w:hanging="284"/>
              <w:rPr>
                <w:rFonts w:cs="Arial"/>
                <w:sz w:val="20"/>
              </w:rPr>
            </w:pPr>
            <w:r w:rsidRPr="00F81438">
              <w:rPr>
                <w:rFonts w:cs="Arial"/>
                <w:sz w:val="20"/>
              </w:rPr>
              <w:t xml:space="preserve">Cultural Diversity Inclusion Framework </w:t>
            </w:r>
            <w:r w:rsidR="002751B3" w:rsidRPr="00F81438">
              <w:rPr>
                <w:rFonts w:cs="Arial"/>
                <w:sz w:val="20"/>
              </w:rPr>
              <w:t>is endorsed by the Board</w:t>
            </w:r>
            <w:r w:rsidR="000D7A76" w:rsidRPr="00F81438">
              <w:rPr>
                <w:rFonts w:cs="Arial"/>
                <w:sz w:val="20"/>
              </w:rPr>
              <w:t xml:space="preserve"> and </w:t>
            </w:r>
            <w:r w:rsidR="002751B3" w:rsidRPr="00F81438">
              <w:rPr>
                <w:rFonts w:cs="Arial"/>
                <w:sz w:val="20"/>
              </w:rPr>
              <w:t>launched with staff</w:t>
            </w:r>
          </w:p>
          <w:p w14:paraId="30BA9A39" w14:textId="77777777" w:rsidR="006F5DE9" w:rsidRDefault="006F5DE9" w:rsidP="00F81438">
            <w:pPr>
              <w:spacing w:after="0" w:line="276" w:lineRule="auto"/>
              <w:ind w:left="321" w:hanging="284"/>
              <w:rPr>
                <w:rFonts w:cs="Arial"/>
                <w:sz w:val="20"/>
              </w:rPr>
            </w:pPr>
          </w:p>
          <w:p w14:paraId="03D33528" w14:textId="049509B8" w:rsidR="00046C6F" w:rsidRPr="0084183F" w:rsidRDefault="00046C6F" w:rsidP="00F81438">
            <w:pPr>
              <w:spacing w:after="0" w:line="276" w:lineRule="auto"/>
              <w:ind w:left="321" w:hanging="284"/>
              <w:rPr>
                <w:rFonts w:cs="Arial"/>
                <w:sz w:val="20"/>
              </w:rPr>
            </w:pPr>
          </w:p>
        </w:tc>
        <w:tc>
          <w:tcPr>
            <w:tcW w:w="1857" w:type="dxa"/>
          </w:tcPr>
          <w:p w14:paraId="58AAFB79" w14:textId="2DD1AB99" w:rsidR="00210BE4" w:rsidRPr="006F0C63" w:rsidRDefault="00210BE4" w:rsidP="00E660BE">
            <w:pPr>
              <w:spacing w:after="0" w:line="276" w:lineRule="auto"/>
              <w:rPr>
                <w:sz w:val="20"/>
                <w:szCs w:val="20"/>
              </w:rPr>
            </w:pPr>
            <w:r w:rsidRPr="006F0C63">
              <w:rPr>
                <w:sz w:val="20"/>
                <w:szCs w:val="20"/>
              </w:rPr>
              <w:t>Executive Director, Corporate Affairs</w:t>
            </w:r>
          </w:p>
        </w:tc>
      </w:tr>
      <w:tr w:rsidR="009603FF" w14:paraId="562F20F4" w14:textId="77777777" w:rsidTr="002C4B96">
        <w:tc>
          <w:tcPr>
            <w:tcW w:w="3957" w:type="dxa"/>
          </w:tcPr>
          <w:p w14:paraId="0B23184B" w14:textId="77F6F882" w:rsidR="009603FF" w:rsidRPr="0084183F" w:rsidRDefault="009603FF" w:rsidP="00E660BE">
            <w:pPr>
              <w:pStyle w:val="Style1"/>
              <w:spacing w:before="0" w:after="0" w:line="276" w:lineRule="auto"/>
            </w:pPr>
            <w:r w:rsidRPr="0084183F">
              <w:t xml:space="preserve">Undertake </w:t>
            </w:r>
            <w:r w:rsidR="00716F4E">
              <w:t>the People Matters Survey (</w:t>
            </w:r>
            <w:r w:rsidR="00496F56">
              <w:t xml:space="preserve">PMS) </w:t>
            </w:r>
            <w:r w:rsidR="00496F56" w:rsidRPr="0084183F">
              <w:t>to</w:t>
            </w:r>
            <w:r w:rsidRPr="0084183F">
              <w:t xml:space="preserve"> check</w:t>
            </w:r>
            <w:r w:rsidR="00071C0C">
              <w:t>-</w:t>
            </w:r>
            <w:r w:rsidRPr="0084183F">
              <w:t>in on our progress since our last employee engagement survey</w:t>
            </w:r>
          </w:p>
        </w:tc>
        <w:tc>
          <w:tcPr>
            <w:tcW w:w="3956" w:type="dxa"/>
          </w:tcPr>
          <w:p w14:paraId="5C67A619" w14:textId="58A8923B" w:rsidR="00802C0A" w:rsidRPr="0084183F" w:rsidRDefault="009603FF" w:rsidP="00F81438">
            <w:pPr>
              <w:pStyle w:val="ListParagraph"/>
              <w:numPr>
                <w:ilvl w:val="0"/>
                <w:numId w:val="60"/>
              </w:numPr>
              <w:spacing w:after="0" w:line="276" w:lineRule="auto"/>
              <w:ind w:left="321" w:hanging="284"/>
              <w:rPr>
                <w:sz w:val="20"/>
                <w:szCs w:val="20"/>
              </w:rPr>
            </w:pPr>
            <w:r w:rsidRPr="00F81438">
              <w:rPr>
                <w:sz w:val="20"/>
                <w:szCs w:val="20"/>
              </w:rPr>
              <w:t xml:space="preserve">Improvement in key areas of attention identified in our last employee engagement results, namely staff workload, IT systems, </w:t>
            </w:r>
            <w:r w:rsidR="00616111" w:rsidRPr="00F81438">
              <w:rPr>
                <w:sz w:val="20"/>
                <w:szCs w:val="20"/>
              </w:rPr>
              <w:t xml:space="preserve">and </w:t>
            </w:r>
            <w:r w:rsidRPr="00F81438">
              <w:rPr>
                <w:sz w:val="20"/>
                <w:szCs w:val="20"/>
              </w:rPr>
              <w:t xml:space="preserve">professional development opportunities for staff </w:t>
            </w:r>
          </w:p>
        </w:tc>
        <w:tc>
          <w:tcPr>
            <w:tcW w:w="1857" w:type="dxa"/>
          </w:tcPr>
          <w:p w14:paraId="0F5BF769" w14:textId="5FB0E705" w:rsidR="009603FF" w:rsidRPr="006F0C63" w:rsidRDefault="009603FF" w:rsidP="00E660BE">
            <w:pPr>
              <w:spacing w:after="0" w:line="276" w:lineRule="auto"/>
              <w:rPr>
                <w:sz w:val="20"/>
                <w:szCs w:val="20"/>
              </w:rPr>
            </w:pPr>
            <w:r w:rsidRPr="006F0C63">
              <w:rPr>
                <w:sz w:val="20"/>
                <w:szCs w:val="20"/>
              </w:rPr>
              <w:t>Executive Director, Corporate Affairs</w:t>
            </w:r>
          </w:p>
        </w:tc>
      </w:tr>
      <w:bookmarkEnd w:id="72"/>
    </w:tbl>
    <w:p w14:paraId="700D8FC6" w14:textId="77777777" w:rsidR="00520633" w:rsidRDefault="00520633">
      <w:pPr>
        <w:spacing w:after="0" w:line="240" w:lineRule="auto"/>
        <w:rPr>
          <w:rFonts w:cs="Arial"/>
          <w:b/>
          <w:bCs/>
          <w:color w:val="971A4B"/>
          <w:kern w:val="32"/>
          <w:sz w:val="32"/>
          <w:szCs w:val="32"/>
          <w:lang w:eastAsia="en-AU"/>
        </w:rPr>
      </w:pPr>
      <w:r>
        <w:br w:type="page"/>
      </w:r>
    </w:p>
    <w:p w14:paraId="3D62F041" w14:textId="0BB313DC" w:rsidR="00F244C0" w:rsidRDefault="00F244C0" w:rsidP="00FF6655">
      <w:pPr>
        <w:pStyle w:val="Heading1"/>
      </w:pPr>
      <w:bookmarkStart w:id="73" w:name="_Toc20289985"/>
      <w:r>
        <w:lastRenderedPageBreak/>
        <w:t>Our strategic advocacy priorities</w:t>
      </w:r>
      <w:bookmarkEnd w:id="73"/>
    </w:p>
    <w:p w14:paraId="17A7BA58" w14:textId="7BE93BDA" w:rsidR="00F244C0" w:rsidRPr="00037F0E" w:rsidRDefault="00F244C0" w:rsidP="00F244C0">
      <w:pPr>
        <w:rPr>
          <w:rFonts w:eastAsia="Calibri" w:cs="Arial"/>
        </w:rPr>
      </w:pPr>
      <w:r>
        <w:rPr>
          <w:rFonts w:eastAsia="Calibri" w:cs="Arial"/>
        </w:rPr>
        <w:t>In 2019–20, o</w:t>
      </w:r>
      <w:r w:rsidRPr="00037F0E">
        <w:rPr>
          <w:rFonts w:eastAsia="Calibri" w:cs="Arial"/>
        </w:rPr>
        <w:t>ur priorities for the year are:</w:t>
      </w:r>
    </w:p>
    <w:p w14:paraId="18A47572" w14:textId="77777777" w:rsidR="00F244C0" w:rsidRPr="00496F56" w:rsidRDefault="00F244C0" w:rsidP="00F244C0">
      <w:pPr>
        <w:pStyle w:val="VLALetterText"/>
        <w:numPr>
          <w:ilvl w:val="0"/>
          <w:numId w:val="20"/>
        </w:numPr>
        <w:spacing w:after="0"/>
        <w:rPr>
          <w:bCs/>
          <w:iCs/>
        </w:rPr>
      </w:pPr>
      <w:r w:rsidRPr="00F81438">
        <w:rPr>
          <w:bCs/>
          <w:iCs/>
        </w:rPr>
        <w:t>Making sure change is shaped by the experience and expertise of people directly affected</w:t>
      </w:r>
      <w:r w:rsidRPr="00496F56">
        <w:rPr>
          <w:bCs/>
          <w:iCs/>
        </w:rPr>
        <w:t xml:space="preserve"> </w:t>
      </w:r>
    </w:p>
    <w:p w14:paraId="783A6815" w14:textId="77777777" w:rsidR="00F244C0" w:rsidRPr="0062786D" w:rsidRDefault="00F244C0" w:rsidP="00F81438">
      <w:pPr>
        <w:pStyle w:val="VLALetterText"/>
        <w:numPr>
          <w:ilvl w:val="1"/>
          <w:numId w:val="61"/>
        </w:numPr>
        <w:spacing w:after="0"/>
        <w:rPr>
          <w:i/>
          <w:iCs/>
        </w:rPr>
      </w:pPr>
      <w:r w:rsidRPr="0062786D">
        <w:rPr>
          <w:i/>
          <w:iCs/>
        </w:rPr>
        <w:t>We aim to ensure the perspectives and views of our clients and the Victorian community are reflected in reforms to law, policy and practice.</w:t>
      </w:r>
    </w:p>
    <w:p w14:paraId="73B7ED61" w14:textId="77777777" w:rsidR="00F244C0" w:rsidRPr="00155C43" w:rsidRDefault="00F244C0" w:rsidP="00F81438">
      <w:pPr>
        <w:pStyle w:val="VLALetterText"/>
        <w:numPr>
          <w:ilvl w:val="1"/>
          <w:numId w:val="61"/>
        </w:numPr>
        <w:rPr>
          <w:iCs/>
        </w:rPr>
      </w:pPr>
      <w:r w:rsidRPr="0062786D">
        <w:rPr>
          <w:i/>
          <w:iCs/>
        </w:rPr>
        <w:t xml:space="preserve">We promote the importance of Aboriginal and Torres Strait Islander self-determination and culturally responsive and safe services. </w:t>
      </w:r>
      <w:r w:rsidRPr="00155C43">
        <w:rPr>
          <w:iCs/>
        </w:rPr>
        <w:t xml:space="preserve"> </w:t>
      </w:r>
    </w:p>
    <w:p w14:paraId="721A96E6" w14:textId="77777777" w:rsidR="00F244C0" w:rsidRPr="00F81438" w:rsidRDefault="00F244C0" w:rsidP="00F244C0">
      <w:pPr>
        <w:pStyle w:val="VLALetterText"/>
        <w:numPr>
          <w:ilvl w:val="0"/>
          <w:numId w:val="20"/>
        </w:numPr>
        <w:spacing w:after="0"/>
        <w:ind w:left="714" w:hanging="357"/>
        <w:rPr>
          <w:bCs/>
          <w:iCs/>
        </w:rPr>
      </w:pPr>
      <w:r w:rsidRPr="00F81438">
        <w:rPr>
          <w:bCs/>
          <w:iCs/>
        </w:rPr>
        <w:t xml:space="preserve">Intervening early to promote social inclusion and prevent the escalation of legal and life issues </w:t>
      </w:r>
    </w:p>
    <w:p w14:paraId="011BEEB8" w14:textId="77777777" w:rsidR="00F244C0" w:rsidRPr="0062786D" w:rsidRDefault="00F244C0" w:rsidP="00F81438">
      <w:pPr>
        <w:pStyle w:val="VLALetterText"/>
        <w:numPr>
          <w:ilvl w:val="1"/>
          <w:numId w:val="62"/>
        </w:numPr>
        <w:rPr>
          <w:i/>
          <w:iCs/>
        </w:rPr>
      </w:pPr>
      <w:r w:rsidRPr="0062786D">
        <w:rPr>
          <w:i/>
          <w:iCs/>
        </w:rPr>
        <w:t>We support the</w:t>
      </w:r>
      <w:r>
        <w:rPr>
          <w:i/>
          <w:iCs/>
        </w:rPr>
        <w:t xml:space="preserve"> early </w:t>
      </w:r>
      <w:r w:rsidRPr="0062786D">
        <w:rPr>
          <w:i/>
          <w:iCs/>
        </w:rPr>
        <w:t xml:space="preserve">provision of legal and other services to improve people’s lives and prevent issues from escalating. </w:t>
      </w:r>
    </w:p>
    <w:p w14:paraId="27A1B162" w14:textId="77777777" w:rsidR="00F244C0" w:rsidRPr="00F81438" w:rsidRDefault="00F244C0" w:rsidP="00F244C0">
      <w:pPr>
        <w:pStyle w:val="VLALetterText"/>
        <w:numPr>
          <w:ilvl w:val="0"/>
          <w:numId w:val="20"/>
        </w:numPr>
        <w:spacing w:after="0"/>
        <w:rPr>
          <w:bCs/>
          <w:iCs/>
        </w:rPr>
      </w:pPr>
      <w:r w:rsidRPr="00F81438">
        <w:rPr>
          <w:bCs/>
          <w:iCs/>
        </w:rPr>
        <w:t>Contributing to a safe, fair, responsive, and accessible justice system with people at its centre</w:t>
      </w:r>
    </w:p>
    <w:p w14:paraId="011EBA59" w14:textId="77777777" w:rsidR="00F244C0" w:rsidRPr="0062786D" w:rsidRDefault="00F244C0" w:rsidP="00F81438">
      <w:pPr>
        <w:pStyle w:val="VLALetterText"/>
        <w:numPr>
          <w:ilvl w:val="1"/>
          <w:numId w:val="63"/>
        </w:numPr>
        <w:spacing w:after="0"/>
        <w:rPr>
          <w:i/>
          <w:iCs/>
        </w:rPr>
      </w:pPr>
      <w:r w:rsidRPr="0062786D">
        <w:rPr>
          <w:i/>
          <w:iCs/>
        </w:rPr>
        <w:t xml:space="preserve">We seek fair and sustainable reforms to </w:t>
      </w:r>
      <w:r w:rsidRPr="0028306A">
        <w:rPr>
          <w:i/>
          <w:iCs/>
        </w:rPr>
        <w:t>dispute resolution, court and tribunal</w:t>
      </w:r>
      <w:r>
        <w:rPr>
          <w:i/>
          <w:iCs/>
        </w:rPr>
        <w:t>,</w:t>
      </w:r>
      <w:r w:rsidRPr="0028306A">
        <w:rPr>
          <w:i/>
          <w:iCs/>
        </w:rPr>
        <w:t xml:space="preserve"> and justice system</w:t>
      </w:r>
      <w:r w:rsidRPr="0062786D">
        <w:rPr>
          <w:i/>
          <w:iCs/>
        </w:rPr>
        <w:t xml:space="preserve"> processes that lead to equitable outcomes.</w:t>
      </w:r>
    </w:p>
    <w:p w14:paraId="12DF9AB9" w14:textId="77777777" w:rsidR="00F244C0" w:rsidRPr="00155C43" w:rsidRDefault="00F244C0" w:rsidP="00F81438">
      <w:pPr>
        <w:pStyle w:val="VLALetterText"/>
        <w:numPr>
          <w:ilvl w:val="1"/>
          <w:numId w:val="63"/>
        </w:numPr>
        <w:rPr>
          <w:iCs/>
        </w:rPr>
      </w:pPr>
      <w:r w:rsidRPr="0062786D">
        <w:rPr>
          <w:i/>
          <w:iCs/>
        </w:rPr>
        <w:t>We support equal and improved access to therapeutic supports across Victoria.</w:t>
      </w:r>
    </w:p>
    <w:p w14:paraId="273F77C0" w14:textId="77777777" w:rsidR="00F244C0" w:rsidRPr="00F81438" w:rsidRDefault="00F244C0" w:rsidP="00F244C0">
      <w:pPr>
        <w:pStyle w:val="VLALetterText"/>
        <w:numPr>
          <w:ilvl w:val="0"/>
          <w:numId w:val="20"/>
        </w:numPr>
        <w:spacing w:after="0"/>
        <w:ind w:left="714" w:hanging="357"/>
        <w:rPr>
          <w:bCs/>
          <w:iCs/>
        </w:rPr>
      </w:pPr>
      <w:r w:rsidRPr="00F81438">
        <w:rPr>
          <w:bCs/>
          <w:iCs/>
        </w:rPr>
        <w:t xml:space="preserve">Promoting rights and accountability in systems and processes that affect people's lives </w:t>
      </w:r>
    </w:p>
    <w:p w14:paraId="48E1C17D" w14:textId="6B7017D2" w:rsidR="00F244C0" w:rsidRPr="0062786D" w:rsidRDefault="00F244C0" w:rsidP="00F81438">
      <w:pPr>
        <w:pStyle w:val="VLALetterText"/>
        <w:numPr>
          <w:ilvl w:val="1"/>
          <w:numId w:val="64"/>
        </w:numPr>
        <w:rPr>
          <w:i/>
          <w:iCs/>
        </w:rPr>
      </w:pPr>
      <w:r w:rsidRPr="0062786D">
        <w:rPr>
          <w:i/>
          <w:iCs/>
        </w:rPr>
        <w:t>We pursue open, fair and accountable decision-making and conduct within public bodies.</w:t>
      </w:r>
    </w:p>
    <w:p w14:paraId="08E3442E" w14:textId="39794217" w:rsidR="008E32C0" w:rsidRDefault="00EA34F9" w:rsidP="0084183F">
      <w:r>
        <w:t>We will focus on</w:t>
      </w:r>
      <w:r w:rsidR="008E32C0">
        <w:t>:</w:t>
      </w:r>
    </w:p>
    <w:p w14:paraId="1A28E731" w14:textId="121E555B" w:rsidR="008E32C0" w:rsidRDefault="008E32C0" w:rsidP="0084183F">
      <w:pPr>
        <w:pStyle w:val="ListParagraph"/>
        <w:numPr>
          <w:ilvl w:val="0"/>
          <w:numId w:val="20"/>
        </w:numPr>
      </w:pPr>
      <w:r>
        <w:t>contributing to the Royal Commission into Victoria’s Mental Health System to inform changes that promote people’s rights and recovery and reduce the negative impact of the justice system</w:t>
      </w:r>
    </w:p>
    <w:p w14:paraId="30BD36A3" w14:textId="279996D8" w:rsidR="00335B51" w:rsidRDefault="00335B51" w:rsidP="0084183F">
      <w:pPr>
        <w:pStyle w:val="ListParagraph"/>
        <w:numPr>
          <w:ilvl w:val="0"/>
          <w:numId w:val="20"/>
        </w:numPr>
      </w:pPr>
      <w:r>
        <w:t>promoting a fair and lawful social security system, including by challenging Centrelink's ‘</w:t>
      </w:r>
      <w:proofErr w:type="spellStart"/>
      <w:r>
        <w:t>robodebt</w:t>
      </w:r>
      <w:proofErr w:type="spellEnd"/>
      <w:r>
        <w:t>’ initiative</w:t>
      </w:r>
    </w:p>
    <w:p w14:paraId="2E39F5FA" w14:textId="470AE9E5" w:rsidR="008E32C0" w:rsidRDefault="008E32C0" w:rsidP="0084183F">
      <w:pPr>
        <w:pStyle w:val="ListParagraph"/>
        <w:numPr>
          <w:ilvl w:val="0"/>
          <w:numId w:val="20"/>
        </w:numPr>
      </w:pPr>
      <w:r>
        <w:t>continuing our Care not Custody campaign to reduce the unnecessary and disproportionate criminalisation of kids in care</w:t>
      </w:r>
    </w:p>
    <w:p w14:paraId="009E53FC" w14:textId="291A09B7" w:rsidR="008E32C0" w:rsidRDefault="008E32C0" w:rsidP="0084183F">
      <w:pPr>
        <w:pStyle w:val="ListParagraph"/>
        <w:numPr>
          <w:ilvl w:val="0"/>
          <w:numId w:val="20"/>
        </w:numPr>
      </w:pPr>
      <w:r>
        <w:t>advocating for family law system reform to ensure the system responds better to family violence and is safe, inclusive and accessible for everyone who needs to use it</w:t>
      </w:r>
    </w:p>
    <w:p w14:paraId="5508AE0E" w14:textId="2800DCCA" w:rsidR="008E32C0" w:rsidRDefault="008E32C0" w:rsidP="0084183F">
      <w:pPr>
        <w:pStyle w:val="ListParagraph"/>
        <w:numPr>
          <w:ilvl w:val="0"/>
          <w:numId w:val="20"/>
        </w:numPr>
      </w:pPr>
      <w:r>
        <w:t xml:space="preserve">reducing the number of minor criminal matters in court through summary offences reform and improvements to police cautioning, charging and diversion processes  </w:t>
      </w:r>
    </w:p>
    <w:p w14:paraId="490A422D" w14:textId="0EFF608E" w:rsidR="008E32C0" w:rsidRDefault="008E32C0" w:rsidP="0084183F">
      <w:pPr>
        <w:pStyle w:val="ListParagraph"/>
        <w:numPr>
          <w:ilvl w:val="0"/>
          <w:numId w:val="20"/>
        </w:numPr>
      </w:pPr>
      <w:r>
        <w:t>increasing access to therapeutic programs such as the Assessment and Referral Court, the Drug Court and other effective non-custodial interventions</w:t>
      </w:r>
    </w:p>
    <w:p w14:paraId="120B0279" w14:textId="3EA4CD4D" w:rsidR="006351DB" w:rsidRDefault="008E32C0">
      <w:pPr>
        <w:pStyle w:val="ListParagraph"/>
        <w:numPr>
          <w:ilvl w:val="0"/>
          <w:numId w:val="20"/>
        </w:numPr>
      </w:pPr>
      <w:r>
        <w:t>advocating for a National Disability Insurance Scheme that gives people with disability and their families the supports and services they want and need.</w:t>
      </w:r>
    </w:p>
    <w:p w14:paraId="5364DBB0" w14:textId="5F4CCB2C" w:rsidR="00325B1A" w:rsidRDefault="00325B1A">
      <w:pPr>
        <w:spacing w:after="0" w:line="240" w:lineRule="auto"/>
      </w:pPr>
      <w:r>
        <w:br w:type="page"/>
      </w:r>
    </w:p>
    <w:p w14:paraId="6F9363D1" w14:textId="34A55873" w:rsidR="00BE330A" w:rsidRDefault="00E92062" w:rsidP="0084183F">
      <w:pPr>
        <w:pStyle w:val="Heading1"/>
      </w:pPr>
      <w:bookmarkStart w:id="74" w:name="_Toc20289986"/>
      <w:r>
        <w:lastRenderedPageBreak/>
        <w:t>Measuring our progress</w:t>
      </w:r>
      <w:bookmarkEnd w:id="74"/>
    </w:p>
    <w:p w14:paraId="670DEB06" w14:textId="433DE620" w:rsidR="00C07BFF" w:rsidRDefault="00C07BFF" w:rsidP="002303D2">
      <w:pPr>
        <w:pStyle w:val="Heading2"/>
      </w:pPr>
      <w:bookmarkStart w:id="75" w:name="_Toc20289987"/>
      <w:bookmarkStart w:id="76" w:name="_Toc528158798"/>
      <w:bookmarkStart w:id="77" w:name="_Toc9953214"/>
      <w:r>
        <w:t xml:space="preserve">Strategy 22 </w:t>
      </w:r>
      <w:r w:rsidR="00A16D79">
        <w:t xml:space="preserve">performance </w:t>
      </w:r>
      <w:r>
        <w:t>measures</w:t>
      </w:r>
      <w:bookmarkEnd w:id="75"/>
    </w:p>
    <w:tbl>
      <w:tblPr>
        <w:tblStyle w:val="TableGrid"/>
        <w:tblW w:w="5000" w:type="pct"/>
        <w:tblLook w:val="04A0" w:firstRow="1" w:lastRow="0" w:firstColumn="1" w:lastColumn="0" w:noHBand="0" w:noVBand="1"/>
      </w:tblPr>
      <w:tblGrid>
        <w:gridCol w:w="5241"/>
        <w:gridCol w:w="4529"/>
      </w:tblGrid>
      <w:tr w:rsidR="00915648" w:rsidRPr="000A5AA1" w14:paraId="5B73913E" w14:textId="77777777" w:rsidTr="002324CF">
        <w:trPr>
          <w:tblHeader/>
        </w:trPr>
        <w:tc>
          <w:tcPr>
            <w:tcW w:w="2682" w:type="pct"/>
            <w:shd w:val="clear" w:color="auto" w:fill="D9D9D9" w:themeFill="background1" w:themeFillShade="D9"/>
          </w:tcPr>
          <w:p w14:paraId="71F0AA7D" w14:textId="0ED34686" w:rsidR="00915648" w:rsidRPr="000A5AA1" w:rsidRDefault="00653D4C" w:rsidP="00E660BE">
            <w:pPr>
              <w:spacing w:after="0" w:line="276" w:lineRule="auto"/>
              <w:rPr>
                <w:b/>
                <w:lang w:eastAsia="en-AU"/>
              </w:rPr>
            </w:pPr>
            <w:r>
              <w:rPr>
                <w:b/>
              </w:rPr>
              <w:t>M</w:t>
            </w:r>
            <w:r w:rsidR="00915648" w:rsidRPr="000A5AA1">
              <w:rPr>
                <w:b/>
              </w:rPr>
              <w:t>easure</w:t>
            </w:r>
          </w:p>
        </w:tc>
        <w:tc>
          <w:tcPr>
            <w:tcW w:w="2318" w:type="pct"/>
            <w:shd w:val="clear" w:color="auto" w:fill="D9D9D9" w:themeFill="background1" w:themeFillShade="D9"/>
            <w:vAlign w:val="center"/>
          </w:tcPr>
          <w:p w14:paraId="2457E832" w14:textId="6B0546CF" w:rsidR="00915648" w:rsidRPr="000A5AA1" w:rsidRDefault="00915648" w:rsidP="00E660BE">
            <w:pPr>
              <w:spacing w:after="0" w:line="276" w:lineRule="auto"/>
              <w:rPr>
                <w:b/>
                <w:lang w:eastAsia="en-AU"/>
              </w:rPr>
            </w:pPr>
            <w:r>
              <w:rPr>
                <w:b/>
              </w:rPr>
              <w:t>Target</w:t>
            </w:r>
            <w:r w:rsidR="00E2370F">
              <w:rPr>
                <w:b/>
              </w:rPr>
              <w:t xml:space="preserve"> </w:t>
            </w:r>
            <w:r w:rsidR="004151C6">
              <w:rPr>
                <w:b/>
              </w:rPr>
              <w:t xml:space="preserve">or actions </w:t>
            </w:r>
            <w:r w:rsidR="0043412D">
              <w:rPr>
                <w:b/>
              </w:rPr>
              <w:t xml:space="preserve">to </w:t>
            </w:r>
            <w:r w:rsidR="004151C6">
              <w:rPr>
                <w:b/>
              </w:rPr>
              <w:t>support th</w:t>
            </w:r>
            <w:r w:rsidR="002324CF">
              <w:rPr>
                <w:b/>
              </w:rPr>
              <w:t>e</w:t>
            </w:r>
            <w:r w:rsidR="004151C6">
              <w:rPr>
                <w:b/>
              </w:rPr>
              <w:t xml:space="preserve"> </w:t>
            </w:r>
            <w:r w:rsidR="00BF69A1">
              <w:rPr>
                <w:b/>
              </w:rPr>
              <w:t>measure</w:t>
            </w:r>
          </w:p>
        </w:tc>
      </w:tr>
      <w:tr w:rsidR="00915648" w:rsidRPr="000A5AA1" w14:paraId="38C9FCB7" w14:textId="77777777" w:rsidTr="002324CF">
        <w:tc>
          <w:tcPr>
            <w:tcW w:w="2682" w:type="pct"/>
            <w:shd w:val="clear" w:color="auto" w:fill="auto"/>
          </w:tcPr>
          <w:p w14:paraId="01BC4348" w14:textId="087D468D" w:rsidR="00915648" w:rsidRPr="002303D2" w:rsidRDefault="00915648" w:rsidP="00E660BE">
            <w:pPr>
              <w:spacing w:after="0" w:line="276" w:lineRule="auto"/>
              <w:rPr>
                <w:rFonts w:cs="Arial"/>
              </w:rPr>
            </w:pPr>
            <w:r w:rsidRPr="002303D2">
              <w:rPr>
                <w:rFonts w:cs="Arial"/>
                <w:b/>
              </w:rPr>
              <w:t>1:</w:t>
            </w:r>
            <w:r w:rsidRPr="002303D2">
              <w:rPr>
                <w:rFonts w:cs="Arial"/>
              </w:rPr>
              <w:t xml:space="preserve"> Increased client satisfaction with the services we provide</w:t>
            </w:r>
          </w:p>
        </w:tc>
        <w:tc>
          <w:tcPr>
            <w:tcW w:w="2318" w:type="pct"/>
            <w:shd w:val="clear" w:color="auto" w:fill="auto"/>
          </w:tcPr>
          <w:p w14:paraId="4657FE77" w14:textId="0E741FC4" w:rsidR="00915648" w:rsidRDefault="00DB7352" w:rsidP="00E660BE">
            <w:pPr>
              <w:pStyle w:val="ListParagraph"/>
              <w:numPr>
                <w:ilvl w:val="0"/>
                <w:numId w:val="24"/>
              </w:numPr>
              <w:spacing w:after="0" w:line="276" w:lineRule="auto"/>
              <w:ind w:left="357" w:hanging="357"/>
              <w:rPr>
                <w:b/>
              </w:rPr>
            </w:pPr>
            <w:r>
              <w:t>80%</w:t>
            </w:r>
            <w:r w:rsidR="00D07032">
              <w:t xml:space="preserve"> overall satis</w:t>
            </w:r>
            <w:r w:rsidR="00C4193D">
              <w:t>faction</w:t>
            </w:r>
            <w:r w:rsidR="00396074">
              <w:t xml:space="preserve"> rate</w:t>
            </w:r>
          </w:p>
        </w:tc>
      </w:tr>
      <w:tr w:rsidR="00915648" w:rsidRPr="000A5AA1" w14:paraId="4FB4A050" w14:textId="77777777" w:rsidTr="002324CF">
        <w:tc>
          <w:tcPr>
            <w:tcW w:w="2682" w:type="pct"/>
            <w:shd w:val="clear" w:color="auto" w:fill="auto"/>
          </w:tcPr>
          <w:p w14:paraId="148ACAEB" w14:textId="49084279" w:rsidR="00915648" w:rsidRPr="002303D2" w:rsidRDefault="00915648" w:rsidP="00E660BE">
            <w:pPr>
              <w:spacing w:after="0" w:line="276" w:lineRule="auto"/>
              <w:rPr>
                <w:rFonts w:cs="Arial"/>
              </w:rPr>
            </w:pPr>
            <w:r w:rsidRPr="002303D2">
              <w:rPr>
                <w:rFonts w:cs="Arial"/>
                <w:b/>
              </w:rPr>
              <w:t>2:</w:t>
            </w:r>
            <w:r w:rsidRPr="002303D2">
              <w:rPr>
                <w:rFonts w:cs="Arial"/>
              </w:rPr>
              <w:t xml:space="preserve"> Increased use of client feedback in the design of our services</w:t>
            </w:r>
          </w:p>
        </w:tc>
        <w:tc>
          <w:tcPr>
            <w:tcW w:w="2318" w:type="pct"/>
            <w:shd w:val="clear" w:color="auto" w:fill="auto"/>
            <w:vAlign w:val="center"/>
          </w:tcPr>
          <w:p w14:paraId="6A5165A0" w14:textId="536C7DFB" w:rsidR="00915648" w:rsidRPr="00814E8A" w:rsidRDefault="00AF0836" w:rsidP="00E660BE">
            <w:pPr>
              <w:pStyle w:val="ListParagraph"/>
              <w:numPr>
                <w:ilvl w:val="0"/>
                <w:numId w:val="24"/>
              </w:numPr>
              <w:spacing w:after="0" w:line="276" w:lineRule="auto"/>
              <w:ind w:left="357" w:hanging="357"/>
              <w:rPr>
                <w:rFonts w:cs="Arial"/>
              </w:rPr>
            </w:pPr>
            <w:r>
              <w:rPr>
                <w:rFonts w:cs="Arial"/>
              </w:rPr>
              <w:t xml:space="preserve">Developing framework to support this. </w:t>
            </w:r>
            <w:r w:rsidR="00814E8A">
              <w:rPr>
                <w:rFonts w:cs="Arial"/>
              </w:rPr>
              <w:t xml:space="preserve">See </w:t>
            </w:r>
            <w:r w:rsidR="008E154F">
              <w:rPr>
                <w:lang w:eastAsia="en-AU"/>
              </w:rPr>
              <w:t>Client</w:t>
            </w:r>
            <w:r w:rsidR="00A1084B">
              <w:rPr>
                <w:lang w:eastAsia="en-AU"/>
              </w:rPr>
              <w:t xml:space="preserve"> First S</w:t>
            </w:r>
            <w:r w:rsidR="008E154F">
              <w:rPr>
                <w:lang w:eastAsia="en-AU"/>
              </w:rPr>
              <w:t>trategy</w:t>
            </w:r>
          </w:p>
        </w:tc>
      </w:tr>
      <w:tr w:rsidR="00915648" w:rsidRPr="000A5AA1" w14:paraId="2BED2BCE" w14:textId="77777777" w:rsidTr="002324CF">
        <w:tc>
          <w:tcPr>
            <w:tcW w:w="2682" w:type="pct"/>
            <w:shd w:val="clear" w:color="auto" w:fill="auto"/>
          </w:tcPr>
          <w:p w14:paraId="09E74F1D" w14:textId="5CEAFF16" w:rsidR="00915648" w:rsidRPr="002303D2" w:rsidRDefault="00915648" w:rsidP="00E660BE">
            <w:pPr>
              <w:spacing w:after="0" w:line="276" w:lineRule="auto"/>
              <w:rPr>
                <w:rFonts w:cs="Arial"/>
              </w:rPr>
            </w:pPr>
            <w:r w:rsidRPr="002303D2">
              <w:rPr>
                <w:rFonts w:cs="Arial"/>
                <w:b/>
              </w:rPr>
              <w:t>3:</w:t>
            </w:r>
            <w:r w:rsidRPr="002303D2">
              <w:rPr>
                <w:rFonts w:cs="Arial"/>
              </w:rPr>
              <w:t xml:space="preserve"> Increased client and community understanding of how and when to obtain legal help</w:t>
            </w:r>
          </w:p>
        </w:tc>
        <w:tc>
          <w:tcPr>
            <w:tcW w:w="2318" w:type="pct"/>
            <w:shd w:val="clear" w:color="auto" w:fill="auto"/>
            <w:vAlign w:val="center"/>
          </w:tcPr>
          <w:p w14:paraId="73AC16A2" w14:textId="7AA095C5" w:rsidR="00915648" w:rsidRPr="00096821" w:rsidRDefault="00C71B26" w:rsidP="00E660BE">
            <w:pPr>
              <w:pStyle w:val="ListParagraph"/>
              <w:numPr>
                <w:ilvl w:val="0"/>
                <w:numId w:val="24"/>
              </w:numPr>
              <w:spacing w:after="0" w:line="276" w:lineRule="auto"/>
              <w:ind w:left="357" w:hanging="357"/>
              <w:rPr>
                <w:rFonts w:cs="Arial"/>
              </w:rPr>
            </w:pPr>
            <w:r>
              <w:rPr>
                <w:rFonts w:cs="Arial"/>
              </w:rPr>
              <w:t xml:space="preserve">Result of </w:t>
            </w:r>
            <w:r w:rsidR="003674EE" w:rsidRPr="00B12156">
              <w:rPr>
                <w:rFonts w:cs="Arial"/>
              </w:rPr>
              <w:t>85</w:t>
            </w:r>
            <w:r w:rsidR="004B1B2D" w:rsidRPr="00B12156">
              <w:rPr>
                <w:rFonts w:cs="Arial"/>
              </w:rPr>
              <w:t xml:space="preserve">% </w:t>
            </w:r>
            <w:r w:rsidR="00DC1DDA">
              <w:rPr>
                <w:rFonts w:cs="Arial"/>
              </w:rPr>
              <w:t>for clients’</w:t>
            </w:r>
            <w:r w:rsidR="00B12156">
              <w:rPr>
                <w:rFonts w:cs="Arial"/>
              </w:rPr>
              <w:t xml:space="preserve"> </w:t>
            </w:r>
            <w:r w:rsidR="00146CF8">
              <w:rPr>
                <w:rFonts w:cs="Arial"/>
              </w:rPr>
              <w:t>‘</w:t>
            </w:r>
            <w:r w:rsidR="00B12156">
              <w:rPr>
                <w:rFonts w:cs="Arial"/>
              </w:rPr>
              <w:t>c</w:t>
            </w:r>
            <w:r w:rsidR="00B60A0E" w:rsidRPr="00B60A0E">
              <w:rPr>
                <w:rFonts w:cs="Arial"/>
              </w:rPr>
              <w:t>apacity to get legal support in the future</w:t>
            </w:r>
            <w:r w:rsidR="00146CF8">
              <w:rPr>
                <w:rFonts w:cs="Arial"/>
              </w:rPr>
              <w:t>’</w:t>
            </w:r>
            <w:r w:rsidR="00B60A0E" w:rsidRPr="00B12156">
              <w:rPr>
                <w:rFonts w:cs="Arial"/>
              </w:rPr>
              <w:t xml:space="preserve"> </w:t>
            </w:r>
            <w:r w:rsidR="00CC4527">
              <w:rPr>
                <w:rFonts w:cs="Arial"/>
              </w:rPr>
              <w:t xml:space="preserve">in </w:t>
            </w:r>
            <w:r w:rsidR="00383B87">
              <w:rPr>
                <w:rFonts w:cs="Arial"/>
              </w:rPr>
              <w:t xml:space="preserve">client </w:t>
            </w:r>
            <w:r w:rsidR="00CC4527">
              <w:rPr>
                <w:rFonts w:cs="Arial"/>
              </w:rPr>
              <w:t>survey</w:t>
            </w:r>
            <w:r w:rsidR="00383B87">
              <w:rPr>
                <w:rFonts w:cs="Arial"/>
              </w:rPr>
              <w:t xml:space="preserve"> </w:t>
            </w:r>
          </w:p>
        </w:tc>
      </w:tr>
      <w:tr w:rsidR="00915648" w:rsidRPr="000A5AA1" w14:paraId="183D06C8" w14:textId="77777777" w:rsidTr="002324CF">
        <w:tc>
          <w:tcPr>
            <w:tcW w:w="2682" w:type="pct"/>
            <w:shd w:val="clear" w:color="auto" w:fill="auto"/>
          </w:tcPr>
          <w:p w14:paraId="396F6E2F" w14:textId="3E48D4BF" w:rsidR="00915648" w:rsidRPr="002303D2" w:rsidRDefault="00915648" w:rsidP="00E660BE">
            <w:pPr>
              <w:spacing w:after="0" w:line="276" w:lineRule="auto"/>
              <w:rPr>
                <w:rFonts w:cs="Arial"/>
              </w:rPr>
            </w:pPr>
            <w:r w:rsidRPr="002303D2">
              <w:rPr>
                <w:rFonts w:cs="Arial"/>
                <w:b/>
              </w:rPr>
              <w:t>4:</w:t>
            </w:r>
            <w:r w:rsidRPr="002303D2">
              <w:rPr>
                <w:rFonts w:cs="Arial"/>
              </w:rPr>
              <w:t xml:space="preserve"> Increased use of data and system capabilities to inform service design and delivery</w:t>
            </w:r>
          </w:p>
        </w:tc>
        <w:tc>
          <w:tcPr>
            <w:tcW w:w="2318" w:type="pct"/>
            <w:shd w:val="clear" w:color="auto" w:fill="auto"/>
            <w:vAlign w:val="center"/>
          </w:tcPr>
          <w:p w14:paraId="01033342" w14:textId="08E24305" w:rsidR="00D90897" w:rsidRPr="0084183F" w:rsidRDefault="00D90897" w:rsidP="00E660BE">
            <w:pPr>
              <w:pStyle w:val="ListParagraph"/>
              <w:numPr>
                <w:ilvl w:val="0"/>
                <w:numId w:val="24"/>
              </w:numPr>
              <w:spacing w:after="0" w:line="276" w:lineRule="auto"/>
              <w:ind w:left="357" w:hanging="357"/>
              <w:rPr>
                <w:b/>
              </w:rPr>
            </w:pPr>
            <w:r w:rsidRPr="00E57466">
              <w:t xml:space="preserve">Successful </w:t>
            </w:r>
            <w:r>
              <w:t xml:space="preserve">application of </w:t>
            </w:r>
            <w:r w:rsidRPr="00E57466">
              <w:t xml:space="preserve">a new technology platform </w:t>
            </w:r>
            <w:r>
              <w:t xml:space="preserve">for Legal Help and our duty lawyer services on other online triage tools </w:t>
            </w:r>
            <w:r w:rsidRPr="00E57466">
              <w:t>(</w:t>
            </w:r>
            <w:hyperlink w:anchor="_Digital_Legal_Aid" w:history="1">
              <w:r w:rsidRPr="00E6217D">
                <w:rPr>
                  <w:rStyle w:val="Hyperlink"/>
                </w:rPr>
                <w:t>Priority action 3</w:t>
              </w:r>
            </w:hyperlink>
            <w:r w:rsidRPr="00E57466">
              <w:t>)</w:t>
            </w:r>
          </w:p>
          <w:p w14:paraId="50DBB85F" w14:textId="3CC4CE8F" w:rsidR="00915648" w:rsidRDefault="00096821" w:rsidP="00E660BE">
            <w:pPr>
              <w:pStyle w:val="ListParagraph"/>
              <w:numPr>
                <w:ilvl w:val="0"/>
                <w:numId w:val="24"/>
              </w:numPr>
              <w:spacing w:after="0" w:line="276" w:lineRule="auto"/>
              <w:ind w:left="357" w:hanging="357"/>
              <w:rPr>
                <w:b/>
              </w:rPr>
            </w:pPr>
            <w:r w:rsidRPr="002303D2">
              <w:rPr>
                <w:rFonts w:cs="Arial"/>
              </w:rPr>
              <w:t>Use data effectively to ensure that our services are accessible and available where needed most</w:t>
            </w:r>
            <w:r>
              <w:rPr>
                <w:rFonts w:cs="Arial"/>
              </w:rPr>
              <w:t xml:space="preserve">. </w:t>
            </w:r>
            <w:hyperlink w:anchor="_Regional_Services_Program" w:history="1">
              <w:r w:rsidRPr="006A6308">
                <w:rPr>
                  <w:rStyle w:val="Hyperlink"/>
                  <w:rFonts w:cs="Arial"/>
                </w:rPr>
                <w:t>See Regional Services P</w:t>
              </w:r>
              <w:r w:rsidR="006A6308">
                <w:rPr>
                  <w:rStyle w:val="Hyperlink"/>
                  <w:rFonts w:cs="Arial"/>
                </w:rPr>
                <w:t>rogram</w:t>
              </w:r>
              <w:r w:rsidR="00E6217D">
                <w:rPr>
                  <w:rStyle w:val="Hyperlink"/>
                  <w:rFonts w:cs="Arial"/>
                </w:rPr>
                <w:t>.</w:t>
              </w:r>
              <w:r w:rsidR="006A6308">
                <w:rPr>
                  <w:rStyle w:val="Hyperlink"/>
                  <w:rFonts w:cs="Arial"/>
                </w:rPr>
                <w:t xml:space="preserve"> </w:t>
              </w:r>
            </w:hyperlink>
          </w:p>
        </w:tc>
      </w:tr>
      <w:tr w:rsidR="00915648" w:rsidRPr="000A5AA1" w14:paraId="7897D3E0" w14:textId="77777777" w:rsidTr="002324CF">
        <w:tc>
          <w:tcPr>
            <w:tcW w:w="2682" w:type="pct"/>
            <w:shd w:val="clear" w:color="auto" w:fill="auto"/>
          </w:tcPr>
          <w:p w14:paraId="3B954C75" w14:textId="0B16707E" w:rsidR="00915648" w:rsidRPr="002303D2" w:rsidRDefault="00915648" w:rsidP="00E660BE">
            <w:pPr>
              <w:spacing w:after="0" w:line="276" w:lineRule="auto"/>
              <w:rPr>
                <w:rFonts w:cs="Arial"/>
              </w:rPr>
            </w:pPr>
            <w:r w:rsidRPr="002303D2">
              <w:rPr>
                <w:rFonts w:cs="Arial"/>
                <w:b/>
              </w:rPr>
              <w:t>5:</w:t>
            </w:r>
            <w:r w:rsidRPr="002303D2">
              <w:rPr>
                <w:rFonts w:cs="Arial"/>
              </w:rPr>
              <w:t xml:space="preserve"> Increased staff engagement </w:t>
            </w:r>
          </w:p>
        </w:tc>
        <w:tc>
          <w:tcPr>
            <w:tcW w:w="2318" w:type="pct"/>
            <w:shd w:val="clear" w:color="auto" w:fill="auto"/>
            <w:vAlign w:val="center"/>
          </w:tcPr>
          <w:p w14:paraId="2DD8FE12" w14:textId="505A750F" w:rsidR="00915648" w:rsidRPr="002303D2" w:rsidRDefault="006F7EAA" w:rsidP="00E660BE">
            <w:pPr>
              <w:pStyle w:val="ListParagraph"/>
              <w:numPr>
                <w:ilvl w:val="0"/>
                <w:numId w:val="24"/>
              </w:numPr>
              <w:spacing w:after="0" w:line="276" w:lineRule="auto"/>
              <w:ind w:left="357" w:hanging="357"/>
              <w:rPr>
                <w:rFonts w:cs="Arial"/>
              </w:rPr>
            </w:pPr>
            <w:r>
              <w:rPr>
                <w:rFonts w:cs="Arial"/>
              </w:rPr>
              <w:t>I</w:t>
            </w:r>
            <w:r w:rsidR="004B1085">
              <w:rPr>
                <w:rFonts w:cs="Arial"/>
              </w:rPr>
              <w:t>ncrease staff satisfaction in survey results</w:t>
            </w:r>
          </w:p>
        </w:tc>
      </w:tr>
      <w:tr w:rsidR="00915648" w:rsidRPr="000A5AA1" w14:paraId="48307A1E" w14:textId="77777777" w:rsidTr="002324CF">
        <w:tc>
          <w:tcPr>
            <w:tcW w:w="2682" w:type="pct"/>
            <w:shd w:val="clear" w:color="auto" w:fill="auto"/>
          </w:tcPr>
          <w:p w14:paraId="1FAC9DEC" w14:textId="76E641B9" w:rsidR="00915648" w:rsidRPr="002303D2" w:rsidRDefault="00915648" w:rsidP="00E660BE">
            <w:pPr>
              <w:spacing w:after="0" w:line="276" w:lineRule="auto"/>
              <w:rPr>
                <w:rFonts w:cs="Arial"/>
              </w:rPr>
            </w:pPr>
            <w:r w:rsidRPr="002303D2">
              <w:rPr>
                <w:rFonts w:cs="Arial"/>
                <w:b/>
              </w:rPr>
              <w:t>6:</w:t>
            </w:r>
            <w:r w:rsidRPr="002303D2">
              <w:rPr>
                <w:rFonts w:cs="Arial"/>
              </w:rPr>
              <w:t xml:space="preserve"> Increased practice partner satisfaction</w:t>
            </w:r>
          </w:p>
        </w:tc>
        <w:tc>
          <w:tcPr>
            <w:tcW w:w="2318" w:type="pct"/>
            <w:shd w:val="clear" w:color="auto" w:fill="auto"/>
            <w:vAlign w:val="center"/>
          </w:tcPr>
          <w:p w14:paraId="14277141" w14:textId="0FCAC634" w:rsidR="00915648" w:rsidRPr="002303D2" w:rsidRDefault="00EA0B6A" w:rsidP="00E660BE">
            <w:pPr>
              <w:pStyle w:val="ListParagraph"/>
              <w:numPr>
                <w:ilvl w:val="0"/>
                <w:numId w:val="24"/>
              </w:numPr>
              <w:spacing w:after="0" w:line="276" w:lineRule="auto"/>
              <w:ind w:left="357" w:hanging="357"/>
              <w:rPr>
                <w:rFonts w:cs="Arial"/>
              </w:rPr>
            </w:pPr>
            <w:r w:rsidRPr="002303D2">
              <w:rPr>
                <w:rFonts w:cs="Arial"/>
              </w:rPr>
              <w:t>65%</w:t>
            </w:r>
            <w:r w:rsidR="00152EF1">
              <w:rPr>
                <w:rFonts w:cs="Arial"/>
              </w:rPr>
              <w:t xml:space="preserve"> </w:t>
            </w:r>
            <w:r w:rsidR="00396074">
              <w:rPr>
                <w:rFonts w:cs="Arial"/>
              </w:rPr>
              <w:t>overall satisfaction rate</w:t>
            </w:r>
          </w:p>
        </w:tc>
      </w:tr>
      <w:tr w:rsidR="00915648" w:rsidRPr="000A5AA1" w14:paraId="19CC37B2" w14:textId="77777777" w:rsidTr="002324CF">
        <w:tc>
          <w:tcPr>
            <w:tcW w:w="2682" w:type="pct"/>
            <w:shd w:val="clear" w:color="auto" w:fill="auto"/>
          </w:tcPr>
          <w:p w14:paraId="29B9E9EC" w14:textId="7A745FFF" w:rsidR="00915648" w:rsidRPr="002303D2" w:rsidRDefault="00915648" w:rsidP="00E660BE">
            <w:pPr>
              <w:spacing w:after="0" w:line="276" w:lineRule="auto"/>
              <w:rPr>
                <w:rFonts w:cs="Arial"/>
              </w:rPr>
            </w:pPr>
            <w:r w:rsidRPr="002303D2">
              <w:rPr>
                <w:rFonts w:cs="Arial"/>
                <w:b/>
              </w:rPr>
              <w:t>7:</w:t>
            </w:r>
            <w:r w:rsidRPr="002303D2">
              <w:rPr>
                <w:rFonts w:cs="Arial"/>
              </w:rPr>
              <w:t xml:space="preserve"> Increased number of practice partners accessing professional development sessions/resources.</w:t>
            </w:r>
          </w:p>
        </w:tc>
        <w:tc>
          <w:tcPr>
            <w:tcW w:w="2318" w:type="pct"/>
            <w:shd w:val="clear" w:color="auto" w:fill="auto"/>
            <w:vAlign w:val="center"/>
          </w:tcPr>
          <w:p w14:paraId="7D1E9878" w14:textId="05885B8D" w:rsidR="00915648" w:rsidRDefault="000C6813" w:rsidP="00E660BE">
            <w:pPr>
              <w:pStyle w:val="ListParagraph"/>
              <w:numPr>
                <w:ilvl w:val="0"/>
                <w:numId w:val="24"/>
              </w:numPr>
              <w:spacing w:after="0" w:line="276" w:lineRule="auto"/>
              <w:ind w:left="357" w:hanging="357"/>
              <w:rPr>
                <w:b/>
              </w:rPr>
            </w:pPr>
            <w:r>
              <w:rPr>
                <w:rFonts w:cs="Arial"/>
              </w:rPr>
              <w:t>We will set baseline figur</w:t>
            </w:r>
            <w:r w:rsidR="00DF3866">
              <w:rPr>
                <w:rFonts w:cs="Arial"/>
              </w:rPr>
              <w:t>es</w:t>
            </w:r>
            <w:r w:rsidR="00435595">
              <w:rPr>
                <w:rFonts w:cs="Arial"/>
              </w:rPr>
              <w:t xml:space="preserve"> </w:t>
            </w:r>
            <w:r w:rsidR="00873EF8">
              <w:rPr>
                <w:rFonts w:cs="Arial"/>
              </w:rPr>
              <w:t>for</w:t>
            </w:r>
            <w:r w:rsidR="00435595">
              <w:rPr>
                <w:rFonts w:cs="Arial"/>
              </w:rPr>
              <w:t xml:space="preserve"> </w:t>
            </w:r>
            <w:r w:rsidR="00DF3866">
              <w:rPr>
                <w:rFonts w:cs="Arial"/>
              </w:rPr>
              <w:t xml:space="preserve">the number of </w:t>
            </w:r>
            <w:r w:rsidR="0050635E">
              <w:rPr>
                <w:rFonts w:cs="Arial"/>
              </w:rPr>
              <w:t xml:space="preserve">legal </w:t>
            </w:r>
            <w:r w:rsidR="00435595">
              <w:rPr>
                <w:rFonts w:cs="Arial"/>
              </w:rPr>
              <w:t>practice partners accessing our</w:t>
            </w:r>
            <w:r w:rsidR="00435595" w:rsidRPr="00592F1F">
              <w:rPr>
                <w:rFonts w:cs="Arial"/>
              </w:rPr>
              <w:t xml:space="preserve"> </w:t>
            </w:r>
            <w:r w:rsidR="00435595">
              <w:rPr>
                <w:rFonts w:cs="Arial"/>
              </w:rPr>
              <w:t xml:space="preserve">professional </w:t>
            </w:r>
            <w:r w:rsidR="00915428">
              <w:rPr>
                <w:rFonts w:cs="Arial"/>
              </w:rPr>
              <w:t>legal education sessions</w:t>
            </w:r>
            <w:r w:rsidR="007613F6">
              <w:rPr>
                <w:rFonts w:cs="Arial"/>
              </w:rPr>
              <w:t xml:space="preserve"> and</w:t>
            </w:r>
            <w:r w:rsidR="00A42C03">
              <w:rPr>
                <w:rFonts w:cs="Arial"/>
              </w:rPr>
              <w:t xml:space="preserve"> online practice resources</w:t>
            </w:r>
          </w:p>
        </w:tc>
      </w:tr>
      <w:tr w:rsidR="00915648" w:rsidRPr="000A5AA1" w14:paraId="47F04172" w14:textId="77777777" w:rsidTr="002324CF">
        <w:tc>
          <w:tcPr>
            <w:tcW w:w="2682" w:type="pct"/>
            <w:shd w:val="clear" w:color="auto" w:fill="auto"/>
          </w:tcPr>
          <w:p w14:paraId="695977EA" w14:textId="5D93BB56" w:rsidR="00915648" w:rsidRPr="002303D2" w:rsidRDefault="00915648" w:rsidP="00E660BE">
            <w:pPr>
              <w:spacing w:after="0" w:line="276" w:lineRule="auto"/>
              <w:rPr>
                <w:rFonts w:cs="Arial"/>
              </w:rPr>
            </w:pPr>
            <w:r w:rsidRPr="002303D2">
              <w:rPr>
                <w:rFonts w:cs="Arial"/>
                <w:b/>
              </w:rPr>
              <w:t>8:</w:t>
            </w:r>
            <w:r w:rsidRPr="002303D2">
              <w:rPr>
                <w:rFonts w:cs="Arial"/>
              </w:rPr>
              <w:t xml:space="preserve"> Collaborative Planning Committee recommendations and advice are being applied </w:t>
            </w:r>
          </w:p>
          <w:p w14:paraId="3459BBA3" w14:textId="63CD9F8E" w:rsidR="00915648" w:rsidRPr="002303D2" w:rsidRDefault="00915648" w:rsidP="00E660BE">
            <w:pPr>
              <w:spacing w:after="0" w:line="276" w:lineRule="auto"/>
              <w:rPr>
                <w:rFonts w:cs="Arial"/>
              </w:rPr>
            </w:pPr>
          </w:p>
        </w:tc>
        <w:tc>
          <w:tcPr>
            <w:tcW w:w="2318" w:type="pct"/>
            <w:shd w:val="clear" w:color="auto" w:fill="auto"/>
            <w:vAlign w:val="center"/>
          </w:tcPr>
          <w:p w14:paraId="377AB45B" w14:textId="77777777" w:rsidR="004A229B" w:rsidRPr="004A229B" w:rsidRDefault="00AE6960" w:rsidP="00E660BE">
            <w:pPr>
              <w:pStyle w:val="ListParagraph"/>
              <w:numPr>
                <w:ilvl w:val="0"/>
                <w:numId w:val="24"/>
              </w:numPr>
              <w:spacing w:after="0" w:line="276" w:lineRule="auto"/>
              <w:ind w:left="357" w:hanging="357"/>
              <w:rPr>
                <w:rFonts w:ascii="Calibri" w:hAnsi="Calibri"/>
                <w:szCs w:val="22"/>
              </w:rPr>
            </w:pPr>
            <w:r>
              <w:rPr>
                <w:rFonts w:cs="Arial"/>
              </w:rPr>
              <w:t>The</w:t>
            </w:r>
            <w:r w:rsidR="00435595">
              <w:rPr>
                <w:rFonts w:cs="Arial"/>
              </w:rPr>
              <w:t xml:space="preserve"> Collaborative Planning Committee </w:t>
            </w:r>
            <w:r w:rsidR="00057353">
              <w:rPr>
                <w:rFonts w:cs="Arial"/>
              </w:rPr>
              <w:t xml:space="preserve">will meet </w:t>
            </w:r>
            <w:r w:rsidR="000F7500">
              <w:rPr>
                <w:rFonts w:cs="Arial"/>
              </w:rPr>
              <w:t>four times</w:t>
            </w:r>
            <w:r w:rsidR="00915649">
              <w:rPr>
                <w:rFonts w:cs="Arial"/>
              </w:rPr>
              <w:t xml:space="preserve"> </w:t>
            </w:r>
            <w:r w:rsidR="003131D3">
              <w:rPr>
                <w:rFonts w:cs="Arial"/>
              </w:rPr>
              <w:t xml:space="preserve">in 2019–20 </w:t>
            </w:r>
          </w:p>
          <w:p w14:paraId="5C73221B" w14:textId="339D600D" w:rsidR="00915648" w:rsidRPr="004A229B" w:rsidRDefault="004A229B" w:rsidP="00E660BE">
            <w:pPr>
              <w:pStyle w:val="ListParagraph"/>
              <w:numPr>
                <w:ilvl w:val="0"/>
                <w:numId w:val="24"/>
              </w:numPr>
              <w:spacing w:after="0" w:line="276" w:lineRule="auto"/>
              <w:ind w:left="357" w:hanging="357"/>
              <w:rPr>
                <w:rFonts w:ascii="Calibri" w:hAnsi="Calibri"/>
                <w:szCs w:val="22"/>
              </w:rPr>
            </w:pPr>
            <w:r w:rsidRPr="004A229B">
              <w:rPr>
                <w:rFonts w:cs="Arial"/>
              </w:rPr>
              <w:t>The Board responds to the advice and recommendations of the Collaborative Planning Committee within three months of receiving a report</w:t>
            </w:r>
            <w:r>
              <w:t xml:space="preserve">. </w:t>
            </w:r>
          </w:p>
        </w:tc>
      </w:tr>
    </w:tbl>
    <w:p w14:paraId="60D3A894" w14:textId="77777777" w:rsidR="006A6308" w:rsidRDefault="006A6308">
      <w:pPr>
        <w:spacing w:after="0" w:line="240" w:lineRule="auto"/>
        <w:rPr>
          <w:rFonts w:cs="Arial"/>
          <w:b/>
          <w:bCs/>
          <w:iCs/>
          <w:color w:val="971A4B"/>
          <w:sz w:val="28"/>
          <w:szCs w:val="28"/>
          <w:lang w:eastAsia="en-AU"/>
        </w:rPr>
      </w:pPr>
      <w:bookmarkStart w:id="78" w:name="_Toc20289988"/>
      <w:r>
        <w:br w:type="page"/>
      </w:r>
    </w:p>
    <w:p w14:paraId="1340E0DA" w14:textId="4EB069B2" w:rsidR="00BE330A" w:rsidRDefault="00FF4678" w:rsidP="000A5AA1">
      <w:pPr>
        <w:pStyle w:val="Heading2"/>
      </w:pPr>
      <w:r>
        <w:lastRenderedPageBreak/>
        <w:t xml:space="preserve">Organisational </w:t>
      </w:r>
      <w:r w:rsidR="00BE330A">
        <w:t>health measures</w:t>
      </w:r>
      <w:bookmarkEnd w:id="76"/>
      <w:bookmarkEnd w:id="77"/>
      <w:bookmarkEnd w:id="78"/>
    </w:p>
    <w:tbl>
      <w:tblPr>
        <w:tblStyle w:val="TableGrid"/>
        <w:tblW w:w="5000" w:type="pct"/>
        <w:tblLook w:val="04A0" w:firstRow="1" w:lastRow="0" w:firstColumn="1" w:lastColumn="0" w:noHBand="0" w:noVBand="1"/>
      </w:tblPr>
      <w:tblGrid>
        <w:gridCol w:w="6216"/>
        <w:gridCol w:w="1860"/>
        <w:gridCol w:w="1694"/>
      </w:tblGrid>
      <w:tr w:rsidR="007411ED" w:rsidRPr="000A5AA1" w14:paraId="12752922" w14:textId="77777777" w:rsidTr="002751B3">
        <w:trPr>
          <w:tblHeader/>
        </w:trPr>
        <w:tc>
          <w:tcPr>
            <w:tcW w:w="3181" w:type="pct"/>
            <w:shd w:val="clear" w:color="auto" w:fill="D9D9D9" w:themeFill="background1" w:themeFillShade="D9"/>
          </w:tcPr>
          <w:p w14:paraId="5A1C3BB3" w14:textId="77777777" w:rsidR="007411ED" w:rsidRPr="000A5AA1" w:rsidRDefault="007411ED" w:rsidP="007411ED">
            <w:pPr>
              <w:rPr>
                <w:b/>
                <w:lang w:eastAsia="en-AU"/>
              </w:rPr>
            </w:pPr>
            <w:r w:rsidRPr="000A5AA1">
              <w:rPr>
                <w:b/>
              </w:rPr>
              <w:t>Measure</w:t>
            </w:r>
          </w:p>
        </w:tc>
        <w:tc>
          <w:tcPr>
            <w:tcW w:w="952" w:type="pct"/>
            <w:shd w:val="clear" w:color="auto" w:fill="D9D9D9" w:themeFill="background1" w:themeFillShade="D9"/>
            <w:vAlign w:val="center"/>
          </w:tcPr>
          <w:p w14:paraId="082B19D9" w14:textId="5F68B765" w:rsidR="007411ED" w:rsidRPr="000A5AA1" w:rsidRDefault="007411ED" w:rsidP="007411ED">
            <w:pPr>
              <w:rPr>
                <w:b/>
                <w:lang w:eastAsia="en-AU"/>
              </w:rPr>
            </w:pPr>
            <w:r w:rsidRPr="00E763FB">
              <w:rPr>
                <w:b/>
              </w:rPr>
              <w:t>Current level</w:t>
            </w:r>
          </w:p>
        </w:tc>
        <w:tc>
          <w:tcPr>
            <w:tcW w:w="867" w:type="pct"/>
            <w:shd w:val="clear" w:color="auto" w:fill="D9D9D9" w:themeFill="background1" w:themeFillShade="D9"/>
            <w:vAlign w:val="center"/>
          </w:tcPr>
          <w:p w14:paraId="788B48CF" w14:textId="5D094DF3" w:rsidR="007411ED" w:rsidRPr="000A5AA1" w:rsidRDefault="007411ED" w:rsidP="007411ED">
            <w:pPr>
              <w:rPr>
                <w:b/>
                <w:lang w:eastAsia="en-AU"/>
              </w:rPr>
            </w:pPr>
            <w:r>
              <w:rPr>
                <w:b/>
              </w:rPr>
              <w:t>Target</w:t>
            </w:r>
          </w:p>
        </w:tc>
      </w:tr>
      <w:tr w:rsidR="007411ED" w14:paraId="72AD6A6E" w14:textId="77777777" w:rsidTr="6E0FA8F8">
        <w:tc>
          <w:tcPr>
            <w:tcW w:w="3181" w:type="pct"/>
          </w:tcPr>
          <w:p w14:paraId="2B8B69B8" w14:textId="77777777" w:rsidR="007411ED" w:rsidRDefault="007411ED" w:rsidP="007411ED">
            <w:pPr>
              <w:rPr>
                <w:lang w:eastAsia="en-AU"/>
              </w:rPr>
            </w:pPr>
            <w:r>
              <w:t>Staff turnover</w:t>
            </w:r>
          </w:p>
        </w:tc>
        <w:tc>
          <w:tcPr>
            <w:tcW w:w="952" w:type="pct"/>
          </w:tcPr>
          <w:p w14:paraId="1E638ED6" w14:textId="15B2CA6C" w:rsidR="007411ED" w:rsidRPr="00507670" w:rsidRDefault="2F2CC9D4" w:rsidP="2F2CC9D4">
            <w:pPr>
              <w:rPr>
                <w:lang w:eastAsia="en-AU"/>
              </w:rPr>
            </w:pPr>
            <w:r w:rsidRPr="00507670">
              <w:rPr>
                <w:rFonts w:cs="Arial"/>
                <w:lang w:eastAsia="en-AU"/>
              </w:rPr>
              <w:t>14.6</w:t>
            </w:r>
            <w:r w:rsidR="2AFA7CF7" w:rsidRPr="00507670">
              <w:rPr>
                <w:rFonts w:cs="Arial"/>
                <w:lang w:eastAsia="en-AU"/>
              </w:rPr>
              <w:t>%</w:t>
            </w:r>
          </w:p>
        </w:tc>
        <w:tc>
          <w:tcPr>
            <w:tcW w:w="867" w:type="pct"/>
          </w:tcPr>
          <w:p w14:paraId="6C6B7D28" w14:textId="6F82A6D9" w:rsidR="007411ED" w:rsidRDefault="007411ED" w:rsidP="007411ED">
            <w:r>
              <w:t>10</w:t>
            </w:r>
            <w:r w:rsidR="006703B2">
              <w:t>–15</w:t>
            </w:r>
            <w:r>
              <w:t>%</w:t>
            </w:r>
          </w:p>
        </w:tc>
      </w:tr>
      <w:tr w:rsidR="007411ED" w14:paraId="42606FC4" w14:textId="77777777" w:rsidTr="6E0FA8F8">
        <w:tc>
          <w:tcPr>
            <w:tcW w:w="3181" w:type="pct"/>
          </w:tcPr>
          <w:p w14:paraId="78BE8F7D" w14:textId="77777777" w:rsidR="007411ED" w:rsidRDefault="007411ED" w:rsidP="007411ED">
            <w:pPr>
              <w:rPr>
                <w:lang w:eastAsia="en-AU"/>
              </w:rPr>
            </w:pPr>
            <w:r>
              <w:t>Sick days per person per annum</w:t>
            </w:r>
          </w:p>
        </w:tc>
        <w:tc>
          <w:tcPr>
            <w:tcW w:w="952" w:type="pct"/>
          </w:tcPr>
          <w:p w14:paraId="4193B356" w14:textId="1D57B1F8" w:rsidR="007411ED" w:rsidRPr="00DA4364" w:rsidRDefault="2AFA7CF7" w:rsidP="007411ED">
            <w:pPr>
              <w:rPr>
                <w:highlight w:val="yellow"/>
                <w:lang w:eastAsia="en-AU"/>
              </w:rPr>
            </w:pPr>
            <w:r w:rsidRPr="00507670">
              <w:rPr>
                <w:lang w:eastAsia="en-AU"/>
              </w:rPr>
              <w:t>9</w:t>
            </w:r>
          </w:p>
        </w:tc>
        <w:tc>
          <w:tcPr>
            <w:tcW w:w="867" w:type="pct"/>
          </w:tcPr>
          <w:p w14:paraId="599EF66C" w14:textId="4ED21E79" w:rsidR="007411ED" w:rsidRDefault="007411ED" w:rsidP="007411ED">
            <w:pPr>
              <w:rPr>
                <w:lang w:eastAsia="en-AU"/>
              </w:rPr>
            </w:pPr>
            <w:r>
              <w:t>9</w:t>
            </w:r>
          </w:p>
        </w:tc>
      </w:tr>
    </w:tbl>
    <w:p w14:paraId="71429B04" w14:textId="77777777" w:rsidR="00BE330A" w:rsidRDefault="00BE330A" w:rsidP="009A6F8B">
      <w:pPr>
        <w:pStyle w:val="Heading2"/>
      </w:pPr>
      <w:bookmarkStart w:id="79" w:name="_Toc528158799"/>
      <w:bookmarkStart w:id="80" w:name="_Toc9953215"/>
      <w:bookmarkStart w:id="81" w:name="_Toc20289989"/>
      <w:r>
        <w:t>Financial measures</w:t>
      </w:r>
      <w:bookmarkEnd w:id="79"/>
      <w:bookmarkEnd w:id="80"/>
      <w:bookmarkEnd w:id="81"/>
    </w:p>
    <w:tbl>
      <w:tblPr>
        <w:tblStyle w:val="TableGrid"/>
        <w:tblW w:w="5000" w:type="pct"/>
        <w:tblLook w:val="04A0" w:firstRow="1" w:lastRow="0" w:firstColumn="1" w:lastColumn="0" w:noHBand="0" w:noVBand="1"/>
      </w:tblPr>
      <w:tblGrid>
        <w:gridCol w:w="6216"/>
        <w:gridCol w:w="1860"/>
        <w:gridCol w:w="1694"/>
      </w:tblGrid>
      <w:tr w:rsidR="007411ED" w:rsidRPr="000A5AA1" w14:paraId="0A3ACAE7" w14:textId="77777777" w:rsidTr="002751B3">
        <w:trPr>
          <w:tblHeader/>
        </w:trPr>
        <w:tc>
          <w:tcPr>
            <w:tcW w:w="3181" w:type="pct"/>
            <w:shd w:val="clear" w:color="auto" w:fill="D9D9D9" w:themeFill="background1" w:themeFillShade="D9"/>
          </w:tcPr>
          <w:p w14:paraId="3056BFEC" w14:textId="77777777" w:rsidR="007411ED" w:rsidRPr="000A5AA1" w:rsidRDefault="007411ED" w:rsidP="007411ED">
            <w:pPr>
              <w:rPr>
                <w:b/>
                <w:lang w:eastAsia="en-AU"/>
              </w:rPr>
            </w:pPr>
            <w:r w:rsidRPr="000A5AA1">
              <w:rPr>
                <w:b/>
              </w:rPr>
              <w:t>Measure</w:t>
            </w:r>
          </w:p>
        </w:tc>
        <w:tc>
          <w:tcPr>
            <w:tcW w:w="952" w:type="pct"/>
            <w:shd w:val="clear" w:color="auto" w:fill="D9D9D9" w:themeFill="background1" w:themeFillShade="D9"/>
            <w:vAlign w:val="center"/>
          </w:tcPr>
          <w:p w14:paraId="0B0D981B" w14:textId="511F6B7A" w:rsidR="007411ED" w:rsidRPr="000A5AA1" w:rsidRDefault="007411ED" w:rsidP="007411ED">
            <w:pPr>
              <w:rPr>
                <w:b/>
                <w:lang w:eastAsia="en-AU"/>
              </w:rPr>
            </w:pPr>
            <w:r w:rsidRPr="00E763FB">
              <w:rPr>
                <w:b/>
              </w:rPr>
              <w:t>Current level</w:t>
            </w:r>
          </w:p>
        </w:tc>
        <w:tc>
          <w:tcPr>
            <w:tcW w:w="867" w:type="pct"/>
            <w:shd w:val="clear" w:color="auto" w:fill="D9D9D9" w:themeFill="background1" w:themeFillShade="D9"/>
            <w:vAlign w:val="center"/>
          </w:tcPr>
          <w:p w14:paraId="2390EF58" w14:textId="3D6B05A8" w:rsidR="007411ED" w:rsidRPr="000A5AA1" w:rsidRDefault="007411ED" w:rsidP="007411ED">
            <w:pPr>
              <w:rPr>
                <w:b/>
                <w:lang w:eastAsia="en-AU"/>
              </w:rPr>
            </w:pPr>
            <w:r>
              <w:rPr>
                <w:b/>
              </w:rPr>
              <w:t>Target</w:t>
            </w:r>
          </w:p>
        </w:tc>
      </w:tr>
      <w:tr w:rsidR="007411ED" w14:paraId="1C3BEE01" w14:textId="77777777" w:rsidTr="00507670">
        <w:tc>
          <w:tcPr>
            <w:tcW w:w="3181" w:type="pct"/>
          </w:tcPr>
          <w:p w14:paraId="28C4E289" w14:textId="77777777" w:rsidR="007411ED" w:rsidRDefault="007411ED" w:rsidP="007411ED">
            <w:pPr>
              <w:rPr>
                <w:lang w:eastAsia="en-AU"/>
              </w:rPr>
            </w:pPr>
            <w:r>
              <w:t>Net result margin</w:t>
            </w:r>
          </w:p>
        </w:tc>
        <w:tc>
          <w:tcPr>
            <w:tcW w:w="952" w:type="pct"/>
            <w:shd w:val="clear" w:color="auto" w:fill="auto"/>
          </w:tcPr>
          <w:p w14:paraId="2433632F" w14:textId="402633BF" w:rsidR="007411ED" w:rsidRPr="002751B3" w:rsidRDefault="2AFA7CF7">
            <w:pPr>
              <w:rPr>
                <w:rFonts w:cs="Arial"/>
                <w:highlight w:val="yellow"/>
                <w:lang w:eastAsia="en-AU"/>
              </w:rPr>
            </w:pPr>
            <w:r w:rsidRPr="00507670">
              <w:rPr>
                <w:rFonts w:cs="Arial"/>
                <w:lang w:eastAsia="en-AU"/>
              </w:rPr>
              <w:t>0.1</w:t>
            </w:r>
          </w:p>
        </w:tc>
        <w:tc>
          <w:tcPr>
            <w:tcW w:w="867" w:type="pct"/>
          </w:tcPr>
          <w:p w14:paraId="6270CB81" w14:textId="3872E410" w:rsidR="007411ED" w:rsidRDefault="007411ED" w:rsidP="007411ED">
            <w:pPr>
              <w:rPr>
                <w:lang w:eastAsia="en-AU"/>
              </w:rPr>
            </w:pPr>
            <w:r>
              <w:t>More than 0%</w:t>
            </w:r>
          </w:p>
        </w:tc>
      </w:tr>
      <w:tr w:rsidR="007411ED" w14:paraId="69584045" w14:textId="77777777" w:rsidTr="2B28D4F6">
        <w:tc>
          <w:tcPr>
            <w:tcW w:w="3181" w:type="pct"/>
          </w:tcPr>
          <w:p w14:paraId="55C5BAC3" w14:textId="77777777" w:rsidR="007411ED" w:rsidRDefault="007411ED" w:rsidP="007411ED">
            <w:pPr>
              <w:rPr>
                <w:lang w:eastAsia="en-AU"/>
              </w:rPr>
            </w:pPr>
            <w:r>
              <w:t>Liquidity (ratio)</w:t>
            </w:r>
          </w:p>
        </w:tc>
        <w:tc>
          <w:tcPr>
            <w:tcW w:w="952" w:type="pct"/>
          </w:tcPr>
          <w:p w14:paraId="1D9AC0EE" w14:textId="42DDE3B6" w:rsidR="007411ED" w:rsidRPr="00507670" w:rsidRDefault="2B28D4F6" w:rsidP="007411ED">
            <w:pPr>
              <w:rPr>
                <w:lang w:eastAsia="en-AU"/>
              </w:rPr>
            </w:pPr>
            <w:r w:rsidRPr="00507670">
              <w:rPr>
                <w:rFonts w:cs="Arial"/>
                <w:lang w:eastAsia="en-AU"/>
              </w:rPr>
              <w:t>1.14</w:t>
            </w:r>
          </w:p>
        </w:tc>
        <w:tc>
          <w:tcPr>
            <w:tcW w:w="867" w:type="pct"/>
          </w:tcPr>
          <w:p w14:paraId="54E82820" w14:textId="2AA4086A" w:rsidR="007411ED" w:rsidRDefault="007411ED" w:rsidP="007411ED">
            <w:pPr>
              <w:rPr>
                <w:lang w:eastAsia="en-AU"/>
              </w:rPr>
            </w:pPr>
            <w:r>
              <w:t>More than 1.0</w:t>
            </w:r>
          </w:p>
        </w:tc>
      </w:tr>
    </w:tbl>
    <w:p w14:paraId="195C3186" w14:textId="6D34AA18" w:rsidR="008833F1" w:rsidRDefault="00041DF5" w:rsidP="00041DF5">
      <w:pPr>
        <w:pStyle w:val="Heading2"/>
      </w:pPr>
      <w:bookmarkStart w:id="82" w:name="_Toc20289990"/>
      <w:r w:rsidRPr="00E763FB">
        <w:t>Budget Paper No. 3 measures</w:t>
      </w:r>
      <w:bookmarkEnd w:id="82"/>
    </w:p>
    <w:p w14:paraId="2A8B3E8C" w14:textId="420F5CB1" w:rsidR="008D7A01" w:rsidRPr="002303D2" w:rsidRDefault="00587BF0" w:rsidP="002303D2">
      <w:pPr>
        <w:spacing w:after="240"/>
        <w:rPr>
          <w:lang w:eastAsia="en-AU"/>
        </w:rPr>
      </w:pPr>
      <w:r>
        <w:rPr>
          <w:rFonts w:cs="Arial"/>
          <w:lang w:eastAsia="en-AU"/>
        </w:rPr>
        <w:t>As an independent statutory authority, Victoria Legal Aid is accountable to the Victorian Government for</w:t>
      </w:r>
      <w:r w:rsidRPr="00E56025">
        <w:t xml:space="preserve"> </w:t>
      </w:r>
      <w:r>
        <w:rPr>
          <w:rFonts w:cs="Arial"/>
          <w:lang w:eastAsia="en-AU"/>
        </w:rPr>
        <w:t>the</w:t>
      </w:r>
      <w:r w:rsidRPr="00E56025">
        <w:rPr>
          <w:rFonts w:cs="Arial"/>
          <w:lang w:eastAsia="en-AU"/>
        </w:rPr>
        <w:t xml:space="preserve"> return we provide on investment, and our effectiveness at accomplishing our </w:t>
      </w:r>
      <w:r>
        <w:rPr>
          <w:rFonts w:cs="Arial"/>
          <w:lang w:eastAsia="en-AU"/>
        </w:rPr>
        <w:t xml:space="preserve">vision of creating a fair and just society where rights and responsibilities are upheld. As part of the Victorian Government’s Performance Management Framework, </w:t>
      </w:r>
      <w:r w:rsidR="006A6308">
        <w:rPr>
          <w:rFonts w:cs="Arial"/>
          <w:lang w:eastAsia="en-AU"/>
        </w:rPr>
        <w:t>we</w:t>
      </w:r>
      <w:r>
        <w:rPr>
          <w:rFonts w:cs="Arial"/>
          <w:lang w:eastAsia="en-AU"/>
        </w:rPr>
        <w:t xml:space="preserve"> publicly report against performance as part of the annual budget process. These measures are published in Budget Paper No.3, with performance also reported on as part of our annual report.</w:t>
      </w:r>
    </w:p>
    <w:tbl>
      <w:tblPr>
        <w:tblStyle w:val="NOUSSideHeader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2984"/>
        <w:gridCol w:w="2984"/>
      </w:tblGrid>
      <w:tr w:rsidR="00BB66EA" w:rsidRPr="002303D2" w14:paraId="5C6AA75E" w14:textId="77777777" w:rsidTr="6E0FA8F8">
        <w:trPr>
          <w:cnfStyle w:val="100000000000" w:firstRow="1" w:lastRow="0" w:firstColumn="0" w:lastColumn="0" w:oddVBand="0" w:evenVBand="0" w:oddHBand="0" w:evenHBand="0" w:firstRowFirstColumn="0" w:firstRowLastColumn="0" w:lastRowFirstColumn="0" w:lastRowLastColumn="0"/>
          <w:cantSplit w:val="0"/>
          <w:trHeight w:val="20"/>
          <w:tblHeader w:val="0"/>
        </w:trPr>
        <w:tc>
          <w:tcPr>
            <w:tcW w:w="0" w:type="pct"/>
            <w:tcBorders>
              <w:top w:val="single" w:sz="4" w:space="0" w:color="auto"/>
              <w:left w:val="single" w:sz="4" w:space="0" w:color="auto"/>
              <w:bottom w:val="single" w:sz="4" w:space="0" w:color="auto"/>
              <w:right w:val="single" w:sz="4" w:space="0" w:color="auto"/>
              <w:tl2br w:val="none" w:sz="0" w:space="0" w:color="auto"/>
              <w:tr2bl w:val="none" w:sz="0" w:space="0" w:color="auto"/>
            </w:tcBorders>
            <w:shd w:val="clear" w:color="auto" w:fill="D9D9D9" w:themeFill="background1" w:themeFillShade="D9"/>
          </w:tcPr>
          <w:p w14:paraId="36D3B480" w14:textId="0C9C645E" w:rsidR="001A1D14" w:rsidRPr="002303D2" w:rsidRDefault="001A1D14" w:rsidP="00E660BE">
            <w:pPr>
              <w:spacing w:after="0" w:line="276" w:lineRule="auto"/>
              <w:rPr>
                <w:rFonts w:eastAsia="Times New Roman" w:cs="Times New Roman"/>
                <w:b/>
                <w:color w:val="auto"/>
                <w:lang w:val="en-AU"/>
              </w:rPr>
            </w:pPr>
            <w:r>
              <w:rPr>
                <w:rFonts w:eastAsia="Times New Roman" w:cs="Times New Roman"/>
                <w:b/>
                <w:color w:val="auto"/>
                <w:lang w:val="en-AU"/>
              </w:rPr>
              <w:t>M</w:t>
            </w:r>
            <w:r w:rsidRPr="002303D2">
              <w:rPr>
                <w:rFonts w:eastAsia="Times New Roman" w:cs="Times New Roman"/>
                <w:b/>
                <w:color w:val="auto"/>
                <w:lang w:val="en-AU"/>
              </w:rPr>
              <w:t>easures</w:t>
            </w:r>
          </w:p>
        </w:tc>
        <w:tc>
          <w:tcPr>
            <w:tcW w:w="0" w:type="pct"/>
            <w:tcBorders>
              <w:top w:val="single" w:sz="4" w:space="0" w:color="auto"/>
              <w:left w:val="single" w:sz="4" w:space="0" w:color="auto"/>
              <w:bottom w:val="single" w:sz="4" w:space="0" w:color="auto"/>
              <w:right w:val="single" w:sz="4" w:space="0" w:color="auto"/>
              <w:tl2br w:val="none" w:sz="0" w:space="0" w:color="auto"/>
              <w:tr2bl w:val="none" w:sz="0" w:space="0" w:color="auto"/>
            </w:tcBorders>
            <w:shd w:val="clear" w:color="auto" w:fill="D9D9D9" w:themeFill="background1" w:themeFillShade="D9"/>
          </w:tcPr>
          <w:p w14:paraId="087C1027" w14:textId="1423B45D" w:rsidR="001A1D14" w:rsidRPr="00507670" w:rsidRDefault="001A1D14" w:rsidP="00E660BE">
            <w:pPr>
              <w:spacing w:after="0" w:line="276" w:lineRule="auto"/>
              <w:rPr>
                <w:b/>
                <w:bCs/>
              </w:rPr>
            </w:pPr>
            <w:r w:rsidRPr="00507670">
              <w:rPr>
                <w:b/>
                <w:bCs/>
                <w:color w:val="auto"/>
              </w:rPr>
              <w:t>Current level</w:t>
            </w:r>
          </w:p>
        </w:tc>
        <w:tc>
          <w:tcPr>
            <w:tcW w:w="0" w:type="pct"/>
            <w:tcBorders>
              <w:top w:val="single" w:sz="4" w:space="0" w:color="auto"/>
              <w:left w:val="single" w:sz="4" w:space="0" w:color="auto"/>
              <w:bottom w:val="single" w:sz="4" w:space="0" w:color="auto"/>
              <w:right w:val="single" w:sz="4" w:space="0" w:color="auto"/>
              <w:tl2br w:val="none" w:sz="0" w:space="0" w:color="auto"/>
              <w:tr2bl w:val="none" w:sz="0" w:space="0" w:color="auto"/>
            </w:tcBorders>
            <w:shd w:val="clear" w:color="auto" w:fill="D9D9D9" w:themeFill="background1" w:themeFillShade="D9"/>
          </w:tcPr>
          <w:p w14:paraId="72C0758D" w14:textId="3E84D214" w:rsidR="001A1D14" w:rsidRPr="002303D2" w:rsidRDefault="001A1D14" w:rsidP="00E660BE">
            <w:pPr>
              <w:spacing w:after="0" w:line="276" w:lineRule="auto"/>
              <w:rPr>
                <w:rFonts w:eastAsia="Times New Roman" w:cs="Times New Roman"/>
                <w:b/>
                <w:color w:val="auto"/>
                <w:lang w:val="en-AU"/>
              </w:rPr>
            </w:pPr>
            <w:r>
              <w:rPr>
                <w:rFonts w:eastAsia="Times New Roman" w:cs="Times New Roman"/>
                <w:b/>
                <w:color w:val="auto"/>
                <w:lang w:val="en-AU"/>
              </w:rPr>
              <w:t>Target</w:t>
            </w:r>
          </w:p>
        </w:tc>
      </w:tr>
      <w:tr w:rsidR="00E437B0" w:rsidRPr="008D33CE" w14:paraId="36F1A701" w14:textId="77777777" w:rsidTr="002751B3">
        <w:trPr>
          <w:cnfStyle w:val="000000100000" w:firstRow="0" w:lastRow="0" w:firstColumn="0" w:lastColumn="0" w:oddVBand="0" w:evenVBand="0" w:oddHBand="1" w:evenHBand="0" w:firstRowFirstColumn="0" w:firstRowLastColumn="0" w:lastRowFirstColumn="0" w:lastRowLastColumn="0"/>
          <w:trHeight w:val="20"/>
        </w:trPr>
        <w:tc>
          <w:tcPr>
            <w:tcW w:w="0" w:type="pct"/>
          </w:tcPr>
          <w:p w14:paraId="02A3B8D0" w14:textId="6A1848FF" w:rsidR="008A7ECA" w:rsidRPr="008D33CE" w:rsidRDefault="008A7ECA" w:rsidP="00E660BE">
            <w:pPr>
              <w:spacing w:after="0" w:line="276" w:lineRule="auto"/>
              <w:rPr>
                <w:rFonts w:cs="Arial"/>
                <w:lang w:eastAsia="en-AU"/>
              </w:rPr>
            </w:pPr>
            <w:r w:rsidRPr="008D33CE">
              <w:rPr>
                <w:rFonts w:cs="Arial"/>
              </w:rPr>
              <w:t>Community legal education and information services – excluding family violence related services</w:t>
            </w:r>
          </w:p>
        </w:tc>
        <w:tc>
          <w:tcPr>
            <w:tcW w:w="0" w:type="pct"/>
          </w:tcPr>
          <w:p w14:paraId="6BB7FC62" w14:textId="070C593F" w:rsidR="008A7ECA" w:rsidRPr="00507670" w:rsidRDefault="23A918F9" w:rsidP="00E660BE">
            <w:pPr>
              <w:spacing w:after="0" w:line="276" w:lineRule="auto"/>
              <w:rPr>
                <w:rFonts w:cs="Arial"/>
                <w:lang w:eastAsia="en-AU"/>
              </w:rPr>
            </w:pPr>
            <w:r w:rsidRPr="00507670">
              <w:rPr>
                <w:rFonts w:cs="Arial"/>
                <w:lang w:eastAsia="en-AU"/>
              </w:rPr>
              <w:t>97,705</w:t>
            </w:r>
          </w:p>
        </w:tc>
        <w:tc>
          <w:tcPr>
            <w:tcW w:w="0" w:type="pct"/>
          </w:tcPr>
          <w:p w14:paraId="5DF5BA1C" w14:textId="67EB2530" w:rsidR="008A7ECA" w:rsidRPr="008D33CE" w:rsidRDefault="008A7ECA" w:rsidP="00E660BE">
            <w:pPr>
              <w:spacing w:after="0" w:line="276" w:lineRule="auto"/>
              <w:rPr>
                <w:rFonts w:cs="Arial"/>
              </w:rPr>
            </w:pPr>
            <w:r w:rsidRPr="002303D2">
              <w:rPr>
                <w:rFonts w:cs="Arial"/>
              </w:rPr>
              <w:t>105,000 – 115,000</w:t>
            </w:r>
          </w:p>
        </w:tc>
      </w:tr>
      <w:tr w:rsidR="00E437B0" w:rsidRPr="008D33CE" w14:paraId="57073E6C" w14:textId="77777777" w:rsidTr="002751B3">
        <w:trPr>
          <w:cnfStyle w:val="000000010000" w:firstRow="0" w:lastRow="0" w:firstColumn="0" w:lastColumn="0" w:oddVBand="0" w:evenVBand="0" w:oddHBand="0" w:evenHBand="1" w:firstRowFirstColumn="0" w:firstRowLastColumn="0" w:lastRowFirstColumn="0" w:lastRowLastColumn="0"/>
          <w:trHeight w:val="20"/>
        </w:trPr>
        <w:tc>
          <w:tcPr>
            <w:tcW w:w="0" w:type="pct"/>
          </w:tcPr>
          <w:p w14:paraId="6FA0B23E" w14:textId="490EC9BE" w:rsidR="008A7ECA" w:rsidRPr="008D33CE" w:rsidRDefault="008A7ECA" w:rsidP="00E660BE">
            <w:pPr>
              <w:spacing w:after="0" w:line="276" w:lineRule="auto"/>
              <w:rPr>
                <w:rFonts w:cs="Arial"/>
                <w:lang w:eastAsia="en-AU"/>
              </w:rPr>
            </w:pPr>
            <w:r w:rsidRPr="008D33CE">
              <w:rPr>
                <w:rFonts w:cs="Arial"/>
              </w:rPr>
              <w:t>Community legal education and information services</w:t>
            </w:r>
            <w:r>
              <w:rPr>
                <w:rFonts w:cs="Arial"/>
              </w:rPr>
              <w:t xml:space="preserve"> </w:t>
            </w:r>
            <w:r w:rsidRPr="008D33CE">
              <w:rPr>
                <w:rFonts w:cs="Arial"/>
              </w:rPr>
              <w:t>– family violence related services</w:t>
            </w:r>
          </w:p>
        </w:tc>
        <w:tc>
          <w:tcPr>
            <w:tcW w:w="0" w:type="pct"/>
          </w:tcPr>
          <w:p w14:paraId="5C2E9000" w14:textId="7FC8685A" w:rsidR="008A7ECA" w:rsidRPr="00507670" w:rsidRDefault="56D049CF" w:rsidP="00E660BE">
            <w:pPr>
              <w:spacing w:after="0" w:line="276" w:lineRule="auto"/>
              <w:rPr>
                <w:rFonts w:cs="Arial"/>
                <w:lang w:eastAsia="en-AU"/>
              </w:rPr>
            </w:pPr>
            <w:r w:rsidRPr="00507670">
              <w:rPr>
                <w:rFonts w:cs="Arial"/>
                <w:lang w:eastAsia="en-AU"/>
              </w:rPr>
              <w:t>25,056</w:t>
            </w:r>
          </w:p>
        </w:tc>
        <w:tc>
          <w:tcPr>
            <w:tcW w:w="0" w:type="pct"/>
          </w:tcPr>
          <w:p w14:paraId="02E2EF69" w14:textId="38A4B973" w:rsidR="008A7ECA" w:rsidRPr="008D33CE" w:rsidRDefault="008A7ECA" w:rsidP="00E660BE">
            <w:pPr>
              <w:spacing w:after="0" w:line="276" w:lineRule="auto"/>
              <w:rPr>
                <w:rFonts w:cs="Arial"/>
              </w:rPr>
            </w:pPr>
            <w:r w:rsidRPr="002303D2">
              <w:rPr>
                <w:rFonts w:cs="Arial"/>
              </w:rPr>
              <w:t>26,000 – 28,000</w:t>
            </w:r>
          </w:p>
        </w:tc>
      </w:tr>
      <w:tr w:rsidR="00E437B0" w:rsidRPr="008D33CE" w14:paraId="5D2BADA5" w14:textId="77777777" w:rsidTr="002751B3">
        <w:trPr>
          <w:cnfStyle w:val="000000100000" w:firstRow="0" w:lastRow="0" w:firstColumn="0" w:lastColumn="0" w:oddVBand="0" w:evenVBand="0" w:oddHBand="1" w:evenHBand="0" w:firstRowFirstColumn="0" w:firstRowLastColumn="0" w:lastRowFirstColumn="0" w:lastRowLastColumn="0"/>
          <w:trHeight w:val="20"/>
        </w:trPr>
        <w:tc>
          <w:tcPr>
            <w:tcW w:w="0" w:type="pct"/>
          </w:tcPr>
          <w:p w14:paraId="4BF2A6AE" w14:textId="5C0F6BEB" w:rsidR="008A7ECA" w:rsidRPr="008D33CE" w:rsidRDefault="008A7ECA" w:rsidP="00E660BE">
            <w:pPr>
              <w:spacing w:after="0" w:line="276" w:lineRule="auto"/>
              <w:rPr>
                <w:rFonts w:cs="Arial"/>
                <w:lang w:eastAsia="en-AU"/>
              </w:rPr>
            </w:pPr>
            <w:r w:rsidRPr="008D33CE">
              <w:rPr>
                <w:rFonts w:cs="Arial"/>
              </w:rPr>
              <w:t xml:space="preserve">Duty lawyer services – excluding family violence related services </w:t>
            </w:r>
          </w:p>
        </w:tc>
        <w:tc>
          <w:tcPr>
            <w:tcW w:w="0" w:type="pct"/>
          </w:tcPr>
          <w:p w14:paraId="44700427" w14:textId="465833D0" w:rsidR="008A7ECA" w:rsidRPr="00507670" w:rsidRDefault="56D049CF" w:rsidP="00E660BE">
            <w:pPr>
              <w:spacing w:after="0" w:line="276" w:lineRule="auto"/>
              <w:rPr>
                <w:rFonts w:cs="Arial"/>
                <w:lang w:eastAsia="en-AU"/>
              </w:rPr>
            </w:pPr>
            <w:r w:rsidRPr="00507670">
              <w:rPr>
                <w:rFonts w:cs="Arial"/>
                <w:lang w:eastAsia="en-AU"/>
              </w:rPr>
              <w:t>72,518</w:t>
            </w:r>
          </w:p>
        </w:tc>
        <w:tc>
          <w:tcPr>
            <w:tcW w:w="0" w:type="pct"/>
          </w:tcPr>
          <w:p w14:paraId="36F12BD7" w14:textId="4E3F5AEF" w:rsidR="008A7ECA" w:rsidRPr="008D33CE" w:rsidRDefault="008A7ECA" w:rsidP="00E660BE">
            <w:pPr>
              <w:spacing w:after="0" w:line="276" w:lineRule="auto"/>
              <w:rPr>
                <w:rFonts w:cs="Arial"/>
              </w:rPr>
            </w:pPr>
            <w:r w:rsidRPr="002303D2">
              <w:rPr>
                <w:rFonts w:cs="Arial"/>
              </w:rPr>
              <w:t>69,000 - 71,000</w:t>
            </w:r>
          </w:p>
        </w:tc>
      </w:tr>
      <w:tr w:rsidR="00E437B0" w:rsidRPr="008D33CE" w14:paraId="689CF77A" w14:textId="77777777" w:rsidTr="002751B3">
        <w:trPr>
          <w:cnfStyle w:val="000000010000" w:firstRow="0" w:lastRow="0" w:firstColumn="0" w:lastColumn="0" w:oddVBand="0" w:evenVBand="0" w:oddHBand="0" w:evenHBand="1" w:firstRowFirstColumn="0" w:firstRowLastColumn="0" w:lastRowFirstColumn="0" w:lastRowLastColumn="0"/>
          <w:trHeight w:val="20"/>
        </w:trPr>
        <w:tc>
          <w:tcPr>
            <w:tcW w:w="0" w:type="pct"/>
          </w:tcPr>
          <w:p w14:paraId="6FB18B46" w14:textId="2845A443" w:rsidR="008A7ECA" w:rsidRPr="008D33CE" w:rsidRDefault="008A7ECA" w:rsidP="00E660BE">
            <w:pPr>
              <w:spacing w:after="0" w:line="276" w:lineRule="auto"/>
              <w:rPr>
                <w:rFonts w:cs="Arial"/>
                <w:lang w:eastAsia="en-AU"/>
              </w:rPr>
            </w:pPr>
            <w:r w:rsidRPr="008D33CE">
              <w:rPr>
                <w:rFonts w:cs="Arial"/>
              </w:rPr>
              <w:t>Grants of legal assistance</w:t>
            </w:r>
            <w:r>
              <w:rPr>
                <w:rFonts w:cs="Arial"/>
              </w:rPr>
              <w:t xml:space="preserve"> </w:t>
            </w:r>
            <w:r w:rsidRPr="008D33CE">
              <w:rPr>
                <w:rFonts w:cs="Arial"/>
              </w:rPr>
              <w:t>– excluding family violence-related services</w:t>
            </w:r>
          </w:p>
        </w:tc>
        <w:tc>
          <w:tcPr>
            <w:tcW w:w="0" w:type="pct"/>
          </w:tcPr>
          <w:p w14:paraId="03C115D4" w14:textId="40C89ACA" w:rsidR="008A7ECA" w:rsidRPr="00507670" w:rsidRDefault="56D049CF" w:rsidP="00E660BE">
            <w:pPr>
              <w:spacing w:after="0" w:line="276" w:lineRule="auto"/>
              <w:rPr>
                <w:rFonts w:cs="Arial"/>
                <w:lang w:eastAsia="en-AU"/>
              </w:rPr>
            </w:pPr>
            <w:r w:rsidRPr="00507670">
              <w:rPr>
                <w:rFonts w:cs="Arial"/>
                <w:lang w:eastAsia="en-AU"/>
              </w:rPr>
              <w:t>32,610</w:t>
            </w:r>
          </w:p>
        </w:tc>
        <w:tc>
          <w:tcPr>
            <w:tcW w:w="0" w:type="pct"/>
          </w:tcPr>
          <w:p w14:paraId="0938F1B2" w14:textId="11762977" w:rsidR="008A7ECA" w:rsidRPr="008D33CE" w:rsidRDefault="008A7ECA" w:rsidP="00E660BE">
            <w:pPr>
              <w:spacing w:after="0" w:line="276" w:lineRule="auto"/>
              <w:rPr>
                <w:rFonts w:cs="Arial"/>
              </w:rPr>
            </w:pPr>
            <w:r w:rsidRPr="002303D2">
              <w:rPr>
                <w:rFonts w:cs="Arial"/>
              </w:rPr>
              <w:t>32,900</w:t>
            </w:r>
          </w:p>
        </w:tc>
      </w:tr>
      <w:tr w:rsidR="00E437B0" w:rsidRPr="008D33CE" w14:paraId="66513948" w14:textId="77777777" w:rsidTr="002751B3">
        <w:trPr>
          <w:cnfStyle w:val="000000100000" w:firstRow="0" w:lastRow="0" w:firstColumn="0" w:lastColumn="0" w:oddVBand="0" w:evenVBand="0" w:oddHBand="1" w:evenHBand="0" w:firstRowFirstColumn="0" w:firstRowLastColumn="0" w:lastRowFirstColumn="0" w:lastRowLastColumn="0"/>
          <w:trHeight w:val="20"/>
        </w:trPr>
        <w:tc>
          <w:tcPr>
            <w:tcW w:w="0" w:type="pct"/>
          </w:tcPr>
          <w:p w14:paraId="68CEFDE7" w14:textId="6DF8B0EF" w:rsidR="008A7ECA" w:rsidRPr="008D33CE" w:rsidRDefault="008A7ECA" w:rsidP="00E660BE">
            <w:pPr>
              <w:spacing w:after="0" w:line="276" w:lineRule="auto"/>
              <w:rPr>
                <w:rFonts w:cs="Arial"/>
                <w:lang w:eastAsia="en-AU"/>
              </w:rPr>
            </w:pPr>
            <w:r w:rsidRPr="008D33CE">
              <w:rPr>
                <w:rFonts w:cs="Arial"/>
              </w:rPr>
              <w:t>Legal advice and minor assistance for clients</w:t>
            </w:r>
            <w:r>
              <w:rPr>
                <w:rFonts w:cs="Arial"/>
              </w:rPr>
              <w:t xml:space="preserve"> </w:t>
            </w:r>
            <w:r w:rsidRPr="008D33CE">
              <w:rPr>
                <w:rFonts w:cs="Arial"/>
              </w:rPr>
              <w:t>– excluding family violence</w:t>
            </w:r>
            <w:r w:rsidR="56D049CF" w:rsidRPr="008D33CE">
              <w:rPr>
                <w:rFonts w:cs="Arial"/>
              </w:rPr>
              <w:t xml:space="preserve"> </w:t>
            </w:r>
            <w:r w:rsidRPr="008D33CE">
              <w:rPr>
                <w:rFonts w:cs="Arial"/>
              </w:rPr>
              <w:t>related</w:t>
            </w:r>
            <w:r w:rsidRPr="008D33CE">
              <w:rPr>
                <w:rFonts w:cs="Arial"/>
              </w:rPr>
              <w:noBreakHyphen/>
              <w:t xml:space="preserve"> services </w:t>
            </w:r>
          </w:p>
        </w:tc>
        <w:tc>
          <w:tcPr>
            <w:tcW w:w="0" w:type="pct"/>
          </w:tcPr>
          <w:p w14:paraId="5DBCCDE1" w14:textId="1263C5FA" w:rsidR="008A7ECA" w:rsidRPr="00507670" w:rsidRDefault="56D049CF" w:rsidP="00E660BE">
            <w:pPr>
              <w:spacing w:after="0" w:line="276" w:lineRule="auto"/>
              <w:rPr>
                <w:rFonts w:cs="Arial"/>
                <w:lang w:eastAsia="en-AU"/>
              </w:rPr>
            </w:pPr>
            <w:r w:rsidRPr="00507670">
              <w:rPr>
                <w:rFonts w:cs="Arial"/>
                <w:lang w:eastAsia="en-AU"/>
              </w:rPr>
              <w:t>39</w:t>
            </w:r>
            <w:r w:rsidR="00DC7B9D">
              <w:rPr>
                <w:rFonts w:cs="Arial"/>
                <w:lang w:eastAsia="en-AU"/>
              </w:rPr>
              <w:t>,</w:t>
            </w:r>
            <w:r w:rsidR="648436EE" w:rsidRPr="00507670">
              <w:rPr>
                <w:rFonts w:cs="Arial"/>
                <w:lang w:eastAsia="en-AU"/>
              </w:rPr>
              <w:t>838</w:t>
            </w:r>
          </w:p>
        </w:tc>
        <w:tc>
          <w:tcPr>
            <w:tcW w:w="0" w:type="pct"/>
          </w:tcPr>
          <w:p w14:paraId="67EF670D" w14:textId="4F17C80C" w:rsidR="008A7ECA" w:rsidRPr="008D33CE" w:rsidRDefault="008A7ECA" w:rsidP="00E660BE">
            <w:pPr>
              <w:spacing w:after="0" w:line="276" w:lineRule="auto"/>
              <w:rPr>
                <w:rFonts w:cs="Arial"/>
              </w:rPr>
            </w:pPr>
            <w:r w:rsidRPr="002303D2">
              <w:rPr>
                <w:rFonts w:cs="Arial"/>
              </w:rPr>
              <w:t>40,000 – 42,000</w:t>
            </w:r>
          </w:p>
        </w:tc>
      </w:tr>
      <w:tr w:rsidR="00E437B0" w:rsidRPr="008D33CE" w14:paraId="20B70614" w14:textId="77777777" w:rsidTr="002751B3">
        <w:trPr>
          <w:cnfStyle w:val="000000010000" w:firstRow="0" w:lastRow="0" w:firstColumn="0" w:lastColumn="0" w:oddVBand="0" w:evenVBand="0" w:oddHBand="0" w:evenHBand="1" w:firstRowFirstColumn="0" w:firstRowLastColumn="0" w:lastRowFirstColumn="0" w:lastRowLastColumn="0"/>
          <w:trHeight w:val="20"/>
        </w:trPr>
        <w:tc>
          <w:tcPr>
            <w:tcW w:w="0" w:type="pct"/>
          </w:tcPr>
          <w:p w14:paraId="550F7E02" w14:textId="5AA93126" w:rsidR="008A7ECA" w:rsidRPr="008D33CE" w:rsidRDefault="008A7ECA" w:rsidP="00E660BE">
            <w:pPr>
              <w:spacing w:after="0" w:line="276" w:lineRule="auto"/>
              <w:rPr>
                <w:rFonts w:cs="Arial"/>
                <w:lang w:eastAsia="en-AU"/>
              </w:rPr>
            </w:pPr>
            <w:r w:rsidRPr="008D33CE">
              <w:rPr>
                <w:rFonts w:cs="Arial"/>
              </w:rPr>
              <w:t xml:space="preserve">Family violence legal services </w:t>
            </w:r>
          </w:p>
        </w:tc>
        <w:tc>
          <w:tcPr>
            <w:tcW w:w="0" w:type="pct"/>
          </w:tcPr>
          <w:p w14:paraId="3EF03EBE" w14:textId="18AEB2FB" w:rsidR="008A7ECA" w:rsidRPr="00507670" w:rsidRDefault="648436EE" w:rsidP="00E660BE">
            <w:pPr>
              <w:spacing w:after="0" w:line="276" w:lineRule="auto"/>
              <w:rPr>
                <w:rFonts w:cs="Arial"/>
                <w:lang w:eastAsia="en-AU"/>
              </w:rPr>
            </w:pPr>
            <w:r w:rsidRPr="00507670">
              <w:rPr>
                <w:rFonts w:cs="Arial"/>
                <w:lang w:eastAsia="en-AU"/>
              </w:rPr>
              <w:t>45</w:t>
            </w:r>
            <w:r w:rsidR="00DC7B9D">
              <w:rPr>
                <w:rFonts w:cs="Arial"/>
                <w:lang w:eastAsia="en-AU"/>
              </w:rPr>
              <w:t>,</w:t>
            </w:r>
            <w:r w:rsidRPr="00507670">
              <w:rPr>
                <w:rFonts w:cs="Arial"/>
                <w:lang w:eastAsia="en-AU"/>
              </w:rPr>
              <w:t>448</w:t>
            </w:r>
          </w:p>
        </w:tc>
        <w:tc>
          <w:tcPr>
            <w:tcW w:w="0" w:type="pct"/>
          </w:tcPr>
          <w:p w14:paraId="4E62006C" w14:textId="7DBA9C8C" w:rsidR="008A7ECA" w:rsidRPr="008D33CE" w:rsidRDefault="008A7ECA" w:rsidP="00E660BE">
            <w:pPr>
              <w:spacing w:after="0" w:line="276" w:lineRule="auto"/>
              <w:rPr>
                <w:rFonts w:cs="Arial"/>
              </w:rPr>
            </w:pPr>
            <w:r w:rsidRPr="002303D2">
              <w:rPr>
                <w:rFonts w:cs="Arial"/>
              </w:rPr>
              <w:t>45,000</w:t>
            </w:r>
          </w:p>
        </w:tc>
      </w:tr>
      <w:tr w:rsidR="00E437B0" w:rsidRPr="008D33CE" w14:paraId="5393B8DC" w14:textId="77777777" w:rsidTr="002751B3">
        <w:trPr>
          <w:cnfStyle w:val="000000100000" w:firstRow="0" w:lastRow="0" w:firstColumn="0" w:lastColumn="0" w:oddVBand="0" w:evenVBand="0" w:oddHBand="1" w:evenHBand="0" w:firstRowFirstColumn="0" w:firstRowLastColumn="0" w:lastRowFirstColumn="0" w:lastRowLastColumn="0"/>
          <w:trHeight w:val="20"/>
        </w:trPr>
        <w:tc>
          <w:tcPr>
            <w:tcW w:w="0" w:type="pct"/>
          </w:tcPr>
          <w:p w14:paraId="2870F4C0" w14:textId="6E68C12E" w:rsidR="008A7ECA" w:rsidRPr="008D33CE" w:rsidRDefault="008A7ECA" w:rsidP="00E660BE">
            <w:pPr>
              <w:spacing w:after="0" w:line="276" w:lineRule="auto"/>
              <w:rPr>
                <w:rFonts w:cs="Arial"/>
                <w:lang w:eastAsia="en-AU"/>
              </w:rPr>
            </w:pPr>
            <w:r w:rsidRPr="008D33CE">
              <w:rPr>
                <w:rFonts w:cs="Arial"/>
              </w:rPr>
              <w:t xml:space="preserve">Number of unique clients who accessed one or more of </w:t>
            </w:r>
            <w:r>
              <w:rPr>
                <w:rFonts w:cs="Arial"/>
              </w:rPr>
              <w:t xml:space="preserve">our </w:t>
            </w:r>
            <w:r w:rsidRPr="008D33CE">
              <w:rPr>
                <w:rFonts w:cs="Arial"/>
              </w:rPr>
              <w:t>legal services</w:t>
            </w:r>
          </w:p>
        </w:tc>
        <w:tc>
          <w:tcPr>
            <w:tcW w:w="0" w:type="pct"/>
          </w:tcPr>
          <w:p w14:paraId="7B3016F0" w14:textId="236EAEE3" w:rsidR="008A7ECA" w:rsidRPr="00507670" w:rsidRDefault="648436EE" w:rsidP="00E660BE">
            <w:pPr>
              <w:spacing w:after="0" w:line="276" w:lineRule="auto"/>
              <w:rPr>
                <w:rFonts w:cs="Arial"/>
              </w:rPr>
            </w:pPr>
            <w:r w:rsidRPr="00507670">
              <w:rPr>
                <w:rFonts w:cs="Arial"/>
                <w:lang w:eastAsia="en-AU"/>
              </w:rPr>
              <w:t>100</w:t>
            </w:r>
            <w:r w:rsidR="009C7F72" w:rsidRPr="00507670">
              <w:rPr>
                <w:rFonts w:cs="Arial"/>
                <w:lang w:eastAsia="en-AU"/>
              </w:rPr>
              <w:t>,</w:t>
            </w:r>
            <w:r w:rsidRPr="00507670">
              <w:rPr>
                <w:rFonts w:cs="Arial"/>
                <w:lang w:eastAsia="en-AU"/>
              </w:rPr>
              <w:t>061</w:t>
            </w:r>
          </w:p>
        </w:tc>
        <w:tc>
          <w:tcPr>
            <w:tcW w:w="0" w:type="pct"/>
          </w:tcPr>
          <w:p w14:paraId="106A282B" w14:textId="05F836CE" w:rsidR="008A7ECA" w:rsidRPr="008D33CE" w:rsidRDefault="008A7ECA" w:rsidP="00E660BE">
            <w:pPr>
              <w:spacing w:after="0" w:line="276" w:lineRule="auto"/>
              <w:rPr>
                <w:rFonts w:cs="Arial"/>
              </w:rPr>
            </w:pPr>
            <w:r w:rsidRPr="002303D2">
              <w:rPr>
                <w:rFonts w:cs="Arial"/>
              </w:rPr>
              <w:t>105,000</w:t>
            </w:r>
          </w:p>
        </w:tc>
      </w:tr>
      <w:tr w:rsidR="00E437B0" w:rsidRPr="008D33CE" w14:paraId="34B354EC" w14:textId="77777777" w:rsidTr="002751B3">
        <w:trPr>
          <w:cnfStyle w:val="000000010000" w:firstRow="0" w:lastRow="0" w:firstColumn="0" w:lastColumn="0" w:oddVBand="0" w:evenVBand="0" w:oddHBand="0" w:evenHBand="1" w:firstRowFirstColumn="0" w:firstRowLastColumn="0" w:lastRowFirstColumn="0" w:lastRowLastColumn="0"/>
          <w:trHeight w:val="20"/>
        </w:trPr>
        <w:tc>
          <w:tcPr>
            <w:tcW w:w="0" w:type="pct"/>
          </w:tcPr>
          <w:p w14:paraId="6527B573" w14:textId="49F80525" w:rsidR="008A7ECA" w:rsidRPr="008D33CE" w:rsidRDefault="008A7ECA" w:rsidP="00E660BE">
            <w:pPr>
              <w:spacing w:after="0" w:line="276" w:lineRule="auto"/>
              <w:rPr>
                <w:rFonts w:cs="Arial"/>
              </w:rPr>
            </w:pPr>
            <w:r w:rsidRPr="008D33CE">
              <w:rPr>
                <w:rFonts w:cs="Arial"/>
              </w:rPr>
              <w:lastRenderedPageBreak/>
              <w:t>Client satisfaction with services</w:t>
            </w:r>
            <w:r w:rsidR="007A3525">
              <w:rPr>
                <w:rStyle w:val="FootnoteReference"/>
                <w:rFonts w:cs="Arial"/>
              </w:rPr>
              <w:footnoteReference w:id="15"/>
            </w:r>
            <w:r w:rsidRPr="008D33CE">
              <w:rPr>
                <w:rFonts w:cs="Arial"/>
              </w:rPr>
              <w:t xml:space="preserve"> </w:t>
            </w:r>
          </w:p>
        </w:tc>
        <w:tc>
          <w:tcPr>
            <w:tcW w:w="0" w:type="pct"/>
          </w:tcPr>
          <w:p w14:paraId="78280ECB" w14:textId="1786BCC1" w:rsidR="008A7ECA" w:rsidRPr="00507670" w:rsidRDefault="648436EE" w:rsidP="00E660BE">
            <w:pPr>
              <w:spacing w:after="0" w:line="276" w:lineRule="auto"/>
              <w:rPr>
                <w:rFonts w:cs="Arial"/>
                <w:lang w:eastAsia="en-AU"/>
              </w:rPr>
            </w:pPr>
            <w:r w:rsidRPr="00507670">
              <w:rPr>
                <w:rFonts w:cs="Arial"/>
                <w:lang w:eastAsia="en-AU"/>
              </w:rPr>
              <w:t>70%</w:t>
            </w:r>
          </w:p>
        </w:tc>
        <w:tc>
          <w:tcPr>
            <w:tcW w:w="0" w:type="pct"/>
          </w:tcPr>
          <w:p w14:paraId="3F68DB56" w14:textId="3D990F3A" w:rsidR="008A7ECA" w:rsidRPr="008D33CE" w:rsidRDefault="008A7ECA" w:rsidP="00E660BE">
            <w:pPr>
              <w:spacing w:after="0" w:line="276" w:lineRule="auto"/>
              <w:rPr>
                <w:rFonts w:cs="Arial"/>
              </w:rPr>
            </w:pPr>
            <w:r w:rsidRPr="002303D2">
              <w:rPr>
                <w:rFonts w:cs="Arial"/>
              </w:rPr>
              <w:t>80%</w:t>
            </w:r>
          </w:p>
        </w:tc>
      </w:tr>
      <w:tr w:rsidR="00E437B0" w:rsidRPr="008D33CE" w14:paraId="279A17F0" w14:textId="77777777" w:rsidTr="002751B3">
        <w:trPr>
          <w:cnfStyle w:val="000000100000" w:firstRow="0" w:lastRow="0" w:firstColumn="0" w:lastColumn="0" w:oddVBand="0" w:evenVBand="0" w:oddHBand="1" w:evenHBand="0" w:firstRowFirstColumn="0" w:firstRowLastColumn="0" w:lastRowFirstColumn="0" w:lastRowLastColumn="0"/>
          <w:trHeight w:val="20"/>
        </w:trPr>
        <w:tc>
          <w:tcPr>
            <w:tcW w:w="0" w:type="pct"/>
          </w:tcPr>
          <w:p w14:paraId="5ECDC40A" w14:textId="0C1ADCAA" w:rsidR="008A7ECA" w:rsidRPr="008D33CE" w:rsidRDefault="008A7ECA" w:rsidP="00E660BE">
            <w:pPr>
              <w:spacing w:after="0" w:line="276" w:lineRule="auto"/>
              <w:rPr>
                <w:rFonts w:cs="Arial"/>
              </w:rPr>
            </w:pPr>
            <w:r w:rsidRPr="008D33CE">
              <w:rPr>
                <w:rFonts w:cs="Arial"/>
              </w:rPr>
              <w:t xml:space="preserve">Average call wait time to the Legal Help phone line </w:t>
            </w:r>
          </w:p>
        </w:tc>
        <w:tc>
          <w:tcPr>
            <w:tcW w:w="0" w:type="pct"/>
          </w:tcPr>
          <w:p w14:paraId="5CFF6D3F" w14:textId="6263D3A1" w:rsidR="008A7ECA" w:rsidRPr="00507670" w:rsidRDefault="00F81438" w:rsidP="00E660BE">
            <w:pPr>
              <w:spacing w:after="0" w:line="276" w:lineRule="auto"/>
              <w:rPr>
                <w:rFonts w:cs="Arial"/>
                <w:lang w:eastAsia="en-AU"/>
              </w:rPr>
            </w:pPr>
            <w:r>
              <w:rPr>
                <w:rFonts w:cs="Arial"/>
                <w:lang w:eastAsia="en-AU"/>
              </w:rPr>
              <w:t>10.21</w:t>
            </w:r>
            <w:r w:rsidR="51FFE727" w:rsidRPr="00507670">
              <w:rPr>
                <w:rFonts w:cs="Arial"/>
                <w:lang w:eastAsia="en-AU"/>
              </w:rPr>
              <w:t xml:space="preserve"> minutes</w:t>
            </w:r>
          </w:p>
        </w:tc>
        <w:tc>
          <w:tcPr>
            <w:tcW w:w="0" w:type="pct"/>
          </w:tcPr>
          <w:p w14:paraId="16E69977" w14:textId="6F573FA0" w:rsidR="008A7ECA" w:rsidRPr="008D33CE" w:rsidRDefault="00284FC7" w:rsidP="00E660BE">
            <w:pPr>
              <w:spacing w:after="0" w:line="276" w:lineRule="auto"/>
              <w:rPr>
                <w:rFonts w:cs="Arial"/>
              </w:rPr>
            </w:pPr>
            <w:r>
              <w:rPr>
                <w:rFonts w:cs="Arial"/>
              </w:rPr>
              <w:t>Under 10</w:t>
            </w:r>
            <w:r w:rsidR="008A7ECA" w:rsidRPr="002303D2">
              <w:rPr>
                <w:rFonts w:cs="Arial"/>
              </w:rPr>
              <w:t xml:space="preserve"> minutes</w:t>
            </w:r>
          </w:p>
        </w:tc>
      </w:tr>
    </w:tbl>
    <w:p w14:paraId="6BA3A9F0" w14:textId="0DC39C7A" w:rsidR="00B368E9" w:rsidRDefault="00B368E9" w:rsidP="002303D2">
      <w:pPr>
        <w:pStyle w:val="Heading2"/>
      </w:pPr>
      <w:bookmarkStart w:id="83" w:name="_Toc20289991"/>
      <w:r>
        <w:t>Reporting</w:t>
      </w:r>
      <w:bookmarkEnd w:id="83"/>
    </w:p>
    <w:p w14:paraId="25B5D35D" w14:textId="2ABAC5D2" w:rsidR="0016473D" w:rsidRDefault="0016473D" w:rsidP="002303D2">
      <w:pPr>
        <w:spacing w:before="240"/>
      </w:pPr>
      <w:r>
        <w:t xml:space="preserve">In addition to </w:t>
      </w:r>
      <w:r w:rsidR="00B33792">
        <w:t xml:space="preserve">reporting against </w:t>
      </w:r>
      <w:r>
        <w:t>the</w:t>
      </w:r>
      <w:r w:rsidR="00AF7D83">
        <w:t>se</w:t>
      </w:r>
      <w:r>
        <w:t xml:space="preserve"> measures, a qualitative assessment of performance against our 2019–20 Corporate Plan priorities </w:t>
      </w:r>
      <w:r w:rsidR="00094BD7">
        <w:t>actions</w:t>
      </w:r>
      <w:r>
        <w:t xml:space="preserve"> will be provided to the </w:t>
      </w:r>
      <w:r w:rsidR="006A6308">
        <w:t xml:space="preserve">Victoria Legal Aid </w:t>
      </w:r>
      <w:r>
        <w:t>Board on a six-monthly basis</w:t>
      </w:r>
      <w:r w:rsidR="006A6308">
        <w:t>,</w:t>
      </w:r>
      <w:r>
        <w:t xml:space="preserve"> to help us assess the progress we have made towards achieving our intended outcomes.</w:t>
      </w:r>
    </w:p>
    <w:p w14:paraId="79A67F70" w14:textId="6D0D6D08" w:rsidR="00A7087F" w:rsidRDefault="00A7087F" w:rsidP="001D0C75"/>
    <w:p w14:paraId="1054DAB3" w14:textId="77777777" w:rsidR="009D29EC" w:rsidRDefault="009D29EC" w:rsidP="001D0C75"/>
    <w:p w14:paraId="37573348" w14:textId="41EE9B0F" w:rsidR="009D29EC" w:rsidRDefault="009D29EC">
      <w:pPr>
        <w:spacing w:after="0" w:line="240" w:lineRule="auto"/>
      </w:pPr>
    </w:p>
    <w:sectPr w:rsidR="009D29EC" w:rsidSect="00BB66EA">
      <w:headerReference w:type="first" r:id="rId19"/>
      <w:footerReference w:type="first" r:id="rId20"/>
      <w:pgSz w:w="11906" w:h="16838" w:code="9"/>
      <w:pgMar w:top="1418" w:right="992" w:bottom="1134" w:left="1134" w:header="851" w:footer="284"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5B8EC" w14:textId="77777777" w:rsidR="00F46802" w:rsidRDefault="00F46802">
      <w:r>
        <w:separator/>
      </w:r>
    </w:p>
    <w:p w14:paraId="6CA42513" w14:textId="77777777" w:rsidR="00F46802" w:rsidRDefault="00F46802"/>
    <w:p w14:paraId="702F46F4" w14:textId="77777777" w:rsidR="00F46802" w:rsidRDefault="00F46802"/>
  </w:endnote>
  <w:endnote w:type="continuationSeparator" w:id="0">
    <w:p w14:paraId="0E462B9D" w14:textId="77777777" w:rsidR="00F46802" w:rsidRDefault="00F46802">
      <w:r>
        <w:continuationSeparator/>
      </w:r>
    </w:p>
    <w:p w14:paraId="3503E760" w14:textId="77777777" w:rsidR="00F46802" w:rsidRDefault="00F46802"/>
    <w:p w14:paraId="71D01055" w14:textId="77777777" w:rsidR="00F46802" w:rsidRDefault="00F46802"/>
  </w:endnote>
  <w:endnote w:type="continuationNotice" w:id="1">
    <w:p w14:paraId="2E4DC8D2" w14:textId="77777777" w:rsidR="00F46802" w:rsidRDefault="00F46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roman"/>
    <w:notTrueType/>
    <w:pitch w:val="default"/>
  </w:font>
  <w:font w:name="Gotham Narrow Book">
    <w:altName w:val="Gotham Narrow 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0B68" w14:textId="77777777" w:rsidR="001C3218" w:rsidRDefault="001C3218"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B53D" w14:textId="2FF0FD88" w:rsidR="001C3218" w:rsidRDefault="001C3218" w:rsidP="0030023F">
    <w:pPr>
      <w:pStyle w:val="VLAdivision"/>
    </w:pPr>
    <w: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778096"/>
      <w:docPartObj>
        <w:docPartGallery w:val="Page Numbers (Bottom of Page)"/>
        <w:docPartUnique/>
      </w:docPartObj>
    </w:sdtPr>
    <w:sdtEndPr>
      <w:rPr>
        <w:noProof/>
      </w:rPr>
    </w:sdtEndPr>
    <w:sdtContent>
      <w:p w14:paraId="6AC555E7" w14:textId="6C7395C9" w:rsidR="001C3218" w:rsidRPr="002303D2" w:rsidRDefault="001C3218" w:rsidP="002303D2">
        <w:pPr>
          <w:pStyle w:val="Footer"/>
          <w:pBdr>
            <w:top w:val="single" w:sz="4" w:space="1" w:color="971A4B"/>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4738" w14:textId="71C1E464" w:rsidR="001C3218" w:rsidRPr="00F67A8C" w:rsidRDefault="001C3218" w:rsidP="00F6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A7688" w14:textId="77777777" w:rsidR="00F46802" w:rsidRPr="00E9228F" w:rsidRDefault="00F46802" w:rsidP="00E9228F">
      <w:pPr>
        <w:rPr>
          <w:sz w:val="18"/>
          <w:szCs w:val="18"/>
        </w:rPr>
      </w:pPr>
      <w:r w:rsidRPr="006831FC">
        <w:rPr>
          <w:sz w:val="18"/>
        </w:rPr>
        <w:separator/>
      </w:r>
    </w:p>
  </w:footnote>
  <w:footnote w:type="continuationSeparator" w:id="0">
    <w:p w14:paraId="4986B7F2" w14:textId="77777777" w:rsidR="00F46802" w:rsidRDefault="00F46802">
      <w:r>
        <w:continuationSeparator/>
      </w:r>
    </w:p>
    <w:p w14:paraId="504BA4BE" w14:textId="77777777" w:rsidR="00F46802" w:rsidRDefault="00F46802"/>
    <w:p w14:paraId="00FBE119" w14:textId="77777777" w:rsidR="00F46802" w:rsidRDefault="00F46802"/>
  </w:footnote>
  <w:footnote w:type="continuationNotice" w:id="1">
    <w:p w14:paraId="79C31FCF" w14:textId="77777777" w:rsidR="00F46802" w:rsidRDefault="00F46802">
      <w:pPr>
        <w:spacing w:after="0" w:line="240" w:lineRule="auto"/>
      </w:pPr>
    </w:p>
  </w:footnote>
  <w:footnote w:id="2">
    <w:p w14:paraId="344C900A" w14:textId="77777777" w:rsidR="00C57D17" w:rsidRPr="00594218" w:rsidRDefault="00C57D17" w:rsidP="00C57D17">
      <w:pPr>
        <w:pStyle w:val="FootnoteText"/>
        <w:spacing w:line="240" w:lineRule="auto"/>
        <w:rPr>
          <w:sz w:val="16"/>
          <w:szCs w:val="16"/>
        </w:rPr>
      </w:pPr>
      <w:r w:rsidRPr="00B7288F">
        <w:rPr>
          <w:rStyle w:val="FootnoteReference"/>
          <w:sz w:val="16"/>
          <w:szCs w:val="16"/>
        </w:rPr>
        <w:footnoteRef/>
      </w:r>
      <w:r w:rsidRPr="00124FD7">
        <w:rPr>
          <w:sz w:val="16"/>
          <w:szCs w:val="16"/>
        </w:rPr>
        <w:t xml:space="preserve"> </w:t>
      </w:r>
      <w:r w:rsidRPr="0009402A">
        <w:rPr>
          <w:sz w:val="16"/>
          <w:szCs w:val="16"/>
        </w:rPr>
        <w:t xml:space="preserve">Webchat </w:t>
      </w:r>
      <w:r w:rsidRPr="00594218">
        <w:rPr>
          <w:sz w:val="16"/>
          <w:szCs w:val="16"/>
        </w:rPr>
        <w:t>average wait time is under 30 seconds and the answer rate is approximately 90% compared to the phone line, where the YTD wait time is 14 minutes and answer rate is 69%.</w:t>
      </w:r>
    </w:p>
  </w:footnote>
  <w:footnote w:id="3">
    <w:p w14:paraId="73E78C74" w14:textId="77777777" w:rsidR="00FD314D" w:rsidRPr="00B7288F" w:rsidRDefault="00FD314D" w:rsidP="00FD314D">
      <w:pPr>
        <w:pStyle w:val="FootnoteText"/>
        <w:spacing w:after="0" w:line="240" w:lineRule="auto"/>
        <w:rPr>
          <w:sz w:val="16"/>
          <w:szCs w:val="16"/>
        </w:rPr>
      </w:pPr>
      <w:r w:rsidRPr="00B7288F">
        <w:rPr>
          <w:rStyle w:val="FootnoteReference"/>
          <w:sz w:val="16"/>
          <w:szCs w:val="16"/>
        </w:rPr>
        <w:footnoteRef/>
      </w:r>
      <w:r w:rsidRPr="00B7288F">
        <w:rPr>
          <w:sz w:val="16"/>
          <w:szCs w:val="16"/>
        </w:rPr>
        <w:t xml:space="preserve"> Following a review into our methodology in some aspects of our data, some key metrics have been revised. As a result, the 2017-18 client and service figures presented are slightly different to what was reported last year. Using the new data, a more accurate comparison is available. </w:t>
      </w:r>
    </w:p>
  </w:footnote>
  <w:footnote w:id="4">
    <w:p w14:paraId="3F80F486" w14:textId="77777777" w:rsidR="00EE6A05" w:rsidRPr="00B7288F" w:rsidRDefault="00EE6A05" w:rsidP="00EE6A05">
      <w:pPr>
        <w:pStyle w:val="FootnoteText"/>
        <w:spacing w:after="0" w:line="240" w:lineRule="auto"/>
        <w:ind w:left="0" w:firstLine="0"/>
        <w:jc w:val="both"/>
        <w:rPr>
          <w:sz w:val="16"/>
          <w:szCs w:val="16"/>
        </w:rPr>
      </w:pPr>
      <w:r w:rsidRPr="006C4668">
        <w:rPr>
          <w:rStyle w:val="FootnoteReference"/>
          <w:sz w:val="16"/>
          <w:szCs w:val="16"/>
        </w:rPr>
        <w:footnoteRef/>
      </w:r>
      <w:r w:rsidRPr="006C4668">
        <w:rPr>
          <w:sz w:val="16"/>
          <w:szCs w:val="16"/>
        </w:rPr>
        <w:t xml:space="preserve"> Unique clients are individual clients who accessed one or more of our legal services. This does not include people for whom a client</w:t>
      </w:r>
      <w:r w:rsidRPr="003527BE">
        <w:rPr>
          <w:sz w:val="16"/>
          <w:szCs w:val="16"/>
        </w:rPr>
        <w:t xml:space="preserve"> </w:t>
      </w:r>
      <w:r w:rsidRPr="00B7288F">
        <w:rPr>
          <w:sz w:val="16"/>
          <w:szCs w:val="16"/>
        </w:rPr>
        <w:t>lawyer relationship was not formed, who received information via telephone, website or in-person at court or at public counters, who participated in community legal education sessions, or clients from community legal centres.</w:t>
      </w:r>
    </w:p>
  </w:footnote>
  <w:footnote w:id="5">
    <w:p w14:paraId="5F973C1D" w14:textId="77777777" w:rsidR="00F57284" w:rsidRDefault="00F57284" w:rsidP="00F57284">
      <w:pPr>
        <w:pStyle w:val="FootnoteText"/>
        <w:spacing w:after="0" w:line="240" w:lineRule="auto"/>
      </w:pPr>
      <w:r>
        <w:rPr>
          <w:rStyle w:val="FootnoteReference"/>
        </w:rPr>
        <w:footnoteRef/>
      </w:r>
      <w:r>
        <w:t xml:space="preserve"> </w:t>
      </w:r>
      <w:r w:rsidRPr="00CC518D">
        <w:rPr>
          <w:sz w:val="16"/>
          <w:szCs w:val="16"/>
        </w:rPr>
        <w:t>IHMA data represents occasion of service not client figures and we expect service levels to be similar this year with some growth that represents increased de</w:t>
      </w:r>
      <w:r>
        <w:rPr>
          <w:sz w:val="16"/>
          <w:szCs w:val="16"/>
        </w:rPr>
        <w:t>ma</w:t>
      </w:r>
      <w:r w:rsidRPr="00CC518D">
        <w:rPr>
          <w:sz w:val="16"/>
          <w:szCs w:val="16"/>
        </w:rPr>
        <w:t>n</w:t>
      </w:r>
      <w:r>
        <w:rPr>
          <w:sz w:val="16"/>
          <w:szCs w:val="16"/>
        </w:rPr>
        <w:t>d</w:t>
      </w:r>
      <w:r w:rsidRPr="00CC518D">
        <w:rPr>
          <w:sz w:val="16"/>
          <w:szCs w:val="16"/>
        </w:rPr>
        <w:t xml:space="preserve"> for this service. Targets are set by IHMA and DHHS together and are being reviewed.</w:t>
      </w:r>
      <w:r>
        <w:t xml:space="preserve"> </w:t>
      </w:r>
    </w:p>
  </w:footnote>
  <w:footnote w:id="6">
    <w:p w14:paraId="163E17DA" w14:textId="77777777" w:rsidR="00B6592B" w:rsidRPr="006C4668" w:rsidRDefault="00B6592B" w:rsidP="00B6592B">
      <w:pPr>
        <w:pStyle w:val="FootnoteText"/>
        <w:spacing w:after="0" w:line="240" w:lineRule="auto"/>
        <w:ind w:left="0" w:firstLine="0"/>
        <w:jc w:val="both"/>
        <w:rPr>
          <w:sz w:val="16"/>
          <w:szCs w:val="16"/>
        </w:rPr>
      </w:pPr>
      <w:r w:rsidRPr="006C4668">
        <w:rPr>
          <w:rStyle w:val="FootnoteReference"/>
          <w:sz w:val="16"/>
          <w:szCs w:val="16"/>
        </w:rPr>
        <w:footnoteRef/>
      </w:r>
      <w:r w:rsidRPr="006C4668">
        <w:rPr>
          <w:sz w:val="16"/>
          <w:szCs w:val="16"/>
        </w:rPr>
        <w:t xml:space="preserve"> Targets are set by IMHA and DHHS together and are being reviewed.</w:t>
      </w:r>
    </w:p>
  </w:footnote>
  <w:footnote w:id="7">
    <w:p w14:paraId="004DFFCA" w14:textId="77777777" w:rsidR="00A67ABB" w:rsidRPr="00B7288F" w:rsidRDefault="00A67ABB" w:rsidP="00A67ABB">
      <w:pPr>
        <w:pStyle w:val="FootnoteText"/>
        <w:spacing w:after="0" w:line="240" w:lineRule="auto"/>
        <w:rPr>
          <w:sz w:val="16"/>
          <w:szCs w:val="16"/>
        </w:rPr>
      </w:pPr>
      <w:r w:rsidRPr="00B7288F">
        <w:rPr>
          <w:rStyle w:val="FootnoteReference"/>
          <w:sz w:val="16"/>
          <w:szCs w:val="16"/>
        </w:rPr>
        <w:footnoteRef/>
      </w:r>
      <w:r w:rsidRPr="00B7288F">
        <w:rPr>
          <w:sz w:val="16"/>
          <w:szCs w:val="16"/>
        </w:rPr>
        <w:t xml:space="preserve"> The 2017-18 actual did not include webchat. Webchat was introduced in 2018-19. </w:t>
      </w:r>
    </w:p>
  </w:footnote>
  <w:footnote w:id="8">
    <w:p w14:paraId="484E6B0A" w14:textId="77777777" w:rsidR="006F744F" w:rsidRPr="003527BE" w:rsidRDefault="006F744F" w:rsidP="006F744F">
      <w:pPr>
        <w:pStyle w:val="FootnoteText"/>
        <w:spacing w:after="0" w:line="240" w:lineRule="auto"/>
        <w:ind w:left="0" w:firstLine="0"/>
        <w:jc w:val="both"/>
        <w:rPr>
          <w:sz w:val="16"/>
          <w:szCs w:val="16"/>
        </w:rPr>
      </w:pPr>
      <w:r w:rsidRPr="006C4668">
        <w:rPr>
          <w:rStyle w:val="FootnoteReference"/>
          <w:sz w:val="16"/>
          <w:szCs w:val="16"/>
        </w:rPr>
        <w:footnoteRef/>
      </w:r>
      <w:r w:rsidRPr="006C4668">
        <w:rPr>
          <w:sz w:val="16"/>
          <w:szCs w:val="16"/>
        </w:rPr>
        <w:t xml:space="preserve"> We expect to do fewer CLE sessions in 2019-20 as we have reduced capacity, and this is reflected in the participant target.</w:t>
      </w:r>
    </w:p>
  </w:footnote>
  <w:footnote w:id="9">
    <w:p w14:paraId="5B9EA090" w14:textId="06783864" w:rsidR="001C3218" w:rsidRPr="00A97FC3" w:rsidRDefault="001C3218" w:rsidP="00A97FC3">
      <w:pPr>
        <w:pStyle w:val="FootnoteText"/>
        <w:spacing w:after="0"/>
        <w:rPr>
          <w:sz w:val="16"/>
          <w:szCs w:val="18"/>
        </w:rPr>
      </w:pPr>
      <w:r w:rsidRPr="00A97FC3">
        <w:rPr>
          <w:rStyle w:val="FootnoteReference"/>
          <w:sz w:val="16"/>
          <w:szCs w:val="18"/>
        </w:rPr>
        <w:footnoteRef/>
      </w:r>
      <w:r w:rsidRPr="00A97FC3">
        <w:rPr>
          <w:sz w:val="16"/>
          <w:szCs w:val="18"/>
        </w:rPr>
        <w:t xml:space="preserve"> We expect </w:t>
      </w:r>
      <w:r w:rsidR="006F744F">
        <w:rPr>
          <w:sz w:val="16"/>
          <w:szCs w:val="18"/>
        </w:rPr>
        <w:t>t</w:t>
      </w:r>
      <w:r w:rsidRPr="00A97FC3">
        <w:rPr>
          <w:sz w:val="16"/>
          <w:szCs w:val="18"/>
        </w:rPr>
        <w:t>o do fewer CLE sessions in 2019</w:t>
      </w:r>
      <w:r w:rsidRPr="00356868">
        <w:rPr>
          <w:sz w:val="16"/>
          <w:szCs w:val="18"/>
        </w:rPr>
        <w:t>–</w:t>
      </w:r>
      <w:r w:rsidRPr="00A97FC3">
        <w:rPr>
          <w:sz w:val="16"/>
          <w:szCs w:val="18"/>
        </w:rPr>
        <w:t>20 as we have reduced capacity, and this is reflected in the target.</w:t>
      </w:r>
    </w:p>
  </w:footnote>
  <w:footnote w:id="10">
    <w:p w14:paraId="5BC5B1C5" w14:textId="77777777" w:rsidR="001C650F" w:rsidRPr="00085B56" w:rsidRDefault="001C650F" w:rsidP="001C650F">
      <w:pPr>
        <w:pStyle w:val="FootnoteText"/>
        <w:spacing w:line="240" w:lineRule="auto"/>
        <w:rPr>
          <w:sz w:val="16"/>
          <w:szCs w:val="16"/>
        </w:rPr>
      </w:pPr>
      <w:r w:rsidRPr="005D31C0">
        <w:rPr>
          <w:rStyle w:val="FootnoteReference"/>
          <w:sz w:val="16"/>
          <w:szCs w:val="16"/>
        </w:rPr>
        <w:footnoteRef/>
      </w:r>
      <w:r w:rsidRPr="005D31C0">
        <w:rPr>
          <w:sz w:val="16"/>
          <w:szCs w:val="16"/>
        </w:rPr>
        <w:t xml:space="preserve"> </w:t>
      </w:r>
      <w:r w:rsidRPr="00B768A6">
        <w:rPr>
          <w:sz w:val="16"/>
          <w:szCs w:val="16"/>
          <w:lang w:val="en-GB"/>
        </w:rPr>
        <w:t xml:space="preserve">A session is a group of user interactions with </w:t>
      </w:r>
      <w:r w:rsidRPr="00085B56">
        <w:rPr>
          <w:sz w:val="16"/>
          <w:szCs w:val="16"/>
          <w:lang w:val="en-GB"/>
        </w:rPr>
        <w:t xml:space="preserve">the website that take place within a given time frame. </w:t>
      </w:r>
    </w:p>
  </w:footnote>
  <w:footnote w:id="11">
    <w:p w14:paraId="4AA3BFA7" w14:textId="77777777" w:rsidR="00761B65" w:rsidRPr="00085B56" w:rsidRDefault="00761B65" w:rsidP="00761B65">
      <w:pPr>
        <w:pStyle w:val="FootnoteText"/>
        <w:spacing w:line="240" w:lineRule="auto"/>
        <w:rPr>
          <w:sz w:val="16"/>
          <w:szCs w:val="16"/>
        </w:rPr>
      </w:pPr>
      <w:r w:rsidRPr="00287FEA">
        <w:rPr>
          <w:rStyle w:val="FootnoteReference"/>
          <w:sz w:val="16"/>
          <w:szCs w:val="16"/>
          <w:vertAlign w:val="baseline"/>
        </w:rPr>
        <w:footnoteRef/>
      </w:r>
      <w:r w:rsidRPr="00287FEA">
        <w:rPr>
          <w:sz w:val="16"/>
          <w:szCs w:val="16"/>
        </w:rPr>
        <w:t xml:space="preserve"> </w:t>
      </w:r>
      <w:r w:rsidRPr="00287FEA">
        <w:rPr>
          <w:sz w:val="16"/>
          <w:szCs w:val="16"/>
        </w:rPr>
        <w:tab/>
      </w:r>
      <w:r w:rsidRPr="005D31C0">
        <w:rPr>
          <w:sz w:val="16"/>
          <w:szCs w:val="16"/>
        </w:rPr>
        <w:t>Duty lawyer services provided by private practitioners includes services delivered by solicitors and barristers.</w:t>
      </w:r>
      <w:r w:rsidRPr="00B768A6">
        <w:rPr>
          <w:sz w:val="16"/>
          <w:szCs w:val="16"/>
        </w:rPr>
        <w:t xml:space="preserve"> </w:t>
      </w:r>
      <w:r w:rsidRPr="00085B56">
        <w:rPr>
          <w:sz w:val="16"/>
          <w:szCs w:val="16"/>
        </w:rPr>
        <w:t>This does not include duty lawyer services provided by CLCs.</w:t>
      </w:r>
    </w:p>
  </w:footnote>
  <w:footnote w:id="12">
    <w:p w14:paraId="33655B5E" w14:textId="77777777" w:rsidR="00CA4538" w:rsidRPr="00085B56" w:rsidRDefault="00CA4538" w:rsidP="00CA4538">
      <w:pPr>
        <w:pStyle w:val="FootnoteText"/>
        <w:spacing w:line="240" w:lineRule="auto"/>
        <w:rPr>
          <w:sz w:val="16"/>
          <w:szCs w:val="16"/>
        </w:rPr>
      </w:pPr>
      <w:r w:rsidRPr="005D31C0">
        <w:rPr>
          <w:sz w:val="16"/>
          <w:szCs w:val="16"/>
        </w:rPr>
        <w:footnoteRef/>
      </w:r>
      <w:r w:rsidRPr="005D31C0">
        <w:rPr>
          <w:sz w:val="16"/>
          <w:szCs w:val="16"/>
        </w:rPr>
        <w:t xml:space="preserve"> </w:t>
      </w:r>
      <w:r w:rsidRPr="005D31C0">
        <w:rPr>
          <w:sz w:val="16"/>
          <w:szCs w:val="16"/>
        </w:rPr>
        <w:tab/>
        <w:t xml:space="preserve">Aboriginal community controlled legal services form part of the mixed model of service delivery; however, in </w:t>
      </w:r>
      <w:r w:rsidRPr="00085B56">
        <w:rPr>
          <w:sz w:val="16"/>
          <w:szCs w:val="16"/>
        </w:rPr>
        <w:t>recognition of the importance of Aboriginal self-determination, Victoria Legal Aid does not undertake strategic planning or direct the funding of Aboriginal legal services.</w:t>
      </w:r>
    </w:p>
  </w:footnote>
  <w:footnote w:id="13">
    <w:p w14:paraId="31E2272C" w14:textId="77777777" w:rsidR="00C86836" w:rsidRPr="006525E8" w:rsidRDefault="00C86836" w:rsidP="00C86836">
      <w:pPr>
        <w:pStyle w:val="CommentText"/>
        <w:rPr>
          <w:sz w:val="16"/>
          <w:szCs w:val="16"/>
        </w:rPr>
      </w:pPr>
      <w:r w:rsidRPr="006525E8">
        <w:rPr>
          <w:rStyle w:val="FootnoteReference"/>
          <w:sz w:val="16"/>
          <w:szCs w:val="16"/>
        </w:rPr>
        <w:footnoteRef/>
      </w:r>
      <w:r w:rsidRPr="006525E8">
        <w:rPr>
          <w:sz w:val="16"/>
          <w:szCs w:val="16"/>
        </w:rPr>
        <w:t xml:space="preserve"> Expensive Commonwealth Criminal Cases (ECCCF) are currently funded separately to base funding and on a reimbursement basis and that is critical to our ability to support these matters without detracting substantially and unexpectedly form general legal aid funds.</w:t>
      </w:r>
    </w:p>
    <w:p w14:paraId="4C059435" w14:textId="77777777" w:rsidR="00C86836" w:rsidRPr="006525E8" w:rsidRDefault="00C86836" w:rsidP="00C86836">
      <w:pPr>
        <w:pStyle w:val="FootnoteText"/>
        <w:spacing w:line="240" w:lineRule="auto"/>
        <w:rPr>
          <w:sz w:val="16"/>
          <w:szCs w:val="16"/>
        </w:rPr>
      </w:pPr>
    </w:p>
  </w:footnote>
  <w:footnote w:id="14">
    <w:p w14:paraId="63D18BCD" w14:textId="77777777" w:rsidR="004D41FC" w:rsidRPr="001837C2" w:rsidRDefault="004D41FC" w:rsidP="004D41FC">
      <w:pPr>
        <w:pStyle w:val="FootnoteText"/>
        <w:spacing w:line="240" w:lineRule="auto"/>
        <w:rPr>
          <w:sz w:val="16"/>
          <w:szCs w:val="16"/>
        </w:rPr>
      </w:pPr>
      <w:r w:rsidRPr="001837C2">
        <w:rPr>
          <w:rStyle w:val="FootnoteReference"/>
          <w:sz w:val="16"/>
          <w:szCs w:val="16"/>
        </w:rPr>
        <w:footnoteRef/>
      </w:r>
      <w:r w:rsidRPr="001837C2">
        <w:rPr>
          <w:sz w:val="16"/>
          <w:szCs w:val="16"/>
        </w:rPr>
        <w:t xml:space="preserve"> The increase in funding relates to state funding for further implementation of the Fair Work Commission SACS Equal Remuneration order and specific purpose funding from the state government for various projects and some discretionary funds from VLA for child protection and family law projects. </w:t>
      </w:r>
    </w:p>
  </w:footnote>
  <w:footnote w:id="15">
    <w:p w14:paraId="4AEA298B" w14:textId="35B09F83" w:rsidR="001C3218" w:rsidRDefault="001C3218" w:rsidP="003C736C">
      <w:pPr>
        <w:pStyle w:val="FootnoteText"/>
        <w:spacing w:after="0" w:line="240" w:lineRule="auto"/>
      </w:pPr>
      <w:r>
        <w:rPr>
          <w:rStyle w:val="FootnoteReference"/>
        </w:rPr>
        <w:footnoteRef/>
      </w:r>
      <w:r>
        <w:t xml:space="preserve"> </w:t>
      </w:r>
      <w:r w:rsidRPr="003C736C">
        <w:rPr>
          <w:sz w:val="16"/>
          <w:szCs w:val="16"/>
        </w:rPr>
        <w:t xml:space="preserve">While client overall satisfaction levels remain high at 70% and rates have stabilised across all client types and services, it is anticipated that successful implementation of corporate plan priority 2.1 </w:t>
      </w:r>
      <w:r w:rsidR="000B1054" w:rsidRPr="003C736C">
        <w:rPr>
          <w:sz w:val="16"/>
          <w:szCs w:val="16"/>
          <w:lang w:eastAsia="en-AU"/>
        </w:rPr>
        <w:t>Client</w:t>
      </w:r>
      <w:r w:rsidR="00A1084B">
        <w:rPr>
          <w:sz w:val="16"/>
          <w:szCs w:val="16"/>
          <w:lang w:eastAsia="en-AU"/>
        </w:rPr>
        <w:t xml:space="preserve"> First S</w:t>
      </w:r>
      <w:r w:rsidR="000B1054" w:rsidRPr="003C736C">
        <w:rPr>
          <w:sz w:val="16"/>
          <w:szCs w:val="16"/>
          <w:lang w:eastAsia="en-AU"/>
        </w:rPr>
        <w:t xml:space="preserve">trategy </w:t>
      </w:r>
      <w:r w:rsidRPr="003C736C">
        <w:rPr>
          <w:sz w:val="16"/>
          <w:szCs w:val="16"/>
        </w:rPr>
        <w:t>will support VLA to bridge the BP3 target gap over coming years.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26087" w14:textId="2C497E75" w:rsidR="001C3218" w:rsidRDefault="001C3218">
    <w:pPr>
      <w:pStyle w:val="Header"/>
    </w:pPr>
    <w:r>
      <w:rPr>
        <w:noProof/>
      </w:rPr>
      <mc:AlternateContent>
        <mc:Choice Requires="wps">
          <w:drawing>
            <wp:anchor distT="0" distB="0" distL="114300" distR="114300" simplePos="0" relativeHeight="251658242" behindDoc="1" locked="0" layoutInCell="0" allowOverlap="1" wp14:anchorId="2677268C" wp14:editId="16894C86">
              <wp:simplePos x="0" y="0"/>
              <wp:positionH relativeFrom="margin">
                <wp:align>center</wp:align>
              </wp:positionH>
              <wp:positionV relativeFrom="margin">
                <wp:align>center</wp:align>
              </wp:positionV>
              <wp:extent cx="1085850" cy="714375"/>
              <wp:effectExtent l="38100" t="200025" r="0" b="152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F98031" w14:textId="77777777" w:rsidR="001C3218" w:rsidRDefault="001C3218" w:rsidP="00FB2163">
                          <w:pPr>
                            <w:jc w:val="center"/>
                            <w:rPr>
                              <w:sz w:val="24"/>
                            </w:rP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77268C" id="_x0000_t202" coordsize="21600,21600" o:spt="202" path="m,l,21600r21600,l21600,xe">
              <v:stroke joinstyle="miter"/>
              <v:path gradientshapeok="t" o:connecttype="rect"/>
            </v:shapetype>
            <v:shape id="Text Box 13" o:spid="_x0000_s1026" type="#_x0000_t202" style="position:absolute;margin-left:0;margin-top:0;width:85.5pt;height:56.2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" o:allowincell="f" filled="f" stroked="f">
              <v:stroke joinstyle="round"/>
              <o:lock v:ext="edit" shapetype="t"/>
              <v:textbox style="mso-fit-shape-to-text:t">
                <w:txbxContent>
                  <w:p w14:paraId="5CF98031" w14:textId="77777777" w:rsidR="001C3218" w:rsidRDefault="001C3218" w:rsidP="00FB2163">
                    <w:pPr>
                      <w:jc w:val="center"/>
                      <w:rPr>
                        <w:sz w:val="24"/>
                      </w:rP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r w:rsidR="000C7A18">
      <w:rPr>
        <w:noProof/>
        <w:lang w:eastAsia="en-AU"/>
      </w:rPr>
      <w:pict w14:anchorId="440E9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377.3pt;height:22in;rotation:300;z-index:251658241;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103E" w14:textId="77777777" w:rsidR="001C3218" w:rsidRPr="009F7B2D" w:rsidRDefault="001C3218" w:rsidP="004E0688">
    <w:pPr>
      <w:pStyle w:val="Header"/>
      <w:jc w:val="right"/>
    </w:pPr>
    <w:r>
      <w:rPr>
        <w:noProof/>
        <w:lang w:eastAsia="en-AU"/>
      </w:rPr>
      <w:drawing>
        <wp:inline distT="0" distB="0" distL="0" distR="0" wp14:anchorId="7FAFC844" wp14:editId="15A2D683">
          <wp:extent cx="1806575" cy="1445260"/>
          <wp:effectExtent l="0" t="0" r="3175" b="2540"/>
          <wp:docPr id="10" name="Picture 10"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5C45" w14:textId="2885E3F1" w:rsidR="001C3218" w:rsidRDefault="001C3218" w:rsidP="006E2882">
    <w:pPr>
      <w:spacing w:before="400"/>
      <w:jc w:val="right"/>
    </w:pPr>
    <w:r>
      <w:rPr>
        <w:noProof/>
        <w:lang w:eastAsia="en-AU"/>
      </w:rPr>
      <w:drawing>
        <wp:inline distT="0" distB="0" distL="0" distR="0" wp14:anchorId="33866074" wp14:editId="452F1C0E">
          <wp:extent cx="2691765" cy="427990"/>
          <wp:effectExtent l="0" t="0" r="0" b="0"/>
          <wp:docPr id="21" name="Picture 21"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0C7A18">
      <w:rPr>
        <w:noProof/>
        <w:lang w:eastAsia="en-AU"/>
      </w:rPr>
      <w:pict w14:anchorId="27C51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8240;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3EE2" w14:textId="232411F8" w:rsidR="001C3218" w:rsidRPr="002303D2" w:rsidRDefault="001C3218" w:rsidP="002303D2">
    <w:pPr>
      <w:pStyle w:val="Filename"/>
      <w:pBdr>
        <w:top w:val="none" w:sz="0" w:space="0" w:color="auto"/>
        <w:bottom w:val="single" w:sz="4" w:space="1" w:color="971A4B"/>
      </w:pBdr>
      <w:tabs>
        <w:tab w:val="clear" w:pos="9240"/>
      </w:tabs>
      <w:jc w:val="right"/>
      <w:rPr>
        <w:color w:val="971A4B"/>
      </w:rPr>
    </w:pPr>
    <w:r w:rsidRPr="002303D2">
      <w:rPr>
        <w:color w:val="971A4B"/>
      </w:rPr>
      <w:t>Victoria Legal Aid Corporate Plan 2019–20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00CA" w14:textId="7AAD5D67" w:rsidR="001C3218" w:rsidRPr="001A6DB9" w:rsidRDefault="001C3218" w:rsidP="001A6DB9">
    <w:pPr>
      <w:pStyle w:val="Filename"/>
      <w:pBdr>
        <w:top w:val="none" w:sz="0" w:space="0" w:color="auto"/>
        <w:bottom w:val="single" w:sz="4" w:space="1" w:color="971A4B"/>
      </w:pBdr>
      <w:tabs>
        <w:tab w:val="clear" w:pos="9240"/>
      </w:tabs>
      <w:jc w:val="right"/>
      <w:rPr>
        <w:color w:val="971A4B"/>
      </w:rPr>
    </w:pPr>
    <w:r w:rsidRPr="002303D2">
      <w:rPr>
        <w:color w:val="971A4B"/>
      </w:rPr>
      <w:t>Victoria Legal Aid Corporate Plan 2019–20</w:t>
    </w:r>
    <w:r>
      <w:tab/>
    </w:r>
    <w:r>
      <w:tab/>
    </w:r>
    <w:r>
      <w:rPr>
        <w:noProof/>
        <w:lang w:eastAsia="en-AU"/>
      </w:rPr>
      <mc:AlternateContent>
        <mc:Choice Requires="wps">
          <w:drawing>
            <wp:anchor distT="0" distB="0" distL="114300" distR="114300" simplePos="0" relativeHeight="251658243" behindDoc="0" locked="0" layoutInCell="1" allowOverlap="1" wp14:anchorId="761A5774" wp14:editId="4566252F">
              <wp:simplePos x="0" y="0"/>
              <wp:positionH relativeFrom="margin">
                <wp:align>center</wp:align>
              </wp:positionH>
              <wp:positionV relativeFrom="margin">
                <wp:align>center</wp:align>
              </wp:positionV>
              <wp:extent cx="4791710" cy="20116800"/>
              <wp:effectExtent l="3810" t="0" r="0" b="3175"/>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000000">
                        <a:off x="0" y="0"/>
                        <a:ext cx="4791710" cy="20116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7CBA26F" w14:textId="77777777" w:rsidR="001C3218" w:rsidRDefault="001C3218" w:rsidP="00A37933">
                          <w:pPr>
                            <w:jc w:val="center"/>
                            <w:rPr>
                              <w:sz w:val="24"/>
                            </w:rPr>
                          </w:pPr>
                          <w:r>
                            <w:rPr>
                              <w:rFonts w:cs="Arial"/>
                              <w:b/>
                              <w:color w:val="C8C8C8"/>
                              <w:sz w:val="108"/>
                              <w:szCs w:val="108"/>
                              <w14:textFill>
                                <w14:solidFill>
                                  <w14:srgbClr w14:val="C8C8C8">
                                    <w14:alpha w14:val="2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1A5774" id="_x0000_t202" coordsize="21600,21600" o:spt="202" path="m,l,21600r21600,l21600,xe">
              <v:stroke joinstyle="miter"/>
              <v:path gradientshapeok="t" o:connecttype="rect"/>
            </v:shapetype>
            <v:shape id="Text Box 4" o:spid="_x0000_s1027" type="#_x0000_t202" style="position:absolute;left:0;text-align:left;margin-left:0;margin-top:0;width:377.3pt;height:22in;rotation:-60;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" filled="f" stroked="f">
              <v:stroke joinstyle="round"/>
              <o:lock v:ext="edit" aspectratio="t" shapetype="t"/>
              <v:textbox style="mso-fit-shape-to-text:t">
                <w:txbxContent>
                  <w:p w14:paraId="07CBA26F" w14:textId="77777777" w:rsidR="001C3218" w:rsidRDefault="001C3218" w:rsidP="00A37933">
                    <w:pPr>
                      <w:jc w:val="center"/>
                      <w:rPr>
                        <w:sz w:val="24"/>
                      </w:rPr>
                    </w:pPr>
                    <w:r>
                      <w:rPr>
                        <w:rFonts w:cs="Arial"/>
                        <w:b/>
                        <w:color w:val="C8C8C8"/>
                        <w:sz w:val="108"/>
                        <w:szCs w:val="108"/>
                        <w14:textFill>
                          <w14:solidFill>
                            <w14:srgbClr w14:val="C8C8C8">
                              <w14:alpha w14:val="20000"/>
                            </w14:srgbClr>
                          </w14:solidFill>
                        </w14:textFill>
                      </w:rPr>
                      <w:t xml:space="preserve">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FFE205"/>
    <w:multiLevelType w:val="hybridMultilevel"/>
    <w:tmpl w:val="5B3CA2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0465C5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D120D"/>
    <w:multiLevelType w:val="hybridMultilevel"/>
    <w:tmpl w:val="831C6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D6040"/>
    <w:multiLevelType w:val="hybridMultilevel"/>
    <w:tmpl w:val="77B60022"/>
    <w:lvl w:ilvl="0" w:tplc="0C090001">
      <w:start w:val="1"/>
      <w:numFmt w:val="bullet"/>
      <w:lvlText w:val=""/>
      <w:lvlJc w:val="left"/>
      <w:pPr>
        <w:ind w:left="720" w:hanging="360"/>
      </w:pPr>
      <w:rPr>
        <w:rFonts w:ascii="Symbol" w:hAnsi="Symbol" w:hint="default"/>
        <w:b/>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1740E1"/>
    <w:multiLevelType w:val="hybridMultilevel"/>
    <w:tmpl w:val="2954C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6E7F38"/>
    <w:multiLevelType w:val="hybridMultilevel"/>
    <w:tmpl w:val="9E1C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5125A"/>
    <w:multiLevelType w:val="hybridMultilevel"/>
    <w:tmpl w:val="E8C09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2410A6"/>
    <w:multiLevelType w:val="hybridMultilevel"/>
    <w:tmpl w:val="DF7ACF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BC190B"/>
    <w:multiLevelType w:val="hybridMultilevel"/>
    <w:tmpl w:val="C4FEDA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5CA2120"/>
    <w:multiLevelType w:val="hybridMultilevel"/>
    <w:tmpl w:val="FC9C8F4E"/>
    <w:lvl w:ilvl="0" w:tplc="0C090001">
      <w:start w:val="1"/>
      <w:numFmt w:val="bullet"/>
      <w:lvlText w:val=""/>
      <w:lvlJc w:val="left"/>
      <w:pPr>
        <w:ind w:left="720" w:hanging="360"/>
      </w:pPr>
      <w:rPr>
        <w:rFonts w:ascii="Symbol" w:hAnsi="Symbol" w:hint="default"/>
        <w:b/>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C628E"/>
    <w:multiLevelType w:val="hybridMultilevel"/>
    <w:tmpl w:val="C46E5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457EF5"/>
    <w:multiLevelType w:val="hybridMultilevel"/>
    <w:tmpl w:val="80329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3B3408"/>
    <w:multiLevelType w:val="hybridMultilevel"/>
    <w:tmpl w:val="B98A5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265270"/>
    <w:multiLevelType w:val="hybridMultilevel"/>
    <w:tmpl w:val="A198F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2057E7"/>
    <w:multiLevelType w:val="hybridMultilevel"/>
    <w:tmpl w:val="0E74D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386D55"/>
    <w:multiLevelType w:val="hybridMultilevel"/>
    <w:tmpl w:val="23CEE7D8"/>
    <w:lvl w:ilvl="0" w:tplc="0C090001">
      <w:start w:val="1"/>
      <w:numFmt w:val="bullet"/>
      <w:lvlText w:val=""/>
      <w:lvlJc w:val="left"/>
      <w:pPr>
        <w:ind w:left="720" w:hanging="360"/>
      </w:pPr>
      <w:rPr>
        <w:rFonts w:ascii="Symbol" w:hAnsi="Symbol" w:hint="default"/>
        <w:b/>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D1449A"/>
    <w:multiLevelType w:val="multilevel"/>
    <w:tmpl w:val="344EEC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E97817"/>
    <w:multiLevelType w:val="hybridMultilevel"/>
    <w:tmpl w:val="BE5C5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03391D"/>
    <w:multiLevelType w:val="hybridMultilevel"/>
    <w:tmpl w:val="3A52D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921D6B"/>
    <w:multiLevelType w:val="hybridMultilevel"/>
    <w:tmpl w:val="6C266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1D151B"/>
    <w:multiLevelType w:val="hybridMultilevel"/>
    <w:tmpl w:val="ABDA51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23" w15:restartNumberingAfterBreak="0">
    <w:nsid w:val="254052F2"/>
    <w:multiLevelType w:val="hybridMultilevel"/>
    <w:tmpl w:val="990C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E028C8"/>
    <w:multiLevelType w:val="hybridMultilevel"/>
    <w:tmpl w:val="50CC26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8113D0C"/>
    <w:multiLevelType w:val="hybridMultilevel"/>
    <w:tmpl w:val="88C2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CD79C1"/>
    <w:multiLevelType w:val="multilevel"/>
    <w:tmpl w:val="F8A226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BA7E1B"/>
    <w:multiLevelType w:val="hybridMultilevel"/>
    <w:tmpl w:val="2EE2FC6A"/>
    <w:lvl w:ilvl="0" w:tplc="0C090001">
      <w:start w:val="1"/>
      <w:numFmt w:val="bullet"/>
      <w:lvlText w:val=""/>
      <w:lvlJc w:val="left"/>
      <w:pPr>
        <w:ind w:left="1151" w:hanging="360"/>
      </w:pPr>
      <w:rPr>
        <w:rFonts w:ascii="Symbol" w:hAnsi="Symbol" w:hint="default"/>
      </w:rPr>
    </w:lvl>
    <w:lvl w:ilvl="1" w:tplc="0C090003" w:tentative="1">
      <w:start w:val="1"/>
      <w:numFmt w:val="bullet"/>
      <w:lvlText w:val="o"/>
      <w:lvlJc w:val="left"/>
      <w:pPr>
        <w:ind w:left="1871" w:hanging="360"/>
      </w:pPr>
      <w:rPr>
        <w:rFonts w:ascii="Courier New" w:hAnsi="Courier New" w:cs="Courier New" w:hint="default"/>
      </w:rPr>
    </w:lvl>
    <w:lvl w:ilvl="2" w:tplc="0C090005" w:tentative="1">
      <w:start w:val="1"/>
      <w:numFmt w:val="bullet"/>
      <w:lvlText w:val=""/>
      <w:lvlJc w:val="left"/>
      <w:pPr>
        <w:ind w:left="2591" w:hanging="360"/>
      </w:pPr>
      <w:rPr>
        <w:rFonts w:ascii="Wingdings" w:hAnsi="Wingdings" w:hint="default"/>
      </w:rPr>
    </w:lvl>
    <w:lvl w:ilvl="3" w:tplc="0C090001" w:tentative="1">
      <w:start w:val="1"/>
      <w:numFmt w:val="bullet"/>
      <w:lvlText w:val=""/>
      <w:lvlJc w:val="left"/>
      <w:pPr>
        <w:ind w:left="3311" w:hanging="360"/>
      </w:pPr>
      <w:rPr>
        <w:rFonts w:ascii="Symbol" w:hAnsi="Symbol" w:hint="default"/>
      </w:rPr>
    </w:lvl>
    <w:lvl w:ilvl="4" w:tplc="0C090003" w:tentative="1">
      <w:start w:val="1"/>
      <w:numFmt w:val="bullet"/>
      <w:lvlText w:val="o"/>
      <w:lvlJc w:val="left"/>
      <w:pPr>
        <w:ind w:left="4031" w:hanging="360"/>
      </w:pPr>
      <w:rPr>
        <w:rFonts w:ascii="Courier New" w:hAnsi="Courier New" w:cs="Courier New" w:hint="default"/>
      </w:rPr>
    </w:lvl>
    <w:lvl w:ilvl="5" w:tplc="0C090005" w:tentative="1">
      <w:start w:val="1"/>
      <w:numFmt w:val="bullet"/>
      <w:lvlText w:val=""/>
      <w:lvlJc w:val="left"/>
      <w:pPr>
        <w:ind w:left="4751" w:hanging="360"/>
      </w:pPr>
      <w:rPr>
        <w:rFonts w:ascii="Wingdings" w:hAnsi="Wingdings" w:hint="default"/>
      </w:rPr>
    </w:lvl>
    <w:lvl w:ilvl="6" w:tplc="0C090001" w:tentative="1">
      <w:start w:val="1"/>
      <w:numFmt w:val="bullet"/>
      <w:lvlText w:val=""/>
      <w:lvlJc w:val="left"/>
      <w:pPr>
        <w:ind w:left="5471" w:hanging="360"/>
      </w:pPr>
      <w:rPr>
        <w:rFonts w:ascii="Symbol" w:hAnsi="Symbol" w:hint="default"/>
      </w:rPr>
    </w:lvl>
    <w:lvl w:ilvl="7" w:tplc="0C090003" w:tentative="1">
      <w:start w:val="1"/>
      <w:numFmt w:val="bullet"/>
      <w:lvlText w:val="o"/>
      <w:lvlJc w:val="left"/>
      <w:pPr>
        <w:ind w:left="6191" w:hanging="360"/>
      </w:pPr>
      <w:rPr>
        <w:rFonts w:ascii="Courier New" w:hAnsi="Courier New" w:cs="Courier New" w:hint="default"/>
      </w:rPr>
    </w:lvl>
    <w:lvl w:ilvl="8" w:tplc="0C090005" w:tentative="1">
      <w:start w:val="1"/>
      <w:numFmt w:val="bullet"/>
      <w:lvlText w:val=""/>
      <w:lvlJc w:val="left"/>
      <w:pPr>
        <w:ind w:left="6911" w:hanging="360"/>
      </w:pPr>
      <w:rPr>
        <w:rFonts w:ascii="Wingdings" w:hAnsi="Wingdings" w:hint="default"/>
      </w:rPr>
    </w:lvl>
  </w:abstractNum>
  <w:abstractNum w:abstractNumId="28" w15:restartNumberingAfterBreak="0">
    <w:nsid w:val="30BE342A"/>
    <w:multiLevelType w:val="multilevel"/>
    <w:tmpl w:val="AEBAA8D8"/>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9" w15:restartNumberingAfterBreak="0">
    <w:nsid w:val="31E718FC"/>
    <w:multiLevelType w:val="hybridMultilevel"/>
    <w:tmpl w:val="A588E2A2"/>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81A015E"/>
    <w:multiLevelType w:val="hybridMultilevel"/>
    <w:tmpl w:val="3ACE5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173A05"/>
    <w:multiLevelType w:val="hybridMultilevel"/>
    <w:tmpl w:val="E2F6BA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3EF8621C"/>
    <w:multiLevelType w:val="hybridMultilevel"/>
    <w:tmpl w:val="15969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7C0621"/>
    <w:multiLevelType w:val="hybridMultilevel"/>
    <w:tmpl w:val="AADEAF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59A64A2"/>
    <w:multiLevelType w:val="hybridMultilevel"/>
    <w:tmpl w:val="CFC8B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9271427"/>
    <w:multiLevelType w:val="hybridMultilevel"/>
    <w:tmpl w:val="B3B26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9" w15:restartNumberingAfterBreak="0">
    <w:nsid w:val="4D91695E"/>
    <w:multiLevelType w:val="hybridMultilevel"/>
    <w:tmpl w:val="3814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AF516B"/>
    <w:multiLevelType w:val="multilevel"/>
    <w:tmpl w:val="654A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C174B9"/>
    <w:multiLevelType w:val="hybridMultilevel"/>
    <w:tmpl w:val="BA5E5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0163386"/>
    <w:multiLevelType w:val="multilevel"/>
    <w:tmpl w:val="9FF87AB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0E4ECB"/>
    <w:multiLevelType w:val="hybridMultilevel"/>
    <w:tmpl w:val="7C00A1F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3581831"/>
    <w:multiLevelType w:val="hybridMultilevel"/>
    <w:tmpl w:val="A0E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6" w15:restartNumberingAfterBreak="0">
    <w:nsid w:val="55A903C3"/>
    <w:multiLevelType w:val="hybridMultilevel"/>
    <w:tmpl w:val="F8F6C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6FE1F39"/>
    <w:multiLevelType w:val="hybridMultilevel"/>
    <w:tmpl w:val="F508E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716825"/>
    <w:multiLevelType w:val="hybridMultilevel"/>
    <w:tmpl w:val="53240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6242F6"/>
    <w:multiLevelType w:val="hybridMultilevel"/>
    <w:tmpl w:val="1A987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51" w15:restartNumberingAfterBreak="0">
    <w:nsid w:val="5F230752"/>
    <w:multiLevelType w:val="hybridMultilevel"/>
    <w:tmpl w:val="05CCB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53" w15:restartNumberingAfterBreak="0">
    <w:nsid w:val="652F76ED"/>
    <w:multiLevelType w:val="hybridMultilevel"/>
    <w:tmpl w:val="66B6B3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6ED6C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5A4790"/>
    <w:multiLevelType w:val="hybridMultilevel"/>
    <w:tmpl w:val="BAACF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BC4032"/>
    <w:multiLevelType w:val="hybridMultilevel"/>
    <w:tmpl w:val="E34672D8"/>
    <w:lvl w:ilvl="0" w:tplc="0C090001">
      <w:start w:val="1"/>
      <w:numFmt w:val="bullet"/>
      <w:lvlText w:val=""/>
      <w:lvlJc w:val="left"/>
      <w:pPr>
        <w:ind w:left="720" w:hanging="360"/>
      </w:pPr>
      <w:rPr>
        <w:rFonts w:ascii="Symbol" w:hAnsi="Symbol" w:hint="default"/>
        <w:b/>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9D84F91"/>
    <w:multiLevelType w:val="multilevel"/>
    <w:tmpl w:val="0512DE54"/>
    <w:lvl w:ilvl="0">
      <w:start w:val="1"/>
      <w:numFmt w:val="decimal"/>
      <w:lvlText w:val="%1."/>
      <w:lvlJc w:val="left"/>
      <w:pPr>
        <w:ind w:left="360" w:hanging="360"/>
      </w:pPr>
      <w:rPr>
        <w:rFonts w:hint="default"/>
      </w:rPr>
    </w:lvl>
    <w:lvl w:ilvl="1">
      <w:start w:val="1"/>
      <w:numFmt w:val="decimal"/>
      <w:pStyle w:val="Style1"/>
      <w:lvlText w:val="%1.%2"/>
      <w:lvlJc w:val="left"/>
      <w:pPr>
        <w:ind w:left="41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D285D07"/>
    <w:multiLevelType w:val="hybridMultilevel"/>
    <w:tmpl w:val="4628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D8255F3"/>
    <w:multiLevelType w:val="hybridMultilevel"/>
    <w:tmpl w:val="17822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94100C"/>
    <w:multiLevelType w:val="hybridMultilevel"/>
    <w:tmpl w:val="8F008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8E83201"/>
    <w:multiLevelType w:val="hybridMultilevel"/>
    <w:tmpl w:val="2FE6E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63" w15:restartNumberingAfterBreak="0">
    <w:nsid w:val="7E2102DB"/>
    <w:multiLevelType w:val="hybridMultilevel"/>
    <w:tmpl w:val="972E4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45"/>
  </w:num>
  <w:num w:numId="4">
    <w:abstractNumId w:val="38"/>
  </w:num>
  <w:num w:numId="5">
    <w:abstractNumId w:val="35"/>
  </w:num>
  <w:num w:numId="6">
    <w:abstractNumId w:val="19"/>
  </w:num>
  <w:num w:numId="7">
    <w:abstractNumId w:val="25"/>
  </w:num>
  <w:num w:numId="8">
    <w:abstractNumId w:val="11"/>
  </w:num>
  <w:num w:numId="9">
    <w:abstractNumId w:val="21"/>
  </w:num>
  <w:num w:numId="10">
    <w:abstractNumId w:val="13"/>
  </w:num>
  <w:num w:numId="11">
    <w:abstractNumId w:val="51"/>
  </w:num>
  <w:num w:numId="12">
    <w:abstractNumId w:val="41"/>
  </w:num>
  <w:num w:numId="13">
    <w:abstractNumId w:val="34"/>
  </w:num>
  <w:num w:numId="14">
    <w:abstractNumId w:val="32"/>
  </w:num>
  <w:num w:numId="15">
    <w:abstractNumId w:val="6"/>
  </w:num>
  <w:num w:numId="16">
    <w:abstractNumId w:val="1"/>
  </w:num>
  <w:num w:numId="17">
    <w:abstractNumId w:val="20"/>
  </w:num>
  <w:num w:numId="18">
    <w:abstractNumId w:val="46"/>
  </w:num>
  <w:num w:numId="19">
    <w:abstractNumId w:val="23"/>
  </w:num>
  <w:num w:numId="20">
    <w:abstractNumId w:val="29"/>
  </w:num>
  <w:num w:numId="21">
    <w:abstractNumId w:val="14"/>
  </w:num>
  <w:num w:numId="22">
    <w:abstractNumId w:val="5"/>
  </w:num>
  <w:num w:numId="23">
    <w:abstractNumId w:val="33"/>
  </w:num>
  <w:num w:numId="24">
    <w:abstractNumId w:val="2"/>
  </w:num>
  <w:num w:numId="25">
    <w:abstractNumId w:val="18"/>
  </w:num>
  <w:num w:numId="26">
    <w:abstractNumId w:val="12"/>
  </w:num>
  <w:num w:numId="27">
    <w:abstractNumId w:val="43"/>
  </w:num>
  <w:num w:numId="28">
    <w:abstractNumId w:val="48"/>
  </w:num>
  <w:num w:numId="29">
    <w:abstractNumId w:val="40"/>
  </w:num>
  <w:num w:numId="30">
    <w:abstractNumId w:val="57"/>
  </w:num>
  <w:num w:numId="31">
    <w:abstractNumId w:val="54"/>
  </w:num>
  <w:num w:numId="32">
    <w:abstractNumId w:val="26"/>
  </w:num>
  <w:num w:numId="33">
    <w:abstractNumId w:val="37"/>
  </w:num>
  <w:num w:numId="34">
    <w:abstractNumId w:val="47"/>
  </w:num>
  <w:num w:numId="35">
    <w:abstractNumId w:val="49"/>
  </w:num>
  <w:num w:numId="36">
    <w:abstractNumId w:val="17"/>
  </w:num>
  <w:num w:numId="37">
    <w:abstractNumId w:val="61"/>
  </w:num>
  <w:num w:numId="38">
    <w:abstractNumId w:val="42"/>
  </w:num>
  <w:num w:numId="39">
    <w:abstractNumId w:val="7"/>
  </w:num>
  <w:num w:numId="40">
    <w:abstractNumId w:val="0"/>
  </w:num>
  <w:num w:numId="41">
    <w:abstractNumId w:val="27"/>
  </w:num>
  <w:num w:numId="42">
    <w:abstractNumId w:val="63"/>
  </w:num>
  <w:num w:numId="43">
    <w:abstractNumId w:val="4"/>
  </w:num>
  <w:num w:numId="44">
    <w:abstractNumId w:val="53"/>
  </w:num>
  <w:num w:numId="45">
    <w:abstractNumId w:val="24"/>
  </w:num>
  <w:num w:numId="46">
    <w:abstractNumId w:val="57"/>
    <w:lvlOverride w:ilvl="0">
      <w:startOverride w:val="5"/>
    </w:lvlOverride>
  </w:num>
  <w:num w:numId="47">
    <w:abstractNumId w:val="57"/>
  </w:num>
  <w:num w:numId="48">
    <w:abstractNumId w:val="57"/>
    <w:lvlOverride w:ilvl="0">
      <w:startOverride w:val="7"/>
    </w:lvlOverride>
  </w:num>
  <w:num w:numId="49">
    <w:abstractNumId w:val="57"/>
    <w:lvlOverride w:ilvl="0">
      <w:startOverride w:val="8"/>
    </w:lvlOverride>
  </w:num>
  <w:num w:numId="50">
    <w:abstractNumId w:val="57"/>
    <w:lvlOverride w:ilvl="0">
      <w:startOverride w:val="9"/>
    </w:lvlOverride>
  </w:num>
  <w:num w:numId="51">
    <w:abstractNumId w:val="57"/>
    <w:lvlOverride w:ilvl="0">
      <w:startOverride w:val="10"/>
    </w:lvlOverride>
  </w:num>
  <w:num w:numId="52">
    <w:abstractNumId w:val="8"/>
  </w:num>
  <w:num w:numId="53">
    <w:abstractNumId w:val="15"/>
  </w:num>
  <w:num w:numId="54">
    <w:abstractNumId w:val="44"/>
  </w:num>
  <w:num w:numId="55">
    <w:abstractNumId w:val="31"/>
  </w:num>
  <w:num w:numId="56">
    <w:abstractNumId w:val="58"/>
  </w:num>
  <w:num w:numId="57">
    <w:abstractNumId w:val="59"/>
  </w:num>
  <w:num w:numId="58">
    <w:abstractNumId w:val="39"/>
  </w:num>
  <w:num w:numId="59">
    <w:abstractNumId w:val="55"/>
  </w:num>
  <w:num w:numId="60">
    <w:abstractNumId w:val="60"/>
  </w:num>
  <w:num w:numId="61">
    <w:abstractNumId w:val="3"/>
  </w:num>
  <w:num w:numId="62">
    <w:abstractNumId w:val="56"/>
  </w:num>
  <w:num w:numId="63">
    <w:abstractNumId w:val="10"/>
  </w:num>
  <w:num w:numId="64">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AU" w:vendorID="64" w:dllVersion="0" w:nlCheck="1" w:checkStyle="0"/>
  <w:activeWritingStyle w:appName="MSWord" w:lang="en-US" w:vendorID="64" w:dllVersion="0" w:nlCheck="1" w:checkStyle="1"/>
  <w:activeWritingStyle w:appName="MSWord" w:lang="en-GB" w:vendorID="64" w:dllVersion="0" w:nlCheck="1" w:checkStyle="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zNDcxMDQzMjMzNzVX0lEKTi0uzszPAykwrAUAguk3GSwAAAA="/>
  </w:docVars>
  <w:rsids>
    <w:rsidRoot w:val="009A580D"/>
    <w:rsid w:val="00001860"/>
    <w:rsid w:val="00002636"/>
    <w:rsid w:val="0000297A"/>
    <w:rsid w:val="00002AF4"/>
    <w:rsid w:val="00002E41"/>
    <w:rsid w:val="000030E6"/>
    <w:rsid w:val="00003750"/>
    <w:rsid w:val="00003CB7"/>
    <w:rsid w:val="000041B1"/>
    <w:rsid w:val="00005629"/>
    <w:rsid w:val="000056D2"/>
    <w:rsid w:val="00005EB0"/>
    <w:rsid w:val="000069BB"/>
    <w:rsid w:val="00006BD3"/>
    <w:rsid w:val="000072BD"/>
    <w:rsid w:val="00007914"/>
    <w:rsid w:val="00007F40"/>
    <w:rsid w:val="000114F1"/>
    <w:rsid w:val="00011A50"/>
    <w:rsid w:val="00012881"/>
    <w:rsid w:val="00012B9C"/>
    <w:rsid w:val="00013732"/>
    <w:rsid w:val="00013EB5"/>
    <w:rsid w:val="0001510C"/>
    <w:rsid w:val="000155A6"/>
    <w:rsid w:val="00016CFE"/>
    <w:rsid w:val="00017300"/>
    <w:rsid w:val="000177A2"/>
    <w:rsid w:val="00020EDD"/>
    <w:rsid w:val="00021FA9"/>
    <w:rsid w:val="00022111"/>
    <w:rsid w:val="00022153"/>
    <w:rsid w:val="000227C3"/>
    <w:rsid w:val="00022C70"/>
    <w:rsid w:val="00022C83"/>
    <w:rsid w:val="00022D7A"/>
    <w:rsid w:val="00022F62"/>
    <w:rsid w:val="00023035"/>
    <w:rsid w:val="000232AA"/>
    <w:rsid w:val="000240FD"/>
    <w:rsid w:val="00024118"/>
    <w:rsid w:val="0002487C"/>
    <w:rsid w:val="00024F78"/>
    <w:rsid w:val="0002560C"/>
    <w:rsid w:val="0002560F"/>
    <w:rsid w:val="000257F4"/>
    <w:rsid w:val="00026160"/>
    <w:rsid w:val="000261BA"/>
    <w:rsid w:val="00026D03"/>
    <w:rsid w:val="0003006D"/>
    <w:rsid w:val="00030C78"/>
    <w:rsid w:val="0003195C"/>
    <w:rsid w:val="00031B82"/>
    <w:rsid w:val="00032AF3"/>
    <w:rsid w:val="00032D0F"/>
    <w:rsid w:val="0003374D"/>
    <w:rsid w:val="000338D2"/>
    <w:rsid w:val="00034A2C"/>
    <w:rsid w:val="00034DA1"/>
    <w:rsid w:val="00034DE8"/>
    <w:rsid w:val="00035DBC"/>
    <w:rsid w:val="00035F53"/>
    <w:rsid w:val="000362B9"/>
    <w:rsid w:val="000363CB"/>
    <w:rsid w:val="00036C4A"/>
    <w:rsid w:val="00036F5B"/>
    <w:rsid w:val="00037357"/>
    <w:rsid w:val="00037F0E"/>
    <w:rsid w:val="0004060D"/>
    <w:rsid w:val="00040985"/>
    <w:rsid w:val="000417F0"/>
    <w:rsid w:val="00041806"/>
    <w:rsid w:val="00041A00"/>
    <w:rsid w:val="00041DF5"/>
    <w:rsid w:val="00044162"/>
    <w:rsid w:val="0004465F"/>
    <w:rsid w:val="00044E93"/>
    <w:rsid w:val="00044F32"/>
    <w:rsid w:val="00044FCA"/>
    <w:rsid w:val="00045937"/>
    <w:rsid w:val="00046C6F"/>
    <w:rsid w:val="00052F37"/>
    <w:rsid w:val="00053BDA"/>
    <w:rsid w:val="000541EC"/>
    <w:rsid w:val="0005434C"/>
    <w:rsid w:val="000545AB"/>
    <w:rsid w:val="0005492F"/>
    <w:rsid w:val="000550F8"/>
    <w:rsid w:val="0005535A"/>
    <w:rsid w:val="000553C9"/>
    <w:rsid w:val="00055B69"/>
    <w:rsid w:val="00056516"/>
    <w:rsid w:val="00056D16"/>
    <w:rsid w:val="00057353"/>
    <w:rsid w:val="000579AC"/>
    <w:rsid w:val="00060169"/>
    <w:rsid w:val="00061055"/>
    <w:rsid w:val="000610FC"/>
    <w:rsid w:val="00061235"/>
    <w:rsid w:val="000614F1"/>
    <w:rsid w:val="00061609"/>
    <w:rsid w:val="00062593"/>
    <w:rsid w:val="00062699"/>
    <w:rsid w:val="0006296A"/>
    <w:rsid w:val="000629CE"/>
    <w:rsid w:val="00064B2A"/>
    <w:rsid w:val="0006586D"/>
    <w:rsid w:val="00066090"/>
    <w:rsid w:val="00066125"/>
    <w:rsid w:val="000661EE"/>
    <w:rsid w:val="00066B09"/>
    <w:rsid w:val="000675A8"/>
    <w:rsid w:val="000676E0"/>
    <w:rsid w:val="00067E12"/>
    <w:rsid w:val="00070E6A"/>
    <w:rsid w:val="00071241"/>
    <w:rsid w:val="00071370"/>
    <w:rsid w:val="00071C0C"/>
    <w:rsid w:val="000725B9"/>
    <w:rsid w:val="00072BA6"/>
    <w:rsid w:val="00072FF9"/>
    <w:rsid w:val="000742C7"/>
    <w:rsid w:val="00074E3C"/>
    <w:rsid w:val="00075247"/>
    <w:rsid w:val="000762A2"/>
    <w:rsid w:val="00076501"/>
    <w:rsid w:val="00076E3C"/>
    <w:rsid w:val="00077A5F"/>
    <w:rsid w:val="000804E4"/>
    <w:rsid w:val="00081386"/>
    <w:rsid w:val="00082D39"/>
    <w:rsid w:val="00083109"/>
    <w:rsid w:val="000834E7"/>
    <w:rsid w:val="000836CB"/>
    <w:rsid w:val="00083E5C"/>
    <w:rsid w:val="00084A27"/>
    <w:rsid w:val="00084AB0"/>
    <w:rsid w:val="00084BA0"/>
    <w:rsid w:val="00084C6C"/>
    <w:rsid w:val="0008542D"/>
    <w:rsid w:val="00085A47"/>
    <w:rsid w:val="000862C2"/>
    <w:rsid w:val="00086462"/>
    <w:rsid w:val="00086E33"/>
    <w:rsid w:val="00090CE1"/>
    <w:rsid w:val="000910E2"/>
    <w:rsid w:val="00091BCA"/>
    <w:rsid w:val="00093E1E"/>
    <w:rsid w:val="00093FDB"/>
    <w:rsid w:val="00094BD7"/>
    <w:rsid w:val="000953B9"/>
    <w:rsid w:val="00095CB1"/>
    <w:rsid w:val="00095E96"/>
    <w:rsid w:val="00095F28"/>
    <w:rsid w:val="00096821"/>
    <w:rsid w:val="00096FED"/>
    <w:rsid w:val="0009734D"/>
    <w:rsid w:val="000A03DA"/>
    <w:rsid w:val="000A04B7"/>
    <w:rsid w:val="000A2070"/>
    <w:rsid w:val="000A24DA"/>
    <w:rsid w:val="000A2650"/>
    <w:rsid w:val="000A3CF0"/>
    <w:rsid w:val="000A4D6A"/>
    <w:rsid w:val="000A51B4"/>
    <w:rsid w:val="000A5391"/>
    <w:rsid w:val="000A57B4"/>
    <w:rsid w:val="000A5AA1"/>
    <w:rsid w:val="000A5E14"/>
    <w:rsid w:val="000A6D99"/>
    <w:rsid w:val="000A6E07"/>
    <w:rsid w:val="000A7049"/>
    <w:rsid w:val="000A711A"/>
    <w:rsid w:val="000A732E"/>
    <w:rsid w:val="000B00E5"/>
    <w:rsid w:val="000B02D8"/>
    <w:rsid w:val="000B0AB6"/>
    <w:rsid w:val="000B1054"/>
    <w:rsid w:val="000B1482"/>
    <w:rsid w:val="000B2104"/>
    <w:rsid w:val="000B2168"/>
    <w:rsid w:val="000B278C"/>
    <w:rsid w:val="000B28F2"/>
    <w:rsid w:val="000B30C1"/>
    <w:rsid w:val="000B310D"/>
    <w:rsid w:val="000B3766"/>
    <w:rsid w:val="000B3A9F"/>
    <w:rsid w:val="000B3CF7"/>
    <w:rsid w:val="000B3F1A"/>
    <w:rsid w:val="000B473A"/>
    <w:rsid w:val="000B4DF5"/>
    <w:rsid w:val="000B6D46"/>
    <w:rsid w:val="000B797C"/>
    <w:rsid w:val="000B7E01"/>
    <w:rsid w:val="000C0B84"/>
    <w:rsid w:val="000C1218"/>
    <w:rsid w:val="000C1665"/>
    <w:rsid w:val="000C2052"/>
    <w:rsid w:val="000C2E87"/>
    <w:rsid w:val="000C2F7B"/>
    <w:rsid w:val="000C37AF"/>
    <w:rsid w:val="000C38CA"/>
    <w:rsid w:val="000C5750"/>
    <w:rsid w:val="000C655E"/>
    <w:rsid w:val="000C6813"/>
    <w:rsid w:val="000C743F"/>
    <w:rsid w:val="000C750D"/>
    <w:rsid w:val="000C7A18"/>
    <w:rsid w:val="000D0EB0"/>
    <w:rsid w:val="000D2BE1"/>
    <w:rsid w:val="000D2E45"/>
    <w:rsid w:val="000D3071"/>
    <w:rsid w:val="000D41D7"/>
    <w:rsid w:val="000D4278"/>
    <w:rsid w:val="000D4E26"/>
    <w:rsid w:val="000D4F97"/>
    <w:rsid w:val="000D6E11"/>
    <w:rsid w:val="000D7A76"/>
    <w:rsid w:val="000E0185"/>
    <w:rsid w:val="000E18D7"/>
    <w:rsid w:val="000E268D"/>
    <w:rsid w:val="000E2C9C"/>
    <w:rsid w:val="000E30FC"/>
    <w:rsid w:val="000E31D1"/>
    <w:rsid w:val="000E4B9B"/>
    <w:rsid w:val="000E4D80"/>
    <w:rsid w:val="000E4FD6"/>
    <w:rsid w:val="000E7142"/>
    <w:rsid w:val="000E7645"/>
    <w:rsid w:val="000F0ABF"/>
    <w:rsid w:val="000F0C9E"/>
    <w:rsid w:val="000F0D27"/>
    <w:rsid w:val="000F0ED1"/>
    <w:rsid w:val="000F1310"/>
    <w:rsid w:val="000F17F4"/>
    <w:rsid w:val="000F1B61"/>
    <w:rsid w:val="000F1CBB"/>
    <w:rsid w:val="000F1E1E"/>
    <w:rsid w:val="000F27BD"/>
    <w:rsid w:val="000F4359"/>
    <w:rsid w:val="000F43EE"/>
    <w:rsid w:val="000F4E14"/>
    <w:rsid w:val="000F53D4"/>
    <w:rsid w:val="000F61E4"/>
    <w:rsid w:val="000F6492"/>
    <w:rsid w:val="000F7500"/>
    <w:rsid w:val="000F7C72"/>
    <w:rsid w:val="000F7D52"/>
    <w:rsid w:val="001000BA"/>
    <w:rsid w:val="0010179B"/>
    <w:rsid w:val="00101914"/>
    <w:rsid w:val="00101BFD"/>
    <w:rsid w:val="00101C08"/>
    <w:rsid w:val="00101CBD"/>
    <w:rsid w:val="00101CFB"/>
    <w:rsid w:val="00102B03"/>
    <w:rsid w:val="001033F0"/>
    <w:rsid w:val="00103704"/>
    <w:rsid w:val="00103932"/>
    <w:rsid w:val="00103DCE"/>
    <w:rsid w:val="00104254"/>
    <w:rsid w:val="00104781"/>
    <w:rsid w:val="00105242"/>
    <w:rsid w:val="00105249"/>
    <w:rsid w:val="001058D7"/>
    <w:rsid w:val="001062FA"/>
    <w:rsid w:val="00106CF7"/>
    <w:rsid w:val="00107254"/>
    <w:rsid w:val="001079C7"/>
    <w:rsid w:val="00107FBB"/>
    <w:rsid w:val="001103FB"/>
    <w:rsid w:val="00111528"/>
    <w:rsid w:val="001132DF"/>
    <w:rsid w:val="001133AF"/>
    <w:rsid w:val="00113CF1"/>
    <w:rsid w:val="00114C38"/>
    <w:rsid w:val="00114EE2"/>
    <w:rsid w:val="0011572E"/>
    <w:rsid w:val="00116D79"/>
    <w:rsid w:val="00120CEF"/>
    <w:rsid w:val="00122197"/>
    <w:rsid w:val="00122646"/>
    <w:rsid w:val="0012367D"/>
    <w:rsid w:val="001249D0"/>
    <w:rsid w:val="001253CC"/>
    <w:rsid w:val="0012573D"/>
    <w:rsid w:val="00125B2D"/>
    <w:rsid w:val="00127026"/>
    <w:rsid w:val="00130286"/>
    <w:rsid w:val="00130D23"/>
    <w:rsid w:val="0013117A"/>
    <w:rsid w:val="00131C79"/>
    <w:rsid w:val="0013246B"/>
    <w:rsid w:val="00134039"/>
    <w:rsid w:val="001346B2"/>
    <w:rsid w:val="0013480E"/>
    <w:rsid w:val="00135DB6"/>
    <w:rsid w:val="00137156"/>
    <w:rsid w:val="0013743A"/>
    <w:rsid w:val="00137BEE"/>
    <w:rsid w:val="00140875"/>
    <w:rsid w:val="00140A7D"/>
    <w:rsid w:val="0014270F"/>
    <w:rsid w:val="00142B05"/>
    <w:rsid w:val="00142F0C"/>
    <w:rsid w:val="0014386A"/>
    <w:rsid w:val="00143C6B"/>
    <w:rsid w:val="0014536A"/>
    <w:rsid w:val="0014601E"/>
    <w:rsid w:val="00146745"/>
    <w:rsid w:val="00146CF8"/>
    <w:rsid w:val="00147730"/>
    <w:rsid w:val="001479F2"/>
    <w:rsid w:val="00150061"/>
    <w:rsid w:val="001503C4"/>
    <w:rsid w:val="00150543"/>
    <w:rsid w:val="0015067A"/>
    <w:rsid w:val="00150A56"/>
    <w:rsid w:val="00150B56"/>
    <w:rsid w:val="0015133A"/>
    <w:rsid w:val="0015134F"/>
    <w:rsid w:val="00152E66"/>
    <w:rsid w:val="00152EF1"/>
    <w:rsid w:val="00153127"/>
    <w:rsid w:val="00153232"/>
    <w:rsid w:val="0015565C"/>
    <w:rsid w:val="0015584A"/>
    <w:rsid w:val="001562E9"/>
    <w:rsid w:val="00156410"/>
    <w:rsid w:val="001567EB"/>
    <w:rsid w:val="00156EEC"/>
    <w:rsid w:val="00156F08"/>
    <w:rsid w:val="00157046"/>
    <w:rsid w:val="00157190"/>
    <w:rsid w:val="00157BDE"/>
    <w:rsid w:val="00160873"/>
    <w:rsid w:val="00160D49"/>
    <w:rsid w:val="00161685"/>
    <w:rsid w:val="00161E58"/>
    <w:rsid w:val="00161F80"/>
    <w:rsid w:val="0016301E"/>
    <w:rsid w:val="001634D2"/>
    <w:rsid w:val="00163AE5"/>
    <w:rsid w:val="00163B1D"/>
    <w:rsid w:val="001641A5"/>
    <w:rsid w:val="0016473D"/>
    <w:rsid w:val="00164B85"/>
    <w:rsid w:val="001652A7"/>
    <w:rsid w:val="0016536E"/>
    <w:rsid w:val="00166943"/>
    <w:rsid w:val="00166C05"/>
    <w:rsid w:val="001676F0"/>
    <w:rsid w:val="00167B6C"/>
    <w:rsid w:val="00167F5C"/>
    <w:rsid w:val="001700BB"/>
    <w:rsid w:val="0017304B"/>
    <w:rsid w:val="00174B9D"/>
    <w:rsid w:val="00174F59"/>
    <w:rsid w:val="00175790"/>
    <w:rsid w:val="00175D56"/>
    <w:rsid w:val="00177BFE"/>
    <w:rsid w:val="00177CC8"/>
    <w:rsid w:val="00177FCF"/>
    <w:rsid w:val="00180D73"/>
    <w:rsid w:val="00180E28"/>
    <w:rsid w:val="001814E7"/>
    <w:rsid w:val="001844E0"/>
    <w:rsid w:val="00184AA8"/>
    <w:rsid w:val="00185E54"/>
    <w:rsid w:val="00187113"/>
    <w:rsid w:val="00187B77"/>
    <w:rsid w:val="0019022A"/>
    <w:rsid w:val="00190F00"/>
    <w:rsid w:val="00191194"/>
    <w:rsid w:val="00191A8B"/>
    <w:rsid w:val="0019350C"/>
    <w:rsid w:val="0019410F"/>
    <w:rsid w:val="00195912"/>
    <w:rsid w:val="00195AB3"/>
    <w:rsid w:val="00195FB6"/>
    <w:rsid w:val="00197978"/>
    <w:rsid w:val="00197E1C"/>
    <w:rsid w:val="001A091A"/>
    <w:rsid w:val="001A17AA"/>
    <w:rsid w:val="001A1D14"/>
    <w:rsid w:val="001A2026"/>
    <w:rsid w:val="001A2822"/>
    <w:rsid w:val="001A2FF9"/>
    <w:rsid w:val="001A40E7"/>
    <w:rsid w:val="001A47EF"/>
    <w:rsid w:val="001A4FDA"/>
    <w:rsid w:val="001A62D3"/>
    <w:rsid w:val="001A63FE"/>
    <w:rsid w:val="001A6657"/>
    <w:rsid w:val="001A6DB9"/>
    <w:rsid w:val="001A729F"/>
    <w:rsid w:val="001A7A21"/>
    <w:rsid w:val="001A7BA1"/>
    <w:rsid w:val="001B03C7"/>
    <w:rsid w:val="001B0495"/>
    <w:rsid w:val="001B0AC5"/>
    <w:rsid w:val="001B24F4"/>
    <w:rsid w:val="001B270D"/>
    <w:rsid w:val="001B4A39"/>
    <w:rsid w:val="001B4FE4"/>
    <w:rsid w:val="001B5236"/>
    <w:rsid w:val="001B53C8"/>
    <w:rsid w:val="001B6548"/>
    <w:rsid w:val="001B7EA3"/>
    <w:rsid w:val="001C0E73"/>
    <w:rsid w:val="001C1108"/>
    <w:rsid w:val="001C1284"/>
    <w:rsid w:val="001C1BC5"/>
    <w:rsid w:val="001C1BD8"/>
    <w:rsid w:val="001C1BE8"/>
    <w:rsid w:val="001C2B07"/>
    <w:rsid w:val="001C3218"/>
    <w:rsid w:val="001C3C64"/>
    <w:rsid w:val="001C4251"/>
    <w:rsid w:val="001C4BC6"/>
    <w:rsid w:val="001C5406"/>
    <w:rsid w:val="001C555E"/>
    <w:rsid w:val="001C602F"/>
    <w:rsid w:val="001C650F"/>
    <w:rsid w:val="001C6D5F"/>
    <w:rsid w:val="001C766B"/>
    <w:rsid w:val="001D0C75"/>
    <w:rsid w:val="001D1229"/>
    <w:rsid w:val="001D2135"/>
    <w:rsid w:val="001D500B"/>
    <w:rsid w:val="001D5303"/>
    <w:rsid w:val="001D55ED"/>
    <w:rsid w:val="001D6096"/>
    <w:rsid w:val="001D665F"/>
    <w:rsid w:val="001D6AF8"/>
    <w:rsid w:val="001D7400"/>
    <w:rsid w:val="001E0048"/>
    <w:rsid w:val="001E0A52"/>
    <w:rsid w:val="001E267B"/>
    <w:rsid w:val="001E2772"/>
    <w:rsid w:val="001E2CF8"/>
    <w:rsid w:val="001E34DD"/>
    <w:rsid w:val="001E3ABF"/>
    <w:rsid w:val="001E3FD1"/>
    <w:rsid w:val="001E4989"/>
    <w:rsid w:val="001E5143"/>
    <w:rsid w:val="001E5E74"/>
    <w:rsid w:val="001E6EFC"/>
    <w:rsid w:val="001E730B"/>
    <w:rsid w:val="001E744D"/>
    <w:rsid w:val="001E7C95"/>
    <w:rsid w:val="001E7ECB"/>
    <w:rsid w:val="001F085C"/>
    <w:rsid w:val="001F1251"/>
    <w:rsid w:val="001F1282"/>
    <w:rsid w:val="001F2BB3"/>
    <w:rsid w:val="001F51AB"/>
    <w:rsid w:val="001F5717"/>
    <w:rsid w:val="001F6A3B"/>
    <w:rsid w:val="001F6FFA"/>
    <w:rsid w:val="001F7353"/>
    <w:rsid w:val="00200287"/>
    <w:rsid w:val="002002C7"/>
    <w:rsid w:val="0020069B"/>
    <w:rsid w:val="00201414"/>
    <w:rsid w:val="00201433"/>
    <w:rsid w:val="00201737"/>
    <w:rsid w:val="00202329"/>
    <w:rsid w:val="00202866"/>
    <w:rsid w:val="00203790"/>
    <w:rsid w:val="00203A88"/>
    <w:rsid w:val="002047CC"/>
    <w:rsid w:val="002048C2"/>
    <w:rsid w:val="00205D65"/>
    <w:rsid w:val="0020790C"/>
    <w:rsid w:val="00207ED4"/>
    <w:rsid w:val="00210BE4"/>
    <w:rsid w:val="002114C8"/>
    <w:rsid w:val="00211C6E"/>
    <w:rsid w:val="00213001"/>
    <w:rsid w:val="00213295"/>
    <w:rsid w:val="0021343C"/>
    <w:rsid w:val="00214F38"/>
    <w:rsid w:val="00214FFC"/>
    <w:rsid w:val="0021585A"/>
    <w:rsid w:val="0021722E"/>
    <w:rsid w:val="00217355"/>
    <w:rsid w:val="00217939"/>
    <w:rsid w:val="002216E9"/>
    <w:rsid w:val="0022179F"/>
    <w:rsid w:val="002221FB"/>
    <w:rsid w:val="00222715"/>
    <w:rsid w:val="002228E1"/>
    <w:rsid w:val="00222AF6"/>
    <w:rsid w:val="00223FDF"/>
    <w:rsid w:val="00225B72"/>
    <w:rsid w:val="00225BC7"/>
    <w:rsid w:val="002273B0"/>
    <w:rsid w:val="00227F5C"/>
    <w:rsid w:val="002303D2"/>
    <w:rsid w:val="002309B0"/>
    <w:rsid w:val="0023151C"/>
    <w:rsid w:val="002317AE"/>
    <w:rsid w:val="002319E0"/>
    <w:rsid w:val="002324CF"/>
    <w:rsid w:val="00232F0B"/>
    <w:rsid w:val="002331A2"/>
    <w:rsid w:val="002332C4"/>
    <w:rsid w:val="00234970"/>
    <w:rsid w:val="00234D86"/>
    <w:rsid w:val="00235D40"/>
    <w:rsid w:val="00236558"/>
    <w:rsid w:val="002369D6"/>
    <w:rsid w:val="00236CE7"/>
    <w:rsid w:val="00236EFD"/>
    <w:rsid w:val="00240058"/>
    <w:rsid w:val="00240059"/>
    <w:rsid w:val="002400AD"/>
    <w:rsid w:val="00240ACB"/>
    <w:rsid w:val="00240E87"/>
    <w:rsid w:val="0024125F"/>
    <w:rsid w:val="00241904"/>
    <w:rsid w:val="002419FB"/>
    <w:rsid w:val="00241CC7"/>
    <w:rsid w:val="00242122"/>
    <w:rsid w:val="00242A3C"/>
    <w:rsid w:val="002435C9"/>
    <w:rsid w:val="0024613F"/>
    <w:rsid w:val="0024658C"/>
    <w:rsid w:val="00247332"/>
    <w:rsid w:val="00247868"/>
    <w:rsid w:val="002514FF"/>
    <w:rsid w:val="00251EFE"/>
    <w:rsid w:val="00252681"/>
    <w:rsid w:val="00252F83"/>
    <w:rsid w:val="002530BB"/>
    <w:rsid w:val="00254626"/>
    <w:rsid w:val="00255323"/>
    <w:rsid w:val="00255FCF"/>
    <w:rsid w:val="002562F9"/>
    <w:rsid w:val="002569DA"/>
    <w:rsid w:val="00256F96"/>
    <w:rsid w:val="00257043"/>
    <w:rsid w:val="002574E0"/>
    <w:rsid w:val="00257F7C"/>
    <w:rsid w:val="00261DDC"/>
    <w:rsid w:val="00262D02"/>
    <w:rsid w:val="00263D63"/>
    <w:rsid w:val="00265D45"/>
    <w:rsid w:val="0026649B"/>
    <w:rsid w:val="00266649"/>
    <w:rsid w:val="00267E7E"/>
    <w:rsid w:val="002702CE"/>
    <w:rsid w:val="00271835"/>
    <w:rsid w:val="00272048"/>
    <w:rsid w:val="00272410"/>
    <w:rsid w:val="0027312D"/>
    <w:rsid w:val="002751B3"/>
    <w:rsid w:val="002769FB"/>
    <w:rsid w:val="00280083"/>
    <w:rsid w:val="002801D3"/>
    <w:rsid w:val="00281BAB"/>
    <w:rsid w:val="00281CA0"/>
    <w:rsid w:val="002824B1"/>
    <w:rsid w:val="00283321"/>
    <w:rsid w:val="002840C0"/>
    <w:rsid w:val="00284FC7"/>
    <w:rsid w:val="00285AD4"/>
    <w:rsid w:val="00286E99"/>
    <w:rsid w:val="00287CB1"/>
    <w:rsid w:val="002905BB"/>
    <w:rsid w:val="0029062E"/>
    <w:rsid w:val="00290DB6"/>
    <w:rsid w:val="00290EED"/>
    <w:rsid w:val="00291E46"/>
    <w:rsid w:val="00292BB4"/>
    <w:rsid w:val="00293308"/>
    <w:rsid w:val="002936C7"/>
    <w:rsid w:val="00293AF0"/>
    <w:rsid w:val="00293F2A"/>
    <w:rsid w:val="00293F58"/>
    <w:rsid w:val="00294136"/>
    <w:rsid w:val="00294674"/>
    <w:rsid w:val="002962DE"/>
    <w:rsid w:val="00296372"/>
    <w:rsid w:val="002966AE"/>
    <w:rsid w:val="00296D08"/>
    <w:rsid w:val="00296F27"/>
    <w:rsid w:val="002971CE"/>
    <w:rsid w:val="0029727E"/>
    <w:rsid w:val="00297EE4"/>
    <w:rsid w:val="002A09F0"/>
    <w:rsid w:val="002A2BA9"/>
    <w:rsid w:val="002A2D4A"/>
    <w:rsid w:val="002A2DAC"/>
    <w:rsid w:val="002A31D7"/>
    <w:rsid w:val="002A3372"/>
    <w:rsid w:val="002A35DD"/>
    <w:rsid w:val="002A3D1D"/>
    <w:rsid w:val="002A4959"/>
    <w:rsid w:val="002A4CB1"/>
    <w:rsid w:val="002A53B0"/>
    <w:rsid w:val="002A5EB2"/>
    <w:rsid w:val="002A64F5"/>
    <w:rsid w:val="002A6AC9"/>
    <w:rsid w:val="002A6DCC"/>
    <w:rsid w:val="002A6DF4"/>
    <w:rsid w:val="002A7402"/>
    <w:rsid w:val="002A768C"/>
    <w:rsid w:val="002A7F0B"/>
    <w:rsid w:val="002B0EC6"/>
    <w:rsid w:val="002B199E"/>
    <w:rsid w:val="002B1E2B"/>
    <w:rsid w:val="002B4970"/>
    <w:rsid w:val="002B5816"/>
    <w:rsid w:val="002B5B94"/>
    <w:rsid w:val="002B5E37"/>
    <w:rsid w:val="002B5F2C"/>
    <w:rsid w:val="002B5F8A"/>
    <w:rsid w:val="002B672F"/>
    <w:rsid w:val="002B6988"/>
    <w:rsid w:val="002B6AAF"/>
    <w:rsid w:val="002B6DB0"/>
    <w:rsid w:val="002B76C0"/>
    <w:rsid w:val="002B7AB6"/>
    <w:rsid w:val="002B7D0D"/>
    <w:rsid w:val="002C02B0"/>
    <w:rsid w:val="002C0746"/>
    <w:rsid w:val="002C17BB"/>
    <w:rsid w:val="002C2815"/>
    <w:rsid w:val="002C2C56"/>
    <w:rsid w:val="002C3DD2"/>
    <w:rsid w:val="002C4B96"/>
    <w:rsid w:val="002C5FBA"/>
    <w:rsid w:val="002C6836"/>
    <w:rsid w:val="002C7680"/>
    <w:rsid w:val="002D04FD"/>
    <w:rsid w:val="002D17EA"/>
    <w:rsid w:val="002D1BC4"/>
    <w:rsid w:val="002D20C3"/>
    <w:rsid w:val="002D21CC"/>
    <w:rsid w:val="002D2260"/>
    <w:rsid w:val="002D570A"/>
    <w:rsid w:val="002D5A1F"/>
    <w:rsid w:val="002D6111"/>
    <w:rsid w:val="002D6C6B"/>
    <w:rsid w:val="002D7202"/>
    <w:rsid w:val="002D76A5"/>
    <w:rsid w:val="002D7A5A"/>
    <w:rsid w:val="002E04C0"/>
    <w:rsid w:val="002E05B1"/>
    <w:rsid w:val="002E1097"/>
    <w:rsid w:val="002E195E"/>
    <w:rsid w:val="002E1A89"/>
    <w:rsid w:val="002E219D"/>
    <w:rsid w:val="002E25E2"/>
    <w:rsid w:val="002E2E53"/>
    <w:rsid w:val="002E404C"/>
    <w:rsid w:val="002E4986"/>
    <w:rsid w:val="002E4B82"/>
    <w:rsid w:val="002E4BE9"/>
    <w:rsid w:val="002E5304"/>
    <w:rsid w:val="002E64B6"/>
    <w:rsid w:val="002E6772"/>
    <w:rsid w:val="002E6FB0"/>
    <w:rsid w:val="002E7292"/>
    <w:rsid w:val="002E7B31"/>
    <w:rsid w:val="002F16A4"/>
    <w:rsid w:val="002F1D21"/>
    <w:rsid w:val="002F2077"/>
    <w:rsid w:val="002F253E"/>
    <w:rsid w:val="002F3F2D"/>
    <w:rsid w:val="002F45F5"/>
    <w:rsid w:val="002F4CF8"/>
    <w:rsid w:val="002F6145"/>
    <w:rsid w:val="002F6496"/>
    <w:rsid w:val="002F661F"/>
    <w:rsid w:val="002F6A62"/>
    <w:rsid w:val="002F70E1"/>
    <w:rsid w:val="002F7549"/>
    <w:rsid w:val="002F758E"/>
    <w:rsid w:val="002F78AE"/>
    <w:rsid w:val="002F78FE"/>
    <w:rsid w:val="002F7956"/>
    <w:rsid w:val="0030023F"/>
    <w:rsid w:val="003003E3"/>
    <w:rsid w:val="00300C1A"/>
    <w:rsid w:val="003023FF"/>
    <w:rsid w:val="00302AB4"/>
    <w:rsid w:val="00302ABF"/>
    <w:rsid w:val="00303E96"/>
    <w:rsid w:val="003056E4"/>
    <w:rsid w:val="0030591D"/>
    <w:rsid w:val="003063D3"/>
    <w:rsid w:val="003076D4"/>
    <w:rsid w:val="00307C02"/>
    <w:rsid w:val="00310296"/>
    <w:rsid w:val="00310A15"/>
    <w:rsid w:val="00310AB6"/>
    <w:rsid w:val="00310B80"/>
    <w:rsid w:val="00310F1E"/>
    <w:rsid w:val="0031151C"/>
    <w:rsid w:val="003115F3"/>
    <w:rsid w:val="00312510"/>
    <w:rsid w:val="003127FE"/>
    <w:rsid w:val="00312BC2"/>
    <w:rsid w:val="00312E7B"/>
    <w:rsid w:val="003131D3"/>
    <w:rsid w:val="00313E25"/>
    <w:rsid w:val="00314613"/>
    <w:rsid w:val="0031524A"/>
    <w:rsid w:val="00316433"/>
    <w:rsid w:val="00316941"/>
    <w:rsid w:val="00316E96"/>
    <w:rsid w:val="0031712D"/>
    <w:rsid w:val="003200B6"/>
    <w:rsid w:val="00320782"/>
    <w:rsid w:val="003207AC"/>
    <w:rsid w:val="0032144A"/>
    <w:rsid w:val="003224D8"/>
    <w:rsid w:val="00322F44"/>
    <w:rsid w:val="00323270"/>
    <w:rsid w:val="00323565"/>
    <w:rsid w:val="00323CF9"/>
    <w:rsid w:val="00323D66"/>
    <w:rsid w:val="00324320"/>
    <w:rsid w:val="00324759"/>
    <w:rsid w:val="00324D3C"/>
    <w:rsid w:val="00325B18"/>
    <w:rsid w:val="00325B1A"/>
    <w:rsid w:val="00325B6D"/>
    <w:rsid w:val="00325E0A"/>
    <w:rsid w:val="00326107"/>
    <w:rsid w:val="003263FF"/>
    <w:rsid w:val="003271D9"/>
    <w:rsid w:val="0032743C"/>
    <w:rsid w:val="00327AB1"/>
    <w:rsid w:val="003303C3"/>
    <w:rsid w:val="00330497"/>
    <w:rsid w:val="003309A4"/>
    <w:rsid w:val="00330A91"/>
    <w:rsid w:val="00330DB1"/>
    <w:rsid w:val="00330EF2"/>
    <w:rsid w:val="003317D9"/>
    <w:rsid w:val="003325EB"/>
    <w:rsid w:val="003327D4"/>
    <w:rsid w:val="00332860"/>
    <w:rsid w:val="00332AB5"/>
    <w:rsid w:val="0033389A"/>
    <w:rsid w:val="0033390E"/>
    <w:rsid w:val="00333D2B"/>
    <w:rsid w:val="00333DDC"/>
    <w:rsid w:val="00333F26"/>
    <w:rsid w:val="003357BD"/>
    <w:rsid w:val="00335B51"/>
    <w:rsid w:val="00335BA7"/>
    <w:rsid w:val="00335D1B"/>
    <w:rsid w:val="0033650E"/>
    <w:rsid w:val="003378C8"/>
    <w:rsid w:val="00337BEB"/>
    <w:rsid w:val="00340D23"/>
    <w:rsid w:val="00340E42"/>
    <w:rsid w:val="003416B8"/>
    <w:rsid w:val="00341AB8"/>
    <w:rsid w:val="00343B11"/>
    <w:rsid w:val="00343DAA"/>
    <w:rsid w:val="0034425D"/>
    <w:rsid w:val="003443DE"/>
    <w:rsid w:val="00345273"/>
    <w:rsid w:val="00345D5D"/>
    <w:rsid w:val="0034619A"/>
    <w:rsid w:val="003470AD"/>
    <w:rsid w:val="00347DE5"/>
    <w:rsid w:val="0035070E"/>
    <w:rsid w:val="00351A41"/>
    <w:rsid w:val="00351AE7"/>
    <w:rsid w:val="00351F1C"/>
    <w:rsid w:val="00351FBC"/>
    <w:rsid w:val="00352221"/>
    <w:rsid w:val="003527B0"/>
    <w:rsid w:val="003536B2"/>
    <w:rsid w:val="0035492B"/>
    <w:rsid w:val="0035527B"/>
    <w:rsid w:val="003552FD"/>
    <w:rsid w:val="00356868"/>
    <w:rsid w:val="00357580"/>
    <w:rsid w:val="003603DA"/>
    <w:rsid w:val="003607C2"/>
    <w:rsid w:val="0036085D"/>
    <w:rsid w:val="0036287E"/>
    <w:rsid w:val="00362E02"/>
    <w:rsid w:val="00363A2E"/>
    <w:rsid w:val="00363D3A"/>
    <w:rsid w:val="00363F7E"/>
    <w:rsid w:val="0036440E"/>
    <w:rsid w:val="0036511B"/>
    <w:rsid w:val="00365632"/>
    <w:rsid w:val="00366730"/>
    <w:rsid w:val="003674EE"/>
    <w:rsid w:val="003678BC"/>
    <w:rsid w:val="00371274"/>
    <w:rsid w:val="00371282"/>
    <w:rsid w:val="003722ED"/>
    <w:rsid w:val="00372327"/>
    <w:rsid w:val="00372353"/>
    <w:rsid w:val="00372E67"/>
    <w:rsid w:val="00373766"/>
    <w:rsid w:val="00373A26"/>
    <w:rsid w:val="00374299"/>
    <w:rsid w:val="00375102"/>
    <w:rsid w:val="00375BF9"/>
    <w:rsid w:val="00376112"/>
    <w:rsid w:val="00376548"/>
    <w:rsid w:val="00376B31"/>
    <w:rsid w:val="003775EB"/>
    <w:rsid w:val="00377DD3"/>
    <w:rsid w:val="00380037"/>
    <w:rsid w:val="00380151"/>
    <w:rsid w:val="003805F3"/>
    <w:rsid w:val="0038075F"/>
    <w:rsid w:val="003809A3"/>
    <w:rsid w:val="0038125D"/>
    <w:rsid w:val="003821B9"/>
    <w:rsid w:val="00383710"/>
    <w:rsid w:val="00383B87"/>
    <w:rsid w:val="00384660"/>
    <w:rsid w:val="00384C56"/>
    <w:rsid w:val="00385063"/>
    <w:rsid w:val="00385B2F"/>
    <w:rsid w:val="003873B8"/>
    <w:rsid w:val="003879E6"/>
    <w:rsid w:val="00391D01"/>
    <w:rsid w:val="00391EFF"/>
    <w:rsid w:val="00392308"/>
    <w:rsid w:val="00392882"/>
    <w:rsid w:val="0039306B"/>
    <w:rsid w:val="003930E3"/>
    <w:rsid w:val="00393851"/>
    <w:rsid w:val="0039396F"/>
    <w:rsid w:val="00394628"/>
    <w:rsid w:val="00394801"/>
    <w:rsid w:val="00394EF4"/>
    <w:rsid w:val="003954A0"/>
    <w:rsid w:val="00396074"/>
    <w:rsid w:val="003962A7"/>
    <w:rsid w:val="003964D9"/>
    <w:rsid w:val="003966F9"/>
    <w:rsid w:val="003967B3"/>
    <w:rsid w:val="00397576"/>
    <w:rsid w:val="003A041E"/>
    <w:rsid w:val="003A0615"/>
    <w:rsid w:val="003A0F71"/>
    <w:rsid w:val="003A1C59"/>
    <w:rsid w:val="003A2302"/>
    <w:rsid w:val="003A23FD"/>
    <w:rsid w:val="003A3070"/>
    <w:rsid w:val="003A3198"/>
    <w:rsid w:val="003A3B2B"/>
    <w:rsid w:val="003A3E9E"/>
    <w:rsid w:val="003A440C"/>
    <w:rsid w:val="003A46D1"/>
    <w:rsid w:val="003A4A72"/>
    <w:rsid w:val="003A56E8"/>
    <w:rsid w:val="003A5726"/>
    <w:rsid w:val="003A5A7A"/>
    <w:rsid w:val="003A6592"/>
    <w:rsid w:val="003A6D6E"/>
    <w:rsid w:val="003B204A"/>
    <w:rsid w:val="003B2097"/>
    <w:rsid w:val="003B2226"/>
    <w:rsid w:val="003B2C37"/>
    <w:rsid w:val="003B39B3"/>
    <w:rsid w:val="003B3F34"/>
    <w:rsid w:val="003B4C92"/>
    <w:rsid w:val="003B585E"/>
    <w:rsid w:val="003B60E2"/>
    <w:rsid w:val="003B6366"/>
    <w:rsid w:val="003B664E"/>
    <w:rsid w:val="003B6A47"/>
    <w:rsid w:val="003C02BF"/>
    <w:rsid w:val="003C05C1"/>
    <w:rsid w:val="003C0F7A"/>
    <w:rsid w:val="003C103F"/>
    <w:rsid w:val="003C1952"/>
    <w:rsid w:val="003C2275"/>
    <w:rsid w:val="003C25F3"/>
    <w:rsid w:val="003C32F1"/>
    <w:rsid w:val="003C3BA7"/>
    <w:rsid w:val="003C3CA7"/>
    <w:rsid w:val="003C4735"/>
    <w:rsid w:val="003C4EB4"/>
    <w:rsid w:val="003C56A2"/>
    <w:rsid w:val="003C5F5B"/>
    <w:rsid w:val="003C6050"/>
    <w:rsid w:val="003C69CF"/>
    <w:rsid w:val="003C6DB2"/>
    <w:rsid w:val="003C736C"/>
    <w:rsid w:val="003C7A7F"/>
    <w:rsid w:val="003C7DC4"/>
    <w:rsid w:val="003D00DB"/>
    <w:rsid w:val="003D05FC"/>
    <w:rsid w:val="003D141D"/>
    <w:rsid w:val="003D1489"/>
    <w:rsid w:val="003D192A"/>
    <w:rsid w:val="003D19F0"/>
    <w:rsid w:val="003D1ADB"/>
    <w:rsid w:val="003D2C88"/>
    <w:rsid w:val="003D4331"/>
    <w:rsid w:val="003D449D"/>
    <w:rsid w:val="003D69BF"/>
    <w:rsid w:val="003D6CE0"/>
    <w:rsid w:val="003E0215"/>
    <w:rsid w:val="003E17D1"/>
    <w:rsid w:val="003E1CD6"/>
    <w:rsid w:val="003E2259"/>
    <w:rsid w:val="003E2823"/>
    <w:rsid w:val="003E298C"/>
    <w:rsid w:val="003E352F"/>
    <w:rsid w:val="003E3764"/>
    <w:rsid w:val="003E3EF4"/>
    <w:rsid w:val="003E409C"/>
    <w:rsid w:val="003E44E6"/>
    <w:rsid w:val="003E46C0"/>
    <w:rsid w:val="003E4AA4"/>
    <w:rsid w:val="003E4ADF"/>
    <w:rsid w:val="003E5C64"/>
    <w:rsid w:val="003E5D82"/>
    <w:rsid w:val="003E7880"/>
    <w:rsid w:val="003E7FDD"/>
    <w:rsid w:val="003F08A5"/>
    <w:rsid w:val="003F111F"/>
    <w:rsid w:val="003F1618"/>
    <w:rsid w:val="003F1C1E"/>
    <w:rsid w:val="003F2448"/>
    <w:rsid w:val="003F29E3"/>
    <w:rsid w:val="003F2E41"/>
    <w:rsid w:val="003F4172"/>
    <w:rsid w:val="003F44A9"/>
    <w:rsid w:val="003F48A9"/>
    <w:rsid w:val="003F55A5"/>
    <w:rsid w:val="003F5C0C"/>
    <w:rsid w:val="003F6005"/>
    <w:rsid w:val="003F6CC3"/>
    <w:rsid w:val="003F6DEA"/>
    <w:rsid w:val="003F739F"/>
    <w:rsid w:val="004005C8"/>
    <w:rsid w:val="00400FA7"/>
    <w:rsid w:val="004017DF"/>
    <w:rsid w:val="00402B94"/>
    <w:rsid w:val="00403389"/>
    <w:rsid w:val="004046A5"/>
    <w:rsid w:val="00405A63"/>
    <w:rsid w:val="004062FF"/>
    <w:rsid w:val="00410629"/>
    <w:rsid w:val="0041181E"/>
    <w:rsid w:val="004119AC"/>
    <w:rsid w:val="00412531"/>
    <w:rsid w:val="004141AC"/>
    <w:rsid w:val="00414477"/>
    <w:rsid w:val="00414FDC"/>
    <w:rsid w:val="00415012"/>
    <w:rsid w:val="004151C6"/>
    <w:rsid w:val="004153DA"/>
    <w:rsid w:val="00416078"/>
    <w:rsid w:val="00417A47"/>
    <w:rsid w:val="00417D75"/>
    <w:rsid w:val="00420CF7"/>
    <w:rsid w:val="00421C5F"/>
    <w:rsid w:val="0042251B"/>
    <w:rsid w:val="0042334B"/>
    <w:rsid w:val="00423CC7"/>
    <w:rsid w:val="00423DE6"/>
    <w:rsid w:val="00424151"/>
    <w:rsid w:val="00424443"/>
    <w:rsid w:val="00424ABA"/>
    <w:rsid w:val="004253E8"/>
    <w:rsid w:val="00425A97"/>
    <w:rsid w:val="00425BEB"/>
    <w:rsid w:val="004260CE"/>
    <w:rsid w:val="0042610C"/>
    <w:rsid w:val="00426697"/>
    <w:rsid w:val="00427016"/>
    <w:rsid w:val="00427BD8"/>
    <w:rsid w:val="004306D6"/>
    <w:rsid w:val="004321A5"/>
    <w:rsid w:val="004327A4"/>
    <w:rsid w:val="00433DF0"/>
    <w:rsid w:val="0043412D"/>
    <w:rsid w:val="00434A51"/>
    <w:rsid w:val="00434CA5"/>
    <w:rsid w:val="00435595"/>
    <w:rsid w:val="004365C6"/>
    <w:rsid w:val="00440433"/>
    <w:rsid w:val="004405A1"/>
    <w:rsid w:val="00442D5D"/>
    <w:rsid w:val="00442DBC"/>
    <w:rsid w:val="00443B35"/>
    <w:rsid w:val="0044493B"/>
    <w:rsid w:val="00444A13"/>
    <w:rsid w:val="00446506"/>
    <w:rsid w:val="00446847"/>
    <w:rsid w:val="00451937"/>
    <w:rsid w:val="00451E5A"/>
    <w:rsid w:val="0045435F"/>
    <w:rsid w:val="00454689"/>
    <w:rsid w:val="0045630D"/>
    <w:rsid w:val="00457691"/>
    <w:rsid w:val="00457D40"/>
    <w:rsid w:val="00457F91"/>
    <w:rsid w:val="00460F27"/>
    <w:rsid w:val="00461265"/>
    <w:rsid w:val="00461AE2"/>
    <w:rsid w:val="00462525"/>
    <w:rsid w:val="00462BA5"/>
    <w:rsid w:val="00462C13"/>
    <w:rsid w:val="00463047"/>
    <w:rsid w:val="0046343F"/>
    <w:rsid w:val="004637BC"/>
    <w:rsid w:val="004644ED"/>
    <w:rsid w:val="004646CE"/>
    <w:rsid w:val="0046472F"/>
    <w:rsid w:val="00464851"/>
    <w:rsid w:val="0046548B"/>
    <w:rsid w:val="00465920"/>
    <w:rsid w:val="00466244"/>
    <w:rsid w:val="004674F2"/>
    <w:rsid w:val="00472DDF"/>
    <w:rsid w:val="004732D2"/>
    <w:rsid w:val="00473A93"/>
    <w:rsid w:val="00474188"/>
    <w:rsid w:val="00474B31"/>
    <w:rsid w:val="00475234"/>
    <w:rsid w:val="00475928"/>
    <w:rsid w:val="00476047"/>
    <w:rsid w:val="0047685A"/>
    <w:rsid w:val="00476C4A"/>
    <w:rsid w:val="004772A5"/>
    <w:rsid w:val="00480038"/>
    <w:rsid w:val="0048037C"/>
    <w:rsid w:val="004812A6"/>
    <w:rsid w:val="00481371"/>
    <w:rsid w:val="00481424"/>
    <w:rsid w:val="00485C46"/>
    <w:rsid w:val="00485CFB"/>
    <w:rsid w:val="0048699D"/>
    <w:rsid w:val="004875E0"/>
    <w:rsid w:val="004878C2"/>
    <w:rsid w:val="00490BBF"/>
    <w:rsid w:val="00491832"/>
    <w:rsid w:val="004920EC"/>
    <w:rsid w:val="004924CF"/>
    <w:rsid w:val="004937ED"/>
    <w:rsid w:val="00493B23"/>
    <w:rsid w:val="0049417F"/>
    <w:rsid w:val="0049458C"/>
    <w:rsid w:val="00494DB4"/>
    <w:rsid w:val="00495490"/>
    <w:rsid w:val="00496242"/>
    <w:rsid w:val="0049664A"/>
    <w:rsid w:val="00496F56"/>
    <w:rsid w:val="004A10D8"/>
    <w:rsid w:val="004A190D"/>
    <w:rsid w:val="004A229B"/>
    <w:rsid w:val="004A29A7"/>
    <w:rsid w:val="004A29BB"/>
    <w:rsid w:val="004A31A8"/>
    <w:rsid w:val="004A35D1"/>
    <w:rsid w:val="004A5193"/>
    <w:rsid w:val="004A53E5"/>
    <w:rsid w:val="004A5B10"/>
    <w:rsid w:val="004A5E84"/>
    <w:rsid w:val="004A6E1D"/>
    <w:rsid w:val="004A752D"/>
    <w:rsid w:val="004A7B7D"/>
    <w:rsid w:val="004B0EA0"/>
    <w:rsid w:val="004B1085"/>
    <w:rsid w:val="004B1153"/>
    <w:rsid w:val="004B12B4"/>
    <w:rsid w:val="004B1B2D"/>
    <w:rsid w:val="004B220A"/>
    <w:rsid w:val="004B269B"/>
    <w:rsid w:val="004B34D0"/>
    <w:rsid w:val="004B4C5A"/>
    <w:rsid w:val="004B5B95"/>
    <w:rsid w:val="004B6030"/>
    <w:rsid w:val="004B6B55"/>
    <w:rsid w:val="004B6B75"/>
    <w:rsid w:val="004B79A2"/>
    <w:rsid w:val="004C0578"/>
    <w:rsid w:val="004C0F02"/>
    <w:rsid w:val="004C1D32"/>
    <w:rsid w:val="004C2635"/>
    <w:rsid w:val="004C2EB6"/>
    <w:rsid w:val="004C2F44"/>
    <w:rsid w:val="004C2FCD"/>
    <w:rsid w:val="004C3BF0"/>
    <w:rsid w:val="004C48E2"/>
    <w:rsid w:val="004C561A"/>
    <w:rsid w:val="004C63FF"/>
    <w:rsid w:val="004C6A85"/>
    <w:rsid w:val="004C70E6"/>
    <w:rsid w:val="004C7E71"/>
    <w:rsid w:val="004D2339"/>
    <w:rsid w:val="004D30B7"/>
    <w:rsid w:val="004D359A"/>
    <w:rsid w:val="004D39BB"/>
    <w:rsid w:val="004D3B12"/>
    <w:rsid w:val="004D41FC"/>
    <w:rsid w:val="004D4932"/>
    <w:rsid w:val="004D56C1"/>
    <w:rsid w:val="004D5CDF"/>
    <w:rsid w:val="004D62CB"/>
    <w:rsid w:val="004D65B9"/>
    <w:rsid w:val="004D6A33"/>
    <w:rsid w:val="004D6D52"/>
    <w:rsid w:val="004E0199"/>
    <w:rsid w:val="004E0688"/>
    <w:rsid w:val="004E12B2"/>
    <w:rsid w:val="004E182E"/>
    <w:rsid w:val="004E1A7B"/>
    <w:rsid w:val="004E2C5B"/>
    <w:rsid w:val="004E2E1F"/>
    <w:rsid w:val="004E317B"/>
    <w:rsid w:val="004E3227"/>
    <w:rsid w:val="004E3292"/>
    <w:rsid w:val="004E3FCC"/>
    <w:rsid w:val="004E5068"/>
    <w:rsid w:val="004E511B"/>
    <w:rsid w:val="004E5EBE"/>
    <w:rsid w:val="004E6BE0"/>
    <w:rsid w:val="004E7386"/>
    <w:rsid w:val="004E749E"/>
    <w:rsid w:val="004F0DD2"/>
    <w:rsid w:val="004F1880"/>
    <w:rsid w:val="004F2CD9"/>
    <w:rsid w:val="004F2D58"/>
    <w:rsid w:val="004F3085"/>
    <w:rsid w:val="004F3CDF"/>
    <w:rsid w:val="004F3F3C"/>
    <w:rsid w:val="004F4672"/>
    <w:rsid w:val="004F4D9D"/>
    <w:rsid w:val="004F4EEA"/>
    <w:rsid w:val="004F7463"/>
    <w:rsid w:val="005010CC"/>
    <w:rsid w:val="0050118D"/>
    <w:rsid w:val="005015B8"/>
    <w:rsid w:val="005017FC"/>
    <w:rsid w:val="0050196E"/>
    <w:rsid w:val="00502115"/>
    <w:rsid w:val="00502B86"/>
    <w:rsid w:val="00502E13"/>
    <w:rsid w:val="005040B7"/>
    <w:rsid w:val="0050425E"/>
    <w:rsid w:val="0050426C"/>
    <w:rsid w:val="005050C4"/>
    <w:rsid w:val="0050635E"/>
    <w:rsid w:val="00506D07"/>
    <w:rsid w:val="00507670"/>
    <w:rsid w:val="005107AD"/>
    <w:rsid w:val="00513557"/>
    <w:rsid w:val="005136DD"/>
    <w:rsid w:val="00514588"/>
    <w:rsid w:val="00514D57"/>
    <w:rsid w:val="0051548C"/>
    <w:rsid w:val="00516064"/>
    <w:rsid w:val="00516CF6"/>
    <w:rsid w:val="00517493"/>
    <w:rsid w:val="00520633"/>
    <w:rsid w:val="00520649"/>
    <w:rsid w:val="00520FB3"/>
    <w:rsid w:val="005212D3"/>
    <w:rsid w:val="00521801"/>
    <w:rsid w:val="00522698"/>
    <w:rsid w:val="005227DD"/>
    <w:rsid w:val="00522AC0"/>
    <w:rsid w:val="00522AD8"/>
    <w:rsid w:val="00522B09"/>
    <w:rsid w:val="00523795"/>
    <w:rsid w:val="005240E9"/>
    <w:rsid w:val="00524D99"/>
    <w:rsid w:val="0052511E"/>
    <w:rsid w:val="0052646D"/>
    <w:rsid w:val="005264D4"/>
    <w:rsid w:val="0052675A"/>
    <w:rsid w:val="0052721B"/>
    <w:rsid w:val="005272D5"/>
    <w:rsid w:val="005275C9"/>
    <w:rsid w:val="00527741"/>
    <w:rsid w:val="00527F4B"/>
    <w:rsid w:val="005314CA"/>
    <w:rsid w:val="0053167B"/>
    <w:rsid w:val="00531F49"/>
    <w:rsid w:val="00532B26"/>
    <w:rsid w:val="00532CB0"/>
    <w:rsid w:val="0053447B"/>
    <w:rsid w:val="00534FB4"/>
    <w:rsid w:val="005368AE"/>
    <w:rsid w:val="00536A76"/>
    <w:rsid w:val="005375A4"/>
    <w:rsid w:val="0053783E"/>
    <w:rsid w:val="00537E35"/>
    <w:rsid w:val="0054043F"/>
    <w:rsid w:val="005420A5"/>
    <w:rsid w:val="005432AE"/>
    <w:rsid w:val="005433B8"/>
    <w:rsid w:val="00543A23"/>
    <w:rsid w:val="0054522D"/>
    <w:rsid w:val="00545885"/>
    <w:rsid w:val="005459BA"/>
    <w:rsid w:val="00545F4B"/>
    <w:rsid w:val="00546FA4"/>
    <w:rsid w:val="00547315"/>
    <w:rsid w:val="0054738D"/>
    <w:rsid w:val="00547BB7"/>
    <w:rsid w:val="00547C4F"/>
    <w:rsid w:val="00551C25"/>
    <w:rsid w:val="00551CEA"/>
    <w:rsid w:val="00551F70"/>
    <w:rsid w:val="00551FDC"/>
    <w:rsid w:val="00553712"/>
    <w:rsid w:val="005539C2"/>
    <w:rsid w:val="00554FBB"/>
    <w:rsid w:val="00556AE7"/>
    <w:rsid w:val="005575FC"/>
    <w:rsid w:val="005578E7"/>
    <w:rsid w:val="005601A3"/>
    <w:rsid w:val="00560835"/>
    <w:rsid w:val="00560D00"/>
    <w:rsid w:val="005610D2"/>
    <w:rsid w:val="005613B8"/>
    <w:rsid w:val="0056148F"/>
    <w:rsid w:val="00561E1A"/>
    <w:rsid w:val="0056275C"/>
    <w:rsid w:val="0056393A"/>
    <w:rsid w:val="00564777"/>
    <w:rsid w:val="00564917"/>
    <w:rsid w:val="00564D2D"/>
    <w:rsid w:val="005661E1"/>
    <w:rsid w:val="00566414"/>
    <w:rsid w:val="005667F8"/>
    <w:rsid w:val="00567446"/>
    <w:rsid w:val="00570A4D"/>
    <w:rsid w:val="00572183"/>
    <w:rsid w:val="005731B6"/>
    <w:rsid w:val="0057363C"/>
    <w:rsid w:val="00573BF4"/>
    <w:rsid w:val="00573E8B"/>
    <w:rsid w:val="0057484B"/>
    <w:rsid w:val="00574A90"/>
    <w:rsid w:val="00575D87"/>
    <w:rsid w:val="0057689E"/>
    <w:rsid w:val="005769B3"/>
    <w:rsid w:val="00576F0E"/>
    <w:rsid w:val="00577431"/>
    <w:rsid w:val="005807C9"/>
    <w:rsid w:val="00581416"/>
    <w:rsid w:val="00581ED5"/>
    <w:rsid w:val="00582503"/>
    <w:rsid w:val="00582762"/>
    <w:rsid w:val="00583662"/>
    <w:rsid w:val="00584939"/>
    <w:rsid w:val="00584B0A"/>
    <w:rsid w:val="00586529"/>
    <w:rsid w:val="00587BF0"/>
    <w:rsid w:val="0059018A"/>
    <w:rsid w:val="00590830"/>
    <w:rsid w:val="00591276"/>
    <w:rsid w:val="00592DE7"/>
    <w:rsid w:val="00593ED3"/>
    <w:rsid w:val="00594F55"/>
    <w:rsid w:val="00594FA3"/>
    <w:rsid w:val="005953A1"/>
    <w:rsid w:val="00595E73"/>
    <w:rsid w:val="00596160"/>
    <w:rsid w:val="00596762"/>
    <w:rsid w:val="005A01BE"/>
    <w:rsid w:val="005A147A"/>
    <w:rsid w:val="005A18F3"/>
    <w:rsid w:val="005A21FB"/>
    <w:rsid w:val="005A2CA3"/>
    <w:rsid w:val="005A313F"/>
    <w:rsid w:val="005A33B2"/>
    <w:rsid w:val="005A36C6"/>
    <w:rsid w:val="005A393E"/>
    <w:rsid w:val="005A3DF1"/>
    <w:rsid w:val="005A46B2"/>
    <w:rsid w:val="005A51D6"/>
    <w:rsid w:val="005A5569"/>
    <w:rsid w:val="005A5EED"/>
    <w:rsid w:val="005A647E"/>
    <w:rsid w:val="005A6A45"/>
    <w:rsid w:val="005A7C5C"/>
    <w:rsid w:val="005A7F72"/>
    <w:rsid w:val="005B08DB"/>
    <w:rsid w:val="005B2676"/>
    <w:rsid w:val="005B3B48"/>
    <w:rsid w:val="005B4BAD"/>
    <w:rsid w:val="005B4DB1"/>
    <w:rsid w:val="005B524A"/>
    <w:rsid w:val="005B5305"/>
    <w:rsid w:val="005B5547"/>
    <w:rsid w:val="005B5884"/>
    <w:rsid w:val="005B605D"/>
    <w:rsid w:val="005B6996"/>
    <w:rsid w:val="005B79C1"/>
    <w:rsid w:val="005B7A78"/>
    <w:rsid w:val="005C273C"/>
    <w:rsid w:val="005C35C3"/>
    <w:rsid w:val="005C3EB0"/>
    <w:rsid w:val="005C476B"/>
    <w:rsid w:val="005C49B4"/>
    <w:rsid w:val="005C4BDE"/>
    <w:rsid w:val="005C6418"/>
    <w:rsid w:val="005C6FE3"/>
    <w:rsid w:val="005C74A5"/>
    <w:rsid w:val="005C760B"/>
    <w:rsid w:val="005C7CB7"/>
    <w:rsid w:val="005D04C7"/>
    <w:rsid w:val="005D0D3B"/>
    <w:rsid w:val="005D103A"/>
    <w:rsid w:val="005D1354"/>
    <w:rsid w:val="005D1AAB"/>
    <w:rsid w:val="005D2597"/>
    <w:rsid w:val="005D385C"/>
    <w:rsid w:val="005D5147"/>
    <w:rsid w:val="005D5160"/>
    <w:rsid w:val="005D6BC1"/>
    <w:rsid w:val="005D7344"/>
    <w:rsid w:val="005D7855"/>
    <w:rsid w:val="005D7F44"/>
    <w:rsid w:val="005E0434"/>
    <w:rsid w:val="005E04EF"/>
    <w:rsid w:val="005E1895"/>
    <w:rsid w:val="005E1C03"/>
    <w:rsid w:val="005E2189"/>
    <w:rsid w:val="005E228D"/>
    <w:rsid w:val="005E248A"/>
    <w:rsid w:val="005E28EF"/>
    <w:rsid w:val="005E3603"/>
    <w:rsid w:val="005E3CA0"/>
    <w:rsid w:val="005E45F9"/>
    <w:rsid w:val="005E5284"/>
    <w:rsid w:val="005E58F9"/>
    <w:rsid w:val="005E69B5"/>
    <w:rsid w:val="005F1615"/>
    <w:rsid w:val="005F193F"/>
    <w:rsid w:val="005F292B"/>
    <w:rsid w:val="005F2E48"/>
    <w:rsid w:val="005F3D6D"/>
    <w:rsid w:val="005F540B"/>
    <w:rsid w:val="005F5C76"/>
    <w:rsid w:val="005F60DB"/>
    <w:rsid w:val="005F61D1"/>
    <w:rsid w:val="005F7615"/>
    <w:rsid w:val="005F78F4"/>
    <w:rsid w:val="005F7A13"/>
    <w:rsid w:val="005F7A46"/>
    <w:rsid w:val="005F7D8E"/>
    <w:rsid w:val="005F7E66"/>
    <w:rsid w:val="00601145"/>
    <w:rsid w:val="00604300"/>
    <w:rsid w:val="0060449D"/>
    <w:rsid w:val="00604558"/>
    <w:rsid w:val="00604F9D"/>
    <w:rsid w:val="0060559D"/>
    <w:rsid w:val="00605687"/>
    <w:rsid w:val="00605C95"/>
    <w:rsid w:val="00605ECD"/>
    <w:rsid w:val="006069A1"/>
    <w:rsid w:val="006069AA"/>
    <w:rsid w:val="006071CE"/>
    <w:rsid w:val="006075B4"/>
    <w:rsid w:val="00607605"/>
    <w:rsid w:val="006119FB"/>
    <w:rsid w:val="00611FAE"/>
    <w:rsid w:val="00612B18"/>
    <w:rsid w:val="00612D32"/>
    <w:rsid w:val="00612DDA"/>
    <w:rsid w:val="00613066"/>
    <w:rsid w:val="00614217"/>
    <w:rsid w:val="006146D5"/>
    <w:rsid w:val="00614775"/>
    <w:rsid w:val="00615585"/>
    <w:rsid w:val="006157B4"/>
    <w:rsid w:val="00616111"/>
    <w:rsid w:val="006179F6"/>
    <w:rsid w:val="00617D95"/>
    <w:rsid w:val="00620A5A"/>
    <w:rsid w:val="0062135E"/>
    <w:rsid w:val="00621512"/>
    <w:rsid w:val="00621943"/>
    <w:rsid w:val="006222E8"/>
    <w:rsid w:val="006228A1"/>
    <w:rsid w:val="00622D8B"/>
    <w:rsid w:val="00622FE1"/>
    <w:rsid w:val="00623625"/>
    <w:rsid w:val="0062437F"/>
    <w:rsid w:val="0062460A"/>
    <w:rsid w:val="00624871"/>
    <w:rsid w:val="00624FAC"/>
    <w:rsid w:val="006253EB"/>
    <w:rsid w:val="00625854"/>
    <w:rsid w:val="006260BB"/>
    <w:rsid w:val="00626B46"/>
    <w:rsid w:val="00627F32"/>
    <w:rsid w:val="006317C9"/>
    <w:rsid w:val="00632888"/>
    <w:rsid w:val="00632FCE"/>
    <w:rsid w:val="006333B6"/>
    <w:rsid w:val="00634160"/>
    <w:rsid w:val="00634801"/>
    <w:rsid w:val="006350D2"/>
    <w:rsid w:val="006351DB"/>
    <w:rsid w:val="00635BF7"/>
    <w:rsid w:val="00635E4C"/>
    <w:rsid w:val="00635E64"/>
    <w:rsid w:val="006363BA"/>
    <w:rsid w:val="0063684D"/>
    <w:rsid w:val="00640010"/>
    <w:rsid w:val="006400C7"/>
    <w:rsid w:val="00640994"/>
    <w:rsid w:val="00640A13"/>
    <w:rsid w:val="00640B00"/>
    <w:rsid w:val="0064153C"/>
    <w:rsid w:val="006420A8"/>
    <w:rsid w:val="006421C7"/>
    <w:rsid w:val="00642442"/>
    <w:rsid w:val="00642B82"/>
    <w:rsid w:val="006430B7"/>
    <w:rsid w:val="00643418"/>
    <w:rsid w:val="00643726"/>
    <w:rsid w:val="00643AB9"/>
    <w:rsid w:val="00643BAC"/>
    <w:rsid w:val="0064514D"/>
    <w:rsid w:val="00645908"/>
    <w:rsid w:val="00645DED"/>
    <w:rsid w:val="00646796"/>
    <w:rsid w:val="00650C2A"/>
    <w:rsid w:val="00651B58"/>
    <w:rsid w:val="006521D9"/>
    <w:rsid w:val="006531C1"/>
    <w:rsid w:val="00653753"/>
    <w:rsid w:val="00653762"/>
    <w:rsid w:val="00653D29"/>
    <w:rsid w:val="00653D4C"/>
    <w:rsid w:val="00653DD4"/>
    <w:rsid w:val="00654D03"/>
    <w:rsid w:val="00654D9B"/>
    <w:rsid w:val="00654E8F"/>
    <w:rsid w:val="00655C31"/>
    <w:rsid w:val="00657601"/>
    <w:rsid w:val="00657BC3"/>
    <w:rsid w:val="00660096"/>
    <w:rsid w:val="00660443"/>
    <w:rsid w:val="0066180F"/>
    <w:rsid w:val="00661FB8"/>
    <w:rsid w:val="006627B7"/>
    <w:rsid w:val="00665568"/>
    <w:rsid w:val="006658C9"/>
    <w:rsid w:val="00665EEA"/>
    <w:rsid w:val="00665FAF"/>
    <w:rsid w:val="006679EB"/>
    <w:rsid w:val="006703B2"/>
    <w:rsid w:val="0067058E"/>
    <w:rsid w:val="00671448"/>
    <w:rsid w:val="0067190E"/>
    <w:rsid w:val="00671FDB"/>
    <w:rsid w:val="0067215A"/>
    <w:rsid w:val="00672A9F"/>
    <w:rsid w:val="00673048"/>
    <w:rsid w:val="00673793"/>
    <w:rsid w:val="00674E45"/>
    <w:rsid w:val="00675146"/>
    <w:rsid w:val="006758EC"/>
    <w:rsid w:val="00675BF8"/>
    <w:rsid w:val="00675F4B"/>
    <w:rsid w:val="00676126"/>
    <w:rsid w:val="00677420"/>
    <w:rsid w:val="00680DE2"/>
    <w:rsid w:val="00680F9B"/>
    <w:rsid w:val="006819A3"/>
    <w:rsid w:val="006831FC"/>
    <w:rsid w:val="006839AC"/>
    <w:rsid w:val="00683F81"/>
    <w:rsid w:val="00684469"/>
    <w:rsid w:val="00684E98"/>
    <w:rsid w:val="00684F81"/>
    <w:rsid w:val="00687605"/>
    <w:rsid w:val="00690240"/>
    <w:rsid w:val="0069087A"/>
    <w:rsid w:val="0069095D"/>
    <w:rsid w:val="006910CD"/>
    <w:rsid w:val="0069250A"/>
    <w:rsid w:val="00692C55"/>
    <w:rsid w:val="00693C76"/>
    <w:rsid w:val="006941B9"/>
    <w:rsid w:val="00695139"/>
    <w:rsid w:val="00695EDC"/>
    <w:rsid w:val="006A011D"/>
    <w:rsid w:val="006A09BA"/>
    <w:rsid w:val="006A0BEC"/>
    <w:rsid w:val="006A195A"/>
    <w:rsid w:val="006A1988"/>
    <w:rsid w:val="006A35DA"/>
    <w:rsid w:val="006A40FC"/>
    <w:rsid w:val="006A4B2A"/>
    <w:rsid w:val="006A535C"/>
    <w:rsid w:val="006A5F7D"/>
    <w:rsid w:val="006A6308"/>
    <w:rsid w:val="006A7864"/>
    <w:rsid w:val="006B0433"/>
    <w:rsid w:val="006B081F"/>
    <w:rsid w:val="006B1480"/>
    <w:rsid w:val="006B2384"/>
    <w:rsid w:val="006B32C1"/>
    <w:rsid w:val="006B33F1"/>
    <w:rsid w:val="006B3846"/>
    <w:rsid w:val="006B4993"/>
    <w:rsid w:val="006B5900"/>
    <w:rsid w:val="006B5BCE"/>
    <w:rsid w:val="006B7DD2"/>
    <w:rsid w:val="006C0BEE"/>
    <w:rsid w:val="006C104E"/>
    <w:rsid w:val="006C2187"/>
    <w:rsid w:val="006C2B9E"/>
    <w:rsid w:val="006C3173"/>
    <w:rsid w:val="006C3580"/>
    <w:rsid w:val="006C3D4C"/>
    <w:rsid w:val="006C4CA7"/>
    <w:rsid w:val="006C5894"/>
    <w:rsid w:val="006C5C83"/>
    <w:rsid w:val="006C6A7D"/>
    <w:rsid w:val="006D07AC"/>
    <w:rsid w:val="006D0989"/>
    <w:rsid w:val="006D0F1F"/>
    <w:rsid w:val="006D1E72"/>
    <w:rsid w:val="006D24DA"/>
    <w:rsid w:val="006D288F"/>
    <w:rsid w:val="006D35EC"/>
    <w:rsid w:val="006D3D1F"/>
    <w:rsid w:val="006D452E"/>
    <w:rsid w:val="006D543A"/>
    <w:rsid w:val="006D557D"/>
    <w:rsid w:val="006E0314"/>
    <w:rsid w:val="006E0F82"/>
    <w:rsid w:val="006E18E0"/>
    <w:rsid w:val="006E1CD2"/>
    <w:rsid w:val="006E20E9"/>
    <w:rsid w:val="006E2525"/>
    <w:rsid w:val="006E2882"/>
    <w:rsid w:val="006E2AD6"/>
    <w:rsid w:val="006E2FA2"/>
    <w:rsid w:val="006E3195"/>
    <w:rsid w:val="006E3CAB"/>
    <w:rsid w:val="006E42BD"/>
    <w:rsid w:val="006E5354"/>
    <w:rsid w:val="006E58AB"/>
    <w:rsid w:val="006E71C9"/>
    <w:rsid w:val="006E7491"/>
    <w:rsid w:val="006F03EE"/>
    <w:rsid w:val="006F0C63"/>
    <w:rsid w:val="006F1718"/>
    <w:rsid w:val="006F1853"/>
    <w:rsid w:val="006F2BB8"/>
    <w:rsid w:val="006F4289"/>
    <w:rsid w:val="006F47FC"/>
    <w:rsid w:val="006F568D"/>
    <w:rsid w:val="006F5867"/>
    <w:rsid w:val="006F5DE9"/>
    <w:rsid w:val="006F6141"/>
    <w:rsid w:val="006F6DBE"/>
    <w:rsid w:val="006F744F"/>
    <w:rsid w:val="006F7EAA"/>
    <w:rsid w:val="00700A56"/>
    <w:rsid w:val="00701786"/>
    <w:rsid w:val="00701C61"/>
    <w:rsid w:val="00702296"/>
    <w:rsid w:val="00702D6E"/>
    <w:rsid w:val="00702F52"/>
    <w:rsid w:val="007031D0"/>
    <w:rsid w:val="00705BE0"/>
    <w:rsid w:val="0070707B"/>
    <w:rsid w:val="0071141D"/>
    <w:rsid w:val="00711AE0"/>
    <w:rsid w:val="00711FC2"/>
    <w:rsid w:val="00713054"/>
    <w:rsid w:val="0071324F"/>
    <w:rsid w:val="00714771"/>
    <w:rsid w:val="00714F74"/>
    <w:rsid w:val="007151C8"/>
    <w:rsid w:val="00716188"/>
    <w:rsid w:val="007161CD"/>
    <w:rsid w:val="007162F4"/>
    <w:rsid w:val="00716B77"/>
    <w:rsid w:val="00716F4E"/>
    <w:rsid w:val="0072015C"/>
    <w:rsid w:val="00720D50"/>
    <w:rsid w:val="00721151"/>
    <w:rsid w:val="00722AAB"/>
    <w:rsid w:val="00722F3D"/>
    <w:rsid w:val="0072407E"/>
    <w:rsid w:val="00724C68"/>
    <w:rsid w:val="00725885"/>
    <w:rsid w:val="007263BE"/>
    <w:rsid w:val="00726766"/>
    <w:rsid w:val="00726A18"/>
    <w:rsid w:val="00730167"/>
    <w:rsid w:val="0073059C"/>
    <w:rsid w:val="007313AA"/>
    <w:rsid w:val="00731DBE"/>
    <w:rsid w:val="00731F4E"/>
    <w:rsid w:val="0073207C"/>
    <w:rsid w:val="007320ED"/>
    <w:rsid w:val="007325B1"/>
    <w:rsid w:val="00733602"/>
    <w:rsid w:val="00734DC8"/>
    <w:rsid w:val="00735289"/>
    <w:rsid w:val="00736267"/>
    <w:rsid w:val="007362DF"/>
    <w:rsid w:val="00737204"/>
    <w:rsid w:val="00737508"/>
    <w:rsid w:val="00737F7D"/>
    <w:rsid w:val="007404E0"/>
    <w:rsid w:val="00740636"/>
    <w:rsid w:val="0074119A"/>
    <w:rsid w:val="007411ED"/>
    <w:rsid w:val="00741354"/>
    <w:rsid w:val="007413C7"/>
    <w:rsid w:val="007416DC"/>
    <w:rsid w:val="00742CAE"/>
    <w:rsid w:val="00742F60"/>
    <w:rsid w:val="0074317E"/>
    <w:rsid w:val="00743B05"/>
    <w:rsid w:val="0074467B"/>
    <w:rsid w:val="00744889"/>
    <w:rsid w:val="0074582F"/>
    <w:rsid w:val="00745A98"/>
    <w:rsid w:val="00746719"/>
    <w:rsid w:val="00747074"/>
    <w:rsid w:val="00747F69"/>
    <w:rsid w:val="00751112"/>
    <w:rsid w:val="00751307"/>
    <w:rsid w:val="00751FD3"/>
    <w:rsid w:val="0075285A"/>
    <w:rsid w:val="00752AAA"/>
    <w:rsid w:val="00752FDE"/>
    <w:rsid w:val="007534B1"/>
    <w:rsid w:val="007550FB"/>
    <w:rsid w:val="0075593C"/>
    <w:rsid w:val="00756788"/>
    <w:rsid w:val="007569E9"/>
    <w:rsid w:val="0075708B"/>
    <w:rsid w:val="0075742C"/>
    <w:rsid w:val="00757AA0"/>
    <w:rsid w:val="00757EAE"/>
    <w:rsid w:val="007613F6"/>
    <w:rsid w:val="00761B65"/>
    <w:rsid w:val="00762F19"/>
    <w:rsid w:val="0076318A"/>
    <w:rsid w:val="0076350C"/>
    <w:rsid w:val="00763861"/>
    <w:rsid w:val="00763D1C"/>
    <w:rsid w:val="007641A7"/>
    <w:rsid w:val="00764386"/>
    <w:rsid w:val="00764B56"/>
    <w:rsid w:val="0076589C"/>
    <w:rsid w:val="007665D0"/>
    <w:rsid w:val="00766A7A"/>
    <w:rsid w:val="00766F3A"/>
    <w:rsid w:val="00767E4B"/>
    <w:rsid w:val="00770929"/>
    <w:rsid w:val="00770B68"/>
    <w:rsid w:val="00770FC3"/>
    <w:rsid w:val="007710F1"/>
    <w:rsid w:val="007713D7"/>
    <w:rsid w:val="00771670"/>
    <w:rsid w:val="00771BA1"/>
    <w:rsid w:val="00772E59"/>
    <w:rsid w:val="00773175"/>
    <w:rsid w:val="00774C4E"/>
    <w:rsid w:val="00774F94"/>
    <w:rsid w:val="00776472"/>
    <w:rsid w:val="007767BD"/>
    <w:rsid w:val="00776E3D"/>
    <w:rsid w:val="0077704C"/>
    <w:rsid w:val="00777A5E"/>
    <w:rsid w:val="00777AAF"/>
    <w:rsid w:val="0078022B"/>
    <w:rsid w:val="007806B5"/>
    <w:rsid w:val="007809D0"/>
    <w:rsid w:val="00780BAD"/>
    <w:rsid w:val="00780CDB"/>
    <w:rsid w:val="00780DCA"/>
    <w:rsid w:val="00781286"/>
    <w:rsid w:val="00781995"/>
    <w:rsid w:val="00782A3F"/>
    <w:rsid w:val="00783185"/>
    <w:rsid w:val="007836F8"/>
    <w:rsid w:val="0078380F"/>
    <w:rsid w:val="00783B77"/>
    <w:rsid w:val="00784B82"/>
    <w:rsid w:val="007857C4"/>
    <w:rsid w:val="00785C05"/>
    <w:rsid w:val="00785D4D"/>
    <w:rsid w:val="00785E9A"/>
    <w:rsid w:val="007864BC"/>
    <w:rsid w:val="007870BA"/>
    <w:rsid w:val="0079098D"/>
    <w:rsid w:val="0079117B"/>
    <w:rsid w:val="007933F4"/>
    <w:rsid w:val="00794B5E"/>
    <w:rsid w:val="00795AF5"/>
    <w:rsid w:val="007966A5"/>
    <w:rsid w:val="007978AE"/>
    <w:rsid w:val="007A037D"/>
    <w:rsid w:val="007A0DE1"/>
    <w:rsid w:val="007A1192"/>
    <w:rsid w:val="007A12B6"/>
    <w:rsid w:val="007A303F"/>
    <w:rsid w:val="007A3525"/>
    <w:rsid w:val="007A45DC"/>
    <w:rsid w:val="007A5DF9"/>
    <w:rsid w:val="007A5FC3"/>
    <w:rsid w:val="007B1223"/>
    <w:rsid w:val="007B1606"/>
    <w:rsid w:val="007B2307"/>
    <w:rsid w:val="007B2A8D"/>
    <w:rsid w:val="007B2CE7"/>
    <w:rsid w:val="007B2F72"/>
    <w:rsid w:val="007B33EC"/>
    <w:rsid w:val="007B4257"/>
    <w:rsid w:val="007B5E30"/>
    <w:rsid w:val="007B60EA"/>
    <w:rsid w:val="007B6851"/>
    <w:rsid w:val="007B68BD"/>
    <w:rsid w:val="007B7932"/>
    <w:rsid w:val="007C020C"/>
    <w:rsid w:val="007C02F2"/>
    <w:rsid w:val="007C05C3"/>
    <w:rsid w:val="007C0ACD"/>
    <w:rsid w:val="007C10C7"/>
    <w:rsid w:val="007C1D34"/>
    <w:rsid w:val="007C2AF2"/>
    <w:rsid w:val="007C2E00"/>
    <w:rsid w:val="007C5F43"/>
    <w:rsid w:val="007C600F"/>
    <w:rsid w:val="007C60B8"/>
    <w:rsid w:val="007C64D0"/>
    <w:rsid w:val="007C6B49"/>
    <w:rsid w:val="007C6CD6"/>
    <w:rsid w:val="007C77B6"/>
    <w:rsid w:val="007C7BD1"/>
    <w:rsid w:val="007C7F93"/>
    <w:rsid w:val="007D08B2"/>
    <w:rsid w:val="007D1744"/>
    <w:rsid w:val="007D2A8C"/>
    <w:rsid w:val="007D34B2"/>
    <w:rsid w:val="007D3DEA"/>
    <w:rsid w:val="007D4527"/>
    <w:rsid w:val="007D48E9"/>
    <w:rsid w:val="007D4FA3"/>
    <w:rsid w:val="007D53A1"/>
    <w:rsid w:val="007D5469"/>
    <w:rsid w:val="007D5AD1"/>
    <w:rsid w:val="007D60B3"/>
    <w:rsid w:val="007D6152"/>
    <w:rsid w:val="007D61BF"/>
    <w:rsid w:val="007D66CB"/>
    <w:rsid w:val="007D68B3"/>
    <w:rsid w:val="007D6BF6"/>
    <w:rsid w:val="007E11ED"/>
    <w:rsid w:val="007E13E2"/>
    <w:rsid w:val="007E1613"/>
    <w:rsid w:val="007E1837"/>
    <w:rsid w:val="007E19AA"/>
    <w:rsid w:val="007E1DF2"/>
    <w:rsid w:val="007E269F"/>
    <w:rsid w:val="007E327B"/>
    <w:rsid w:val="007E4547"/>
    <w:rsid w:val="007E4772"/>
    <w:rsid w:val="007E4CB8"/>
    <w:rsid w:val="007E51E3"/>
    <w:rsid w:val="007E5386"/>
    <w:rsid w:val="007E54F6"/>
    <w:rsid w:val="007E5A67"/>
    <w:rsid w:val="007E61BD"/>
    <w:rsid w:val="007E6A82"/>
    <w:rsid w:val="007F05A3"/>
    <w:rsid w:val="007F130A"/>
    <w:rsid w:val="007F1F83"/>
    <w:rsid w:val="007F210C"/>
    <w:rsid w:val="007F241F"/>
    <w:rsid w:val="007F32AD"/>
    <w:rsid w:val="007F52A9"/>
    <w:rsid w:val="007F57D7"/>
    <w:rsid w:val="007F5883"/>
    <w:rsid w:val="007F6EC9"/>
    <w:rsid w:val="007F733C"/>
    <w:rsid w:val="007F73C5"/>
    <w:rsid w:val="007F781E"/>
    <w:rsid w:val="007F7A68"/>
    <w:rsid w:val="007F7B14"/>
    <w:rsid w:val="00800301"/>
    <w:rsid w:val="00800407"/>
    <w:rsid w:val="008015AE"/>
    <w:rsid w:val="00801B65"/>
    <w:rsid w:val="00801C3C"/>
    <w:rsid w:val="00801FA1"/>
    <w:rsid w:val="00802027"/>
    <w:rsid w:val="0080202A"/>
    <w:rsid w:val="00802C0A"/>
    <w:rsid w:val="00802C25"/>
    <w:rsid w:val="00803284"/>
    <w:rsid w:val="00803AC3"/>
    <w:rsid w:val="00805458"/>
    <w:rsid w:val="0080595C"/>
    <w:rsid w:val="008061CF"/>
    <w:rsid w:val="00806779"/>
    <w:rsid w:val="00807A44"/>
    <w:rsid w:val="00807AC9"/>
    <w:rsid w:val="00807CAD"/>
    <w:rsid w:val="008100AF"/>
    <w:rsid w:val="008112DE"/>
    <w:rsid w:val="008118B1"/>
    <w:rsid w:val="008118B7"/>
    <w:rsid w:val="00811BAB"/>
    <w:rsid w:val="008121EB"/>
    <w:rsid w:val="008127ED"/>
    <w:rsid w:val="00812CF6"/>
    <w:rsid w:val="0081455E"/>
    <w:rsid w:val="00814E8A"/>
    <w:rsid w:val="008155DF"/>
    <w:rsid w:val="0081573E"/>
    <w:rsid w:val="008162BB"/>
    <w:rsid w:val="008165BC"/>
    <w:rsid w:val="0081796D"/>
    <w:rsid w:val="00817AC6"/>
    <w:rsid w:val="00817B39"/>
    <w:rsid w:val="00817DB8"/>
    <w:rsid w:val="0082005E"/>
    <w:rsid w:val="0082025E"/>
    <w:rsid w:val="00820330"/>
    <w:rsid w:val="00820ECB"/>
    <w:rsid w:val="0082151A"/>
    <w:rsid w:val="00821E6D"/>
    <w:rsid w:val="008224E9"/>
    <w:rsid w:val="00822853"/>
    <w:rsid w:val="00823CF4"/>
    <w:rsid w:val="00823EBD"/>
    <w:rsid w:val="008246B0"/>
    <w:rsid w:val="00824A2A"/>
    <w:rsid w:val="00826272"/>
    <w:rsid w:val="00826EB9"/>
    <w:rsid w:val="00826F58"/>
    <w:rsid w:val="008271BC"/>
    <w:rsid w:val="00827978"/>
    <w:rsid w:val="00827A86"/>
    <w:rsid w:val="0083009F"/>
    <w:rsid w:val="00830A8D"/>
    <w:rsid w:val="008312E7"/>
    <w:rsid w:val="0083160C"/>
    <w:rsid w:val="008318AD"/>
    <w:rsid w:val="00831B07"/>
    <w:rsid w:val="00831BA2"/>
    <w:rsid w:val="00832EF6"/>
    <w:rsid w:val="0083300F"/>
    <w:rsid w:val="0083370E"/>
    <w:rsid w:val="008339F3"/>
    <w:rsid w:val="008344FA"/>
    <w:rsid w:val="008355FF"/>
    <w:rsid w:val="00835633"/>
    <w:rsid w:val="00835928"/>
    <w:rsid w:val="00835DCC"/>
    <w:rsid w:val="00835E27"/>
    <w:rsid w:val="0083638B"/>
    <w:rsid w:val="00836FB1"/>
    <w:rsid w:val="008373D3"/>
    <w:rsid w:val="008377A1"/>
    <w:rsid w:val="00837824"/>
    <w:rsid w:val="00837FAA"/>
    <w:rsid w:val="00837FCD"/>
    <w:rsid w:val="0084183F"/>
    <w:rsid w:val="00841E08"/>
    <w:rsid w:val="00842060"/>
    <w:rsid w:val="00842309"/>
    <w:rsid w:val="008425B2"/>
    <w:rsid w:val="008425CD"/>
    <w:rsid w:val="00842A32"/>
    <w:rsid w:val="00842C74"/>
    <w:rsid w:val="008446F5"/>
    <w:rsid w:val="008450E7"/>
    <w:rsid w:val="00846EC9"/>
    <w:rsid w:val="00847186"/>
    <w:rsid w:val="00847F5A"/>
    <w:rsid w:val="0085024E"/>
    <w:rsid w:val="00850401"/>
    <w:rsid w:val="00850E2D"/>
    <w:rsid w:val="00853276"/>
    <w:rsid w:val="00853BDA"/>
    <w:rsid w:val="00854BAF"/>
    <w:rsid w:val="00855211"/>
    <w:rsid w:val="00855798"/>
    <w:rsid w:val="00855C30"/>
    <w:rsid w:val="00855D9B"/>
    <w:rsid w:val="008567B0"/>
    <w:rsid w:val="0085710F"/>
    <w:rsid w:val="00857C77"/>
    <w:rsid w:val="00861ACA"/>
    <w:rsid w:val="008629B6"/>
    <w:rsid w:val="00862D58"/>
    <w:rsid w:val="008636CA"/>
    <w:rsid w:val="008637D7"/>
    <w:rsid w:val="00865731"/>
    <w:rsid w:val="00865CAA"/>
    <w:rsid w:val="008660D6"/>
    <w:rsid w:val="00866F9E"/>
    <w:rsid w:val="00867DD7"/>
    <w:rsid w:val="00870D13"/>
    <w:rsid w:val="0087254A"/>
    <w:rsid w:val="00872828"/>
    <w:rsid w:val="0087349B"/>
    <w:rsid w:val="0087355D"/>
    <w:rsid w:val="00873EF8"/>
    <w:rsid w:val="00873FBF"/>
    <w:rsid w:val="008740DF"/>
    <w:rsid w:val="0087504D"/>
    <w:rsid w:val="008751D9"/>
    <w:rsid w:val="008765D2"/>
    <w:rsid w:val="00877B63"/>
    <w:rsid w:val="008805F0"/>
    <w:rsid w:val="008829F6"/>
    <w:rsid w:val="00882CD9"/>
    <w:rsid w:val="00882D3E"/>
    <w:rsid w:val="00883240"/>
    <w:rsid w:val="008833F1"/>
    <w:rsid w:val="0088366B"/>
    <w:rsid w:val="008848D1"/>
    <w:rsid w:val="00884C1B"/>
    <w:rsid w:val="00885238"/>
    <w:rsid w:val="00886174"/>
    <w:rsid w:val="00886AD4"/>
    <w:rsid w:val="00886C6D"/>
    <w:rsid w:val="00887A56"/>
    <w:rsid w:val="00887BA4"/>
    <w:rsid w:val="00887DF1"/>
    <w:rsid w:val="0089033F"/>
    <w:rsid w:val="0089057B"/>
    <w:rsid w:val="00890A5A"/>
    <w:rsid w:val="00890A96"/>
    <w:rsid w:val="00890E5B"/>
    <w:rsid w:val="00891BF9"/>
    <w:rsid w:val="008922B8"/>
    <w:rsid w:val="00892319"/>
    <w:rsid w:val="00894864"/>
    <w:rsid w:val="00894F3F"/>
    <w:rsid w:val="008950AD"/>
    <w:rsid w:val="00895192"/>
    <w:rsid w:val="0089578A"/>
    <w:rsid w:val="00897964"/>
    <w:rsid w:val="00897E07"/>
    <w:rsid w:val="008A00EA"/>
    <w:rsid w:val="008A01A1"/>
    <w:rsid w:val="008A2567"/>
    <w:rsid w:val="008A28CD"/>
    <w:rsid w:val="008A2A0E"/>
    <w:rsid w:val="008A2A61"/>
    <w:rsid w:val="008A336A"/>
    <w:rsid w:val="008A43AC"/>
    <w:rsid w:val="008A519C"/>
    <w:rsid w:val="008A61D1"/>
    <w:rsid w:val="008A71DA"/>
    <w:rsid w:val="008A776B"/>
    <w:rsid w:val="008A7ECA"/>
    <w:rsid w:val="008B0161"/>
    <w:rsid w:val="008B0744"/>
    <w:rsid w:val="008B0E5B"/>
    <w:rsid w:val="008B0F87"/>
    <w:rsid w:val="008B1940"/>
    <w:rsid w:val="008B194F"/>
    <w:rsid w:val="008B315E"/>
    <w:rsid w:val="008B327E"/>
    <w:rsid w:val="008B39C6"/>
    <w:rsid w:val="008B3B61"/>
    <w:rsid w:val="008B416C"/>
    <w:rsid w:val="008B5070"/>
    <w:rsid w:val="008B593A"/>
    <w:rsid w:val="008B5F52"/>
    <w:rsid w:val="008B6507"/>
    <w:rsid w:val="008B65D1"/>
    <w:rsid w:val="008B6EEB"/>
    <w:rsid w:val="008B76B7"/>
    <w:rsid w:val="008B7940"/>
    <w:rsid w:val="008C025D"/>
    <w:rsid w:val="008C072E"/>
    <w:rsid w:val="008C08D1"/>
    <w:rsid w:val="008C1699"/>
    <w:rsid w:val="008C1E6B"/>
    <w:rsid w:val="008C20CF"/>
    <w:rsid w:val="008C3151"/>
    <w:rsid w:val="008C3E0C"/>
    <w:rsid w:val="008C4E01"/>
    <w:rsid w:val="008C659B"/>
    <w:rsid w:val="008C7AD5"/>
    <w:rsid w:val="008C7FE5"/>
    <w:rsid w:val="008D24EB"/>
    <w:rsid w:val="008D2F3B"/>
    <w:rsid w:val="008D3224"/>
    <w:rsid w:val="008D3A82"/>
    <w:rsid w:val="008D4155"/>
    <w:rsid w:val="008D792C"/>
    <w:rsid w:val="008D7A01"/>
    <w:rsid w:val="008E0DD9"/>
    <w:rsid w:val="008E11AD"/>
    <w:rsid w:val="008E1302"/>
    <w:rsid w:val="008E154F"/>
    <w:rsid w:val="008E2B36"/>
    <w:rsid w:val="008E32C0"/>
    <w:rsid w:val="008E39AE"/>
    <w:rsid w:val="008E40CC"/>
    <w:rsid w:val="008E412F"/>
    <w:rsid w:val="008E5364"/>
    <w:rsid w:val="008E5518"/>
    <w:rsid w:val="008E5A17"/>
    <w:rsid w:val="008E64DD"/>
    <w:rsid w:val="008E65BD"/>
    <w:rsid w:val="008F050A"/>
    <w:rsid w:val="008F0742"/>
    <w:rsid w:val="008F085A"/>
    <w:rsid w:val="008F1AEF"/>
    <w:rsid w:val="008F1F0B"/>
    <w:rsid w:val="008F2A9A"/>
    <w:rsid w:val="008F2E87"/>
    <w:rsid w:val="008F36EC"/>
    <w:rsid w:val="008F3FA7"/>
    <w:rsid w:val="008F5527"/>
    <w:rsid w:val="008F5602"/>
    <w:rsid w:val="008F726E"/>
    <w:rsid w:val="008F7B12"/>
    <w:rsid w:val="008F7C8A"/>
    <w:rsid w:val="008F7CF9"/>
    <w:rsid w:val="00900732"/>
    <w:rsid w:val="00900966"/>
    <w:rsid w:val="00901B05"/>
    <w:rsid w:val="00901ED1"/>
    <w:rsid w:val="0090203F"/>
    <w:rsid w:val="009032A1"/>
    <w:rsid w:val="009035ED"/>
    <w:rsid w:val="009069FF"/>
    <w:rsid w:val="009075D6"/>
    <w:rsid w:val="009078A9"/>
    <w:rsid w:val="00907AC5"/>
    <w:rsid w:val="00910138"/>
    <w:rsid w:val="0091028D"/>
    <w:rsid w:val="00910730"/>
    <w:rsid w:val="00910B87"/>
    <w:rsid w:val="00910E74"/>
    <w:rsid w:val="00911151"/>
    <w:rsid w:val="00911316"/>
    <w:rsid w:val="009118C9"/>
    <w:rsid w:val="00911D53"/>
    <w:rsid w:val="00912C42"/>
    <w:rsid w:val="0091364C"/>
    <w:rsid w:val="009142DE"/>
    <w:rsid w:val="00914A78"/>
    <w:rsid w:val="0091528F"/>
    <w:rsid w:val="00915330"/>
    <w:rsid w:val="00915428"/>
    <w:rsid w:val="00915648"/>
    <w:rsid w:val="00915649"/>
    <w:rsid w:val="009157D8"/>
    <w:rsid w:val="00916EEF"/>
    <w:rsid w:val="0091712D"/>
    <w:rsid w:val="0091770D"/>
    <w:rsid w:val="00917DE9"/>
    <w:rsid w:val="009200F4"/>
    <w:rsid w:val="009211FF"/>
    <w:rsid w:val="00921B11"/>
    <w:rsid w:val="0092348B"/>
    <w:rsid w:val="00923D12"/>
    <w:rsid w:val="00924000"/>
    <w:rsid w:val="009246D8"/>
    <w:rsid w:val="00925672"/>
    <w:rsid w:val="00926713"/>
    <w:rsid w:val="00926A1C"/>
    <w:rsid w:val="00927E3E"/>
    <w:rsid w:val="009302F2"/>
    <w:rsid w:val="00930754"/>
    <w:rsid w:val="00932716"/>
    <w:rsid w:val="00932ACA"/>
    <w:rsid w:val="0093361D"/>
    <w:rsid w:val="00933C24"/>
    <w:rsid w:val="0093561F"/>
    <w:rsid w:val="00936B78"/>
    <w:rsid w:val="00940863"/>
    <w:rsid w:val="009408EA"/>
    <w:rsid w:val="00940E2D"/>
    <w:rsid w:val="00942BA2"/>
    <w:rsid w:val="00942BBA"/>
    <w:rsid w:val="00943695"/>
    <w:rsid w:val="009441F7"/>
    <w:rsid w:val="009443F7"/>
    <w:rsid w:val="009446D0"/>
    <w:rsid w:val="0094482C"/>
    <w:rsid w:val="009454E3"/>
    <w:rsid w:val="00945E43"/>
    <w:rsid w:val="00945E50"/>
    <w:rsid w:val="00945E6F"/>
    <w:rsid w:val="00945F3C"/>
    <w:rsid w:val="0094647C"/>
    <w:rsid w:val="00946548"/>
    <w:rsid w:val="00946597"/>
    <w:rsid w:val="00946969"/>
    <w:rsid w:val="00947BA2"/>
    <w:rsid w:val="00950467"/>
    <w:rsid w:val="00951F1B"/>
    <w:rsid w:val="00952196"/>
    <w:rsid w:val="00953636"/>
    <w:rsid w:val="00953ACD"/>
    <w:rsid w:val="00953ADC"/>
    <w:rsid w:val="00953E5C"/>
    <w:rsid w:val="00954471"/>
    <w:rsid w:val="00954CE8"/>
    <w:rsid w:val="00955010"/>
    <w:rsid w:val="00955273"/>
    <w:rsid w:val="00955657"/>
    <w:rsid w:val="00955929"/>
    <w:rsid w:val="0095636C"/>
    <w:rsid w:val="009564A1"/>
    <w:rsid w:val="00957281"/>
    <w:rsid w:val="009603FF"/>
    <w:rsid w:val="009611D1"/>
    <w:rsid w:val="00961257"/>
    <w:rsid w:val="009613DF"/>
    <w:rsid w:val="009614BD"/>
    <w:rsid w:val="00962EA1"/>
    <w:rsid w:val="00963CC4"/>
    <w:rsid w:val="009642AF"/>
    <w:rsid w:val="00965548"/>
    <w:rsid w:val="009655A0"/>
    <w:rsid w:val="009655D4"/>
    <w:rsid w:val="00965733"/>
    <w:rsid w:val="00967065"/>
    <w:rsid w:val="009722A7"/>
    <w:rsid w:val="00972F98"/>
    <w:rsid w:val="0097397C"/>
    <w:rsid w:val="009746AF"/>
    <w:rsid w:val="00975F9F"/>
    <w:rsid w:val="0097604A"/>
    <w:rsid w:val="00976B15"/>
    <w:rsid w:val="00976E7B"/>
    <w:rsid w:val="009777C8"/>
    <w:rsid w:val="00980524"/>
    <w:rsid w:val="00980B5A"/>
    <w:rsid w:val="00980ED1"/>
    <w:rsid w:val="00981E48"/>
    <w:rsid w:val="009822E1"/>
    <w:rsid w:val="009834D2"/>
    <w:rsid w:val="009834F4"/>
    <w:rsid w:val="00983CF2"/>
    <w:rsid w:val="00984348"/>
    <w:rsid w:val="00984425"/>
    <w:rsid w:val="009853DF"/>
    <w:rsid w:val="009859C6"/>
    <w:rsid w:val="00987F89"/>
    <w:rsid w:val="0099058C"/>
    <w:rsid w:val="009909B5"/>
    <w:rsid w:val="00991A58"/>
    <w:rsid w:val="00991B86"/>
    <w:rsid w:val="00991CD8"/>
    <w:rsid w:val="009922E5"/>
    <w:rsid w:val="0099243F"/>
    <w:rsid w:val="00993F6C"/>
    <w:rsid w:val="009946B4"/>
    <w:rsid w:val="00994DFF"/>
    <w:rsid w:val="0099533C"/>
    <w:rsid w:val="009962CE"/>
    <w:rsid w:val="009979BE"/>
    <w:rsid w:val="009A03B8"/>
    <w:rsid w:val="009A12A2"/>
    <w:rsid w:val="009A12B3"/>
    <w:rsid w:val="009A227B"/>
    <w:rsid w:val="009A23DB"/>
    <w:rsid w:val="009A25A0"/>
    <w:rsid w:val="009A2930"/>
    <w:rsid w:val="009A2F06"/>
    <w:rsid w:val="009A301C"/>
    <w:rsid w:val="009A376B"/>
    <w:rsid w:val="009A3BA4"/>
    <w:rsid w:val="009A5039"/>
    <w:rsid w:val="009A50FD"/>
    <w:rsid w:val="009A580D"/>
    <w:rsid w:val="009A6589"/>
    <w:rsid w:val="009A6F8B"/>
    <w:rsid w:val="009A77B3"/>
    <w:rsid w:val="009B01C5"/>
    <w:rsid w:val="009B123B"/>
    <w:rsid w:val="009B1B3F"/>
    <w:rsid w:val="009B296F"/>
    <w:rsid w:val="009B5062"/>
    <w:rsid w:val="009B5481"/>
    <w:rsid w:val="009B62E0"/>
    <w:rsid w:val="009B666E"/>
    <w:rsid w:val="009B6A5A"/>
    <w:rsid w:val="009C0556"/>
    <w:rsid w:val="009C1230"/>
    <w:rsid w:val="009C12DD"/>
    <w:rsid w:val="009C2332"/>
    <w:rsid w:val="009C2A21"/>
    <w:rsid w:val="009C2B6E"/>
    <w:rsid w:val="009C312F"/>
    <w:rsid w:val="009C35B4"/>
    <w:rsid w:val="009C50BA"/>
    <w:rsid w:val="009C580B"/>
    <w:rsid w:val="009C5970"/>
    <w:rsid w:val="009C5986"/>
    <w:rsid w:val="009C66E0"/>
    <w:rsid w:val="009C7376"/>
    <w:rsid w:val="009C7B67"/>
    <w:rsid w:val="009C7F72"/>
    <w:rsid w:val="009D003D"/>
    <w:rsid w:val="009D01BA"/>
    <w:rsid w:val="009D126D"/>
    <w:rsid w:val="009D14DD"/>
    <w:rsid w:val="009D15BF"/>
    <w:rsid w:val="009D1EFB"/>
    <w:rsid w:val="009D227C"/>
    <w:rsid w:val="009D29EC"/>
    <w:rsid w:val="009D2D73"/>
    <w:rsid w:val="009D2FB4"/>
    <w:rsid w:val="009D3968"/>
    <w:rsid w:val="009D39F3"/>
    <w:rsid w:val="009D3CFE"/>
    <w:rsid w:val="009D454E"/>
    <w:rsid w:val="009D505E"/>
    <w:rsid w:val="009D5421"/>
    <w:rsid w:val="009D6AC3"/>
    <w:rsid w:val="009D6F32"/>
    <w:rsid w:val="009D733A"/>
    <w:rsid w:val="009D7E4E"/>
    <w:rsid w:val="009E00F7"/>
    <w:rsid w:val="009E16D4"/>
    <w:rsid w:val="009E2347"/>
    <w:rsid w:val="009E3213"/>
    <w:rsid w:val="009E3845"/>
    <w:rsid w:val="009E3C20"/>
    <w:rsid w:val="009E4F0E"/>
    <w:rsid w:val="009E52F8"/>
    <w:rsid w:val="009E6F94"/>
    <w:rsid w:val="009E73EC"/>
    <w:rsid w:val="009E76BA"/>
    <w:rsid w:val="009F0277"/>
    <w:rsid w:val="009F0373"/>
    <w:rsid w:val="009F1C45"/>
    <w:rsid w:val="009F2130"/>
    <w:rsid w:val="009F2795"/>
    <w:rsid w:val="009F2F9E"/>
    <w:rsid w:val="009F34C7"/>
    <w:rsid w:val="009F4CB7"/>
    <w:rsid w:val="009F4DA4"/>
    <w:rsid w:val="009F5338"/>
    <w:rsid w:val="009F5812"/>
    <w:rsid w:val="009F6C2D"/>
    <w:rsid w:val="009F6F3D"/>
    <w:rsid w:val="009F7A4E"/>
    <w:rsid w:val="009F7A60"/>
    <w:rsid w:val="009F7A70"/>
    <w:rsid w:val="00A00066"/>
    <w:rsid w:val="00A001FD"/>
    <w:rsid w:val="00A018F2"/>
    <w:rsid w:val="00A01B4F"/>
    <w:rsid w:val="00A01FA0"/>
    <w:rsid w:val="00A026A0"/>
    <w:rsid w:val="00A0284E"/>
    <w:rsid w:val="00A03865"/>
    <w:rsid w:val="00A05BF2"/>
    <w:rsid w:val="00A0652B"/>
    <w:rsid w:val="00A0654A"/>
    <w:rsid w:val="00A06EE9"/>
    <w:rsid w:val="00A07A1B"/>
    <w:rsid w:val="00A10511"/>
    <w:rsid w:val="00A1084B"/>
    <w:rsid w:val="00A11AAC"/>
    <w:rsid w:val="00A14AD0"/>
    <w:rsid w:val="00A158E0"/>
    <w:rsid w:val="00A16D79"/>
    <w:rsid w:val="00A17014"/>
    <w:rsid w:val="00A1713B"/>
    <w:rsid w:val="00A171DA"/>
    <w:rsid w:val="00A17252"/>
    <w:rsid w:val="00A17928"/>
    <w:rsid w:val="00A17B66"/>
    <w:rsid w:val="00A20072"/>
    <w:rsid w:val="00A20392"/>
    <w:rsid w:val="00A227D3"/>
    <w:rsid w:val="00A22DC1"/>
    <w:rsid w:val="00A2311B"/>
    <w:rsid w:val="00A23355"/>
    <w:rsid w:val="00A23492"/>
    <w:rsid w:val="00A234B1"/>
    <w:rsid w:val="00A23BEE"/>
    <w:rsid w:val="00A23BF5"/>
    <w:rsid w:val="00A250C3"/>
    <w:rsid w:val="00A25235"/>
    <w:rsid w:val="00A25CDB"/>
    <w:rsid w:val="00A2761B"/>
    <w:rsid w:val="00A30C8A"/>
    <w:rsid w:val="00A3118B"/>
    <w:rsid w:val="00A3126A"/>
    <w:rsid w:val="00A31BEE"/>
    <w:rsid w:val="00A31D5D"/>
    <w:rsid w:val="00A323F2"/>
    <w:rsid w:val="00A32D05"/>
    <w:rsid w:val="00A339B2"/>
    <w:rsid w:val="00A3473E"/>
    <w:rsid w:val="00A34983"/>
    <w:rsid w:val="00A36D3C"/>
    <w:rsid w:val="00A37025"/>
    <w:rsid w:val="00A37523"/>
    <w:rsid w:val="00A37933"/>
    <w:rsid w:val="00A37B25"/>
    <w:rsid w:val="00A37C8A"/>
    <w:rsid w:val="00A413A4"/>
    <w:rsid w:val="00A41AB8"/>
    <w:rsid w:val="00A42327"/>
    <w:rsid w:val="00A42C03"/>
    <w:rsid w:val="00A430A7"/>
    <w:rsid w:val="00A435CC"/>
    <w:rsid w:val="00A43741"/>
    <w:rsid w:val="00A4434A"/>
    <w:rsid w:val="00A4451A"/>
    <w:rsid w:val="00A44597"/>
    <w:rsid w:val="00A447A5"/>
    <w:rsid w:val="00A448DA"/>
    <w:rsid w:val="00A44BF1"/>
    <w:rsid w:val="00A45CFA"/>
    <w:rsid w:val="00A45DCD"/>
    <w:rsid w:val="00A45EF3"/>
    <w:rsid w:val="00A46033"/>
    <w:rsid w:val="00A47801"/>
    <w:rsid w:val="00A5018A"/>
    <w:rsid w:val="00A501B4"/>
    <w:rsid w:val="00A51D44"/>
    <w:rsid w:val="00A52089"/>
    <w:rsid w:val="00A53E0A"/>
    <w:rsid w:val="00A5496C"/>
    <w:rsid w:val="00A551BE"/>
    <w:rsid w:val="00A56C6A"/>
    <w:rsid w:val="00A57853"/>
    <w:rsid w:val="00A62605"/>
    <w:rsid w:val="00A6266A"/>
    <w:rsid w:val="00A62CE1"/>
    <w:rsid w:val="00A62E90"/>
    <w:rsid w:val="00A63371"/>
    <w:rsid w:val="00A64D76"/>
    <w:rsid w:val="00A65F8A"/>
    <w:rsid w:val="00A66181"/>
    <w:rsid w:val="00A662AB"/>
    <w:rsid w:val="00A67254"/>
    <w:rsid w:val="00A67A49"/>
    <w:rsid w:val="00A67ABB"/>
    <w:rsid w:val="00A7087F"/>
    <w:rsid w:val="00A70DCC"/>
    <w:rsid w:val="00A70FF4"/>
    <w:rsid w:val="00A712DE"/>
    <w:rsid w:val="00A7158E"/>
    <w:rsid w:val="00A718A1"/>
    <w:rsid w:val="00A71AA2"/>
    <w:rsid w:val="00A71ABF"/>
    <w:rsid w:val="00A73762"/>
    <w:rsid w:val="00A74773"/>
    <w:rsid w:val="00A747A9"/>
    <w:rsid w:val="00A748A9"/>
    <w:rsid w:val="00A754F3"/>
    <w:rsid w:val="00A7595D"/>
    <w:rsid w:val="00A75E9B"/>
    <w:rsid w:val="00A765A8"/>
    <w:rsid w:val="00A76784"/>
    <w:rsid w:val="00A7705B"/>
    <w:rsid w:val="00A776D9"/>
    <w:rsid w:val="00A778E9"/>
    <w:rsid w:val="00A802B6"/>
    <w:rsid w:val="00A80AB8"/>
    <w:rsid w:val="00A80FFC"/>
    <w:rsid w:val="00A821CD"/>
    <w:rsid w:val="00A82725"/>
    <w:rsid w:val="00A82893"/>
    <w:rsid w:val="00A82BCA"/>
    <w:rsid w:val="00A82E54"/>
    <w:rsid w:val="00A83AFF"/>
    <w:rsid w:val="00A85FBB"/>
    <w:rsid w:val="00A86479"/>
    <w:rsid w:val="00A86E29"/>
    <w:rsid w:val="00A87079"/>
    <w:rsid w:val="00A90554"/>
    <w:rsid w:val="00A905C5"/>
    <w:rsid w:val="00A909D2"/>
    <w:rsid w:val="00A90BC5"/>
    <w:rsid w:val="00A920BF"/>
    <w:rsid w:val="00A940C0"/>
    <w:rsid w:val="00A944A4"/>
    <w:rsid w:val="00A94752"/>
    <w:rsid w:val="00A94D12"/>
    <w:rsid w:val="00A95A19"/>
    <w:rsid w:val="00A97A59"/>
    <w:rsid w:val="00A97FC3"/>
    <w:rsid w:val="00AA068C"/>
    <w:rsid w:val="00AA13B7"/>
    <w:rsid w:val="00AA25CF"/>
    <w:rsid w:val="00AA2BBC"/>
    <w:rsid w:val="00AA2CCE"/>
    <w:rsid w:val="00AA3852"/>
    <w:rsid w:val="00AA3966"/>
    <w:rsid w:val="00AA3E0D"/>
    <w:rsid w:val="00AA43A3"/>
    <w:rsid w:val="00AA464D"/>
    <w:rsid w:val="00AA4A4C"/>
    <w:rsid w:val="00AA5335"/>
    <w:rsid w:val="00AA5A4A"/>
    <w:rsid w:val="00AA5DA1"/>
    <w:rsid w:val="00AA6B0D"/>
    <w:rsid w:val="00AA6C04"/>
    <w:rsid w:val="00AB0519"/>
    <w:rsid w:val="00AB1827"/>
    <w:rsid w:val="00AB2505"/>
    <w:rsid w:val="00AB5AFB"/>
    <w:rsid w:val="00AB67EB"/>
    <w:rsid w:val="00AB68D3"/>
    <w:rsid w:val="00AB6BFD"/>
    <w:rsid w:val="00AB6BFF"/>
    <w:rsid w:val="00AB6F21"/>
    <w:rsid w:val="00AB7422"/>
    <w:rsid w:val="00AB7BD5"/>
    <w:rsid w:val="00AC02E3"/>
    <w:rsid w:val="00AC27A1"/>
    <w:rsid w:val="00AC2B3D"/>
    <w:rsid w:val="00AC2B72"/>
    <w:rsid w:val="00AC34A4"/>
    <w:rsid w:val="00AC37D8"/>
    <w:rsid w:val="00AC4541"/>
    <w:rsid w:val="00AC464A"/>
    <w:rsid w:val="00AC5367"/>
    <w:rsid w:val="00AC5E89"/>
    <w:rsid w:val="00AC6C7F"/>
    <w:rsid w:val="00AC715D"/>
    <w:rsid w:val="00AC780C"/>
    <w:rsid w:val="00AD01FF"/>
    <w:rsid w:val="00AD036E"/>
    <w:rsid w:val="00AD0A8F"/>
    <w:rsid w:val="00AD0C02"/>
    <w:rsid w:val="00AD11A8"/>
    <w:rsid w:val="00AD3505"/>
    <w:rsid w:val="00AD3AFC"/>
    <w:rsid w:val="00AD5008"/>
    <w:rsid w:val="00AD502A"/>
    <w:rsid w:val="00AD5D31"/>
    <w:rsid w:val="00AD6137"/>
    <w:rsid w:val="00AD6E54"/>
    <w:rsid w:val="00AD7019"/>
    <w:rsid w:val="00AE0162"/>
    <w:rsid w:val="00AE1090"/>
    <w:rsid w:val="00AE12C1"/>
    <w:rsid w:val="00AE146B"/>
    <w:rsid w:val="00AE1B5B"/>
    <w:rsid w:val="00AE1E1C"/>
    <w:rsid w:val="00AE3C8F"/>
    <w:rsid w:val="00AE406E"/>
    <w:rsid w:val="00AE4BAA"/>
    <w:rsid w:val="00AE4C7A"/>
    <w:rsid w:val="00AE4DEB"/>
    <w:rsid w:val="00AE51DA"/>
    <w:rsid w:val="00AE5B0F"/>
    <w:rsid w:val="00AE5CEE"/>
    <w:rsid w:val="00AE66B9"/>
    <w:rsid w:val="00AE67DC"/>
    <w:rsid w:val="00AE6960"/>
    <w:rsid w:val="00AE7F61"/>
    <w:rsid w:val="00AF0836"/>
    <w:rsid w:val="00AF1E63"/>
    <w:rsid w:val="00AF1E8E"/>
    <w:rsid w:val="00AF1EC9"/>
    <w:rsid w:val="00AF2376"/>
    <w:rsid w:val="00AF29CC"/>
    <w:rsid w:val="00AF3216"/>
    <w:rsid w:val="00AF32F0"/>
    <w:rsid w:val="00AF4453"/>
    <w:rsid w:val="00AF482C"/>
    <w:rsid w:val="00AF4903"/>
    <w:rsid w:val="00AF56AB"/>
    <w:rsid w:val="00AF56C6"/>
    <w:rsid w:val="00AF5D4C"/>
    <w:rsid w:val="00AF62CA"/>
    <w:rsid w:val="00AF676D"/>
    <w:rsid w:val="00AF7ACC"/>
    <w:rsid w:val="00AF7D81"/>
    <w:rsid w:val="00AF7D83"/>
    <w:rsid w:val="00B0000B"/>
    <w:rsid w:val="00B002EE"/>
    <w:rsid w:val="00B00A3D"/>
    <w:rsid w:val="00B01519"/>
    <w:rsid w:val="00B0182A"/>
    <w:rsid w:val="00B01FEB"/>
    <w:rsid w:val="00B02F07"/>
    <w:rsid w:val="00B03487"/>
    <w:rsid w:val="00B036B9"/>
    <w:rsid w:val="00B06248"/>
    <w:rsid w:val="00B0671D"/>
    <w:rsid w:val="00B06A30"/>
    <w:rsid w:val="00B06B70"/>
    <w:rsid w:val="00B06C84"/>
    <w:rsid w:val="00B07747"/>
    <w:rsid w:val="00B101FE"/>
    <w:rsid w:val="00B1046B"/>
    <w:rsid w:val="00B10589"/>
    <w:rsid w:val="00B10A7F"/>
    <w:rsid w:val="00B10ED0"/>
    <w:rsid w:val="00B11EAE"/>
    <w:rsid w:val="00B12156"/>
    <w:rsid w:val="00B12418"/>
    <w:rsid w:val="00B12D19"/>
    <w:rsid w:val="00B1619F"/>
    <w:rsid w:val="00B169A7"/>
    <w:rsid w:val="00B175D2"/>
    <w:rsid w:val="00B17F21"/>
    <w:rsid w:val="00B20082"/>
    <w:rsid w:val="00B212A1"/>
    <w:rsid w:val="00B21323"/>
    <w:rsid w:val="00B222B8"/>
    <w:rsid w:val="00B22672"/>
    <w:rsid w:val="00B22821"/>
    <w:rsid w:val="00B22F06"/>
    <w:rsid w:val="00B2397C"/>
    <w:rsid w:val="00B23B08"/>
    <w:rsid w:val="00B23F19"/>
    <w:rsid w:val="00B25ED4"/>
    <w:rsid w:val="00B26C7A"/>
    <w:rsid w:val="00B26FC1"/>
    <w:rsid w:val="00B275E8"/>
    <w:rsid w:val="00B3060C"/>
    <w:rsid w:val="00B3125C"/>
    <w:rsid w:val="00B3130F"/>
    <w:rsid w:val="00B324D1"/>
    <w:rsid w:val="00B329D1"/>
    <w:rsid w:val="00B32D48"/>
    <w:rsid w:val="00B33792"/>
    <w:rsid w:val="00B3412C"/>
    <w:rsid w:val="00B34C1D"/>
    <w:rsid w:val="00B356B3"/>
    <w:rsid w:val="00B3604E"/>
    <w:rsid w:val="00B36611"/>
    <w:rsid w:val="00B368E9"/>
    <w:rsid w:val="00B369B4"/>
    <w:rsid w:val="00B378A2"/>
    <w:rsid w:val="00B37955"/>
    <w:rsid w:val="00B400DA"/>
    <w:rsid w:val="00B406AD"/>
    <w:rsid w:val="00B40FEB"/>
    <w:rsid w:val="00B41378"/>
    <w:rsid w:val="00B413CA"/>
    <w:rsid w:val="00B414FC"/>
    <w:rsid w:val="00B4232B"/>
    <w:rsid w:val="00B42CC4"/>
    <w:rsid w:val="00B42DF1"/>
    <w:rsid w:val="00B438A6"/>
    <w:rsid w:val="00B44CF9"/>
    <w:rsid w:val="00B45D17"/>
    <w:rsid w:val="00B45E3E"/>
    <w:rsid w:val="00B45EEC"/>
    <w:rsid w:val="00B46A4D"/>
    <w:rsid w:val="00B474EE"/>
    <w:rsid w:val="00B50FED"/>
    <w:rsid w:val="00B5261E"/>
    <w:rsid w:val="00B5264C"/>
    <w:rsid w:val="00B52D6D"/>
    <w:rsid w:val="00B52F87"/>
    <w:rsid w:val="00B530D4"/>
    <w:rsid w:val="00B535A6"/>
    <w:rsid w:val="00B5399F"/>
    <w:rsid w:val="00B53A66"/>
    <w:rsid w:val="00B53A7E"/>
    <w:rsid w:val="00B53AFB"/>
    <w:rsid w:val="00B544F1"/>
    <w:rsid w:val="00B56315"/>
    <w:rsid w:val="00B5694E"/>
    <w:rsid w:val="00B569AB"/>
    <w:rsid w:val="00B56F07"/>
    <w:rsid w:val="00B576A9"/>
    <w:rsid w:val="00B60A0E"/>
    <w:rsid w:val="00B60A4B"/>
    <w:rsid w:val="00B610A0"/>
    <w:rsid w:val="00B611CD"/>
    <w:rsid w:val="00B615F6"/>
    <w:rsid w:val="00B63979"/>
    <w:rsid w:val="00B63C4C"/>
    <w:rsid w:val="00B64228"/>
    <w:rsid w:val="00B6436F"/>
    <w:rsid w:val="00B647BB"/>
    <w:rsid w:val="00B64CA8"/>
    <w:rsid w:val="00B64D33"/>
    <w:rsid w:val="00B64F4B"/>
    <w:rsid w:val="00B65314"/>
    <w:rsid w:val="00B654A9"/>
    <w:rsid w:val="00B6592B"/>
    <w:rsid w:val="00B659DB"/>
    <w:rsid w:val="00B6684A"/>
    <w:rsid w:val="00B66A19"/>
    <w:rsid w:val="00B66ABD"/>
    <w:rsid w:val="00B66CCD"/>
    <w:rsid w:val="00B66FBD"/>
    <w:rsid w:val="00B671BF"/>
    <w:rsid w:val="00B6736C"/>
    <w:rsid w:val="00B6764C"/>
    <w:rsid w:val="00B678FF"/>
    <w:rsid w:val="00B67E73"/>
    <w:rsid w:val="00B67E78"/>
    <w:rsid w:val="00B70438"/>
    <w:rsid w:val="00B70BA2"/>
    <w:rsid w:val="00B70E99"/>
    <w:rsid w:val="00B7105B"/>
    <w:rsid w:val="00B71727"/>
    <w:rsid w:val="00B71E81"/>
    <w:rsid w:val="00B71E8D"/>
    <w:rsid w:val="00B728AE"/>
    <w:rsid w:val="00B72D17"/>
    <w:rsid w:val="00B72EE7"/>
    <w:rsid w:val="00B7458B"/>
    <w:rsid w:val="00B74C02"/>
    <w:rsid w:val="00B76F64"/>
    <w:rsid w:val="00B77D37"/>
    <w:rsid w:val="00B81053"/>
    <w:rsid w:val="00B81505"/>
    <w:rsid w:val="00B823A2"/>
    <w:rsid w:val="00B82705"/>
    <w:rsid w:val="00B83344"/>
    <w:rsid w:val="00B838BF"/>
    <w:rsid w:val="00B8407A"/>
    <w:rsid w:val="00B849CE"/>
    <w:rsid w:val="00B84FF5"/>
    <w:rsid w:val="00B852EA"/>
    <w:rsid w:val="00B853CC"/>
    <w:rsid w:val="00B866D8"/>
    <w:rsid w:val="00B86DD4"/>
    <w:rsid w:val="00B90BB3"/>
    <w:rsid w:val="00B91610"/>
    <w:rsid w:val="00B9167D"/>
    <w:rsid w:val="00B9248C"/>
    <w:rsid w:val="00B926AB"/>
    <w:rsid w:val="00B93162"/>
    <w:rsid w:val="00B93745"/>
    <w:rsid w:val="00B93DDD"/>
    <w:rsid w:val="00B948FD"/>
    <w:rsid w:val="00B94D6C"/>
    <w:rsid w:val="00B94E6F"/>
    <w:rsid w:val="00B95CBB"/>
    <w:rsid w:val="00B969FA"/>
    <w:rsid w:val="00B96BDE"/>
    <w:rsid w:val="00B979F5"/>
    <w:rsid w:val="00B97EFB"/>
    <w:rsid w:val="00B97EFF"/>
    <w:rsid w:val="00BA04C2"/>
    <w:rsid w:val="00BA1EB2"/>
    <w:rsid w:val="00BA2511"/>
    <w:rsid w:val="00BA3895"/>
    <w:rsid w:val="00BA4570"/>
    <w:rsid w:val="00BA4D6F"/>
    <w:rsid w:val="00BA50C5"/>
    <w:rsid w:val="00BA6D49"/>
    <w:rsid w:val="00BA7547"/>
    <w:rsid w:val="00BA7672"/>
    <w:rsid w:val="00BB0045"/>
    <w:rsid w:val="00BB0054"/>
    <w:rsid w:val="00BB00E9"/>
    <w:rsid w:val="00BB0382"/>
    <w:rsid w:val="00BB0CBE"/>
    <w:rsid w:val="00BB0DDB"/>
    <w:rsid w:val="00BB1ACB"/>
    <w:rsid w:val="00BB21C1"/>
    <w:rsid w:val="00BB229F"/>
    <w:rsid w:val="00BB296A"/>
    <w:rsid w:val="00BB366D"/>
    <w:rsid w:val="00BB408F"/>
    <w:rsid w:val="00BB4EFE"/>
    <w:rsid w:val="00BB548A"/>
    <w:rsid w:val="00BB633F"/>
    <w:rsid w:val="00BB6392"/>
    <w:rsid w:val="00BB65B7"/>
    <w:rsid w:val="00BB66EA"/>
    <w:rsid w:val="00BB6788"/>
    <w:rsid w:val="00BB6B17"/>
    <w:rsid w:val="00BB74F1"/>
    <w:rsid w:val="00BB7871"/>
    <w:rsid w:val="00BC1B7C"/>
    <w:rsid w:val="00BC2C3F"/>
    <w:rsid w:val="00BC3E39"/>
    <w:rsid w:val="00BC3EB2"/>
    <w:rsid w:val="00BC4D4B"/>
    <w:rsid w:val="00BC6230"/>
    <w:rsid w:val="00BC7341"/>
    <w:rsid w:val="00BD054A"/>
    <w:rsid w:val="00BD0828"/>
    <w:rsid w:val="00BD1123"/>
    <w:rsid w:val="00BD34C0"/>
    <w:rsid w:val="00BD403E"/>
    <w:rsid w:val="00BD4F6F"/>
    <w:rsid w:val="00BD53FB"/>
    <w:rsid w:val="00BD5D67"/>
    <w:rsid w:val="00BD6560"/>
    <w:rsid w:val="00BD720F"/>
    <w:rsid w:val="00BD7BD2"/>
    <w:rsid w:val="00BD7D87"/>
    <w:rsid w:val="00BE0891"/>
    <w:rsid w:val="00BE0E09"/>
    <w:rsid w:val="00BE0E40"/>
    <w:rsid w:val="00BE1A31"/>
    <w:rsid w:val="00BE2215"/>
    <w:rsid w:val="00BE330A"/>
    <w:rsid w:val="00BE3428"/>
    <w:rsid w:val="00BE35BA"/>
    <w:rsid w:val="00BE35DB"/>
    <w:rsid w:val="00BE39E0"/>
    <w:rsid w:val="00BE4C91"/>
    <w:rsid w:val="00BE4DE9"/>
    <w:rsid w:val="00BE63A6"/>
    <w:rsid w:val="00BE6B71"/>
    <w:rsid w:val="00BE6D6A"/>
    <w:rsid w:val="00BE7BB3"/>
    <w:rsid w:val="00BE7DED"/>
    <w:rsid w:val="00BE7FD7"/>
    <w:rsid w:val="00BF02A4"/>
    <w:rsid w:val="00BF04D0"/>
    <w:rsid w:val="00BF0687"/>
    <w:rsid w:val="00BF073A"/>
    <w:rsid w:val="00BF0E39"/>
    <w:rsid w:val="00BF1BDA"/>
    <w:rsid w:val="00BF3140"/>
    <w:rsid w:val="00BF4CAF"/>
    <w:rsid w:val="00BF69A1"/>
    <w:rsid w:val="00BF6B61"/>
    <w:rsid w:val="00BF6F94"/>
    <w:rsid w:val="00C0044B"/>
    <w:rsid w:val="00C00EEE"/>
    <w:rsid w:val="00C01D35"/>
    <w:rsid w:val="00C02645"/>
    <w:rsid w:val="00C027E9"/>
    <w:rsid w:val="00C02A6F"/>
    <w:rsid w:val="00C03473"/>
    <w:rsid w:val="00C0373E"/>
    <w:rsid w:val="00C038BA"/>
    <w:rsid w:val="00C03E2B"/>
    <w:rsid w:val="00C05184"/>
    <w:rsid w:val="00C05332"/>
    <w:rsid w:val="00C0534F"/>
    <w:rsid w:val="00C05A84"/>
    <w:rsid w:val="00C06AF7"/>
    <w:rsid w:val="00C06CFF"/>
    <w:rsid w:val="00C06D51"/>
    <w:rsid w:val="00C07BFF"/>
    <w:rsid w:val="00C10B09"/>
    <w:rsid w:val="00C112F9"/>
    <w:rsid w:val="00C13CB4"/>
    <w:rsid w:val="00C1449C"/>
    <w:rsid w:val="00C148F9"/>
    <w:rsid w:val="00C151DB"/>
    <w:rsid w:val="00C1530C"/>
    <w:rsid w:val="00C16902"/>
    <w:rsid w:val="00C16A13"/>
    <w:rsid w:val="00C16BB0"/>
    <w:rsid w:val="00C171FB"/>
    <w:rsid w:val="00C1736D"/>
    <w:rsid w:val="00C17437"/>
    <w:rsid w:val="00C2032C"/>
    <w:rsid w:val="00C20338"/>
    <w:rsid w:val="00C20647"/>
    <w:rsid w:val="00C20BD5"/>
    <w:rsid w:val="00C214B2"/>
    <w:rsid w:val="00C22FC4"/>
    <w:rsid w:val="00C23B22"/>
    <w:rsid w:val="00C25045"/>
    <w:rsid w:val="00C26FE8"/>
    <w:rsid w:val="00C27107"/>
    <w:rsid w:val="00C27D47"/>
    <w:rsid w:val="00C27F2B"/>
    <w:rsid w:val="00C30807"/>
    <w:rsid w:val="00C30D2D"/>
    <w:rsid w:val="00C314B5"/>
    <w:rsid w:val="00C31AE9"/>
    <w:rsid w:val="00C31DCA"/>
    <w:rsid w:val="00C3205A"/>
    <w:rsid w:val="00C32303"/>
    <w:rsid w:val="00C328CC"/>
    <w:rsid w:val="00C33005"/>
    <w:rsid w:val="00C33E85"/>
    <w:rsid w:val="00C349DD"/>
    <w:rsid w:val="00C35322"/>
    <w:rsid w:val="00C3567F"/>
    <w:rsid w:val="00C36190"/>
    <w:rsid w:val="00C4094A"/>
    <w:rsid w:val="00C40B2F"/>
    <w:rsid w:val="00C41236"/>
    <w:rsid w:val="00C4193D"/>
    <w:rsid w:val="00C43677"/>
    <w:rsid w:val="00C44318"/>
    <w:rsid w:val="00C4438A"/>
    <w:rsid w:val="00C45360"/>
    <w:rsid w:val="00C45853"/>
    <w:rsid w:val="00C4614D"/>
    <w:rsid w:val="00C4667E"/>
    <w:rsid w:val="00C4677D"/>
    <w:rsid w:val="00C47800"/>
    <w:rsid w:val="00C504E6"/>
    <w:rsid w:val="00C51395"/>
    <w:rsid w:val="00C515CC"/>
    <w:rsid w:val="00C523FA"/>
    <w:rsid w:val="00C5241A"/>
    <w:rsid w:val="00C54273"/>
    <w:rsid w:val="00C54522"/>
    <w:rsid w:val="00C5471A"/>
    <w:rsid w:val="00C54F0A"/>
    <w:rsid w:val="00C55149"/>
    <w:rsid w:val="00C564C2"/>
    <w:rsid w:val="00C56649"/>
    <w:rsid w:val="00C568E5"/>
    <w:rsid w:val="00C5742E"/>
    <w:rsid w:val="00C577F6"/>
    <w:rsid w:val="00C578A3"/>
    <w:rsid w:val="00C57D17"/>
    <w:rsid w:val="00C601E2"/>
    <w:rsid w:val="00C60A65"/>
    <w:rsid w:val="00C61A63"/>
    <w:rsid w:val="00C627F5"/>
    <w:rsid w:val="00C64521"/>
    <w:rsid w:val="00C64F8E"/>
    <w:rsid w:val="00C65076"/>
    <w:rsid w:val="00C65164"/>
    <w:rsid w:val="00C65EC2"/>
    <w:rsid w:val="00C65F45"/>
    <w:rsid w:val="00C65FE1"/>
    <w:rsid w:val="00C66D58"/>
    <w:rsid w:val="00C677DF"/>
    <w:rsid w:val="00C705AD"/>
    <w:rsid w:val="00C70818"/>
    <w:rsid w:val="00C719BE"/>
    <w:rsid w:val="00C71B26"/>
    <w:rsid w:val="00C71E7E"/>
    <w:rsid w:val="00C72CC4"/>
    <w:rsid w:val="00C72CE1"/>
    <w:rsid w:val="00C72D33"/>
    <w:rsid w:val="00C7344C"/>
    <w:rsid w:val="00C74073"/>
    <w:rsid w:val="00C74806"/>
    <w:rsid w:val="00C760B2"/>
    <w:rsid w:val="00C76ACB"/>
    <w:rsid w:val="00C77736"/>
    <w:rsid w:val="00C844D5"/>
    <w:rsid w:val="00C84E0C"/>
    <w:rsid w:val="00C86836"/>
    <w:rsid w:val="00C86FD8"/>
    <w:rsid w:val="00C87BD2"/>
    <w:rsid w:val="00C90BF2"/>
    <w:rsid w:val="00C915FE"/>
    <w:rsid w:val="00C91945"/>
    <w:rsid w:val="00C93372"/>
    <w:rsid w:val="00C94CDA"/>
    <w:rsid w:val="00C959F2"/>
    <w:rsid w:val="00C96789"/>
    <w:rsid w:val="00C9721B"/>
    <w:rsid w:val="00C979FD"/>
    <w:rsid w:val="00CA06BA"/>
    <w:rsid w:val="00CA0F36"/>
    <w:rsid w:val="00CA127D"/>
    <w:rsid w:val="00CA195E"/>
    <w:rsid w:val="00CA25E7"/>
    <w:rsid w:val="00CA2C37"/>
    <w:rsid w:val="00CA3388"/>
    <w:rsid w:val="00CA3409"/>
    <w:rsid w:val="00CA42EC"/>
    <w:rsid w:val="00CA4538"/>
    <w:rsid w:val="00CA455D"/>
    <w:rsid w:val="00CA4DAD"/>
    <w:rsid w:val="00CA4F9B"/>
    <w:rsid w:val="00CA5B75"/>
    <w:rsid w:val="00CA5BC6"/>
    <w:rsid w:val="00CA6568"/>
    <w:rsid w:val="00CA6D36"/>
    <w:rsid w:val="00CA7422"/>
    <w:rsid w:val="00CB04D2"/>
    <w:rsid w:val="00CB225C"/>
    <w:rsid w:val="00CB2398"/>
    <w:rsid w:val="00CB2570"/>
    <w:rsid w:val="00CB2AE4"/>
    <w:rsid w:val="00CB2E0D"/>
    <w:rsid w:val="00CB3A4A"/>
    <w:rsid w:val="00CB3E2A"/>
    <w:rsid w:val="00CB46EE"/>
    <w:rsid w:val="00CB5042"/>
    <w:rsid w:val="00CB54AC"/>
    <w:rsid w:val="00CB5AD2"/>
    <w:rsid w:val="00CB6506"/>
    <w:rsid w:val="00CB696C"/>
    <w:rsid w:val="00CC049C"/>
    <w:rsid w:val="00CC0563"/>
    <w:rsid w:val="00CC0C03"/>
    <w:rsid w:val="00CC15DE"/>
    <w:rsid w:val="00CC2241"/>
    <w:rsid w:val="00CC306A"/>
    <w:rsid w:val="00CC3370"/>
    <w:rsid w:val="00CC3457"/>
    <w:rsid w:val="00CC44BA"/>
    <w:rsid w:val="00CC4527"/>
    <w:rsid w:val="00CC5692"/>
    <w:rsid w:val="00CC575A"/>
    <w:rsid w:val="00CC6D3F"/>
    <w:rsid w:val="00CC77B0"/>
    <w:rsid w:val="00CD0105"/>
    <w:rsid w:val="00CD0131"/>
    <w:rsid w:val="00CD0780"/>
    <w:rsid w:val="00CD0B81"/>
    <w:rsid w:val="00CD226D"/>
    <w:rsid w:val="00CD36ED"/>
    <w:rsid w:val="00CD3E62"/>
    <w:rsid w:val="00CD4E75"/>
    <w:rsid w:val="00CD5AE2"/>
    <w:rsid w:val="00CD5CCA"/>
    <w:rsid w:val="00CD72BF"/>
    <w:rsid w:val="00CE02DE"/>
    <w:rsid w:val="00CE03E1"/>
    <w:rsid w:val="00CE0F39"/>
    <w:rsid w:val="00CE1E92"/>
    <w:rsid w:val="00CE29C1"/>
    <w:rsid w:val="00CE2B37"/>
    <w:rsid w:val="00CE4C2F"/>
    <w:rsid w:val="00CE4EFC"/>
    <w:rsid w:val="00CE52ED"/>
    <w:rsid w:val="00CE615C"/>
    <w:rsid w:val="00CE63CB"/>
    <w:rsid w:val="00CE6FCE"/>
    <w:rsid w:val="00CF0661"/>
    <w:rsid w:val="00CF1809"/>
    <w:rsid w:val="00CF20D0"/>
    <w:rsid w:val="00CF259C"/>
    <w:rsid w:val="00CF289D"/>
    <w:rsid w:val="00CF2D4C"/>
    <w:rsid w:val="00CF334A"/>
    <w:rsid w:val="00CF3B76"/>
    <w:rsid w:val="00CF3DF7"/>
    <w:rsid w:val="00CF4A4F"/>
    <w:rsid w:val="00CF5102"/>
    <w:rsid w:val="00CF5264"/>
    <w:rsid w:val="00CF55DE"/>
    <w:rsid w:val="00CF5BFE"/>
    <w:rsid w:val="00CF618C"/>
    <w:rsid w:val="00CF656A"/>
    <w:rsid w:val="00CF7823"/>
    <w:rsid w:val="00CF7865"/>
    <w:rsid w:val="00D015E0"/>
    <w:rsid w:val="00D02939"/>
    <w:rsid w:val="00D037CB"/>
    <w:rsid w:val="00D041DF"/>
    <w:rsid w:val="00D04E9E"/>
    <w:rsid w:val="00D06EFA"/>
    <w:rsid w:val="00D07032"/>
    <w:rsid w:val="00D110C1"/>
    <w:rsid w:val="00D11C3F"/>
    <w:rsid w:val="00D121A8"/>
    <w:rsid w:val="00D12A1F"/>
    <w:rsid w:val="00D13266"/>
    <w:rsid w:val="00D136F6"/>
    <w:rsid w:val="00D13D2B"/>
    <w:rsid w:val="00D14B6B"/>
    <w:rsid w:val="00D15BD6"/>
    <w:rsid w:val="00D16682"/>
    <w:rsid w:val="00D16D31"/>
    <w:rsid w:val="00D2112B"/>
    <w:rsid w:val="00D21709"/>
    <w:rsid w:val="00D21F7F"/>
    <w:rsid w:val="00D22106"/>
    <w:rsid w:val="00D228E5"/>
    <w:rsid w:val="00D22F24"/>
    <w:rsid w:val="00D239DE"/>
    <w:rsid w:val="00D247FD"/>
    <w:rsid w:val="00D25B2B"/>
    <w:rsid w:val="00D26236"/>
    <w:rsid w:val="00D262D3"/>
    <w:rsid w:val="00D26ECD"/>
    <w:rsid w:val="00D2778E"/>
    <w:rsid w:val="00D27B24"/>
    <w:rsid w:val="00D27B55"/>
    <w:rsid w:val="00D3008A"/>
    <w:rsid w:val="00D308B6"/>
    <w:rsid w:val="00D30BCF"/>
    <w:rsid w:val="00D315CB"/>
    <w:rsid w:val="00D329C4"/>
    <w:rsid w:val="00D32F55"/>
    <w:rsid w:val="00D33154"/>
    <w:rsid w:val="00D3336B"/>
    <w:rsid w:val="00D33430"/>
    <w:rsid w:val="00D34AFD"/>
    <w:rsid w:val="00D368E4"/>
    <w:rsid w:val="00D36D58"/>
    <w:rsid w:val="00D371E7"/>
    <w:rsid w:val="00D4171F"/>
    <w:rsid w:val="00D417EB"/>
    <w:rsid w:val="00D42E2A"/>
    <w:rsid w:val="00D43270"/>
    <w:rsid w:val="00D43920"/>
    <w:rsid w:val="00D45386"/>
    <w:rsid w:val="00D47B4C"/>
    <w:rsid w:val="00D47CF3"/>
    <w:rsid w:val="00D47DC2"/>
    <w:rsid w:val="00D50055"/>
    <w:rsid w:val="00D511C7"/>
    <w:rsid w:val="00D5120B"/>
    <w:rsid w:val="00D51B10"/>
    <w:rsid w:val="00D52529"/>
    <w:rsid w:val="00D52835"/>
    <w:rsid w:val="00D528F9"/>
    <w:rsid w:val="00D529C2"/>
    <w:rsid w:val="00D533FD"/>
    <w:rsid w:val="00D53AFD"/>
    <w:rsid w:val="00D540C1"/>
    <w:rsid w:val="00D55732"/>
    <w:rsid w:val="00D55F2E"/>
    <w:rsid w:val="00D56265"/>
    <w:rsid w:val="00D56DFD"/>
    <w:rsid w:val="00D579AC"/>
    <w:rsid w:val="00D60A46"/>
    <w:rsid w:val="00D60F01"/>
    <w:rsid w:val="00D60F48"/>
    <w:rsid w:val="00D613C9"/>
    <w:rsid w:val="00D61901"/>
    <w:rsid w:val="00D61E98"/>
    <w:rsid w:val="00D622EF"/>
    <w:rsid w:val="00D62337"/>
    <w:rsid w:val="00D627B0"/>
    <w:rsid w:val="00D62D71"/>
    <w:rsid w:val="00D63018"/>
    <w:rsid w:val="00D63231"/>
    <w:rsid w:val="00D64351"/>
    <w:rsid w:val="00D65487"/>
    <w:rsid w:val="00D655B2"/>
    <w:rsid w:val="00D67915"/>
    <w:rsid w:val="00D67928"/>
    <w:rsid w:val="00D67EB8"/>
    <w:rsid w:val="00D70E61"/>
    <w:rsid w:val="00D70EA4"/>
    <w:rsid w:val="00D70EE3"/>
    <w:rsid w:val="00D7143E"/>
    <w:rsid w:val="00D717AE"/>
    <w:rsid w:val="00D71FDA"/>
    <w:rsid w:val="00D72517"/>
    <w:rsid w:val="00D73166"/>
    <w:rsid w:val="00D73626"/>
    <w:rsid w:val="00D7363E"/>
    <w:rsid w:val="00D73C96"/>
    <w:rsid w:val="00D7522E"/>
    <w:rsid w:val="00D760C7"/>
    <w:rsid w:val="00D76455"/>
    <w:rsid w:val="00D76EDC"/>
    <w:rsid w:val="00D771E1"/>
    <w:rsid w:val="00D77FC5"/>
    <w:rsid w:val="00D80BC2"/>
    <w:rsid w:val="00D81317"/>
    <w:rsid w:val="00D82E69"/>
    <w:rsid w:val="00D83060"/>
    <w:rsid w:val="00D83746"/>
    <w:rsid w:val="00D8378B"/>
    <w:rsid w:val="00D8403B"/>
    <w:rsid w:val="00D8467A"/>
    <w:rsid w:val="00D84FF0"/>
    <w:rsid w:val="00D85917"/>
    <w:rsid w:val="00D85D27"/>
    <w:rsid w:val="00D86270"/>
    <w:rsid w:val="00D86886"/>
    <w:rsid w:val="00D86BA1"/>
    <w:rsid w:val="00D86C2C"/>
    <w:rsid w:val="00D87296"/>
    <w:rsid w:val="00D87556"/>
    <w:rsid w:val="00D87AE4"/>
    <w:rsid w:val="00D903F3"/>
    <w:rsid w:val="00D906B6"/>
    <w:rsid w:val="00D90897"/>
    <w:rsid w:val="00D90F5E"/>
    <w:rsid w:val="00D91025"/>
    <w:rsid w:val="00D91398"/>
    <w:rsid w:val="00D91561"/>
    <w:rsid w:val="00D917C3"/>
    <w:rsid w:val="00D92456"/>
    <w:rsid w:val="00D92B9D"/>
    <w:rsid w:val="00D94ACD"/>
    <w:rsid w:val="00D95159"/>
    <w:rsid w:val="00D96206"/>
    <w:rsid w:val="00D96E01"/>
    <w:rsid w:val="00DA0DC6"/>
    <w:rsid w:val="00DA0ED7"/>
    <w:rsid w:val="00DA11BE"/>
    <w:rsid w:val="00DA1573"/>
    <w:rsid w:val="00DA3E85"/>
    <w:rsid w:val="00DA4364"/>
    <w:rsid w:val="00DA4A08"/>
    <w:rsid w:val="00DA5232"/>
    <w:rsid w:val="00DA52FF"/>
    <w:rsid w:val="00DA5347"/>
    <w:rsid w:val="00DA5E63"/>
    <w:rsid w:val="00DA6CC0"/>
    <w:rsid w:val="00DA712C"/>
    <w:rsid w:val="00DA7AB8"/>
    <w:rsid w:val="00DB015A"/>
    <w:rsid w:val="00DB04F5"/>
    <w:rsid w:val="00DB19AA"/>
    <w:rsid w:val="00DB1ACF"/>
    <w:rsid w:val="00DB289A"/>
    <w:rsid w:val="00DB29B6"/>
    <w:rsid w:val="00DB2E6A"/>
    <w:rsid w:val="00DB3599"/>
    <w:rsid w:val="00DB3ECA"/>
    <w:rsid w:val="00DB4081"/>
    <w:rsid w:val="00DB4A0A"/>
    <w:rsid w:val="00DB51EF"/>
    <w:rsid w:val="00DB52F6"/>
    <w:rsid w:val="00DB54C4"/>
    <w:rsid w:val="00DB5B9D"/>
    <w:rsid w:val="00DB7352"/>
    <w:rsid w:val="00DB7598"/>
    <w:rsid w:val="00DB762B"/>
    <w:rsid w:val="00DB7701"/>
    <w:rsid w:val="00DC0B78"/>
    <w:rsid w:val="00DC12F9"/>
    <w:rsid w:val="00DC1646"/>
    <w:rsid w:val="00DC1DDA"/>
    <w:rsid w:val="00DC2052"/>
    <w:rsid w:val="00DC3C22"/>
    <w:rsid w:val="00DC42B3"/>
    <w:rsid w:val="00DC49C9"/>
    <w:rsid w:val="00DC54F4"/>
    <w:rsid w:val="00DC5CA1"/>
    <w:rsid w:val="00DC5F5F"/>
    <w:rsid w:val="00DC67C7"/>
    <w:rsid w:val="00DC6C9E"/>
    <w:rsid w:val="00DC7218"/>
    <w:rsid w:val="00DC7B9D"/>
    <w:rsid w:val="00DD012C"/>
    <w:rsid w:val="00DD05D6"/>
    <w:rsid w:val="00DD1568"/>
    <w:rsid w:val="00DD1B5B"/>
    <w:rsid w:val="00DD3D6D"/>
    <w:rsid w:val="00DD40DB"/>
    <w:rsid w:val="00DD470E"/>
    <w:rsid w:val="00DD538C"/>
    <w:rsid w:val="00DD55F6"/>
    <w:rsid w:val="00DD5F6E"/>
    <w:rsid w:val="00DD6C08"/>
    <w:rsid w:val="00DD6C7D"/>
    <w:rsid w:val="00DD6DAD"/>
    <w:rsid w:val="00DD721D"/>
    <w:rsid w:val="00DD79EB"/>
    <w:rsid w:val="00DE0DB6"/>
    <w:rsid w:val="00DE2D9E"/>
    <w:rsid w:val="00DE2E1E"/>
    <w:rsid w:val="00DE397C"/>
    <w:rsid w:val="00DE3E46"/>
    <w:rsid w:val="00DE4AA1"/>
    <w:rsid w:val="00DE5218"/>
    <w:rsid w:val="00DE597B"/>
    <w:rsid w:val="00DE790F"/>
    <w:rsid w:val="00DF0086"/>
    <w:rsid w:val="00DF00BA"/>
    <w:rsid w:val="00DF00F1"/>
    <w:rsid w:val="00DF0B33"/>
    <w:rsid w:val="00DF14DE"/>
    <w:rsid w:val="00DF20F0"/>
    <w:rsid w:val="00DF2362"/>
    <w:rsid w:val="00DF3015"/>
    <w:rsid w:val="00DF3301"/>
    <w:rsid w:val="00DF3866"/>
    <w:rsid w:val="00DF4036"/>
    <w:rsid w:val="00DF450A"/>
    <w:rsid w:val="00DF4846"/>
    <w:rsid w:val="00DF51FF"/>
    <w:rsid w:val="00DF55D3"/>
    <w:rsid w:val="00DF5F48"/>
    <w:rsid w:val="00DF7781"/>
    <w:rsid w:val="00E00B88"/>
    <w:rsid w:val="00E00F9A"/>
    <w:rsid w:val="00E03989"/>
    <w:rsid w:val="00E05235"/>
    <w:rsid w:val="00E05C6B"/>
    <w:rsid w:val="00E06C5F"/>
    <w:rsid w:val="00E073FA"/>
    <w:rsid w:val="00E079A8"/>
    <w:rsid w:val="00E11A57"/>
    <w:rsid w:val="00E12AD3"/>
    <w:rsid w:val="00E12BC1"/>
    <w:rsid w:val="00E12E29"/>
    <w:rsid w:val="00E13038"/>
    <w:rsid w:val="00E1342C"/>
    <w:rsid w:val="00E14433"/>
    <w:rsid w:val="00E14434"/>
    <w:rsid w:val="00E1488D"/>
    <w:rsid w:val="00E14F79"/>
    <w:rsid w:val="00E15475"/>
    <w:rsid w:val="00E15C73"/>
    <w:rsid w:val="00E15F96"/>
    <w:rsid w:val="00E16634"/>
    <w:rsid w:val="00E16717"/>
    <w:rsid w:val="00E17601"/>
    <w:rsid w:val="00E210DA"/>
    <w:rsid w:val="00E210E5"/>
    <w:rsid w:val="00E212B7"/>
    <w:rsid w:val="00E214CE"/>
    <w:rsid w:val="00E2194E"/>
    <w:rsid w:val="00E23228"/>
    <w:rsid w:val="00E2370F"/>
    <w:rsid w:val="00E240B6"/>
    <w:rsid w:val="00E242E8"/>
    <w:rsid w:val="00E24A08"/>
    <w:rsid w:val="00E25E94"/>
    <w:rsid w:val="00E25FD9"/>
    <w:rsid w:val="00E26372"/>
    <w:rsid w:val="00E2687A"/>
    <w:rsid w:val="00E27360"/>
    <w:rsid w:val="00E307A6"/>
    <w:rsid w:val="00E325A4"/>
    <w:rsid w:val="00E32F06"/>
    <w:rsid w:val="00E3388B"/>
    <w:rsid w:val="00E338D2"/>
    <w:rsid w:val="00E33A82"/>
    <w:rsid w:val="00E33D74"/>
    <w:rsid w:val="00E33E08"/>
    <w:rsid w:val="00E3561D"/>
    <w:rsid w:val="00E36575"/>
    <w:rsid w:val="00E36631"/>
    <w:rsid w:val="00E36CAF"/>
    <w:rsid w:val="00E37B17"/>
    <w:rsid w:val="00E40270"/>
    <w:rsid w:val="00E4098B"/>
    <w:rsid w:val="00E40D36"/>
    <w:rsid w:val="00E42718"/>
    <w:rsid w:val="00E428D9"/>
    <w:rsid w:val="00E42B7E"/>
    <w:rsid w:val="00E42BD1"/>
    <w:rsid w:val="00E4349E"/>
    <w:rsid w:val="00E437B0"/>
    <w:rsid w:val="00E447E1"/>
    <w:rsid w:val="00E45061"/>
    <w:rsid w:val="00E45B6E"/>
    <w:rsid w:val="00E45E00"/>
    <w:rsid w:val="00E46A15"/>
    <w:rsid w:val="00E46C97"/>
    <w:rsid w:val="00E4714D"/>
    <w:rsid w:val="00E47610"/>
    <w:rsid w:val="00E4787A"/>
    <w:rsid w:val="00E508C9"/>
    <w:rsid w:val="00E50EC6"/>
    <w:rsid w:val="00E510DE"/>
    <w:rsid w:val="00E51A05"/>
    <w:rsid w:val="00E52B66"/>
    <w:rsid w:val="00E53041"/>
    <w:rsid w:val="00E53865"/>
    <w:rsid w:val="00E5401B"/>
    <w:rsid w:val="00E55EFC"/>
    <w:rsid w:val="00E60A62"/>
    <w:rsid w:val="00E61A54"/>
    <w:rsid w:val="00E6217D"/>
    <w:rsid w:val="00E6351A"/>
    <w:rsid w:val="00E638DB"/>
    <w:rsid w:val="00E63EB8"/>
    <w:rsid w:val="00E645DF"/>
    <w:rsid w:val="00E65060"/>
    <w:rsid w:val="00E651CC"/>
    <w:rsid w:val="00E65556"/>
    <w:rsid w:val="00E65871"/>
    <w:rsid w:val="00E660BE"/>
    <w:rsid w:val="00E6653F"/>
    <w:rsid w:val="00E66555"/>
    <w:rsid w:val="00E66AC0"/>
    <w:rsid w:val="00E671AE"/>
    <w:rsid w:val="00E67327"/>
    <w:rsid w:val="00E67492"/>
    <w:rsid w:val="00E7034F"/>
    <w:rsid w:val="00E70777"/>
    <w:rsid w:val="00E71175"/>
    <w:rsid w:val="00E72417"/>
    <w:rsid w:val="00E72493"/>
    <w:rsid w:val="00E72D45"/>
    <w:rsid w:val="00E72E37"/>
    <w:rsid w:val="00E74497"/>
    <w:rsid w:val="00E75347"/>
    <w:rsid w:val="00E76890"/>
    <w:rsid w:val="00E769A1"/>
    <w:rsid w:val="00E813D8"/>
    <w:rsid w:val="00E81842"/>
    <w:rsid w:val="00E82830"/>
    <w:rsid w:val="00E82849"/>
    <w:rsid w:val="00E82EFD"/>
    <w:rsid w:val="00E8327F"/>
    <w:rsid w:val="00E8398A"/>
    <w:rsid w:val="00E83E2B"/>
    <w:rsid w:val="00E8529F"/>
    <w:rsid w:val="00E85461"/>
    <w:rsid w:val="00E8590C"/>
    <w:rsid w:val="00E871AE"/>
    <w:rsid w:val="00E87383"/>
    <w:rsid w:val="00E8749A"/>
    <w:rsid w:val="00E878D3"/>
    <w:rsid w:val="00E902E7"/>
    <w:rsid w:val="00E9058E"/>
    <w:rsid w:val="00E91A0A"/>
    <w:rsid w:val="00E92062"/>
    <w:rsid w:val="00E921F7"/>
    <w:rsid w:val="00E9228F"/>
    <w:rsid w:val="00E929E6"/>
    <w:rsid w:val="00E942A3"/>
    <w:rsid w:val="00E9554A"/>
    <w:rsid w:val="00E96A97"/>
    <w:rsid w:val="00E96B38"/>
    <w:rsid w:val="00E96F91"/>
    <w:rsid w:val="00E97B75"/>
    <w:rsid w:val="00E97F32"/>
    <w:rsid w:val="00EA035B"/>
    <w:rsid w:val="00EA044B"/>
    <w:rsid w:val="00EA0B6A"/>
    <w:rsid w:val="00EA1560"/>
    <w:rsid w:val="00EA1741"/>
    <w:rsid w:val="00EA1DB2"/>
    <w:rsid w:val="00EA20CA"/>
    <w:rsid w:val="00EA29B9"/>
    <w:rsid w:val="00EA2EF6"/>
    <w:rsid w:val="00EA34F9"/>
    <w:rsid w:val="00EA487C"/>
    <w:rsid w:val="00EA5120"/>
    <w:rsid w:val="00EA5CD4"/>
    <w:rsid w:val="00EA6AF3"/>
    <w:rsid w:val="00EA755E"/>
    <w:rsid w:val="00EA79A7"/>
    <w:rsid w:val="00EA7BE6"/>
    <w:rsid w:val="00EB1B22"/>
    <w:rsid w:val="00EB22A0"/>
    <w:rsid w:val="00EB2507"/>
    <w:rsid w:val="00EB286A"/>
    <w:rsid w:val="00EB2AA4"/>
    <w:rsid w:val="00EB4033"/>
    <w:rsid w:val="00EB4269"/>
    <w:rsid w:val="00EB432F"/>
    <w:rsid w:val="00EB4A8A"/>
    <w:rsid w:val="00EB4FDC"/>
    <w:rsid w:val="00EB5F79"/>
    <w:rsid w:val="00EB7281"/>
    <w:rsid w:val="00EB736F"/>
    <w:rsid w:val="00EC0976"/>
    <w:rsid w:val="00EC1157"/>
    <w:rsid w:val="00EC18A3"/>
    <w:rsid w:val="00EC1ADF"/>
    <w:rsid w:val="00EC217C"/>
    <w:rsid w:val="00EC2C40"/>
    <w:rsid w:val="00EC3F01"/>
    <w:rsid w:val="00EC458D"/>
    <w:rsid w:val="00EC4987"/>
    <w:rsid w:val="00EC54D2"/>
    <w:rsid w:val="00EC5BF6"/>
    <w:rsid w:val="00EC5C53"/>
    <w:rsid w:val="00EC6B29"/>
    <w:rsid w:val="00EC6EE2"/>
    <w:rsid w:val="00EC7200"/>
    <w:rsid w:val="00EC7955"/>
    <w:rsid w:val="00ED1123"/>
    <w:rsid w:val="00ED1335"/>
    <w:rsid w:val="00ED14FA"/>
    <w:rsid w:val="00ED1CBA"/>
    <w:rsid w:val="00ED200C"/>
    <w:rsid w:val="00ED3B41"/>
    <w:rsid w:val="00ED3FF8"/>
    <w:rsid w:val="00ED499E"/>
    <w:rsid w:val="00ED4EB6"/>
    <w:rsid w:val="00ED59EA"/>
    <w:rsid w:val="00ED5FF7"/>
    <w:rsid w:val="00ED7BA5"/>
    <w:rsid w:val="00EE0474"/>
    <w:rsid w:val="00EE1259"/>
    <w:rsid w:val="00EE249D"/>
    <w:rsid w:val="00EE28FA"/>
    <w:rsid w:val="00EE2F2D"/>
    <w:rsid w:val="00EE3503"/>
    <w:rsid w:val="00EE3C3C"/>
    <w:rsid w:val="00EE4487"/>
    <w:rsid w:val="00EE58B3"/>
    <w:rsid w:val="00EE5DC2"/>
    <w:rsid w:val="00EE5EB4"/>
    <w:rsid w:val="00EE6A05"/>
    <w:rsid w:val="00EE6E37"/>
    <w:rsid w:val="00EE6ED2"/>
    <w:rsid w:val="00EE78A1"/>
    <w:rsid w:val="00EE7C86"/>
    <w:rsid w:val="00EF0EE1"/>
    <w:rsid w:val="00EF2055"/>
    <w:rsid w:val="00EF3803"/>
    <w:rsid w:val="00EF4107"/>
    <w:rsid w:val="00EF42BA"/>
    <w:rsid w:val="00EF44D2"/>
    <w:rsid w:val="00EF4BDA"/>
    <w:rsid w:val="00EF5114"/>
    <w:rsid w:val="00EF5126"/>
    <w:rsid w:val="00EF5259"/>
    <w:rsid w:val="00EF5E18"/>
    <w:rsid w:val="00EF75E9"/>
    <w:rsid w:val="00EF77E0"/>
    <w:rsid w:val="00EF7A5B"/>
    <w:rsid w:val="00EF7DDD"/>
    <w:rsid w:val="00F00765"/>
    <w:rsid w:val="00F016B1"/>
    <w:rsid w:val="00F018CF"/>
    <w:rsid w:val="00F03063"/>
    <w:rsid w:val="00F032D9"/>
    <w:rsid w:val="00F0373D"/>
    <w:rsid w:val="00F03BD5"/>
    <w:rsid w:val="00F0480C"/>
    <w:rsid w:val="00F05597"/>
    <w:rsid w:val="00F068C0"/>
    <w:rsid w:val="00F06900"/>
    <w:rsid w:val="00F06A1B"/>
    <w:rsid w:val="00F100F9"/>
    <w:rsid w:val="00F106FD"/>
    <w:rsid w:val="00F11202"/>
    <w:rsid w:val="00F116E5"/>
    <w:rsid w:val="00F125E0"/>
    <w:rsid w:val="00F127EB"/>
    <w:rsid w:val="00F12BEA"/>
    <w:rsid w:val="00F12D25"/>
    <w:rsid w:val="00F139F6"/>
    <w:rsid w:val="00F1407B"/>
    <w:rsid w:val="00F14BC0"/>
    <w:rsid w:val="00F15BC5"/>
    <w:rsid w:val="00F15DD5"/>
    <w:rsid w:val="00F16DA7"/>
    <w:rsid w:val="00F179EA"/>
    <w:rsid w:val="00F2062B"/>
    <w:rsid w:val="00F20ADD"/>
    <w:rsid w:val="00F226D3"/>
    <w:rsid w:val="00F235FB"/>
    <w:rsid w:val="00F237C7"/>
    <w:rsid w:val="00F244BF"/>
    <w:rsid w:val="00F244C0"/>
    <w:rsid w:val="00F2554F"/>
    <w:rsid w:val="00F256FE"/>
    <w:rsid w:val="00F25B9E"/>
    <w:rsid w:val="00F26444"/>
    <w:rsid w:val="00F2660F"/>
    <w:rsid w:val="00F266BC"/>
    <w:rsid w:val="00F267D6"/>
    <w:rsid w:val="00F26DBE"/>
    <w:rsid w:val="00F30545"/>
    <w:rsid w:val="00F30F23"/>
    <w:rsid w:val="00F31F4C"/>
    <w:rsid w:val="00F320FD"/>
    <w:rsid w:val="00F3347A"/>
    <w:rsid w:val="00F3505A"/>
    <w:rsid w:val="00F359DA"/>
    <w:rsid w:val="00F35B4E"/>
    <w:rsid w:val="00F3679E"/>
    <w:rsid w:val="00F37145"/>
    <w:rsid w:val="00F3779A"/>
    <w:rsid w:val="00F400DD"/>
    <w:rsid w:val="00F4029E"/>
    <w:rsid w:val="00F41CEF"/>
    <w:rsid w:val="00F4227A"/>
    <w:rsid w:val="00F4254A"/>
    <w:rsid w:val="00F4421F"/>
    <w:rsid w:val="00F44282"/>
    <w:rsid w:val="00F44331"/>
    <w:rsid w:val="00F45BCF"/>
    <w:rsid w:val="00F45FE7"/>
    <w:rsid w:val="00F46802"/>
    <w:rsid w:val="00F46D2B"/>
    <w:rsid w:val="00F47033"/>
    <w:rsid w:val="00F470AF"/>
    <w:rsid w:val="00F47969"/>
    <w:rsid w:val="00F47DCB"/>
    <w:rsid w:val="00F509A8"/>
    <w:rsid w:val="00F512DC"/>
    <w:rsid w:val="00F526FE"/>
    <w:rsid w:val="00F52A17"/>
    <w:rsid w:val="00F52C2D"/>
    <w:rsid w:val="00F532DA"/>
    <w:rsid w:val="00F534BE"/>
    <w:rsid w:val="00F54EEC"/>
    <w:rsid w:val="00F55E5C"/>
    <w:rsid w:val="00F5607C"/>
    <w:rsid w:val="00F56085"/>
    <w:rsid w:val="00F56295"/>
    <w:rsid w:val="00F56CF9"/>
    <w:rsid w:val="00F57284"/>
    <w:rsid w:val="00F601A7"/>
    <w:rsid w:val="00F60225"/>
    <w:rsid w:val="00F604D3"/>
    <w:rsid w:val="00F610AE"/>
    <w:rsid w:val="00F641B2"/>
    <w:rsid w:val="00F64339"/>
    <w:rsid w:val="00F64D1F"/>
    <w:rsid w:val="00F6504C"/>
    <w:rsid w:val="00F667C0"/>
    <w:rsid w:val="00F66CF7"/>
    <w:rsid w:val="00F66D44"/>
    <w:rsid w:val="00F67593"/>
    <w:rsid w:val="00F67A8C"/>
    <w:rsid w:val="00F70BE5"/>
    <w:rsid w:val="00F710A4"/>
    <w:rsid w:val="00F716C7"/>
    <w:rsid w:val="00F71A50"/>
    <w:rsid w:val="00F725D0"/>
    <w:rsid w:val="00F72DC6"/>
    <w:rsid w:val="00F730C8"/>
    <w:rsid w:val="00F732EB"/>
    <w:rsid w:val="00F73766"/>
    <w:rsid w:val="00F739ED"/>
    <w:rsid w:val="00F74DFE"/>
    <w:rsid w:val="00F75387"/>
    <w:rsid w:val="00F7587E"/>
    <w:rsid w:val="00F75895"/>
    <w:rsid w:val="00F773E8"/>
    <w:rsid w:val="00F80E4C"/>
    <w:rsid w:val="00F8104E"/>
    <w:rsid w:val="00F81438"/>
    <w:rsid w:val="00F81CA8"/>
    <w:rsid w:val="00F81E4C"/>
    <w:rsid w:val="00F823AC"/>
    <w:rsid w:val="00F8263C"/>
    <w:rsid w:val="00F8291C"/>
    <w:rsid w:val="00F82AB6"/>
    <w:rsid w:val="00F83642"/>
    <w:rsid w:val="00F8381F"/>
    <w:rsid w:val="00F83E10"/>
    <w:rsid w:val="00F83EC1"/>
    <w:rsid w:val="00F851D9"/>
    <w:rsid w:val="00F8579D"/>
    <w:rsid w:val="00F861E5"/>
    <w:rsid w:val="00F866FD"/>
    <w:rsid w:val="00F87C89"/>
    <w:rsid w:val="00F902D9"/>
    <w:rsid w:val="00F905F3"/>
    <w:rsid w:val="00F9099A"/>
    <w:rsid w:val="00F90C8E"/>
    <w:rsid w:val="00F92EA5"/>
    <w:rsid w:val="00F9346F"/>
    <w:rsid w:val="00F9437B"/>
    <w:rsid w:val="00F96228"/>
    <w:rsid w:val="00F9628E"/>
    <w:rsid w:val="00F96C67"/>
    <w:rsid w:val="00F97847"/>
    <w:rsid w:val="00F97FB3"/>
    <w:rsid w:val="00FA0EF2"/>
    <w:rsid w:val="00FA0F86"/>
    <w:rsid w:val="00FA2A38"/>
    <w:rsid w:val="00FA316F"/>
    <w:rsid w:val="00FA36A8"/>
    <w:rsid w:val="00FA4652"/>
    <w:rsid w:val="00FA4C5D"/>
    <w:rsid w:val="00FA51E6"/>
    <w:rsid w:val="00FA53CA"/>
    <w:rsid w:val="00FA5D13"/>
    <w:rsid w:val="00FA6BD1"/>
    <w:rsid w:val="00FA72BF"/>
    <w:rsid w:val="00FA7A45"/>
    <w:rsid w:val="00FB0ADA"/>
    <w:rsid w:val="00FB10A6"/>
    <w:rsid w:val="00FB19CD"/>
    <w:rsid w:val="00FB1BB7"/>
    <w:rsid w:val="00FB210E"/>
    <w:rsid w:val="00FB2163"/>
    <w:rsid w:val="00FB2F51"/>
    <w:rsid w:val="00FB47C5"/>
    <w:rsid w:val="00FB54CF"/>
    <w:rsid w:val="00FB6197"/>
    <w:rsid w:val="00FB7579"/>
    <w:rsid w:val="00FB7730"/>
    <w:rsid w:val="00FB7C15"/>
    <w:rsid w:val="00FB7D30"/>
    <w:rsid w:val="00FB7D65"/>
    <w:rsid w:val="00FC0117"/>
    <w:rsid w:val="00FC045E"/>
    <w:rsid w:val="00FC0C53"/>
    <w:rsid w:val="00FC0CBD"/>
    <w:rsid w:val="00FC0DC4"/>
    <w:rsid w:val="00FC1EA8"/>
    <w:rsid w:val="00FC2237"/>
    <w:rsid w:val="00FC26ED"/>
    <w:rsid w:val="00FC4694"/>
    <w:rsid w:val="00FC57EA"/>
    <w:rsid w:val="00FC5C43"/>
    <w:rsid w:val="00FC6896"/>
    <w:rsid w:val="00FC69C4"/>
    <w:rsid w:val="00FC6CD7"/>
    <w:rsid w:val="00FC7073"/>
    <w:rsid w:val="00FD01F3"/>
    <w:rsid w:val="00FD0473"/>
    <w:rsid w:val="00FD0763"/>
    <w:rsid w:val="00FD0D17"/>
    <w:rsid w:val="00FD13C7"/>
    <w:rsid w:val="00FD1F12"/>
    <w:rsid w:val="00FD1FBF"/>
    <w:rsid w:val="00FD2EF6"/>
    <w:rsid w:val="00FD314D"/>
    <w:rsid w:val="00FD33F8"/>
    <w:rsid w:val="00FD355B"/>
    <w:rsid w:val="00FD378A"/>
    <w:rsid w:val="00FD3B41"/>
    <w:rsid w:val="00FD3FFB"/>
    <w:rsid w:val="00FD4BD0"/>
    <w:rsid w:val="00FD4E8F"/>
    <w:rsid w:val="00FD5C8E"/>
    <w:rsid w:val="00FD667E"/>
    <w:rsid w:val="00FD674C"/>
    <w:rsid w:val="00FD6D0F"/>
    <w:rsid w:val="00FD7245"/>
    <w:rsid w:val="00FE0B1D"/>
    <w:rsid w:val="00FE18FB"/>
    <w:rsid w:val="00FE1C29"/>
    <w:rsid w:val="00FE20CA"/>
    <w:rsid w:val="00FE22A3"/>
    <w:rsid w:val="00FE24F9"/>
    <w:rsid w:val="00FE252D"/>
    <w:rsid w:val="00FE2AC7"/>
    <w:rsid w:val="00FE3E74"/>
    <w:rsid w:val="00FE4BF9"/>
    <w:rsid w:val="00FE6E76"/>
    <w:rsid w:val="00FE716F"/>
    <w:rsid w:val="00FE7BB6"/>
    <w:rsid w:val="00FE7C3A"/>
    <w:rsid w:val="00FE7F83"/>
    <w:rsid w:val="00FF00A1"/>
    <w:rsid w:val="00FF19F4"/>
    <w:rsid w:val="00FF28B6"/>
    <w:rsid w:val="00FF28C4"/>
    <w:rsid w:val="00FF361D"/>
    <w:rsid w:val="00FF44D2"/>
    <w:rsid w:val="00FF4678"/>
    <w:rsid w:val="00FF4889"/>
    <w:rsid w:val="00FF50D8"/>
    <w:rsid w:val="00FF5741"/>
    <w:rsid w:val="00FF6655"/>
    <w:rsid w:val="00FF718D"/>
    <w:rsid w:val="00FF7275"/>
    <w:rsid w:val="01663989"/>
    <w:rsid w:val="05D5F21D"/>
    <w:rsid w:val="06377888"/>
    <w:rsid w:val="074FF4EB"/>
    <w:rsid w:val="09016B71"/>
    <w:rsid w:val="0CF17B0D"/>
    <w:rsid w:val="0CF8CEE7"/>
    <w:rsid w:val="15655C30"/>
    <w:rsid w:val="15C063E2"/>
    <w:rsid w:val="16B20ABE"/>
    <w:rsid w:val="17C2E8CF"/>
    <w:rsid w:val="1BC0D271"/>
    <w:rsid w:val="1E4BBDD2"/>
    <w:rsid w:val="21FD8783"/>
    <w:rsid w:val="2382E79D"/>
    <w:rsid w:val="23A918F9"/>
    <w:rsid w:val="23D2BDCE"/>
    <w:rsid w:val="253D3FEA"/>
    <w:rsid w:val="26208C12"/>
    <w:rsid w:val="283A3611"/>
    <w:rsid w:val="2AAAD23A"/>
    <w:rsid w:val="2AFA7CF7"/>
    <w:rsid w:val="2B28D4F6"/>
    <w:rsid w:val="2C689FAB"/>
    <w:rsid w:val="2F2CC9D4"/>
    <w:rsid w:val="32330061"/>
    <w:rsid w:val="338E7FD2"/>
    <w:rsid w:val="368CD59F"/>
    <w:rsid w:val="3778917C"/>
    <w:rsid w:val="3B1053DA"/>
    <w:rsid w:val="3C2F528A"/>
    <w:rsid w:val="3CAB743A"/>
    <w:rsid w:val="3DE911DE"/>
    <w:rsid w:val="3E37FB87"/>
    <w:rsid w:val="3F460ABA"/>
    <w:rsid w:val="3F9081CC"/>
    <w:rsid w:val="414F5E47"/>
    <w:rsid w:val="43A08750"/>
    <w:rsid w:val="46F1DEB2"/>
    <w:rsid w:val="4778A4C3"/>
    <w:rsid w:val="480E12A4"/>
    <w:rsid w:val="48A2B9A3"/>
    <w:rsid w:val="48B3163A"/>
    <w:rsid w:val="4B1DEA53"/>
    <w:rsid w:val="4BB128DB"/>
    <w:rsid w:val="4BDA2175"/>
    <w:rsid w:val="515EA56F"/>
    <w:rsid w:val="51FFE727"/>
    <w:rsid w:val="531E29DB"/>
    <w:rsid w:val="534164D6"/>
    <w:rsid w:val="54FE0DBF"/>
    <w:rsid w:val="56D049CF"/>
    <w:rsid w:val="58638DDA"/>
    <w:rsid w:val="5C7A64F3"/>
    <w:rsid w:val="5DC31506"/>
    <w:rsid w:val="5FE3CBED"/>
    <w:rsid w:val="604F6AA5"/>
    <w:rsid w:val="618CDF4C"/>
    <w:rsid w:val="6305CEC4"/>
    <w:rsid w:val="641BBC24"/>
    <w:rsid w:val="648436EE"/>
    <w:rsid w:val="67DE8691"/>
    <w:rsid w:val="6823BD8A"/>
    <w:rsid w:val="6D25D8C2"/>
    <w:rsid w:val="6D673118"/>
    <w:rsid w:val="6E0FA8F8"/>
    <w:rsid w:val="6FAFDCF3"/>
    <w:rsid w:val="6FEE438B"/>
    <w:rsid w:val="70C66CA6"/>
    <w:rsid w:val="735EE84D"/>
    <w:rsid w:val="73E76628"/>
    <w:rsid w:val="790E2D8E"/>
    <w:rsid w:val="794C744B"/>
    <w:rsid w:val="796C30CE"/>
    <w:rsid w:val="7BF97231"/>
    <w:rsid w:val="7FD4BB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56013BC"/>
  <w15:chartTrackingRefBased/>
  <w15:docId w15:val="{94F15E02-1CD0-4F1F-A57D-28672ED5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link w:val="Heading1Char"/>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link w:val="Heading3Char"/>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E7B31"/>
    <w:pPr>
      <w:tabs>
        <w:tab w:val="num" w:pos="360"/>
        <w:tab w:val="num" w:pos="510"/>
      </w:tabs>
      <w:spacing w:after="120" w:line="300" w:lineRule="atLeast"/>
      <w:ind w:left="360" w:hanging="360"/>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aliases w:val="FN,fn,Footnote Text Char Char,Footnote Text Char1 Char Char,Footnote Text Char Char Char Char,Footnote Text Char Char1,Footnote Text Char1 Char,Footnote Text Char Char Char,Char,Ca,Footnote Text Char Char Char Char Char Char,C"/>
    <w:basedOn w:val="Normal"/>
    <w:link w:val="FootnoteTextChar"/>
    <w:qFormat/>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ListParagraph">
    <w:name w:val="List Paragraph"/>
    <w:basedOn w:val="Normal"/>
    <w:link w:val="ListParagraphChar"/>
    <w:uiPriority w:val="34"/>
    <w:qFormat/>
    <w:rsid w:val="006E0314"/>
    <w:pPr>
      <w:ind w:left="340"/>
      <w:contextualSpacing/>
    </w:pPr>
  </w:style>
  <w:style w:type="character" w:styleId="UnresolvedMention">
    <w:name w:val="Unresolved Mention"/>
    <w:basedOn w:val="DefaultParagraphFont"/>
    <w:uiPriority w:val="99"/>
    <w:unhideWhenUsed/>
    <w:rsid w:val="001C1BC5"/>
    <w:rPr>
      <w:color w:val="605E5C"/>
      <w:shd w:val="clear" w:color="auto" w:fill="E1DFDD"/>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Ca Char"/>
    <w:link w:val="FootnoteText"/>
    <w:uiPriority w:val="99"/>
    <w:rsid w:val="009A6F8B"/>
    <w:rPr>
      <w:rFonts w:ascii="Arial" w:hAnsi="Arial"/>
      <w:sz w:val="18"/>
      <w:lang w:eastAsia="en-US"/>
    </w:rPr>
  </w:style>
  <w:style w:type="character" w:styleId="CommentReference">
    <w:name w:val="annotation reference"/>
    <w:basedOn w:val="DefaultParagraphFont"/>
    <w:rsid w:val="004E7386"/>
    <w:rPr>
      <w:sz w:val="16"/>
      <w:szCs w:val="16"/>
    </w:rPr>
  </w:style>
  <w:style w:type="paragraph" w:styleId="CommentText">
    <w:name w:val="annotation text"/>
    <w:basedOn w:val="Normal"/>
    <w:link w:val="CommentTextChar"/>
    <w:rsid w:val="004E7386"/>
    <w:pPr>
      <w:spacing w:line="240" w:lineRule="auto"/>
    </w:pPr>
    <w:rPr>
      <w:sz w:val="20"/>
      <w:szCs w:val="20"/>
    </w:rPr>
  </w:style>
  <w:style w:type="character" w:customStyle="1" w:styleId="CommentTextChar">
    <w:name w:val="Comment Text Char"/>
    <w:basedOn w:val="DefaultParagraphFont"/>
    <w:link w:val="CommentText"/>
    <w:rsid w:val="004E7386"/>
    <w:rPr>
      <w:rFonts w:ascii="Arial" w:hAnsi="Arial"/>
      <w:lang w:eastAsia="en-US"/>
    </w:rPr>
  </w:style>
  <w:style w:type="paragraph" w:styleId="CommentSubject">
    <w:name w:val="annotation subject"/>
    <w:basedOn w:val="CommentText"/>
    <w:next w:val="CommentText"/>
    <w:link w:val="CommentSubjectChar"/>
    <w:rsid w:val="004E7386"/>
    <w:rPr>
      <w:b/>
      <w:bCs/>
    </w:rPr>
  </w:style>
  <w:style w:type="character" w:customStyle="1" w:styleId="CommentSubjectChar">
    <w:name w:val="Comment Subject Char"/>
    <w:basedOn w:val="CommentTextChar"/>
    <w:link w:val="CommentSubject"/>
    <w:rsid w:val="004E7386"/>
    <w:rPr>
      <w:rFonts w:ascii="Arial" w:hAnsi="Arial"/>
      <w:b/>
      <w:bCs/>
      <w:lang w:eastAsia="en-US"/>
    </w:rPr>
  </w:style>
  <w:style w:type="paragraph" w:styleId="BalloonText">
    <w:name w:val="Balloon Text"/>
    <w:basedOn w:val="Normal"/>
    <w:link w:val="BalloonTextChar"/>
    <w:semiHidden/>
    <w:unhideWhenUsed/>
    <w:rsid w:val="004E7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E7386"/>
    <w:rPr>
      <w:rFonts w:ascii="Segoe UI" w:hAnsi="Segoe UI" w:cs="Segoe UI"/>
      <w:sz w:val="18"/>
      <w:szCs w:val="18"/>
      <w:lang w:eastAsia="en-US"/>
    </w:rPr>
  </w:style>
  <w:style w:type="character" w:customStyle="1" w:styleId="FooterChar">
    <w:name w:val="Footer Char"/>
    <w:basedOn w:val="DefaultParagraphFont"/>
    <w:link w:val="Footer"/>
    <w:uiPriority w:val="99"/>
    <w:rsid w:val="00965548"/>
    <w:rPr>
      <w:rFonts w:ascii="Arial" w:hAnsi="Arial"/>
      <w:sz w:val="22"/>
      <w:szCs w:val="24"/>
      <w:lang w:eastAsia="en-US"/>
    </w:rPr>
  </w:style>
  <w:style w:type="paragraph" w:customStyle="1" w:styleId="VLALetterText">
    <w:name w:val="VLA Letter Text"/>
    <w:uiPriority w:val="1"/>
    <w:qFormat/>
    <w:rsid w:val="00894F3F"/>
    <w:pPr>
      <w:spacing w:after="120" w:line="300" w:lineRule="atLeast"/>
    </w:pPr>
    <w:rPr>
      <w:rFonts w:ascii="Arial" w:hAnsi="Arial"/>
      <w:sz w:val="22"/>
      <w:szCs w:val="24"/>
      <w:lang w:eastAsia="en-US"/>
    </w:rPr>
  </w:style>
  <w:style w:type="paragraph" w:styleId="TOCHeading">
    <w:name w:val="TOC Heading"/>
    <w:basedOn w:val="Heading1"/>
    <w:next w:val="Normal"/>
    <w:uiPriority w:val="39"/>
    <w:unhideWhenUsed/>
    <w:qFormat/>
    <w:rsid w:val="00975F9F"/>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table" w:customStyle="1" w:styleId="NOUSSideHeader1">
    <w:name w:val="NOUS Side Header1"/>
    <w:basedOn w:val="TableNormal"/>
    <w:next w:val="TableGrid"/>
    <w:rsid w:val="008833F1"/>
    <w:rPr>
      <w:rFonts w:ascii="Segoe UI" w:eastAsiaTheme="minorHAnsi" w:hAnsi="Segoe UI" w:cstheme="minorBidi"/>
      <w:sz w:val="17"/>
      <w:szCs w:val="22"/>
      <w:lang w:val="en-US" w:eastAsia="en-US"/>
    </w:rPr>
    <w:tblPr>
      <w:tblStyleRowBandSize w:val="1"/>
      <w:tblBorders>
        <w:top w:val="single" w:sz="8" w:space="0" w:color="4472C4" w:themeColor="accent5"/>
        <w:bottom w:val="single" w:sz="8" w:space="0" w:color="4472C4" w:themeColor="accent5"/>
        <w:insideH w:val="single" w:sz="8" w:space="0" w:color="4472C4" w:themeColor="accent5"/>
      </w:tblBorders>
      <w:tblCellMar>
        <w:top w:w="57" w:type="dxa"/>
        <w:left w:w="85" w:type="dxa"/>
        <w:bottom w:w="57" w:type="dxa"/>
        <w:right w:w="85" w:type="dxa"/>
      </w:tblCellMar>
    </w:tblPr>
    <w:tcPr>
      <w:vAlign w:val="center"/>
    </w:tcPr>
    <w:tblStylePr w:type="firstRow">
      <w:pPr>
        <w:jc w:val="left"/>
      </w:pPr>
      <w:rPr>
        <w:rFonts w:ascii="Segoe UI Emoji" w:hAnsi="Segoe UI Emoji"/>
        <w:b w:val="0"/>
        <w:color w:val="E7E6E6" w:themeColor="background2"/>
        <w:sz w:val="18"/>
      </w:rPr>
      <w:tblPr/>
      <w:trPr>
        <w:cantSplit/>
        <w:tblHeader/>
      </w:trPr>
      <w:tcPr>
        <w:tcBorders>
          <w:top w:val="single" w:sz="24" w:space="0" w:color="A5A5A5" w:themeColor="accent3"/>
          <w:left w:val="nil"/>
          <w:bottom w:val="nil"/>
          <w:right w:val="nil"/>
          <w:insideH w:val="nil"/>
          <w:insideV w:val="single" w:sz="8" w:space="0" w:color="FFFFFF" w:themeColor="background1"/>
          <w:tl2br w:val="nil"/>
          <w:tr2bl w:val="nil"/>
        </w:tcBorders>
        <w:shd w:val="clear" w:color="auto" w:fill="4472C4" w:themeFill="accent5"/>
      </w:tcPr>
    </w:tblStylePr>
    <w:tblStylePr w:type="band1Horz">
      <w:rPr>
        <w:rFonts w:ascii="Segoe UI Emoji" w:hAnsi="Segoe UI Emoji"/>
        <w:sz w:val="17"/>
      </w:rPr>
    </w:tblStylePr>
    <w:tblStylePr w:type="band2Horz">
      <w:rPr>
        <w:rFonts w:ascii="Segoe UI Emoji" w:hAnsi="Segoe UI Emoji"/>
        <w:sz w:val="17"/>
      </w:rPr>
    </w:tblStylePr>
  </w:style>
  <w:style w:type="character" w:customStyle="1" w:styleId="datadescription">
    <w:name w:val="datadescription"/>
    <w:basedOn w:val="DefaultParagraphFont"/>
    <w:rsid w:val="001D5303"/>
  </w:style>
  <w:style w:type="paragraph" w:styleId="NormalWeb">
    <w:name w:val="Normal (Web)"/>
    <w:basedOn w:val="Normal"/>
    <w:uiPriority w:val="99"/>
    <w:unhideWhenUsed/>
    <w:rsid w:val="00323565"/>
    <w:pPr>
      <w:spacing w:before="100" w:beforeAutospacing="1" w:after="100" w:afterAutospacing="1" w:line="240" w:lineRule="auto"/>
    </w:pPr>
    <w:rPr>
      <w:rFonts w:ascii="Times New Roman" w:hAnsi="Times New Roman"/>
      <w:sz w:val="24"/>
      <w:lang w:eastAsia="en-AU"/>
    </w:rPr>
  </w:style>
  <w:style w:type="table" w:styleId="PlainTable2">
    <w:name w:val="Plain Table 2"/>
    <w:basedOn w:val="TableNormal"/>
    <w:uiPriority w:val="42"/>
    <w:rsid w:val="00003CB7"/>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003CB7"/>
    <w:rPr>
      <w:rFonts w:ascii="Arial" w:hAnsi="Arial"/>
      <w:sz w:val="22"/>
      <w:szCs w:val="24"/>
      <w:lang w:eastAsia="en-US"/>
    </w:rPr>
  </w:style>
  <w:style w:type="character" w:customStyle="1" w:styleId="A15">
    <w:name w:val="A15"/>
    <w:uiPriority w:val="99"/>
    <w:rsid w:val="00333D2B"/>
    <w:rPr>
      <w:rFonts w:cs="Gotham Narrow Book"/>
      <w:color w:val="000000"/>
      <w:sz w:val="22"/>
      <w:szCs w:val="22"/>
    </w:rPr>
  </w:style>
  <w:style w:type="paragraph" w:customStyle="1" w:styleId="Style1">
    <w:name w:val="Style1"/>
    <w:basedOn w:val="ListParagraph"/>
    <w:link w:val="Style1Char"/>
    <w:qFormat/>
    <w:rsid w:val="00116D79"/>
    <w:pPr>
      <w:numPr>
        <w:ilvl w:val="1"/>
        <w:numId w:val="30"/>
      </w:numPr>
      <w:spacing w:before="60"/>
      <w:ind w:left="431" w:hanging="431"/>
    </w:pPr>
    <w:rPr>
      <w:rFonts w:cs="Arial"/>
      <w:sz w:val="20"/>
    </w:rPr>
  </w:style>
  <w:style w:type="character" w:customStyle="1" w:styleId="ListParagraphChar">
    <w:name w:val="List Paragraph Char"/>
    <w:basedOn w:val="DefaultParagraphFont"/>
    <w:link w:val="ListParagraph"/>
    <w:uiPriority w:val="34"/>
    <w:rsid w:val="006E0314"/>
    <w:rPr>
      <w:rFonts w:ascii="Arial" w:hAnsi="Arial"/>
      <w:sz w:val="22"/>
      <w:szCs w:val="24"/>
      <w:lang w:eastAsia="en-US"/>
    </w:rPr>
  </w:style>
  <w:style w:type="character" w:customStyle="1" w:styleId="Style1Char">
    <w:name w:val="Style1 Char"/>
    <w:basedOn w:val="ListParagraphChar"/>
    <w:link w:val="Style1"/>
    <w:rsid w:val="00116D79"/>
    <w:rPr>
      <w:rFonts w:ascii="Arial" w:hAnsi="Arial" w:cs="Arial"/>
      <w:sz w:val="22"/>
      <w:szCs w:val="24"/>
      <w:lang w:eastAsia="en-US"/>
    </w:rPr>
  </w:style>
  <w:style w:type="character" w:styleId="Mention">
    <w:name w:val="Mention"/>
    <w:basedOn w:val="DefaultParagraphFont"/>
    <w:uiPriority w:val="99"/>
    <w:unhideWhenUsed/>
    <w:rsid w:val="00E51A05"/>
    <w:rPr>
      <w:color w:val="2B579A"/>
      <w:shd w:val="clear" w:color="auto" w:fill="E1DFDD"/>
    </w:rPr>
  </w:style>
  <w:style w:type="paragraph" w:customStyle="1" w:styleId="Default">
    <w:name w:val="Default"/>
    <w:rsid w:val="00BA7547"/>
    <w:pPr>
      <w:autoSpaceDE w:val="0"/>
      <w:autoSpaceDN w:val="0"/>
      <w:adjustRightInd w:val="0"/>
    </w:pPr>
    <w:rPr>
      <w:rFonts w:ascii="Gotham Narrow Book" w:hAnsi="Gotham Narrow Book" w:cs="Gotham Narrow Book"/>
      <w:color w:val="000000"/>
      <w:sz w:val="24"/>
      <w:szCs w:val="24"/>
    </w:rPr>
  </w:style>
  <w:style w:type="paragraph" w:customStyle="1" w:styleId="Pa2">
    <w:name w:val="Pa2"/>
    <w:basedOn w:val="Default"/>
    <w:next w:val="Default"/>
    <w:uiPriority w:val="99"/>
    <w:rsid w:val="00BA7547"/>
    <w:pPr>
      <w:spacing w:line="191" w:lineRule="atLeast"/>
    </w:pPr>
    <w:rPr>
      <w:rFonts w:cs="Times New Roman"/>
      <w:color w:val="auto"/>
    </w:rPr>
  </w:style>
  <w:style w:type="character" w:customStyle="1" w:styleId="A9">
    <w:name w:val="A9"/>
    <w:uiPriority w:val="99"/>
    <w:rsid w:val="00BA7547"/>
    <w:rPr>
      <w:rFonts w:cs="Gotham Narrow Book"/>
      <w:color w:val="000000"/>
      <w:sz w:val="11"/>
      <w:szCs w:val="11"/>
    </w:rPr>
  </w:style>
  <w:style w:type="character" w:customStyle="1" w:styleId="Heading1Char">
    <w:name w:val="Heading 1 Char"/>
    <w:basedOn w:val="DefaultParagraphFont"/>
    <w:link w:val="Heading1"/>
    <w:rsid w:val="00A37933"/>
    <w:rPr>
      <w:rFonts w:ascii="Arial" w:hAnsi="Arial" w:cs="Arial"/>
      <w:b/>
      <w:bCs/>
      <w:color w:val="971A4B"/>
      <w:kern w:val="32"/>
      <w:sz w:val="32"/>
      <w:szCs w:val="32"/>
    </w:rPr>
  </w:style>
  <w:style w:type="character" w:customStyle="1" w:styleId="Heading2Char">
    <w:name w:val="Heading 2 Char"/>
    <w:basedOn w:val="DefaultParagraphFont"/>
    <w:link w:val="Heading2"/>
    <w:rsid w:val="00A37933"/>
    <w:rPr>
      <w:rFonts w:ascii="Arial" w:hAnsi="Arial" w:cs="Arial"/>
      <w:b/>
      <w:bCs/>
      <w:iCs/>
      <w:color w:val="971A4B"/>
      <w:sz w:val="28"/>
      <w:szCs w:val="28"/>
    </w:rPr>
  </w:style>
  <w:style w:type="character" w:customStyle="1" w:styleId="Heading3Char">
    <w:name w:val="Heading 3 Char"/>
    <w:basedOn w:val="DefaultParagraphFont"/>
    <w:link w:val="Heading3"/>
    <w:rsid w:val="00A37933"/>
    <w:rPr>
      <w:rFonts w:ascii="Arial" w:hAnsi="Arial" w:cs="Arial"/>
      <w:b/>
      <w:bCs/>
      <w:sz w:val="26"/>
      <w:szCs w:val="26"/>
    </w:rPr>
  </w:style>
  <w:style w:type="paragraph" w:styleId="Revision">
    <w:name w:val="Revision"/>
    <w:hidden/>
    <w:uiPriority w:val="99"/>
    <w:semiHidden/>
    <w:rsid w:val="000675A8"/>
    <w:rPr>
      <w:rFonts w:ascii="Arial" w:hAnsi="Arial"/>
      <w:sz w:val="22"/>
      <w:szCs w:val="24"/>
      <w:lang w:eastAsia="en-US"/>
    </w:rPr>
  </w:style>
  <w:style w:type="character" w:styleId="FollowedHyperlink">
    <w:name w:val="FollowedHyperlink"/>
    <w:basedOn w:val="DefaultParagraphFont"/>
    <w:rsid w:val="00C56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1388">
      <w:bodyDiv w:val="1"/>
      <w:marLeft w:val="0"/>
      <w:marRight w:val="0"/>
      <w:marTop w:val="0"/>
      <w:marBottom w:val="0"/>
      <w:divBdr>
        <w:top w:val="none" w:sz="0" w:space="0" w:color="auto"/>
        <w:left w:val="none" w:sz="0" w:space="0" w:color="auto"/>
        <w:bottom w:val="none" w:sz="0" w:space="0" w:color="auto"/>
        <w:right w:val="none" w:sz="0" w:space="0" w:color="auto"/>
      </w:divBdr>
    </w:div>
    <w:div w:id="118687743">
      <w:bodyDiv w:val="1"/>
      <w:marLeft w:val="0"/>
      <w:marRight w:val="0"/>
      <w:marTop w:val="0"/>
      <w:marBottom w:val="0"/>
      <w:divBdr>
        <w:top w:val="none" w:sz="0" w:space="0" w:color="auto"/>
        <w:left w:val="none" w:sz="0" w:space="0" w:color="auto"/>
        <w:bottom w:val="none" w:sz="0" w:space="0" w:color="auto"/>
        <w:right w:val="none" w:sz="0" w:space="0" w:color="auto"/>
      </w:divBdr>
    </w:div>
    <w:div w:id="334649935">
      <w:bodyDiv w:val="1"/>
      <w:marLeft w:val="0"/>
      <w:marRight w:val="0"/>
      <w:marTop w:val="0"/>
      <w:marBottom w:val="0"/>
      <w:divBdr>
        <w:top w:val="none" w:sz="0" w:space="0" w:color="auto"/>
        <w:left w:val="none" w:sz="0" w:space="0" w:color="auto"/>
        <w:bottom w:val="none" w:sz="0" w:space="0" w:color="auto"/>
        <w:right w:val="none" w:sz="0" w:space="0" w:color="auto"/>
      </w:divBdr>
    </w:div>
    <w:div w:id="604574625">
      <w:bodyDiv w:val="1"/>
      <w:marLeft w:val="0"/>
      <w:marRight w:val="0"/>
      <w:marTop w:val="0"/>
      <w:marBottom w:val="0"/>
      <w:divBdr>
        <w:top w:val="none" w:sz="0" w:space="0" w:color="auto"/>
        <w:left w:val="none" w:sz="0" w:space="0" w:color="auto"/>
        <w:bottom w:val="none" w:sz="0" w:space="0" w:color="auto"/>
        <w:right w:val="none" w:sz="0" w:space="0" w:color="auto"/>
      </w:divBdr>
    </w:div>
    <w:div w:id="726150111">
      <w:bodyDiv w:val="1"/>
      <w:marLeft w:val="0"/>
      <w:marRight w:val="0"/>
      <w:marTop w:val="0"/>
      <w:marBottom w:val="0"/>
      <w:divBdr>
        <w:top w:val="none" w:sz="0" w:space="0" w:color="auto"/>
        <w:left w:val="none" w:sz="0" w:space="0" w:color="auto"/>
        <w:bottom w:val="none" w:sz="0" w:space="0" w:color="auto"/>
        <w:right w:val="none" w:sz="0" w:space="0" w:color="auto"/>
      </w:divBdr>
    </w:div>
    <w:div w:id="788596804">
      <w:bodyDiv w:val="1"/>
      <w:marLeft w:val="0"/>
      <w:marRight w:val="0"/>
      <w:marTop w:val="0"/>
      <w:marBottom w:val="0"/>
      <w:divBdr>
        <w:top w:val="none" w:sz="0" w:space="0" w:color="auto"/>
        <w:left w:val="none" w:sz="0" w:space="0" w:color="auto"/>
        <w:bottom w:val="none" w:sz="0" w:space="0" w:color="auto"/>
        <w:right w:val="none" w:sz="0" w:space="0" w:color="auto"/>
      </w:divBdr>
    </w:div>
    <w:div w:id="826552340">
      <w:bodyDiv w:val="1"/>
      <w:marLeft w:val="0"/>
      <w:marRight w:val="0"/>
      <w:marTop w:val="0"/>
      <w:marBottom w:val="0"/>
      <w:divBdr>
        <w:top w:val="none" w:sz="0" w:space="0" w:color="auto"/>
        <w:left w:val="none" w:sz="0" w:space="0" w:color="auto"/>
        <w:bottom w:val="none" w:sz="0" w:space="0" w:color="auto"/>
        <w:right w:val="none" w:sz="0" w:space="0" w:color="auto"/>
      </w:divBdr>
    </w:div>
    <w:div w:id="851993471">
      <w:bodyDiv w:val="1"/>
      <w:marLeft w:val="0"/>
      <w:marRight w:val="0"/>
      <w:marTop w:val="0"/>
      <w:marBottom w:val="0"/>
      <w:divBdr>
        <w:top w:val="none" w:sz="0" w:space="0" w:color="auto"/>
        <w:left w:val="none" w:sz="0" w:space="0" w:color="auto"/>
        <w:bottom w:val="none" w:sz="0" w:space="0" w:color="auto"/>
        <w:right w:val="none" w:sz="0" w:space="0" w:color="auto"/>
      </w:divBdr>
    </w:div>
    <w:div w:id="1101726452">
      <w:bodyDiv w:val="1"/>
      <w:marLeft w:val="0"/>
      <w:marRight w:val="0"/>
      <w:marTop w:val="0"/>
      <w:marBottom w:val="0"/>
      <w:divBdr>
        <w:top w:val="none" w:sz="0" w:space="0" w:color="auto"/>
        <w:left w:val="none" w:sz="0" w:space="0" w:color="auto"/>
        <w:bottom w:val="none" w:sz="0" w:space="0" w:color="auto"/>
        <w:right w:val="none" w:sz="0" w:space="0" w:color="auto"/>
      </w:divBdr>
    </w:div>
    <w:div w:id="1156341798">
      <w:bodyDiv w:val="1"/>
      <w:marLeft w:val="0"/>
      <w:marRight w:val="0"/>
      <w:marTop w:val="0"/>
      <w:marBottom w:val="0"/>
      <w:divBdr>
        <w:top w:val="none" w:sz="0" w:space="0" w:color="auto"/>
        <w:left w:val="none" w:sz="0" w:space="0" w:color="auto"/>
        <w:bottom w:val="none" w:sz="0" w:space="0" w:color="auto"/>
        <w:right w:val="none" w:sz="0" w:space="0" w:color="auto"/>
      </w:divBdr>
    </w:div>
    <w:div w:id="1185166631">
      <w:bodyDiv w:val="1"/>
      <w:marLeft w:val="0"/>
      <w:marRight w:val="0"/>
      <w:marTop w:val="0"/>
      <w:marBottom w:val="0"/>
      <w:divBdr>
        <w:top w:val="none" w:sz="0" w:space="0" w:color="auto"/>
        <w:left w:val="none" w:sz="0" w:space="0" w:color="auto"/>
        <w:bottom w:val="none" w:sz="0" w:space="0" w:color="auto"/>
        <w:right w:val="none" w:sz="0" w:space="0" w:color="auto"/>
      </w:divBdr>
    </w:div>
    <w:div w:id="1345085076">
      <w:bodyDiv w:val="1"/>
      <w:marLeft w:val="0"/>
      <w:marRight w:val="0"/>
      <w:marTop w:val="0"/>
      <w:marBottom w:val="0"/>
      <w:divBdr>
        <w:top w:val="none" w:sz="0" w:space="0" w:color="auto"/>
        <w:left w:val="none" w:sz="0" w:space="0" w:color="auto"/>
        <w:bottom w:val="none" w:sz="0" w:space="0" w:color="auto"/>
        <w:right w:val="none" w:sz="0" w:space="0" w:color="auto"/>
      </w:divBdr>
    </w:div>
    <w:div w:id="1518303165">
      <w:bodyDiv w:val="1"/>
      <w:marLeft w:val="0"/>
      <w:marRight w:val="0"/>
      <w:marTop w:val="0"/>
      <w:marBottom w:val="0"/>
      <w:divBdr>
        <w:top w:val="none" w:sz="0" w:space="0" w:color="auto"/>
        <w:left w:val="none" w:sz="0" w:space="0" w:color="auto"/>
        <w:bottom w:val="none" w:sz="0" w:space="0" w:color="auto"/>
        <w:right w:val="none" w:sz="0" w:space="0" w:color="auto"/>
      </w:divBdr>
    </w:div>
    <w:div w:id="1743141118">
      <w:bodyDiv w:val="1"/>
      <w:marLeft w:val="0"/>
      <w:marRight w:val="0"/>
      <w:marTop w:val="0"/>
      <w:marBottom w:val="0"/>
      <w:divBdr>
        <w:top w:val="none" w:sz="0" w:space="0" w:color="auto"/>
        <w:left w:val="none" w:sz="0" w:space="0" w:color="auto"/>
        <w:bottom w:val="none" w:sz="0" w:space="0" w:color="auto"/>
        <w:right w:val="none" w:sz="0" w:space="0" w:color="auto"/>
      </w:divBdr>
    </w:div>
    <w:div w:id="1908417751">
      <w:bodyDiv w:val="1"/>
      <w:marLeft w:val="0"/>
      <w:marRight w:val="0"/>
      <w:marTop w:val="0"/>
      <w:marBottom w:val="0"/>
      <w:divBdr>
        <w:top w:val="none" w:sz="0" w:space="0" w:color="auto"/>
        <w:left w:val="none" w:sz="0" w:space="0" w:color="auto"/>
        <w:bottom w:val="none" w:sz="0" w:space="0" w:color="auto"/>
        <w:right w:val="none" w:sz="0" w:space="0" w:color="auto"/>
      </w:divBdr>
    </w:div>
    <w:div w:id="2027167148">
      <w:bodyDiv w:val="1"/>
      <w:marLeft w:val="0"/>
      <w:marRight w:val="0"/>
      <w:marTop w:val="0"/>
      <w:marBottom w:val="0"/>
      <w:divBdr>
        <w:top w:val="none" w:sz="0" w:space="0" w:color="auto"/>
        <w:left w:val="none" w:sz="0" w:space="0" w:color="auto"/>
        <w:bottom w:val="none" w:sz="0" w:space="0" w:color="auto"/>
        <w:right w:val="none" w:sz="0" w:space="0" w:color="auto"/>
      </w:divBdr>
    </w:div>
    <w:div w:id="2031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1A5226193E354DBF38DBF2089CC78E" ma:contentTypeVersion="9" ma:contentTypeDescription="Create a new document." ma:contentTypeScope="" ma:versionID="d208dacc3a05a6ab56cf7f34681665fe">
  <xsd:schema xmlns:xsd="http://www.w3.org/2001/XMLSchema" xmlns:xs="http://www.w3.org/2001/XMLSchema" xmlns:p="http://schemas.microsoft.com/office/2006/metadata/properties" xmlns:ns2="c50d3504-5d74-4e07-ba5c-057956969fb8" xmlns:ns3="f93ada87-8dbd-4c64-9fe9-5607492debaa" targetNamespace="http://schemas.microsoft.com/office/2006/metadata/properties" ma:root="true" ma:fieldsID="37cdf70b3f630e3ec97a9c6f38de1ce5" ns2:_="" ns3:_="">
    <xsd:import namespace="c50d3504-5d74-4e07-ba5c-057956969fb8"/>
    <xsd:import namespace="f93ada87-8dbd-4c64-9fe9-5607492de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d3504-5d74-4e07-ba5c-057956969f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ada87-8dbd-4c64-9fe9-5607492deb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3ada87-8dbd-4c64-9fe9-5607492debaa">
      <UserInfo>
        <DisplayName>SharingLinks.e55e2bc7-e5d1-414c-aa30-d2e338cb3bbd.OrganizationEdit.a467b7fb-8348-40f8-b2fd-349d8d9c3396</DisplayName>
        <AccountId>88</AccountId>
        <AccountType/>
      </UserInfo>
      <UserInfo>
        <DisplayName>Abby Sullivan</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238C-78AB-423D-9B1B-D9B6F7A9EB66}">
  <ds:schemaRefs>
    <ds:schemaRef ds:uri="http://schemas.microsoft.com/sharepoint/v3/contenttype/forms"/>
  </ds:schemaRefs>
</ds:datastoreItem>
</file>

<file path=customXml/itemProps2.xml><?xml version="1.0" encoding="utf-8"?>
<ds:datastoreItem xmlns:ds="http://schemas.openxmlformats.org/officeDocument/2006/customXml" ds:itemID="{AFC605B5-66AD-477A-8075-FCD3F34E9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d3504-5d74-4e07-ba5c-057956969fb8"/>
    <ds:schemaRef ds:uri="f93ada87-8dbd-4c64-9fe9-5607492de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47A68-A1F9-4D3F-AD55-25C4B51773F8}">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f93ada87-8dbd-4c64-9fe9-5607492debaa"/>
    <ds:schemaRef ds:uri="c50d3504-5d74-4e07-ba5c-057956969fb8"/>
    <ds:schemaRef ds:uri="http://schemas.microsoft.com/office/2006/metadata/properties"/>
  </ds:schemaRefs>
</ds:datastoreItem>
</file>

<file path=customXml/itemProps4.xml><?xml version="1.0" encoding="utf-8"?>
<ds:datastoreItem xmlns:ds="http://schemas.openxmlformats.org/officeDocument/2006/customXml" ds:itemID="{D4B444B9-2EC5-4EA1-A84A-A6B881F1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5288</Words>
  <Characters>31287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Corporate Plan 2018–19 (accessible version)</vt:lpstr>
    </vt:vector>
  </TitlesOfParts>
  <Company>Victoria Legal Aid</Company>
  <LinksUpToDate>false</LinksUpToDate>
  <CharactersWithSpaces>36502</CharactersWithSpaces>
  <SharedDoc>false</SharedDoc>
  <HLinks>
    <vt:vector size="186" baseType="variant">
      <vt:variant>
        <vt:i4>4653175</vt:i4>
      </vt:variant>
      <vt:variant>
        <vt:i4>171</vt:i4>
      </vt:variant>
      <vt:variant>
        <vt:i4>0</vt:i4>
      </vt:variant>
      <vt:variant>
        <vt:i4>5</vt:i4>
      </vt:variant>
      <vt:variant>
        <vt:lpwstr/>
      </vt:variant>
      <vt:variant>
        <vt:lpwstr>_Regional_Services_Program</vt:lpwstr>
      </vt:variant>
      <vt:variant>
        <vt:i4>7929939</vt:i4>
      </vt:variant>
      <vt:variant>
        <vt:i4>168</vt:i4>
      </vt:variant>
      <vt:variant>
        <vt:i4>0</vt:i4>
      </vt:variant>
      <vt:variant>
        <vt:i4>5</vt:i4>
      </vt:variant>
      <vt:variant>
        <vt:lpwstr/>
      </vt:variant>
      <vt:variant>
        <vt:lpwstr>_Digital_Legal_Aid</vt:lpwstr>
      </vt:variant>
      <vt:variant>
        <vt:i4>6291536</vt:i4>
      </vt:variant>
      <vt:variant>
        <vt:i4>165</vt:i4>
      </vt:variant>
      <vt:variant>
        <vt:i4>0</vt:i4>
      </vt:variant>
      <vt:variant>
        <vt:i4>5</vt:i4>
      </vt:variant>
      <vt:variant>
        <vt:lpwstr/>
      </vt:variant>
      <vt:variant>
        <vt:lpwstr>_Table_3:_Expenditure</vt:lpwstr>
      </vt:variant>
      <vt:variant>
        <vt:i4>2170928</vt:i4>
      </vt:variant>
      <vt:variant>
        <vt:i4>162</vt:i4>
      </vt:variant>
      <vt:variant>
        <vt:i4>0</vt:i4>
      </vt:variant>
      <vt:variant>
        <vt:i4>5</vt:i4>
      </vt:variant>
      <vt:variant>
        <vt:lpwstr/>
      </vt:variant>
      <vt:variant>
        <vt:lpwstr>_Chart_1:_2018–19</vt:lpwstr>
      </vt:variant>
      <vt:variant>
        <vt:i4>2031673</vt:i4>
      </vt:variant>
      <vt:variant>
        <vt:i4>159</vt:i4>
      </vt:variant>
      <vt:variant>
        <vt:i4>0</vt:i4>
      </vt:variant>
      <vt:variant>
        <vt:i4>5</vt:i4>
      </vt:variant>
      <vt:variant>
        <vt:lpwstr/>
      </vt:variant>
      <vt:variant>
        <vt:lpwstr>_Table_1:_Snapshot</vt:lpwstr>
      </vt:variant>
      <vt:variant>
        <vt:i4>1507376</vt:i4>
      </vt:variant>
      <vt:variant>
        <vt:i4>152</vt:i4>
      </vt:variant>
      <vt:variant>
        <vt:i4>0</vt:i4>
      </vt:variant>
      <vt:variant>
        <vt:i4>5</vt:i4>
      </vt:variant>
      <vt:variant>
        <vt:lpwstr/>
      </vt:variant>
      <vt:variant>
        <vt:lpwstr>_Toc20289991</vt:lpwstr>
      </vt:variant>
      <vt:variant>
        <vt:i4>1441840</vt:i4>
      </vt:variant>
      <vt:variant>
        <vt:i4>146</vt:i4>
      </vt:variant>
      <vt:variant>
        <vt:i4>0</vt:i4>
      </vt:variant>
      <vt:variant>
        <vt:i4>5</vt:i4>
      </vt:variant>
      <vt:variant>
        <vt:lpwstr/>
      </vt:variant>
      <vt:variant>
        <vt:lpwstr>_Toc20289990</vt:lpwstr>
      </vt:variant>
      <vt:variant>
        <vt:i4>2031665</vt:i4>
      </vt:variant>
      <vt:variant>
        <vt:i4>140</vt:i4>
      </vt:variant>
      <vt:variant>
        <vt:i4>0</vt:i4>
      </vt:variant>
      <vt:variant>
        <vt:i4>5</vt:i4>
      </vt:variant>
      <vt:variant>
        <vt:lpwstr/>
      </vt:variant>
      <vt:variant>
        <vt:lpwstr>_Toc20289989</vt:lpwstr>
      </vt:variant>
      <vt:variant>
        <vt:i4>1966129</vt:i4>
      </vt:variant>
      <vt:variant>
        <vt:i4>134</vt:i4>
      </vt:variant>
      <vt:variant>
        <vt:i4>0</vt:i4>
      </vt:variant>
      <vt:variant>
        <vt:i4>5</vt:i4>
      </vt:variant>
      <vt:variant>
        <vt:lpwstr/>
      </vt:variant>
      <vt:variant>
        <vt:lpwstr>_Toc20289988</vt:lpwstr>
      </vt:variant>
      <vt:variant>
        <vt:i4>1114161</vt:i4>
      </vt:variant>
      <vt:variant>
        <vt:i4>128</vt:i4>
      </vt:variant>
      <vt:variant>
        <vt:i4>0</vt:i4>
      </vt:variant>
      <vt:variant>
        <vt:i4>5</vt:i4>
      </vt:variant>
      <vt:variant>
        <vt:lpwstr/>
      </vt:variant>
      <vt:variant>
        <vt:lpwstr>_Toc20289987</vt:lpwstr>
      </vt:variant>
      <vt:variant>
        <vt:i4>1048625</vt:i4>
      </vt:variant>
      <vt:variant>
        <vt:i4>122</vt:i4>
      </vt:variant>
      <vt:variant>
        <vt:i4>0</vt:i4>
      </vt:variant>
      <vt:variant>
        <vt:i4>5</vt:i4>
      </vt:variant>
      <vt:variant>
        <vt:lpwstr/>
      </vt:variant>
      <vt:variant>
        <vt:lpwstr>_Toc20289986</vt:lpwstr>
      </vt:variant>
      <vt:variant>
        <vt:i4>1245233</vt:i4>
      </vt:variant>
      <vt:variant>
        <vt:i4>116</vt:i4>
      </vt:variant>
      <vt:variant>
        <vt:i4>0</vt:i4>
      </vt:variant>
      <vt:variant>
        <vt:i4>5</vt:i4>
      </vt:variant>
      <vt:variant>
        <vt:lpwstr/>
      </vt:variant>
      <vt:variant>
        <vt:lpwstr>_Toc20289985</vt:lpwstr>
      </vt:variant>
      <vt:variant>
        <vt:i4>1179697</vt:i4>
      </vt:variant>
      <vt:variant>
        <vt:i4>110</vt:i4>
      </vt:variant>
      <vt:variant>
        <vt:i4>0</vt:i4>
      </vt:variant>
      <vt:variant>
        <vt:i4>5</vt:i4>
      </vt:variant>
      <vt:variant>
        <vt:lpwstr/>
      </vt:variant>
      <vt:variant>
        <vt:lpwstr>_Toc20289984</vt:lpwstr>
      </vt:variant>
      <vt:variant>
        <vt:i4>1376305</vt:i4>
      </vt:variant>
      <vt:variant>
        <vt:i4>104</vt:i4>
      </vt:variant>
      <vt:variant>
        <vt:i4>0</vt:i4>
      </vt:variant>
      <vt:variant>
        <vt:i4>5</vt:i4>
      </vt:variant>
      <vt:variant>
        <vt:lpwstr/>
      </vt:variant>
      <vt:variant>
        <vt:lpwstr>_Toc20289983</vt:lpwstr>
      </vt:variant>
      <vt:variant>
        <vt:i4>1310769</vt:i4>
      </vt:variant>
      <vt:variant>
        <vt:i4>98</vt:i4>
      </vt:variant>
      <vt:variant>
        <vt:i4>0</vt:i4>
      </vt:variant>
      <vt:variant>
        <vt:i4>5</vt:i4>
      </vt:variant>
      <vt:variant>
        <vt:lpwstr/>
      </vt:variant>
      <vt:variant>
        <vt:lpwstr>_Toc20289982</vt:lpwstr>
      </vt:variant>
      <vt:variant>
        <vt:i4>1507377</vt:i4>
      </vt:variant>
      <vt:variant>
        <vt:i4>92</vt:i4>
      </vt:variant>
      <vt:variant>
        <vt:i4>0</vt:i4>
      </vt:variant>
      <vt:variant>
        <vt:i4>5</vt:i4>
      </vt:variant>
      <vt:variant>
        <vt:lpwstr/>
      </vt:variant>
      <vt:variant>
        <vt:lpwstr>_Toc20289981</vt:lpwstr>
      </vt:variant>
      <vt:variant>
        <vt:i4>1441841</vt:i4>
      </vt:variant>
      <vt:variant>
        <vt:i4>86</vt:i4>
      </vt:variant>
      <vt:variant>
        <vt:i4>0</vt:i4>
      </vt:variant>
      <vt:variant>
        <vt:i4>5</vt:i4>
      </vt:variant>
      <vt:variant>
        <vt:lpwstr/>
      </vt:variant>
      <vt:variant>
        <vt:lpwstr>_Toc20289980</vt:lpwstr>
      </vt:variant>
      <vt:variant>
        <vt:i4>2031678</vt:i4>
      </vt:variant>
      <vt:variant>
        <vt:i4>80</vt:i4>
      </vt:variant>
      <vt:variant>
        <vt:i4>0</vt:i4>
      </vt:variant>
      <vt:variant>
        <vt:i4>5</vt:i4>
      </vt:variant>
      <vt:variant>
        <vt:lpwstr/>
      </vt:variant>
      <vt:variant>
        <vt:lpwstr>_Toc20289979</vt:lpwstr>
      </vt:variant>
      <vt:variant>
        <vt:i4>1966142</vt:i4>
      </vt:variant>
      <vt:variant>
        <vt:i4>74</vt:i4>
      </vt:variant>
      <vt:variant>
        <vt:i4>0</vt:i4>
      </vt:variant>
      <vt:variant>
        <vt:i4>5</vt:i4>
      </vt:variant>
      <vt:variant>
        <vt:lpwstr/>
      </vt:variant>
      <vt:variant>
        <vt:lpwstr>_Toc20289978</vt:lpwstr>
      </vt:variant>
      <vt:variant>
        <vt:i4>1114174</vt:i4>
      </vt:variant>
      <vt:variant>
        <vt:i4>68</vt:i4>
      </vt:variant>
      <vt:variant>
        <vt:i4>0</vt:i4>
      </vt:variant>
      <vt:variant>
        <vt:i4>5</vt:i4>
      </vt:variant>
      <vt:variant>
        <vt:lpwstr/>
      </vt:variant>
      <vt:variant>
        <vt:lpwstr>_Toc20289977</vt:lpwstr>
      </vt:variant>
      <vt:variant>
        <vt:i4>1048638</vt:i4>
      </vt:variant>
      <vt:variant>
        <vt:i4>62</vt:i4>
      </vt:variant>
      <vt:variant>
        <vt:i4>0</vt:i4>
      </vt:variant>
      <vt:variant>
        <vt:i4>5</vt:i4>
      </vt:variant>
      <vt:variant>
        <vt:lpwstr/>
      </vt:variant>
      <vt:variant>
        <vt:lpwstr>_Toc20289976</vt:lpwstr>
      </vt:variant>
      <vt:variant>
        <vt:i4>1245246</vt:i4>
      </vt:variant>
      <vt:variant>
        <vt:i4>56</vt:i4>
      </vt:variant>
      <vt:variant>
        <vt:i4>0</vt:i4>
      </vt:variant>
      <vt:variant>
        <vt:i4>5</vt:i4>
      </vt:variant>
      <vt:variant>
        <vt:lpwstr/>
      </vt:variant>
      <vt:variant>
        <vt:lpwstr>_Toc20289975</vt:lpwstr>
      </vt:variant>
      <vt:variant>
        <vt:i4>1179710</vt:i4>
      </vt:variant>
      <vt:variant>
        <vt:i4>50</vt:i4>
      </vt:variant>
      <vt:variant>
        <vt:i4>0</vt:i4>
      </vt:variant>
      <vt:variant>
        <vt:i4>5</vt:i4>
      </vt:variant>
      <vt:variant>
        <vt:lpwstr/>
      </vt:variant>
      <vt:variant>
        <vt:lpwstr>_Toc20289974</vt:lpwstr>
      </vt:variant>
      <vt:variant>
        <vt:i4>1376318</vt:i4>
      </vt:variant>
      <vt:variant>
        <vt:i4>44</vt:i4>
      </vt:variant>
      <vt:variant>
        <vt:i4>0</vt:i4>
      </vt:variant>
      <vt:variant>
        <vt:i4>5</vt:i4>
      </vt:variant>
      <vt:variant>
        <vt:lpwstr/>
      </vt:variant>
      <vt:variant>
        <vt:lpwstr>_Toc20289973</vt:lpwstr>
      </vt:variant>
      <vt:variant>
        <vt:i4>1310782</vt:i4>
      </vt:variant>
      <vt:variant>
        <vt:i4>38</vt:i4>
      </vt:variant>
      <vt:variant>
        <vt:i4>0</vt:i4>
      </vt:variant>
      <vt:variant>
        <vt:i4>5</vt:i4>
      </vt:variant>
      <vt:variant>
        <vt:lpwstr/>
      </vt:variant>
      <vt:variant>
        <vt:lpwstr>_Toc20289972</vt:lpwstr>
      </vt:variant>
      <vt:variant>
        <vt:i4>1507390</vt:i4>
      </vt:variant>
      <vt:variant>
        <vt:i4>32</vt:i4>
      </vt:variant>
      <vt:variant>
        <vt:i4>0</vt:i4>
      </vt:variant>
      <vt:variant>
        <vt:i4>5</vt:i4>
      </vt:variant>
      <vt:variant>
        <vt:lpwstr/>
      </vt:variant>
      <vt:variant>
        <vt:lpwstr>_Toc20289971</vt:lpwstr>
      </vt:variant>
      <vt:variant>
        <vt:i4>1441854</vt:i4>
      </vt:variant>
      <vt:variant>
        <vt:i4>26</vt:i4>
      </vt:variant>
      <vt:variant>
        <vt:i4>0</vt:i4>
      </vt:variant>
      <vt:variant>
        <vt:i4>5</vt:i4>
      </vt:variant>
      <vt:variant>
        <vt:lpwstr/>
      </vt:variant>
      <vt:variant>
        <vt:lpwstr>_Toc20289970</vt:lpwstr>
      </vt:variant>
      <vt:variant>
        <vt:i4>2031679</vt:i4>
      </vt:variant>
      <vt:variant>
        <vt:i4>20</vt:i4>
      </vt:variant>
      <vt:variant>
        <vt:i4>0</vt:i4>
      </vt:variant>
      <vt:variant>
        <vt:i4>5</vt:i4>
      </vt:variant>
      <vt:variant>
        <vt:lpwstr/>
      </vt:variant>
      <vt:variant>
        <vt:lpwstr>_Toc20289969</vt:lpwstr>
      </vt:variant>
      <vt:variant>
        <vt:i4>1966143</vt:i4>
      </vt:variant>
      <vt:variant>
        <vt:i4>14</vt:i4>
      </vt:variant>
      <vt:variant>
        <vt:i4>0</vt:i4>
      </vt:variant>
      <vt:variant>
        <vt:i4>5</vt:i4>
      </vt:variant>
      <vt:variant>
        <vt:lpwstr/>
      </vt:variant>
      <vt:variant>
        <vt:lpwstr>_Toc20289968</vt:lpwstr>
      </vt:variant>
      <vt:variant>
        <vt:i4>1114175</vt:i4>
      </vt:variant>
      <vt:variant>
        <vt:i4>8</vt:i4>
      </vt:variant>
      <vt:variant>
        <vt:i4>0</vt:i4>
      </vt:variant>
      <vt:variant>
        <vt:i4>5</vt:i4>
      </vt:variant>
      <vt:variant>
        <vt:lpwstr/>
      </vt:variant>
      <vt:variant>
        <vt:lpwstr>_Toc20289967</vt:lpwstr>
      </vt:variant>
      <vt:variant>
        <vt:i4>1048639</vt:i4>
      </vt:variant>
      <vt:variant>
        <vt:i4>2</vt:i4>
      </vt:variant>
      <vt:variant>
        <vt:i4>0</vt:i4>
      </vt:variant>
      <vt:variant>
        <vt:i4>5</vt:i4>
      </vt:variant>
      <vt:variant>
        <vt:lpwstr/>
      </vt:variant>
      <vt:variant>
        <vt:lpwstr>_Toc20289966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2018–19 (accessible version)</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0x010100551A5226193E354DBF38DBF2089CC78E</vt:lpwstr>
  </op:property>
  <op:property fmtid="{D5CDD505-2E9C-101B-9397-08002B2CF9AE}" pid="4" name="_MarkAsFinal">
    <vt:bool>true</vt:bool>
  </op:property>
</op:Properties>
</file>