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F6626" w14:textId="130DD9D9" w:rsidR="00E50B26" w:rsidRDefault="00627BED" w:rsidP="00E50B26">
      <w:pPr>
        <w:pStyle w:val="Heading1"/>
        <w:rPr>
          <w:sz w:val="24"/>
          <w:szCs w:val="24"/>
        </w:rPr>
      </w:pPr>
      <w:r>
        <w:t xml:space="preserve">Victoria Legal Aid </w:t>
      </w:r>
      <w:r w:rsidR="004175B7">
        <w:t xml:space="preserve">2019–20 Quarter </w:t>
      </w:r>
      <w:r w:rsidR="4D84887A">
        <w:t>four</w:t>
      </w:r>
      <w:r w:rsidR="004175B7">
        <w:t xml:space="preserve"> </w:t>
      </w:r>
      <w:r w:rsidR="00F309FB">
        <w:t>r</w:t>
      </w:r>
      <w:r w:rsidR="004175B7">
        <w:t>eport</w:t>
      </w:r>
      <w:r w:rsidR="00544E69">
        <w:t xml:space="preserve"> </w:t>
      </w:r>
      <w:r>
        <w:br/>
      </w:r>
      <w:r w:rsidR="00544E69" w:rsidRPr="55245693">
        <w:rPr>
          <w:sz w:val="24"/>
          <w:szCs w:val="24"/>
        </w:rPr>
        <w:t xml:space="preserve">1 </w:t>
      </w:r>
      <w:r w:rsidR="4D1BDAAC" w:rsidRPr="55245693">
        <w:rPr>
          <w:sz w:val="24"/>
          <w:szCs w:val="24"/>
        </w:rPr>
        <w:t>April</w:t>
      </w:r>
      <w:r w:rsidR="00544E69" w:rsidRPr="55245693">
        <w:rPr>
          <w:sz w:val="24"/>
          <w:szCs w:val="24"/>
        </w:rPr>
        <w:t xml:space="preserve"> – 3</w:t>
      </w:r>
      <w:r w:rsidR="4E8DC3E2" w:rsidRPr="55245693">
        <w:rPr>
          <w:sz w:val="24"/>
          <w:szCs w:val="24"/>
        </w:rPr>
        <w:t>0</w:t>
      </w:r>
      <w:r w:rsidR="00544E69" w:rsidRPr="55245693">
        <w:rPr>
          <w:sz w:val="24"/>
          <w:szCs w:val="24"/>
        </w:rPr>
        <w:t xml:space="preserve"> </w:t>
      </w:r>
      <w:r w:rsidR="11F54A52" w:rsidRPr="55245693">
        <w:rPr>
          <w:sz w:val="24"/>
          <w:szCs w:val="24"/>
        </w:rPr>
        <w:t>June</w:t>
      </w:r>
      <w:r w:rsidR="00544E69" w:rsidRPr="55245693">
        <w:rPr>
          <w:sz w:val="24"/>
          <w:szCs w:val="24"/>
        </w:rPr>
        <w:t xml:space="preserve"> 20</w:t>
      </w:r>
      <w:r w:rsidR="00CA1D1A" w:rsidRPr="55245693">
        <w:rPr>
          <w:sz w:val="24"/>
          <w:szCs w:val="24"/>
        </w:rPr>
        <w:t>20</w:t>
      </w:r>
    </w:p>
    <w:p w14:paraId="25FB6B02" w14:textId="0FF7E73A" w:rsidR="00E84672" w:rsidRDefault="00BF1E92" w:rsidP="00E84672">
      <w:pPr>
        <w:pStyle w:val="Heading2"/>
      </w:pPr>
      <w:r>
        <w:t xml:space="preserve">Message from the </w:t>
      </w:r>
      <w:r w:rsidRPr="001F0CF5">
        <w:t>CEO</w:t>
      </w:r>
    </w:p>
    <w:p w14:paraId="4D0C8EC6" w14:textId="4EE655AB" w:rsidR="00547F69" w:rsidRDefault="00734F35" w:rsidP="00E866A7">
      <w:r>
        <w:t xml:space="preserve">The impact of the </w:t>
      </w:r>
      <w:r w:rsidR="004E35F9">
        <w:t xml:space="preserve">summer </w:t>
      </w:r>
      <w:r>
        <w:t>bushfires</w:t>
      </w:r>
      <w:r w:rsidR="00C62C70">
        <w:t xml:space="preserve"> and the onset of the global COVID-19 pandemic in March 2020 </w:t>
      </w:r>
      <w:r w:rsidR="005D41CB">
        <w:t>ha</w:t>
      </w:r>
      <w:r w:rsidR="00E52DFE">
        <w:t>ve</w:t>
      </w:r>
      <w:r w:rsidR="004E35F9">
        <w:t xml:space="preserve"> had devastating consequences for </w:t>
      </w:r>
      <w:r w:rsidR="00AE5B76">
        <w:t xml:space="preserve">the </w:t>
      </w:r>
      <w:r w:rsidR="004E35F9">
        <w:t>Victorian community</w:t>
      </w:r>
      <w:r w:rsidR="003A5C29">
        <w:t xml:space="preserve">. Emergencies such as these </w:t>
      </w:r>
      <w:r w:rsidR="00A75AE2">
        <w:t xml:space="preserve">have the potential to both create and exacerbate existing community legal </w:t>
      </w:r>
      <w:r w:rsidR="00AE5B76">
        <w:t>need and</w:t>
      </w:r>
      <w:r w:rsidR="00A75AE2">
        <w:t xml:space="preserve"> can </w:t>
      </w:r>
      <w:r w:rsidR="007D72ED">
        <w:t xml:space="preserve">unfairly impact </w:t>
      </w:r>
      <w:r w:rsidR="00562019">
        <w:t>the communities who need access to legal help the most.</w:t>
      </w:r>
      <w:r w:rsidR="00F938A7">
        <w:t xml:space="preserve"> We have continued to provide </w:t>
      </w:r>
      <w:r w:rsidR="008F36EC">
        <w:t xml:space="preserve">the essential legal services that people need </w:t>
      </w:r>
      <w:r w:rsidR="00EC4D49">
        <w:t>whilst ensuring the safety of our staff, communities and clients.</w:t>
      </w:r>
      <w:r w:rsidR="00235197">
        <w:t xml:space="preserve"> </w:t>
      </w:r>
    </w:p>
    <w:p w14:paraId="7F17A5B8" w14:textId="5EFA7C74" w:rsidR="00547F69" w:rsidRDefault="00547F69" w:rsidP="00E866A7">
      <w:r>
        <w:t>Hearings at court are currently limiting the number of people attending in-person, so where applicable our clients and staff have been appearing remotely. We have been working with our justice</w:t>
      </w:r>
      <w:r w:rsidR="00434142">
        <w:t xml:space="preserve"> system</w:t>
      </w:r>
      <w:r>
        <w:t xml:space="preserve"> partners to ensure that potential clients remain aware of the services we </w:t>
      </w:r>
      <w:r w:rsidR="00D162CB">
        <w:t>provide and</w:t>
      </w:r>
      <w:r>
        <w:t xml:space="preserve"> providing our clients with support to help them remain engaged with the </w:t>
      </w:r>
      <w:r w:rsidR="00DE6D45">
        <w:t xml:space="preserve">court </w:t>
      </w:r>
      <w:r>
        <w:t>process.</w:t>
      </w:r>
    </w:p>
    <w:p w14:paraId="2F42252C" w14:textId="4A855D2F" w:rsidR="00C145C0" w:rsidRDefault="0063789E" w:rsidP="00E866A7">
      <w:r>
        <w:t>The rapid modernisation of the justice system</w:t>
      </w:r>
      <w:r w:rsidR="00640D5F">
        <w:t xml:space="preserve"> in response to COVID-19</w:t>
      </w:r>
      <w:r>
        <w:t xml:space="preserve"> can provide many benefits</w:t>
      </w:r>
      <w:r w:rsidR="00640D5F">
        <w:t xml:space="preserve"> and</w:t>
      </w:r>
      <w:r w:rsidR="00FD4653">
        <w:t xml:space="preserve"> potentially</w:t>
      </w:r>
      <w:r w:rsidR="00640D5F">
        <w:t xml:space="preserve"> increase access to justice. </w:t>
      </w:r>
      <w:r w:rsidR="00004D17">
        <w:t xml:space="preserve">Our previous investments in technology </w:t>
      </w:r>
      <w:r w:rsidR="00DE6D45">
        <w:t>ha</w:t>
      </w:r>
      <w:r w:rsidR="00D162CB">
        <w:t>ve</w:t>
      </w:r>
      <w:r w:rsidR="00DE6D45">
        <w:t xml:space="preserve"> </w:t>
      </w:r>
      <w:r w:rsidR="00004D17">
        <w:t xml:space="preserve">meant that the majority of our workforce were able to transition to a remote </w:t>
      </w:r>
      <w:r w:rsidR="00854CB2">
        <w:t>w</w:t>
      </w:r>
      <w:r w:rsidR="00004D17">
        <w:t>orking model</w:t>
      </w:r>
      <w:r w:rsidR="00854CB2">
        <w:t xml:space="preserve">. </w:t>
      </w:r>
      <w:r w:rsidR="00DE6D45">
        <w:t xml:space="preserve">Our </w:t>
      </w:r>
      <w:r w:rsidR="006E5416">
        <w:t>services</w:t>
      </w:r>
      <w:r w:rsidR="00BE3D0F">
        <w:t>,</w:t>
      </w:r>
      <w:r w:rsidR="006E5416">
        <w:t xml:space="preserve"> such as our Legal Help phoneline and web chat</w:t>
      </w:r>
      <w:r w:rsidR="00BE3D0F">
        <w:t>,</w:t>
      </w:r>
      <w:r w:rsidR="006E5416">
        <w:t xml:space="preserve"> were able to continue to provide information and advice to the many Victorians seeking it. </w:t>
      </w:r>
    </w:p>
    <w:p w14:paraId="4D0044B2" w14:textId="30D75E9E" w:rsidR="0082142A" w:rsidRDefault="009340FD" w:rsidP="00E866A7">
      <w:r>
        <w:t xml:space="preserve">We were able to keep pace with the justice system as it underwent a rapid technology transformation. </w:t>
      </w:r>
      <w:r w:rsidR="00640D5F">
        <w:t xml:space="preserve">However, </w:t>
      </w:r>
      <w:r w:rsidR="00C9670D">
        <w:t>not all our clients</w:t>
      </w:r>
      <w:r w:rsidR="00854CB2">
        <w:t xml:space="preserve"> and practice partners</w:t>
      </w:r>
      <w:r w:rsidR="00C9670D">
        <w:t xml:space="preserve"> are able to access</w:t>
      </w:r>
      <w:r w:rsidR="00B62DF0">
        <w:t xml:space="preserve"> or use technology equally</w:t>
      </w:r>
      <w:r w:rsidR="00854CB2">
        <w:t>.</w:t>
      </w:r>
      <w:r w:rsidR="00562019">
        <w:t xml:space="preserve"> </w:t>
      </w:r>
      <w:r w:rsidR="00C145C0">
        <w:t>Some of our clients wil</w:t>
      </w:r>
      <w:r w:rsidR="002A4D73">
        <w:t>l</w:t>
      </w:r>
      <w:r w:rsidR="008448F7">
        <w:t xml:space="preserve"> benefit from a remote service model, </w:t>
      </w:r>
      <w:r w:rsidR="00C145C0">
        <w:t>but</w:t>
      </w:r>
      <w:r w:rsidR="008448F7">
        <w:t xml:space="preserve"> those who have difficulty accessing</w:t>
      </w:r>
      <w:r w:rsidR="00C145C0">
        <w:t xml:space="preserve"> technology</w:t>
      </w:r>
      <w:r w:rsidR="008448F7">
        <w:t xml:space="preserve"> and remaining engaged are at risk of </w:t>
      </w:r>
      <w:r w:rsidR="0032193B">
        <w:t>not receiving the appropriate help</w:t>
      </w:r>
      <w:r w:rsidR="008448F7">
        <w:t>.</w:t>
      </w:r>
      <w:r w:rsidR="00B82BBC">
        <w:t xml:space="preserve"> Clients who have a disability or mental illness, live in remote areas with poor internet connections</w:t>
      </w:r>
      <w:r w:rsidR="00DE081A">
        <w:t xml:space="preserve"> and clients who require an interpreter are at risk of not engaging in the online process as well as they could with the in-person model.</w:t>
      </w:r>
      <w:r w:rsidR="00B82BBC">
        <w:t xml:space="preserve"> </w:t>
      </w:r>
    </w:p>
    <w:p w14:paraId="3A24703C" w14:textId="1927F819" w:rsidR="004A3A88" w:rsidRDefault="00542AD7" w:rsidP="00E866A7">
      <w:r>
        <w:t xml:space="preserve">Since the onset of the pandemic we have been providing </w:t>
      </w:r>
      <w:r w:rsidR="00AF254C">
        <w:t>specific COVID-19</w:t>
      </w:r>
      <w:r w:rsidR="004B210F">
        <w:t xml:space="preserve"> information, advice and resource</w:t>
      </w:r>
      <w:r w:rsidR="00AF254C">
        <w:t>s</w:t>
      </w:r>
      <w:r w:rsidR="004B210F">
        <w:t xml:space="preserve"> for our clients and practice partners. We have also welcomed additional funding from both the Commonwealth and State governments to assist with our </w:t>
      </w:r>
      <w:r w:rsidR="00552D48">
        <w:t>demand pressures for Legal Help, family mediation services, improved family violence services, enhanced case management responses in indictable crime</w:t>
      </w:r>
      <w:r w:rsidR="00AF254C">
        <w:t xml:space="preserve">, </w:t>
      </w:r>
      <w:r w:rsidR="00552D48">
        <w:t xml:space="preserve">preparation for child protection matters, </w:t>
      </w:r>
      <w:r w:rsidR="00AF254C">
        <w:t xml:space="preserve">and </w:t>
      </w:r>
      <w:r w:rsidR="00552D48">
        <w:t>improved ICT equipment and support for our staff.</w:t>
      </w:r>
      <w:r w:rsidR="003F26A1">
        <w:t xml:space="preserve"> </w:t>
      </w:r>
      <w:r w:rsidR="00EC13C7">
        <w:t>The year ahead</w:t>
      </w:r>
      <w:r w:rsidR="00E05C4F">
        <w:t xml:space="preserve"> will </w:t>
      </w:r>
      <w:r w:rsidR="00AF254C">
        <w:t>bring</w:t>
      </w:r>
      <w:r w:rsidR="00E05C4F">
        <w:t xml:space="preserve"> uncertainties in the justice system and in our </w:t>
      </w:r>
      <w:r w:rsidR="00B31486">
        <w:t>communities, but</w:t>
      </w:r>
      <w:r w:rsidR="00000BAF">
        <w:t xml:space="preserve"> we will continue to provide the </w:t>
      </w:r>
      <w:r w:rsidR="00E33AD6">
        <w:t>legal assistance services that so many people need.</w:t>
      </w:r>
      <w:r w:rsidR="007D113A">
        <w:t xml:space="preserve"> </w:t>
      </w:r>
      <w:r w:rsidR="00E33AD6">
        <w:t>O</w:t>
      </w:r>
      <w:r w:rsidR="007D113A">
        <w:t xml:space="preserve">ur progress towards being a more </w:t>
      </w:r>
      <w:r w:rsidR="00AF254C">
        <w:t>user-</w:t>
      </w:r>
      <w:r w:rsidR="007D113A">
        <w:t xml:space="preserve">centred </w:t>
      </w:r>
      <w:r w:rsidR="009340FD">
        <w:t>organisation</w:t>
      </w:r>
      <w:r w:rsidR="00E33AD6">
        <w:t xml:space="preserve"> will be led by our Client First Strategy</w:t>
      </w:r>
      <w:r w:rsidR="00B002F2">
        <w:t xml:space="preserve"> as we</w:t>
      </w:r>
      <w:r w:rsidR="009340FD">
        <w:t xml:space="preserve"> </w:t>
      </w:r>
      <w:r w:rsidR="00B002F2">
        <w:t>remain mindful</w:t>
      </w:r>
      <w:r w:rsidR="007D113A">
        <w:t xml:space="preserve"> </w:t>
      </w:r>
      <w:r w:rsidR="00B002F2">
        <w:t>of</w:t>
      </w:r>
      <w:r w:rsidR="007D113A">
        <w:t xml:space="preserve"> the </w:t>
      </w:r>
      <w:r w:rsidR="004A3A88">
        <w:t>various realities that our clients face</w:t>
      </w:r>
      <w:r w:rsidR="009340FD">
        <w:t xml:space="preserve"> in this changing legal landscape</w:t>
      </w:r>
      <w:r w:rsidR="004A3A88">
        <w:t>.</w:t>
      </w:r>
    </w:p>
    <w:p w14:paraId="310C1A26" w14:textId="2CDED98B" w:rsidR="00E866A7" w:rsidRPr="00DE36E1" w:rsidRDefault="00E866A7" w:rsidP="00E866A7"/>
    <w:p w14:paraId="32BA3F06" w14:textId="2E10911D" w:rsidR="001C7169" w:rsidRDefault="001C7169">
      <w:pPr>
        <w:spacing w:after="0" w:line="240" w:lineRule="auto"/>
        <w:rPr>
          <w:rFonts w:eastAsia="Calibri" w:cs="Arial"/>
          <w:szCs w:val="22"/>
        </w:rPr>
      </w:pPr>
      <w:r>
        <w:rPr>
          <w:rFonts w:eastAsia="Calibri" w:cs="Arial"/>
          <w:szCs w:val="22"/>
        </w:rPr>
        <w:br w:type="page"/>
      </w:r>
    </w:p>
    <w:p w14:paraId="1C7CBEA9" w14:textId="481EA62F" w:rsidR="00E43EE2" w:rsidRDefault="004175B7" w:rsidP="00597600">
      <w:pPr>
        <w:pStyle w:val="Heading2"/>
      </w:pPr>
      <w:r w:rsidRPr="004175B7">
        <w:lastRenderedPageBreak/>
        <w:t>Snapshot of service delivery</w:t>
      </w:r>
      <w:r w:rsidR="007F609B">
        <w:t xml:space="preserve"> </w:t>
      </w:r>
      <w:r w:rsidRPr="004175B7">
        <w:t xml:space="preserve"> </w:t>
      </w:r>
    </w:p>
    <w:p w14:paraId="5ADA23B4" w14:textId="38B1F85B" w:rsidR="00B53761" w:rsidRDefault="002A4D73" w:rsidP="00B53761">
      <w:pPr>
        <w:rPr>
          <w:lang w:eastAsia="en-AU"/>
        </w:rPr>
      </w:pPr>
      <w:r>
        <w:rPr>
          <w:lang w:eastAsia="en-AU"/>
        </w:rPr>
        <w:t xml:space="preserve">Between </w:t>
      </w:r>
      <w:r w:rsidR="00A75D82">
        <w:rPr>
          <w:lang w:eastAsia="en-AU"/>
        </w:rPr>
        <w:t>April to June</w:t>
      </w:r>
      <w:r w:rsidR="000A4EA9">
        <w:rPr>
          <w:lang w:eastAsia="en-AU"/>
        </w:rPr>
        <w:t xml:space="preserve"> 2020</w:t>
      </w:r>
      <w:r>
        <w:rPr>
          <w:lang w:eastAsia="en-AU"/>
        </w:rPr>
        <w:t xml:space="preserve"> there were</w:t>
      </w:r>
      <w:r w:rsidR="00A75D82">
        <w:rPr>
          <w:lang w:eastAsia="en-AU"/>
        </w:rPr>
        <w:t xml:space="preserve"> significant changes to </w:t>
      </w:r>
      <w:r w:rsidR="00AF254C">
        <w:rPr>
          <w:lang w:eastAsia="en-AU"/>
        </w:rPr>
        <w:t xml:space="preserve">how </w:t>
      </w:r>
      <w:r w:rsidR="00A75D82">
        <w:rPr>
          <w:lang w:eastAsia="en-AU"/>
        </w:rPr>
        <w:t xml:space="preserve">the justice system operates. </w:t>
      </w:r>
      <w:r w:rsidR="000A4EA9">
        <w:rPr>
          <w:lang w:eastAsia="en-AU"/>
        </w:rPr>
        <w:t xml:space="preserve">The effects </w:t>
      </w:r>
      <w:r w:rsidR="00705E62">
        <w:rPr>
          <w:lang w:eastAsia="en-AU"/>
        </w:rPr>
        <w:t xml:space="preserve">on our service delivery </w:t>
      </w:r>
      <w:r w:rsidR="000A4EA9">
        <w:rPr>
          <w:lang w:eastAsia="en-AU"/>
        </w:rPr>
        <w:t xml:space="preserve">that we began to see </w:t>
      </w:r>
      <w:r w:rsidR="000055D7">
        <w:rPr>
          <w:lang w:eastAsia="en-AU"/>
        </w:rPr>
        <w:t>in March 2020</w:t>
      </w:r>
      <w:r w:rsidR="00A55BFB">
        <w:rPr>
          <w:lang w:eastAsia="en-AU"/>
        </w:rPr>
        <w:t xml:space="preserve"> </w:t>
      </w:r>
      <w:r w:rsidR="000055D7">
        <w:rPr>
          <w:lang w:eastAsia="en-AU"/>
        </w:rPr>
        <w:t>(</w:t>
      </w:r>
      <w:r w:rsidR="00BB52B2">
        <w:rPr>
          <w:lang w:eastAsia="en-AU"/>
        </w:rPr>
        <w:t>after a State of Emergency was declared</w:t>
      </w:r>
      <w:r w:rsidR="000055D7">
        <w:rPr>
          <w:lang w:eastAsia="en-AU"/>
        </w:rPr>
        <w:t>)</w:t>
      </w:r>
      <w:r w:rsidR="00BB52B2">
        <w:rPr>
          <w:lang w:eastAsia="en-AU"/>
        </w:rPr>
        <w:t xml:space="preserve"> </w:t>
      </w:r>
      <w:r w:rsidR="00A55BFB">
        <w:rPr>
          <w:lang w:eastAsia="en-AU"/>
        </w:rPr>
        <w:t>became</w:t>
      </w:r>
      <w:r w:rsidR="001C7CB5">
        <w:rPr>
          <w:lang w:eastAsia="en-AU"/>
        </w:rPr>
        <w:t xml:space="preserve"> more evident</w:t>
      </w:r>
      <w:r w:rsidR="006D5F6F">
        <w:rPr>
          <w:lang w:eastAsia="en-AU"/>
        </w:rPr>
        <w:t xml:space="preserve">. </w:t>
      </w:r>
    </w:p>
    <w:p w14:paraId="0D99DC13" w14:textId="57C6FE69" w:rsidR="005F0386" w:rsidRDefault="00B31486" w:rsidP="00B53761">
      <w:pPr>
        <w:rPr>
          <w:lang w:eastAsia="en-AU"/>
        </w:rPr>
      </w:pPr>
      <w:r>
        <w:rPr>
          <w:lang w:eastAsia="en-AU"/>
        </w:rPr>
        <w:t>Except for</w:t>
      </w:r>
      <w:r w:rsidR="005F0386">
        <w:rPr>
          <w:lang w:eastAsia="en-AU"/>
        </w:rPr>
        <w:t xml:space="preserve"> ‘Sessions</w:t>
      </w:r>
      <w:r w:rsidR="0080753F">
        <w:rPr>
          <w:lang w:eastAsia="en-AU"/>
        </w:rPr>
        <w:t xml:space="preserve"> on our website</w:t>
      </w:r>
      <w:r w:rsidR="00D83854">
        <w:rPr>
          <w:lang w:eastAsia="en-AU"/>
        </w:rPr>
        <w:t>’</w:t>
      </w:r>
      <w:r w:rsidR="0080753F">
        <w:rPr>
          <w:lang w:eastAsia="en-AU"/>
        </w:rPr>
        <w:t xml:space="preserve">, we are unable to provide service </w:t>
      </w:r>
      <w:r w:rsidR="00E973BE">
        <w:rPr>
          <w:lang w:eastAsia="en-AU"/>
        </w:rPr>
        <w:t xml:space="preserve">or financial </w:t>
      </w:r>
      <w:r w:rsidR="0080753F">
        <w:rPr>
          <w:lang w:eastAsia="en-AU"/>
        </w:rPr>
        <w:t>projections</w:t>
      </w:r>
      <w:r w:rsidR="00CE31F4">
        <w:rPr>
          <w:lang w:eastAsia="en-AU"/>
        </w:rPr>
        <w:t xml:space="preserve"> in this report</w:t>
      </w:r>
      <w:r w:rsidR="0045298D">
        <w:rPr>
          <w:lang w:eastAsia="en-AU"/>
        </w:rPr>
        <w:t>. As part of the state annual budget process</w:t>
      </w:r>
      <w:r w:rsidR="0045298D">
        <w:rPr>
          <w:szCs w:val="22"/>
        </w:rPr>
        <w:t xml:space="preserve"> we</w:t>
      </w:r>
      <w:r w:rsidR="00316C23">
        <w:rPr>
          <w:szCs w:val="22"/>
        </w:rPr>
        <w:t xml:space="preserve"> usually</w:t>
      </w:r>
      <w:r w:rsidR="0045298D">
        <w:rPr>
          <w:szCs w:val="22"/>
        </w:rPr>
        <w:t xml:space="preserve"> forecast the number of services we will deliver </w:t>
      </w:r>
      <w:r w:rsidR="00316C23">
        <w:rPr>
          <w:szCs w:val="22"/>
        </w:rPr>
        <w:t>in a financial year</w:t>
      </w:r>
      <w:r w:rsidR="0045298D">
        <w:rPr>
          <w:szCs w:val="22"/>
        </w:rPr>
        <w:t xml:space="preserve">. </w:t>
      </w:r>
      <w:r w:rsidR="00316C23">
        <w:rPr>
          <w:szCs w:val="22"/>
        </w:rPr>
        <w:t xml:space="preserve">However, the </w:t>
      </w:r>
      <w:r w:rsidR="0045298D">
        <w:rPr>
          <w:szCs w:val="22"/>
        </w:rPr>
        <w:t>State Budget</w:t>
      </w:r>
      <w:r w:rsidR="00316C23">
        <w:rPr>
          <w:szCs w:val="22"/>
        </w:rPr>
        <w:t xml:space="preserve"> for 2020</w:t>
      </w:r>
      <w:r>
        <w:rPr>
          <w:szCs w:val="22"/>
        </w:rPr>
        <w:t>–</w:t>
      </w:r>
      <w:r w:rsidR="00316C23">
        <w:rPr>
          <w:szCs w:val="22"/>
        </w:rPr>
        <w:t>21 has been delayed</w:t>
      </w:r>
      <w:r w:rsidR="00723283">
        <w:rPr>
          <w:szCs w:val="22"/>
        </w:rPr>
        <w:t xml:space="preserve"> and </w:t>
      </w:r>
      <w:r>
        <w:rPr>
          <w:szCs w:val="22"/>
        </w:rPr>
        <w:t>consequently we</w:t>
      </w:r>
      <w:r w:rsidR="0045298D">
        <w:rPr>
          <w:szCs w:val="22"/>
        </w:rPr>
        <w:t xml:space="preserve"> are </w:t>
      </w:r>
      <w:r w:rsidR="00CE31F4">
        <w:rPr>
          <w:szCs w:val="22"/>
        </w:rPr>
        <w:t xml:space="preserve">currently </w:t>
      </w:r>
      <w:r w:rsidR="0045298D">
        <w:rPr>
          <w:szCs w:val="22"/>
        </w:rPr>
        <w:t>unable to reliably forecast our service levels</w:t>
      </w:r>
      <w:r w:rsidR="007266ED">
        <w:rPr>
          <w:szCs w:val="22"/>
        </w:rPr>
        <w:t xml:space="preserve"> or provide financial projections</w:t>
      </w:r>
      <w:r w:rsidR="0045298D">
        <w:rPr>
          <w:szCs w:val="22"/>
        </w:rPr>
        <w:t>. We will publish our budget and service projections after the State Budget is delivered</w:t>
      </w:r>
      <w:r w:rsidR="00723283">
        <w:rPr>
          <w:szCs w:val="22"/>
        </w:rPr>
        <w:t xml:space="preserve">, consistent with the approach we will take with our </w:t>
      </w:r>
      <w:hyperlink r:id="rId11" w:history="1">
        <w:r w:rsidR="00723283" w:rsidRPr="00356572">
          <w:rPr>
            <w:rStyle w:val="Hyperlink"/>
            <w:szCs w:val="22"/>
          </w:rPr>
          <w:t>Corporate Plan</w:t>
        </w:r>
      </w:hyperlink>
      <w:r w:rsidR="0045298D">
        <w:rPr>
          <w:szCs w:val="22"/>
        </w:rPr>
        <w:t>.</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10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1"/>
        <w:gridCol w:w="1370"/>
        <w:gridCol w:w="1565"/>
        <w:gridCol w:w="1564"/>
        <w:gridCol w:w="1553"/>
        <w:gridCol w:w="11"/>
        <w:gridCol w:w="1553"/>
        <w:gridCol w:w="11"/>
      </w:tblGrid>
      <w:tr w:rsidR="000679DF" w:rsidRPr="000E7EED" w14:paraId="5105FACB" w14:textId="02280261" w:rsidTr="00B15BE5">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2401" w:type="dxa"/>
            <w:shd w:val="clear" w:color="auto" w:fill="C3AFCC"/>
          </w:tcPr>
          <w:p w14:paraId="02AC0E7C" w14:textId="77777777" w:rsidR="004175B7" w:rsidRPr="000E7EED" w:rsidRDefault="004175B7"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370" w:type="dxa"/>
            <w:shd w:val="clear" w:color="auto" w:fill="C3AFCC"/>
          </w:tcPr>
          <w:p w14:paraId="1DB462B9" w14:textId="6FA3C0FD" w:rsidR="004175B7" w:rsidRPr="000E7EED" w:rsidRDefault="4E94EB1A" w:rsidP="55245693">
            <w:pPr>
              <w:jc w:val="center"/>
              <w:rPr>
                <w:b/>
                <w:color w:val="000000" w:themeColor="text1"/>
              </w:rPr>
            </w:pPr>
            <w:r w:rsidRPr="55245693">
              <w:rPr>
                <w:b/>
                <w:color w:val="000000" w:themeColor="text1"/>
              </w:rPr>
              <w:t>Q</w:t>
            </w:r>
            <w:r w:rsidR="13FC5829" w:rsidRPr="55245693">
              <w:rPr>
                <w:b/>
                <w:color w:val="000000" w:themeColor="text1"/>
              </w:rPr>
              <w:t>4</w:t>
            </w:r>
          </w:p>
          <w:p w14:paraId="2C3C051D"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565" w:type="dxa"/>
            <w:shd w:val="clear" w:color="auto" w:fill="C3AFCC"/>
          </w:tcPr>
          <w:p w14:paraId="47FD7D32" w14:textId="0EE34CE0" w:rsidR="004175B7" w:rsidRDefault="004175B7" w:rsidP="55245693">
            <w:pPr>
              <w:jc w:val="center"/>
              <w:rPr>
                <w:b/>
                <w:color w:val="000000" w:themeColor="text1"/>
              </w:rPr>
            </w:pPr>
            <w:r w:rsidRPr="55245693">
              <w:rPr>
                <w:b/>
                <w:color w:val="000000" w:themeColor="text1"/>
              </w:rPr>
              <w:t>Q</w:t>
            </w:r>
            <w:r w:rsidR="043B2F16" w:rsidRPr="55245693">
              <w:rPr>
                <w:b/>
                <w:color w:val="000000" w:themeColor="text1"/>
              </w:rPr>
              <w:t>4</w:t>
            </w:r>
            <w:r w:rsidRPr="55245693">
              <w:rPr>
                <w:b/>
                <w:color w:val="000000" w:themeColor="text1"/>
              </w:rPr>
              <w:t xml:space="preserve"> </w:t>
            </w:r>
          </w:p>
          <w:p w14:paraId="62B8B011"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01000000" w:firstRow="0" w:lastRow="0" w:firstColumn="0" w:lastColumn="0" w:oddVBand="0" w:evenVBand="1" w:oddHBand="0" w:evenHBand="0" w:firstRowFirstColumn="0" w:firstRowLastColumn="0" w:lastRowFirstColumn="0" w:lastRowLastColumn="0"/>
            <w:tcW w:w="1564" w:type="dxa"/>
            <w:shd w:val="clear" w:color="auto" w:fill="C3AFCC"/>
          </w:tcPr>
          <w:p w14:paraId="62477243" w14:textId="6354A479" w:rsidR="004175B7" w:rsidRDefault="00B15BE5" w:rsidP="55245693">
            <w:pPr>
              <w:jc w:val="center"/>
              <w:rPr>
                <w:b/>
                <w:color w:val="000000" w:themeColor="text1"/>
              </w:rPr>
            </w:pPr>
            <w:r>
              <w:rPr>
                <w:b/>
                <w:color w:val="000000" w:themeColor="text1"/>
              </w:rPr>
              <w:t>Year-end total 2020</w:t>
            </w:r>
          </w:p>
        </w:tc>
        <w:tc>
          <w:tcPr>
            <w:cnfStyle w:val="000010000000" w:firstRow="0" w:lastRow="0" w:firstColumn="0" w:lastColumn="0" w:oddVBand="1" w:evenVBand="0" w:oddHBand="0" w:evenHBand="0" w:firstRowFirstColumn="0" w:firstRowLastColumn="0" w:lastRowFirstColumn="0" w:lastRowLastColumn="0"/>
            <w:tcW w:w="1564" w:type="dxa"/>
            <w:gridSpan w:val="2"/>
            <w:shd w:val="clear" w:color="auto" w:fill="C3AFCC"/>
          </w:tcPr>
          <w:p w14:paraId="69F7585E" w14:textId="553CEF91" w:rsidR="004175B7" w:rsidRPr="000E7EED" w:rsidRDefault="4E94EB1A" w:rsidP="4E94EB1A">
            <w:pPr>
              <w:jc w:val="center"/>
              <w:rPr>
                <w:b/>
                <w:color w:val="000000" w:themeColor="text1"/>
              </w:rPr>
            </w:pPr>
            <w:r w:rsidRPr="4E94EB1A">
              <w:rPr>
                <w:b/>
                <w:color w:val="000000" w:themeColor="text1"/>
              </w:rPr>
              <w:t>Year-end projection</w:t>
            </w:r>
            <w:r w:rsidR="005D32ED">
              <w:rPr>
                <w:b/>
                <w:color w:val="000000" w:themeColor="text1"/>
              </w:rPr>
              <w:t xml:space="preserve"> 2020</w:t>
            </w:r>
            <w:r w:rsidR="0020340C">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564" w:type="dxa"/>
            <w:gridSpan w:val="2"/>
            <w:shd w:val="clear" w:color="auto" w:fill="C3AFCC"/>
          </w:tcPr>
          <w:p w14:paraId="3FC32422" w14:textId="1B00F423" w:rsidR="00B15BE5" w:rsidRPr="55245693" w:rsidRDefault="00B15BE5" w:rsidP="4E94EB1A">
            <w:pPr>
              <w:jc w:val="center"/>
              <w:rPr>
                <w:b/>
                <w:color w:val="000000" w:themeColor="text1"/>
              </w:rPr>
            </w:pPr>
            <w:r w:rsidRPr="55245693">
              <w:rPr>
                <w:b/>
                <w:color w:val="000000" w:themeColor="text1"/>
              </w:rPr>
              <w:t>Q1 2021 projection</w:t>
            </w:r>
          </w:p>
        </w:tc>
      </w:tr>
      <w:tr w:rsidR="004175B7" w:rsidRPr="000E7EED" w14:paraId="712E240F" w14:textId="781C6912" w:rsidTr="00B15BE5">
        <w:trPr>
          <w:gridAfter w:val="1"/>
          <w:cnfStyle w:val="000000100000" w:firstRow="0" w:lastRow="0" w:firstColumn="0" w:lastColumn="0" w:oddVBand="0" w:evenVBand="0" w:oddHBand="1" w:evenHBand="0" w:firstRowFirstColumn="0" w:firstRowLastColumn="0" w:lastRowFirstColumn="0" w:lastRowLastColumn="0"/>
          <w:wAfter w:w="11" w:type="dxa"/>
          <w:trHeight w:val="566"/>
        </w:trPr>
        <w:tc>
          <w:tcPr>
            <w:cnfStyle w:val="000010000000" w:firstRow="0" w:lastRow="0" w:firstColumn="0" w:lastColumn="0" w:oddVBand="1" w:evenVBand="0" w:oddHBand="0" w:evenHBand="0" w:firstRowFirstColumn="0" w:firstRowLastColumn="0" w:lastRowFirstColumn="0" w:lastRowLastColumn="0"/>
            <w:tcW w:w="2401" w:type="dxa"/>
          </w:tcPr>
          <w:p w14:paraId="6D73261E" w14:textId="77777777" w:rsidR="004175B7" w:rsidRPr="000E7EED" w:rsidRDefault="004175B7"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370" w:type="dxa"/>
          </w:tcPr>
          <w:p w14:paraId="758A4E12" w14:textId="1F71A279" w:rsidR="004175B7" w:rsidRPr="000E7EED" w:rsidRDefault="00482AAC" w:rsidP="0039260E">
            <w:pPr>
              <w:jc w:val="right"/>
              <w:rPr>
                <w:color w:val="000000" w:themeColor="text1"/>
              </w:rPr>
            </w:pPr>
            <w:r w:rsidRPr="000E7EED">
              <w:rPr>
                <w:color w:val="000000" w:themeColor="text1"/>
              </w:rPr>
              <w:t>19,914</w:t>
            </w:r>
          </w:p>
        </w:tc>
        <w:tc>
          <w:tcPr>
            <w:cnfStyle w:val="000010000000" w:firstRow="0" w:lastRow="0" w:firstColumn="0" w:lastColumn="0" w:oddVBand="1" w:evenVBand="0" w:oddHBand="0" w:evenHBand="0" w:firstRowFirstColumn="0" w:firstRowLastColumn="0" w:lastRowFirstColumn="0" w:lastRowLastColumn="0"/>
            <w:tcW w:w="1565" w:type="dxa"/>
            <w:shd w:val="clear" w:color="auto" w:fill="D9D9D9" w:themeFill="background1" w:themeFillShade="D9"/>
          </w:tcPr>
          <w:p w14:paraId="5C50A8F1" w14:textId="7F44DD69" w:rsidR="004175B7" w:rsidRPr="0021615C" w:rsidRDefault="0088348B" w:rsidP="0039260E">
            <w:pPr>
              <w:jc w:val="right"/>
            </w:pPr>
            <w:r>
              <w:t>12,009</w:t>
            </w:r>
          </w:p>
        </w:tc>
        <w:tc>
          <w:tcPr>
            <w:cnfStyle w:val="000001000000" w:firstRow="0" w:lastRow="0" w:firstColumn="0" w:lastColumn="0" w:oddVBand="0" w:evenVBand="1" w:oddHBand="0" w:evenHBand="0" w:firstRowFirstColumn="0" w:firstRowLastColumn="0" w:lastRowFirstColumn="0" w:lastRowLastColumn="0"/>
            <w:tcW w:w="1564" w:type="dxa"/>
          </w:tcPr>
          <w:p w14:paraId="1D6DFF9E" w14:textId="7E13874E" w:rsidR="004175B7" w:rsidRDefault="00482AAC" w:rsidP="0039260E">
            <w:pPr>
              <w:jc w:val="right"/>
            </w:pPr>
            <w:r>
              <w:t>88,662</w:t>
            </w:r>
          </w:p>
        </w:tc>
        <w:tc>
          <w:tcPr>
            <w:cnfStyle w:val="000010000000" w:firstRow="0" w:lastRow="0" w:firstColumn="0" w:lastColumn="0" w:oddVBand="1" w:evenVBand="0" w:oddHBand="0" w:evenHBand="0" w:firstRowFirstColumn="0" w:firstRowLastColumn="0" w:lastRowFirstColumn="0" w:lastRowLastColumn="0"/>
            <w:tcW w:w="1553" w:type="dxa"/>
          </w:tcPr>
          <w:p w14:paraId="1FF4109D" w14:textId="562BB2D3" w:rsidR="004175B7" w:rsidRPr="0021615C" w:rsidRDefault="004175B7" w:rsidP="0039260E">
            <w:pPr>
              <w:jc w:val="right"/>
            </w:pPr>
            <w:r>
              <w:t>97</w:t>
            </w:r>
            <w:r w:rsidRPr="0021615C">
              <w:t>,</w:t>
            </w:r>
            <w:r w:rsidR="00FA2F86">
              <w:t>5</w:t>
            </w:r>
            <w:r>
              <w:t>00</w:t>
            </w:r>
          </w:p>
        </w:tc>
        <w:tc>
          <w:tcPr>
            <w:cnfStyle w:val="000001000000" w:firstRow="0" w:lastRow="0" w:firstColumn="0" w:lastColumn="0" w:oddVBand="0" w:evenVBand="1" w:oddHBand="0" w:evenHBand="0" w:firstRowFirstColumn="0" w:firstRowLastColumn="0" w:lastRowFirstColumn="0" w:lastRowLastColumn="0"/>
            <w:tcW w:w="1564" w:type="dxa"/>
            <w:gridSpan w:val="2"/>
          </w:tcPr>
          <w:p w14:paraId="263B1734" w14:textId="6F3C77CD" w:rsidR="00482AAC" w:rsidRDefault="004950EE" w:rsidP="00482AAC">
            <w:pPr>
              <w:jc w:val="right"/>
            </w:pPr>
            <w:r>
              <w:t>N/A</w:t>
            </w:r>
          </w:p>
        </w:tc>
      </w:tr>
    </w:tbl>
    <w:bookmarkEnd w:id="0"/>
    <w:p w14:paraId="04191641" w14:textId="0BB9F31C" w:rsidR="00881695" w:rsidRPr="009F4267" w:rsidRDefault="00881695" w:rsidP="002A7FC0">
      <w:pPr>
        <w:spacing w:before="120"/>
        <w:rPr>
          <w:i/>
          <w:iCs/>
        </w:rPr>
      </w:pPr>
      <w:r w:rsidRPr="005235D4">
        <w:t>The</w:t>
      </w:r>
      <w:r>
        <w:t>re was</w:t>
      </w:r>
      <w:r w:rsidRPr="005235D4">
        <w:t xml:space="preserve"> </w:t>
      </w:r>
      <w:r w:rsidR="00AF254C">
        <w:t xml:space="preserve">a </w:t>
      </w:r>
      <w:r>
        <w:t xml:space="preserve">decrease in </w:t>
      </w:r>
      <w:r w:rsidR="00AF254C">
        <w:t xml:space="preserve">the </w:t>
      </w:r>
      <w:r w:rsidRPr="005235D4">
        <w:t>number of unique clients in 2019</w:t>
      </w:r>
      <w:r>
        <w:t>–</w:t>
      </w:r>
      <w:r w:rsidRPr="005235D4">
        <w:t>20</w:t>
      </w:r>
      <w:r>
        <w:t xml:space="preserve"> (Table 1.1), which</w:t>
      </w:r>
      <w:r w:rsidRPr="005235D4">
        <w:t xml:space="preserve"> </w:t>
      </w:r>
      <w:r>
        <w:t>was mainly caused by</w:t>
      </w:r>
      <w:r w:rsidRPr="005235D4">
        <w:t xml:space="preserve"> </w:t>
      </w:r>
      <w:r>
        <w:t xml:space="preserve">COVID-19 </w:t>
      </w:r>
      <w:r w:rsidRPr="005235D4">
        <w:t>service changes</w:t>
      </w:r>
      <w:r>
        <w:t xml:space="preserve"> within VLA and the </w:t>
      </w:r>
      <w:r w:rsidRPr="005235D4">
        <w:t>wider justice</w:t>
      </w:r>
      <w:r>
        <w:t xml:space="preserve"> system</w:t>
      </w:r>
      <w:r w:rsidRPr="005235D4">
        <w:t xml:space="preserve">. </w:t>
      </w:r>
      <w:r>
        <w:t xml:space="preserve">Our in-court duty lawyers services are the first point of contact for </w:t>
      </w:r>
      <w:r w:rsidR="00AF254C">
        <w:t>many</w:t>
      </w:r>
      <w:r>
        <w:t xml:space="preserve"> of our clients. </w:t>
      </w:r>
      <w:r w:rsidR="00785644">
        <w:t>Significant reductions</w:t>
      </w:r>
      <w:r w:rsidRPr="005235D4">
        <w:t xml:space="preserve"> </w:t>
      </w:r>
      <w:r w:rsidR="00785644">
        <w:t xml:space="preserve">in </w:t>
      </w:r>
      <w:r w:rsidRPr="005235D4">
        <w:t xml:space="preserve">state and federal court proceedings resulted in a lower number of duty lawyer services being delivered </w:t>
      </w:r>
      <w:r>
        <w:t xml:space="preserve">in-court </w:t>
      </w:r>
      <w:r w:rsidRPr="005235D4">
        <w:t>compared to 2018</w:t>
      </w:r>
      <w:r>
        <w:t>–</w:t>
      </w:r>
      <w:r w:rsidRPr="005235D4">
        <w:t>19</w:t>
      </w:r>
      <w:r>
        <w:t xml:space="preserve"> (Table 1.4)</w:t>
      </w:r>
      <w:r w:rsidRPr="005235D4">
        <w:t xml:space="preserve">. </w:t>
      </w:r>
      <w:r w:rsidR="00596BD2">
        <w:t>Processes to support service delivery using remote service models are also taking longer</w:t>
      </w:r>
      <w:r w:rsidR="00723283">
        <w:t>, and as</w:t>
      </w:r>
      <w:r>
        <w:t xml:space="preserve"> a result, there was </w:t>
      </w:r>
      <w:r w:rsidR="00F20DAD">
        <w:t xml:space="preserve">a </w:t>
      </w:r>
      <w:r w:rsidRPr="005235D4">
        <w:t>lower than expected unique client count</w:t>
      </w:r>
      <w:r>
        <w:t xml:space="preserve">. </w:t>
      </w:r>
    </w:p>
    <w:p w14:paraId="71C1B22F" w14:textId="3C1DFF6F" w:rsidR="00E43EE2" w:rsidRDefault="007C1487" w:rsidP="00E43EE2">
      <w:pPr>
        <w:pStyle w:val="Tableheader"/>
      </w:pPr>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1"/>
        <w:gridCol w:w="1369"/>
        <w:gridCol w:w="1588"/>
        <w:gridCol w:w="1546"/>
        <w:gridCol w:w="1564"/>
        <w:gridCol w:w="1564"/>
      </w:tblGrid>
      <w:tr w:rsidR="004175B7" w:rsidRPr="000E7EED" w14:paraId="610BF466" w14:textId="390A14BD" w:rsidTr="00B15BE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41" w:type="dxa"/>
            <w:shd w:val="clear" w:color="auto" w:fill="C4B0CC"/>
          </w:tcPr>
          <w:p w14:paraId="685BCF7D" w14:textId="306AA6B1" w:rsidR="004175B7" w:rsidRPr="000E7EED" w:rsidRDefault="008A0838" w:rsidP="0039260E">
            <w:pPr>
              <w:rPr>
                <w:color w:val="000000" w:themeColor="text1"/>
              </w:rPr>
            </w:pPr>
            <w:bookmarkStart w:id="1" w:name="_Hlk31804015"/>
            <w:r>
              <w:rPr>
                <w:b/>
                <w:color w:val="000000" w:themeColor="text1"/>
              </w:rPr>
              <w:t>Legal Help</w:t>
            </w:r>
            <w:r w:rsidR="004175B7"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369" w:type="dxa"/>
            <w:shd w:val="clear" w:color="auto" w:fill="C3AFCC"/>
          </w:tcPr>
          <w:p w14:paraId="2533E8EB" w14:textId="09BCC0EC" w:rsidR="004175B7" w:rsidRPr="000E7EED" w:rsidRDefault="004175B7" w:rsidP="55245693">
            <w:pPr>
              <w:jc w:val="center"/>
              <w:rPr>
                <w:b/>
                <w:color w:val="000000" w:themeColor="text1"/>
              </w:rPr>
            </w:pPr>
            <w:r w:rsidRPr="55245693">
              <w:rPr>
                <w:b/>
                <w:color w:val="000000" w:themeColor="text1"/>
              </w:rPr>
              <w:t>Q</w:t>
            </w:r>
            <w:r w:rsidR="2874D237" w:rsidRPr="55245693">
              <w:rPr>
                <w:b/>
                <w:color w:val="000000" w:themeColor="text1"/>
              </w:rPr>
              <w:t>4</w:t>
            </w:r>
          </w:p>
          <w:p w14:paraId="537B5889"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C3AFCC"/>
          </w:tcPr>
          <w:p w14:paraId="471B57D4" w14:textId="5D4D7B6A" w:rsidR="004175B7" w:rsidRDefault="004175B7" w:rsidP="55245693">
            <w:pPr>
              <w:jc w:val="center"/>
              <w:rPr>
                <w:b/>
                <w:color w:val="000000" w:themeColor="text1"/>
              </w:rPr>
            </w:pPr>
            <w:r w:rsidRPr="55245693">
              <w:rPr>
                <w:b/>
                <w:color w:val="000000" w:themeColor="text1"/>
              </w:rPr>
              <w:t>Q</w:t>
            </w:r>
            <w:r w:rsidR="099D4A26" w:rsidRPr="55245693">
              <w:rPr>
                <w:b/>
                <w:color w:val="000000" w:themeColor="text1"/>
              </w:rPr>
              <w:t>4</w:t>
            </w:r>
          </w:p>
          <w:p w14:paraId="7F054B76"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01000000" w:firstRow="0" w:lastRow="0" w:firstColumn="0" w:lastColumn="0" w:oddVBand="0" w:evenVBand="1" w:oddHBand="0" w:evenHBand="0" w:firstRowFirstColumn="0" w:firstRowLastColumn="0" w:lastRowFirstColumn="0" w:lastRowLastColumn="0"/>
            <w:tcW w:w="1546" w:type="dxa"/>
            <w:shd w:val="clear" w:color="auto" w:fill="C3AFCC"/>
          </w:tcPr>
          <w:p w14:paraId="092CD9D8" w14:textId="463B9640" w:rsidR="004175B7" w:rsidRDefault="00B15BE5" w:rsidP="55245693">
            <w:pPr>
              <w:jc w:val="center"/>
              <w:rPr>
                <w:b/>
                <w:color w:val="000000" w:themeColor="text1"/>
              </w:rPr>
            </w:pPr>
            <w:r>
              <w:rPr>
                <w:b/>
                <w:color w:val="000000" w:themeColor="text1"/>
              </w:rPr>
              <w:t>Year-end total 2020</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C3AFCC"/>
          </w:tcPr>
          <w:p w14:paraId="18ADDD35" w14:textId="529B4180" w:rsidR="004175B7" w:rsidRPr="000E7EED" w:rsidRDefault="004175B7" w:rsidP="0039260E">
            <w:pPr>
              <w:jc w:val="center"/>
              <w:rPr>
                <w:b/>
                <w:color w:val="000000" w:themeColor="text1"/>
              </w:rPr>
            </w:pPr>
            <w:r>
              <w:rPr>
                <w:b/>
                <w:color w:val="000000" w:themeColor="text1"/>
              </w:rPr>
              <w:t>Year-end projection</w:t>
            </w:r>
            <w:r w:rsidR="005D32ED">
              <w:rPr>
                <w:b/>
                <w:color w:val="000000" w:themeColor="text1"/>
              </w:rPr>
              <w:t xml:space="preserve"> 2020</w:t>
            </w:r>
            <w:r w:rsidR="00B15BE5">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564" w:type="dxa"/>
            <w:shd w:val="clear" w:color="auto" w:fill="C3AFCC"/>
          </w:tcPr>
          <w:p w14:paraId="7EBA5EDB" w14:textId="292CBFDE" w:rsidR="00B15BE5" w:rsidRPr="55245693" w:rsidRDefault="00B15BE5" w:rsidP="00B15BE5">
            <w:pPr>
              <w:jc w:val="center"/>
              <w:rPr>
                <w:b/>
                <w:color w:val="000000" w:themeColor="text1"/>
              </w:rPr>
            </w:pPr>
            <w:r w:rsidRPr="55245693">
              <w:rPr>
                <w:b/>
                <w:color w:val="000000" w:themeColor="text1"/>
              </w:rPr>
              <w:t>Q1 2021 projection</w:t>
            </w:r>
          </w:p>
        </w:tc>
      </w:tr>
      <w:tr w:rsidR="009F236F" w:rsidRPr="000E7EED" w14:paraId="673A80E6" w14:textId="299D20D5" w:rsidTr="00B15BE5">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41" w:type="dxa"/>
          </w:tcPr>
          <w:p w14:paraId="22ABC519" w14:textId="103D0FC9" w:rsidR="009F236F" w:rsidRPr="001F0CF5" w:rsidRDefault="009F236F" w:rsidP="009F236F">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369" w:type="dxa"/>
          </w:tcPr>
          <w:p w14:paraId="01B59B99" w14:textId="22C4E684" w:rsidR="009F236F" w:rsidRPr="000E7EED" w:rsidRDefault="009F236F" w:rsidP="009F236F">
            <w:pPr>
              <w:jc w:val="right"/>
              <w:rPr>
                <w:color w:val="000000" w:themeColor="text1"/>
              </w:rPr>
            </w:pPr>
            <w:r>
              <w:rPr>
                <w:color w:val="000000" w:themeColor="text1"/>
              </w:rPr>
              <w:t>45,653*</w:t>
            </w:r>
          </w:p>
          <w:p w14:paraId="32B513F8" w14:textId="6478E8AB" w:rsidR="009F236F" w:rsidRPr="000E7EED" w:rsidRDefault="009F236F" w:rsidP="009F236F">
            <w:pPr>
              <w:jc w:val="right"/>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12828136" w14:textId="46E4063C" w:rsidR="009F236F" w:rsidRPr="0021615C" w:rsidRDefault="009F236F" w:rsidP="009F236F">
            <w:pPr>
              <w:jc w:val="right"/>
            </w:pPr>
            <w:r>
              <w:t>48,010</w:t>
            </w:r>
          </w:p>
        </w:tc>
        <w:tc>
          <w:tcPr>
            <w:cnfStyle w:val="000001000000" w:firstRow="0" w:lastRow="0" w:firstColumn="0" w:lastColumn="0" w:oddVBand="0" w:evenVBand="1" w:oddHBand="0" w:evenHBand="0" w:firstRowFirstColumn="0" w:firstRowLastColumn="0" w:lastRowFirstColumn="0" w:lastRowLastColumn="0"/>
            <w:tcW w:w="1546" w:type="dxa"/>
          </w:tcPr>
          <w:p w14:paraId="33A3A1CD" w14:textId="5429F7FB" w:rsidR="009F236F" w:rsidRPr="0021615C" w:rsidRDefault="009F236F" w:rsidP="009F236F">
            <w:pPr>
              <w:jc w:val="right"/>
            </w:pPr>
            <w:r>
              <w:t>190,248*</w:t>
            </w:r>
          </w:p>
        </w:tc>
        <w:tc>
          <w:tcPr>
            <w:cnfStyle w:val="000010000000" w:firstRow="0" w:lastRow="0" w:firstColumn="0" w:lastColumn="0" w:oddVBand="1" w:evenVBand="0" w:oddHBand="0" w:evenHBand="0" w:firstRowFirstColumn="0" w:firstRowLastColumn="0" w:lastRowFirstColumn="0" w:lastRowLastColumn="0"/>
            <w:tcW w:w="1564" w:type="dxa"/>
          </w:tcPr>
          <w:p w14:paraId="2782FD41" w14:textId="5BA4C276" w:rsidR="009F236F" w:rsidRPr="0021615C" w:rsidRDefault="009F236F" w:rsidP="009F236F">
            <w:pPr>
              <w:jc w:val="right"/>
            </w:pPr>
            <w:r>
              <w:t>179</w:t>
            </w:r>
            <w:r w:rsidRPr="0021615C">
              <w:t>,</w:t>
            </w:r>
            <w:r>
              <w:t>600</w:t>
            </w:r>
          </w:p>
        </w:tc>
        <w:tc>
          <w:tcPr>
            <w:cnfStyle w:val="000001000000" w:firstRow="0" w:lastRow="0" w:firstColumn="0" w:lastColumn="0" w:oddVBand="0" w:evenVBand="1" w:oddHBand="0" w:evenHBand="0" w:firstRowFirstColumn="0" w:firstRowLastColumn="0" w:lastRowFirstColumn="0" w:lastRowLastColumn="0"/>
            <w:tcW w:w="1564" w:type="dxa"/>
          </w:tcPr>
          <w:p w14:paraId="3DB85848" w14:textId="260E628B" w:rsidR="009F236F" w:rsidRDefault="009F236F" w:rsidP="009F236F">
            <w:pPr>
              <w:jc w:val="right"/>
            </w:pPr>
            <w:r w:rsidRPr="00C10C46">
              <w:t>N/A</w:t>
            </w:r>
          </w:p>
        </w:tc>
      </w:tr>
      <w:tr w:rsidR="009F236F" w:rsidRPr="000E7EED" w14:paraId="63EA8C9D" w14:textId="0A3FF582" w:rsidTr="00B15BE5">
        <w:trPr>
          <w:cnfStyle w:val="000000010000" w:firstRow="0" w:lastRow="0" w:firstColumn="0" w:lastColumn="0" w:oddVBand="0" w:evenVBand="0" w:oddHBand="0" w:evenHBand="1"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41" w:type="dxa"/>
          </w:tcPr>
          <w:p w14:paraId="343F4B5B" w14:textId="5942F7B9" w:rsidR="009F236F" w:rsidRPr="001F0CF5" w:rsidRDefault="009F236F" w:rsidP="009F236F">
            <w:pPr>
              <w:rPr>
                <w:color w:val="000000" w:themeColor="text1"/>
              </w:rPr>
            </w:pPr>
            <w:r w:rsidRPr="001F0CF5">
              <w:rPr>
                <w:color w:val="000000" w:themeColor="text1"/>
              </w:rPr>
              <w:t>Calls and web chats answered</w:t>
            </w:r>
          </w:p>
        </w:tc>
        <w:tc>
          <w:tcPr>
            <w:cnfStyle w:val="000001000000" w:firstRow="0" w:lastRow="0" w:firstColumn="0" w:lastColumn="0" w:oddVBand="0" w:evenVBand="1" w:oddHBand="0" w:evenHBand="0" w:firstRowFirstColumn="0" w:firstRowLastColumn="0" w:lastRowFirstColumn="0" w:lastRowLastColumn="0"/>
            <w:tcW w:w="1369" w:type="dxa"/>
          </w:tcPr>
          <w:p w14:paraId="7B3AC051" w14:textId="246BA50F" w:rsidR="009F236F" w:rsidRPr="000E7EED" w:rsidRDefault="009F236F" w:rsidP="009F236F">
            <w:pPr>
              <w:jc w:val="right"/>
              <w:rPr>
                <w:color w:val="000000" w:themeColor="text1"/>
              </w:rPr>
            </w:pPr>
            <w:r w:rsidRPr="000E7EED">
              <w:rPr>
                <w:color w:val="000000" w:themeColor="text1"/>
              </w:rPr>
              <w:t>29,770</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0C7F4A16" w14:textId="52D66CE4" w:rsidR="009F236F" w:rsidRPr="0021615C" w:rsidRDefault="009F236F" w:rsidP="009F236F">
            <w:pPr>
              <w:jc w:val="right"/>
            </w:pPr>
            <w:r>
              <w:t>29,574</w:t>
            </w:r>
          </w:p>
        </w:tc>
        <w:tc>
          <w:tcPr>
            <w:cnfStyle w:val="000001000000" w:firstRow="0" w:lastRow="0" w:firstColumn="0" w:lastColumn="0" w:oddVBand="0" w:evenVBand="1" w:oddHBand="0" w:evenHBand="0" w:firstRowFirstColumn="0" w:firstRowLastColumn="0" w:lastRowFirstColumn="0" w:lastRowLastColumn="0"/>
            <w:tcW w:w="1546" w:type="dxa"/>
          </w:tcPr>
          <w:p w14:paraId="0A49F2EE" w14:textId="1304D384" w:rsidR="009F236F" w:rsidRPr="0021615C" w:rsidRDefault="009F236F" w:rsidP="009F236F">
            <w:pPr>
              <w:jc w:val="right"/>
            </w:pPr>
            <w:r>
              <w:t>123,095</w:t>
            </w:r>
          </w:p>
        </w:tc>
        <w:tc>
          <w:tcPr>
            <w:cnfStyle w:val="000010000000" w:firstRow="0" w:lastRow="0" w:firstColumn="0" w:lastColumn="0" w:oddVBand="1" w:evenVBand="0" w:oddHBand="0" w:evenHBand="0" w:firstRowFirstColumn="0" w:firstRowLastColumn="0" w:lastRowFirstColumn="0" w:lastRowLastColumn="0"/>
            <w:tcW w:w="1564" w:type="dxa"/>
          </w:tcPr>
          <w:p w14:paraId="51F94C22" w14:textId="03C06E74" w:rsidR="009F236F" w:rsidRDefault="009F236F" w:rsidP="009F236F">
            <w:pPr>
              <w:jc w:val="right"/>
            </w:pPr>
            <w:r w:rsidRPr="0021615C">
              <w:t>1</w:t>
            </w:r>
            <w:r>
              <w:t>19</w:t>
            </w:r>
            <w:r w:rsidRPr="0021615C">
              <w:t>,</w:t>
            </w:r>
            <w:r>
              <w:t>800</w:t>
            </w:r>
          </w:p>
        </w:tc>
        <w:tc>
          <w:tcPr>
            <w:cnfStyle w:val="000001000000" w:firstRow="0" w:lastRow="0" w:firstColumn="0" w:lastColumn="0" w:oddVBand="0" w:evenVBand="1" w:oddHBand="0" w:evenHBand="0" w:firstRowFirstColumn="0" w:firstRowLastColumn="0" w:lastRowFirstColumn="0" w:lastRowLastColumn="0"/>
            <w:tcW w:w="1564" w:type="dxa"/>
          </w:tcPr>
          <w:p w14:paraId="3B1D6275" w14:textId="10E737DB" w:rsidR="009F236F" w:rsidRDefault="009F236F" w:rsidP="009F236F">
            <w:pPr>
              <w:jc w:val="right"/>
            </w:pPr>
            <w:r w:rsidRPr="00C10C46">
              <w:t>N/A</w:t>
            </w:r>
          </w:p>
        </w:tc>
      </w:tr>
      <w:tr w:rsidR="004F1D9E" w:rsidRPr="000E7EED" w14:paraId="6476E7F8" w14:textId="66C20318" w:rsidTr="00B15BE5">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41" w:type="dxa"/>
          </w:tcPr>
          <w:p w14:paraId="2A75B359" w14:textId="18418110" w:rsidR="004F1D9E" w:rsidRDefault="004F1D9E" w:rsidP="0039260E">
            <w:pPr>
              <w:rPr>
                <w:color w:val="000000" w:themeColor="text1"/>
              </w:rPr>
            </w:pPr>
            <w:r>
              <w:rPr>
                <w:color w:val="000000" w:themeColor="text1"/>
              </w:rPr>
              <w:t>Average call duration</w:t>
            </w:r>
          </w:p>
        </w:tc>
        <w:tc>
          <w:tcPr>
            <w:cnfStyle w:val="000001000000" w:firstRow="0" w:lastRow="0" w:firstColumn="0" w:lastColumn="0" w:oddVBand="0" w:evenVBand="1" w:oddHBand="0" w:evenHBand="0" w:firstRowFirstColumn="0" w:firstRowLastColumn="0" w:lastRowFirstColumn="0" w:lastRowLastColumn="0"/>
            <w:tcW w:w="1369" w:type="dxa"/>
          </w:tcPr>
          <w:p w14:paraId="006E18AE" w14:textId="3E69E9A8" w:rsidR="004F1D9E" w:rsidRPr="000E7EED" w:rsidRDefault="00053FE2" w:rsidP="0039260E">
            <w:pPr>
              <w:jc w:val="right"/>
              <w:rPr>
                <w:color w:val="000000" w:themeColor="text1"/>
              </w:rPr>
            </w:pPr>
            <w:r w:rsidRPr="000E7EED">
              <w:rPr>
                <w:color w:val="000000" w:themeColor="text1"/>
              </w:rPr>
              <w:t>18.46 mins</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3EFB00EC" w14:textId="618DF29E" w:rsidR="004F1D9E" w:rsidRPr="0021615C" w:rsidRDefault="001A76F6" w:rsidP="0039260E">
            <w:pPr>
              <w:jc w:val="right"/>
            </w:pPr>
            <w:r>
              <w:t>21.26</w:t>
            </w:r>
          </w:p>
        </w:tc>
        <w:tc>
          <w:tcPr>
            <w:cnfStyle w:val="000001000000" w:firstRow="0" w:lastRow="0" w:firstColumn="0" w:lastColumn="0" w:oddVBand="0" w:evenVBand="1" w:oddHBand="0" w:evenHBand="0" w:firstRowFirstColumn="0" w:firstRowLastColumn="0" w:lastRowFirstColumn="0" w:lastRowLastColumn="0"/>
            <w:tcW w:w="1546" w:type="dxa"/>
          </w:tcPr>
          <w:p w14:paraId="3E5F386F" w14:textId="74E16CF8" w:rsidR="004F1D9E" w:rsidRPr="0021615C" w:rsidRDefault="001A76F6" w:rsidP="0039260E">
            <w:pPr>
              <w:jc w:val="right"/>
            </w:pPr>
            <w:r>
              <w:t>21.50</w:t>
            </w:r>
          </w:p>
        </w:tc>
        <w:tc>
          <w:tcPr>
            <w:cnfStyle w:val="000010000000" w:firstRow="0" w:lastRow="0" w:firstColumn="0" w:lastColumn="0" w:oddVBand="1" w:evenVBand="0" w:oddHBand="0" w:evenHBand="0" w:firstRowFirstColumn="0" w:firstRowLastColumn="0" w:lastRowFirstColumn="0" w:lastRowLastColumn="0"/>
            <w:tcW w:w="1564" w:type="dxa"/>
          </w:tcPr>
          <w:p w14:paraId="6604E29F" w14:textId="45DCEB08" w:rsidR="004F1D9E" w:rsidRDefault="009A57B7" w:rsidP="0039260E">
            <w:pPr>
              <w:jc w:val="right"/>
            </w:pPr>
            <w:r>
              <w:t>N/A</w:t>
            </w:r>
          </w:p>
        </w:tc>
        <w:tc>
          <w:tcPr>
            <w:cnfStyle w:val="000001000000" w:firstRow="0" w:lastRow="0" w:firstColumn="0" w:lastColumn="0" w:oddVBand="0" w:evenVBand="1" w:oddHBand="0" w:evenHBand="0" w:firstRowFirstColumn="0" w:firstRowLastColumn="0" w:lastRowFirstColumn="0" w:lastRowLastColumn="0"/>
            <w:tcW w:w="1564" w:type="dxa"/>
          </w:tcPr>
          <w:p w14:paraId="16B998D7" w14:textId="1FF8D9C5" w:rsidR="00053FE2" w:rsidRDefault="009A57B7" w:rsidP="00053FE2">
            <w:pPr>
              <w:jc w:val="right"/>
            </w:pPr>
            <w:r>
              <w:t>N/A</w:t>
            </w:r>
          </w:p>
        </w:tc>
      </w:tr>
      <w:tr w:rsidR="004F1D9E" w:rsidRPr="000E7EED" w14:paraId="112AFC33" w14:textId="6F0F86AA" w:rsidTr="00B15BE5">
        <w:trPr>
          <w:cnfStyle w:val="000000010000" w:firstRow="0" w:lastRow="0" w:firstColumn="0" w:lastColumn="0" w:oddVBand="0" w:evenVBand="0" w:oddHBand="0" w:evenHBand="1"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41" w:type="dxa"/>
          </w:tcPr>
          <w:p w14:paraId="38A206ED" w14:textId="6562F1E4" w:rsidR="004F1D9E" w:rsidRDefault="004F1D9E" w:rsidP="0039260E">
            <w:pPr>
              <w:rPr>
                <w:color w:val="000000" w:themeColor="text1"/>
              </w:rPr>
            </w:pPr>
            <w:r>
              <w:rPr>
                <w:color w:val="000000" w:themeColor="text1"/>
              </w:rPr>
              <w:t>Average call wait time</w:t>
            </w:r>
          </w:p>
        </w:tc>
        <w:tc>
          <w:tcPr>
            <w:cnfStyle w:val="000001000000" w:firstRow="0" w:lastRow="0" w:firstColumn="0" w:lastColumn="0" w:oddVBand="0" w:evenVBand="1" w:oddHBand="0" w:evenHBand="0" w:firstRowFirstColumn="0" w:firstRowLastColumn="0" w:lastRowFirstColumn="0" w:lastRowLastColumn="0"/>
            <w:tcW w:w="1369" w:type="dxa"/>
          </w:tcPr>
          <w:p w14:paraId="3AF08BCA" w14:textId="3BB0958D" w:rsidR="004F1D9E" w:rsidRPr="000E7EED" w:rsidRDefault="00053FE2" w:rsidP="0039260E">
            <w:pPr>
              <w:jc w:val="right"/>
              <w:rPr>
                <w:color w:val="000000" w:themeColor="text1"/>
              </w:rPr>
            </w:pPr>
            <w:r w:rsidRPr="000E7EED">
              <w:rPr>
                <w:color w:val="000000" w:themeColor="text1"/>
              </w:rPr>
              <w:t>10.2 mins</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6F85C887" w14:textId="0FFFA254" w:rsidR="004F1D9E" w:rsidRPr="0021615C" w:rsidRDefault="00BB5A52" w:rsidP="0039260E">
            <w:pPr>
              <w:jc w:val="right"/>
            </w:pPr>
            <w:r>
              <w:t>17.17 mins</w:t>
            </w:r>
          </w:p>
        </w:tc>
        <w:tc>
          <w:tcPr>
            <w:cnfStyle w:val="000001000000" w:firstRow="0" w:lastRow="0" w:firstColumn="0" w:lastColumn="0" w:oddVBand="0" w:evenVBand="1" w:oddHBand="0" w:evenHBand="0" w:firstRowFirstColumn="0" w:firstRowLastColumn="0" w:lastRowFirstColumn="0" w:lastRowLastColumn="0"/>
            <w:tcW w:w="1546" w:type="dxa"/>
          </w:tcPr>
          <w:p w14:paraId="7A6AD6E1" w14:textId="0FCBBF9F" w:rsidR="004F1D9E" w:rsidRPr="0021615C" w:rsidRDefault="000F07A7" w:rsidP="0039260E">
            <w:pPr>
              <w:jc w:val="right"/>
            </w:pPr>
            <w:r>
              <w:t>15.3 mins</w:t>
            </w:r>
          </w:p>
        </w:tc>
        <w:tc>
          <w:tcPr>
            <w:cnfStyle w:val="000010000000" w:firstRow="0" w:lastRow="0" w:firstColumn="0" w:lastColumn="0" w:oddVBand="1" w:evenVBand="0" w:oddHBand="0" w:evenHBand="0" w:firstRowFirstColumn="0" w:firstRowLastColumn="0" w:lastRowFirstColumn="0" w:lastRowLastColumn="0"/>
            <w:tcW w:w="1564" w:type="dxa"/>
          </w:tcPr>
          <w:p w14:paraId="6FC26F0B" w14:textId="28C7201A" w:rsidR="004F1D9E" w:rsidRDefault="009A57B7" w:rsidP="006B0101">
            <w:pPr>
              <w:pStyle w:val="ListParagraph"/>
              <w:numPr>
                <w:ilvl w:val="0"/>
                <w:numId w:val="33"/>
              </w:numPr>
              <w:jc w:val="right"/>
            </w:pPr>
            <w:r>
              <w:t>m</w:t>
            </w:r>
            <w:r w:rsidR="000F07A7" w:rsidRPr="006B0101">
              <w:t>ins</w:t>
            </w:r>
          </w:p>
        </w:tc>
        <w:tc>
          <w:tcPr>
            <w:cnfStyle w:val="000001000000" w:firstRow="0" w:lastRow="0" w:firstColumn="0" w:lastColumn="0" w:oddVBand="0" w:evenVBand="1" w:oddHBand="0" w:evenHBand="0" w:firstRowFirstColumn="0" w:firstRowLastColumn="0" w:lastRowFirstColumn="0" w:lastRowLastColumn="0"/>
            <w:tcW w:w="1564" w:type="dxa"/>
          </w:tcPr>
          <w:p w14:paraId="5DD884AA" w14:textId="1156795E" w:rsidR="00053FE2" w:rsidRDefault="00463DB0" w:rsidP="00053FE2">
            <w:pPr>
              <w:jc w:val="right"/>
            </w:pPr>
            <w:r>
              <w:t xml:space="preserve"> N/A</w:t>
            </w:r>
          </w:p>
        </w:tc>
      </w:tr>
    </w:tbl>
    <w:bookmarkEnd w:id="1"/>
    <w:p w14:paraId="660B9110" w14:textId="038B5326" w:rsidR="00881695" w:rsidRPr="00667CB6" w:rsidRDefault="00667CB6" w:rsidP="00881695">
      <w:pPr>
        <w:rPr>
          <w:sz w:val="18"/>
          <w:szCs w:val="20"/>
        </w:rPr>
      </w:pPr>
      <w:r w:rsidRPr="00667CB6">
        <w:rPr>
          <w:sz w:val="18"/>
          <w:szCs w:val="20"/>
        </w:rPr>
        <w:t>*Th</w:t>
      </w:r>
      <w:r w:rsidR="0003486A">
        <w:rPr>
          <w:sz w:val="18"/>
          <w:szCs w:val="20"/>
        </w:rPr>
        <w:t>e</w:t>
      </w:r>
      <w:r w:rsidRPr="00667CB6">
        <w:rPr>
          <w:sz w:val="18"/>
          <w:szCs w:val="20"/>
        </w:rPr>
        <w:t>s</w:t>
      </w:r>
      <w:r w:rsidR="0003486A">
        <w:rPr>
          <w:sz w:val="18"/>
          <w:szCs w:val="20"/>
        </w:rPr>
        <w:t>e</w:t>
      </w:r>
      <w:r w:rsidRPr="00667CB6">
        <w:rPr>
          <w:sz w:val="18"/>
          <w:szCs w:val="20"/>
        </w:rPr>
        <w:t xml:space="preserve"> figure</w:t>
      </w:r>
      <w:r w:rsidR="0003486A">
        <w:rPr>
          <w:sz w:val="18"/>
          <w:szCs w:val="20"/>
        </w:rPr>
        <w:t>s</w:t>
      </w:r>
      <w:r w:rsidRPr="00667CB6">
        <w:rPr>
          <w:sz w:val="18"/>
          <w:szCs w:val="20"/>
        </w:rPr>
        <w:t xml:space="preserve"> ha</w:t>
      </w:r>
      <w:r w:rsidR="0003486A">
        <w:rPr>
          <w:sz w:val="18"/>
          <w:szCs w:val="20"/>
        </w:rPr>
        <w:t>ve</w:t>
      </w:r>
      <w:r w:rsidRPr="00667CB6">
        <w:rPr>
          <w:sz w:val="18"/>
          <w:szCs w:val="20"/>
        </w:rPr>
        <w:t xml:space="preserve"> been updated since the 2018-19 quarter four report to include </w:t>
      </w:r>
      <w:r w:rsidRPr="001F0CF5">
        <w:rPr>
          <w:sz w:val="18"/>
          <w:szCs w:val="20"/>
        </w:rPr>
        <w:t>web chat.</w:t>
      </w:r>
    </w:p>
    <w:p w14:paraId="245935F2" w14:textId="77B03736" w:rsidR="00F85BFF" w:rsidRPr="00F85BFF" w:rsidRDefault="002B63DF" w:rsidP="000C19D5">
      <w:r>
        <w:t>We saw an increase in requests for legal assistance compared to both quarter four in 2018-19 (Table 1.2) and the previous quarter in 2019-20 (47,926)</w:t>
      </w:r>
      <w:r w:rsidR="00E70EBA">
        <w:t>, despite Legal Help reducing its operating hours by 20</w:t>
      </w:r>
      <w:r w:rsidR="00E6127D">
        <w:t xml:space="preserve"> per cent</w:t>
      </w:r>
      <w:r w:rsidR="00E70EBA">
        <w:t xml:space="preserve"> from mid-March to support staff working from home.</w:t>
      </w:r>
      <w:r>
        <w:t xml:space="preserve"> </w:t>
      </w:r>
      <w:r w:rsidR="00F85BFF" w:rsidRPr="00F85BFF">
        <w:t xml:space="preserve">Landlord and tenant matters have </w:t>
      </w:r>
      <w:r w:rsidR="00F85BFF" w:rsidRPr="00F85BFF">
        <w:lastRenderedPageBreak/>
        <w:t xml:space="preserve">become the highest proportion of </w:t>
      </w:r>
      <w:r w:rsidR="00F85BFF">
        <w:t xml:space="preserve">enquiries to Legal Help </w:t>
      </w:r>
      <w:r w:rsidR="00F85BFF" w:rsidRPr="00F85BFF">
        <w:t>since COVID-19</w:t>
      </w:r>
      <w:r w:rsidR="00F85BFF">
        <w:t>,</w:t>
      </w:r>
      <w:r w:rsidR="00F85BFF" w:rsidRPr="00F85BFF">
        <w:t xml:space="preserve"> followed by family violence applica</w:t>
      </w:r>
      <w:r w:rsidR="00AF254C">
        <w:t>nts</w:t>
      </w:r>
      <w:r w:rsidR="00F85BFF" w:rsidRPr="00F85BFF">
        <w:t xml:space="preserve">, family violence respondents, spend time with family, and specific family issue. </w:t>
      </w:r>
    </w:p>
    <w:p w14:paraId="4848A767" w14:textId="5AF3F2F9" w:rsidR="00881695" w:rsidRPr="00781C94" w:rsidRDefault="00881695" w:rsidP="00881695">
      <w:r>
        <w:t xml:space="preserve">Our average call wait time has increased in 2019–20 and had a year-end average of 15.3 mins (Table 1.2). </w:t>
      </w:r>
      <w:r w:rsidRPr="00596D01">
        <w:rPr>
          <w:szCs w:val="22"/>
        </w:rPr>
        <w:t>The average call duration has been increasing over 2019</w:t>
      </w:r>
      <w:r w:rsidR="00357A25">
        <w:rPr>
          <w:szCs w:val="22"/>
        </w:rPr>
        <w:t>–</w:t>
      </w:r>
      <w:r w:rsidRPr="00596D01">
        <w:rPr>
          <w:szCs w:val="22"/>
        </w:rPr>
        <w:t xml:space="preserve">20 and </w:t>
      </w:r>
      <w:r w:rsidRPr="001F0CF5">
        <w:rPr>
          <w:szCs w:val="22"/>
        </w:rPr>
        <w:t xml:space="preserve">was </w:t>
      </w:r>
      <w:r w:rsidR="00547822" w:rsidRPr="000C19D5">
        <w:rPr>
          <w:szCs w:val="22"/>
        </w:rPr>
        <w:t>21.26 minutes</w:t>
      </w:r>
      <w:r w:rsidRPr="001F0CF5">
        <w:rPr>
          <w:szCs w:val="22"/>
        </w:rPr>
        <w:t xml:space="preserve"> for quarter four (Table</w:t>
      </w:r>
      <w:r w:rsidRPr="00596D01">
        <w:rPr>
          <w:szCs w:val="22"/>
        </w:rPr>
        <w:t xml:space="preserve"> 1.2). We have found that clients have increasingly complex legal issues</w:t>
      </w:r>
      <w:r w:rsidR="00357A25">
        <w:rPr>
          <w:szCs w:val="22"/>
        </w:rPr>
        <w:t>,</w:t>
      </w:r>
      <w:r w:rsidRPr="00596D01">
        <w:rPr>
          <w:szCs w:val="22"/>
        </w:rPr>
        <w:t xml:space="preserve"> which results in advice sessions taking longer to deliver</w:t>
      </w:r>
      <w:r>
        <w:rPr>
          <w:szCs w:val="22"/>
        </w:rPr>
        <w:t>.</w:t>
      </w:r>
      <w:r w:rsidR="00830C7B" w:rsidRPr="00830C7B">
        <w:rPr>
          <w:szCs w:val="22"/>
        </w:rPr>
        <w:t xml:space="preserve"> </w:t>
      </w:r>
      <w:r w:rsidR="00830C7B">
        <w:rPr>
          <w:szCs w:val="22"/>
        </w:rPr>
        <w:t xml:space="preserve">We </w:t>
      </w:r>
      <w:r w:rsidR="00830C7B">
        <w:t>set up a dedicated family violence priority phone line and webchat channel</w:t>
      </w:r>
      <w:r w:rsidR="00830C7B">
        <w:rPr>
          <w:shd w:val="clear" w:color="auto" w:fill="FFFFFF"/>
        </w:rPr>
        <w:t> to improve the safety of help-seekers during COVID-19 restrictions, manage the increase in family violence related enquiries to Legal Help and ensure that callers received assistance more quickly.</w:t>
      </w:r>
      <w:r w:rsidR="00830C7B">
        <w:rPr>
          <w:lang w:eastAsia="en-AU"/>
        </w:rPr>
        <w:t xml:space="preserve"> Wait times for these callers reduced to below six minutes. </w:t>
      </w:r>
    </w:p>
    <w:p w14:paraId="264AE7AC" w14:textId="2BAD81E5" w:rsidR="00881695" w:rsidRDefault="00881695" w:rsidP="00881695">
      <w:r>
        <w:rPr>
          <w:szCs w:val="22"/>
        </w:rPr>
        <w:t>In</w:t>
      </w:r>
      <w:r>
        <w:t xml:space="preserve"> 2019–20 we</w:t>
      </w:r>
      <w:r w:rsidRPr="00813147">
        <w:t xml:space="preserve"> respond</w:t>
      </w:r>
      <w:r>
        <w:t xml:space="preserve">ed </w:t>
      </w:r>
      <w:r w:rsidRPr="00813147">
        <w:t xml:space="preserve">to </w:t>
      </w:r>
      <w:r>
        <w:t>24 per cent</w:t>
      </w:r>
      <w:r w:rsidRPr="00813147">
        <w:t xml:space="preserve"> of total request</w:t>
      </w:r>
      <w:r>
        <w:t>s</w:t>
      </w:r>
      <w:r w:rsidRPr="00813147">
        <w:t xml:space="preserve"> for assistance</w:t>
      </w:r>
      <w:r>
        <w:t xml:space="preserve"> through our </w:t>
      </w:r>
      <w:r w:rsidRPr="001F0CF5">
        <w:t xml:space="preserve">web chat service, which has an average wait time of less than 30 seconds. </w:t>
      </w:r>
      <w:r w:rsidR="0094208C" w:rsidRPr="001F0CF5">
        <w:t xml:space="preserve">A total of </w:t>
      </w:r>
      <w:r w:rsidRPr="001F0CF5">
        <w:t>26,846 people received help through web</w:t>
      </w:r>
      <w:r w:rsidR="00547822" w:rsidRPr="00326DF4">
        <w:t xml:space="preserve"> </w:t>
      </w:r>
      <w:r w:rsidRPr="001F0CF5">
        <w:t xml:space="preserve">chat in 2019–20, compared to 7,758 in the nine months </w:t>
      </w:r>
      <w:r w:rsidR="0094208C" w:rsidRPr="001F0CF5">
        <w:t>that</w:t>
      </w:r>
      <w:r w:rsidRPr="001F0CF5">
        <w:t xml:space="preserve"> webchat was operational in 2018–19 (October 2018 to June 2019).</w:t>
      </w:r>
      <w:r w:rsidRPr="00813147">
        <w:t xml:space="preserve"> </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1"/>
        <w:gridCol w:w="1369"/>
        <w:gridCol w:w="1588"/>
        <w:gridCol w:w="1546"/>
        <w:gridCol w:w="1564"/>
        <w:gridCol w:w="1564"/>
      </w:tblGrid>
      <w:tr w:rsidR="00B15BE5" w14:paraId="4E36734E" w14:textId="65CB131B" w:rsidTr="00B15BE5">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41" w:type="dxa"/>
            <w:shd w:val="clear" w:color="auto" w:fill="C4B0CC"/>
          </w:tcPr>
          <w:p w14:paraId="69A5DE08" w14:textId="77777777" w:rsidR="00B15BE5" w:rsidRPr="00495A11" w:rsidRDefault="00B15BE5"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1369" w:type="dxa"/>
            <w:shd w:val="clear" w:color="auto" w:fill="C4B0CC"/>
          </w:tcPr>
          <w:p w14:paraId="21709836" w14:textId="77777777" w:rsidR="00B15BE5" w:rsidRPr="000E7EED" w:rsidRDefault="00B15BE5" w:rsidP="00B15BE5">
            <w:pPr>
              <w:jc w:val="center"/>
              <w:rPr>
                <w:b/>
                <w:color w:val="000000" w:themeColor="text1"/>
              </w:rPr>
            </w:pPr>
            <w:r w:rsidRPr="55245693">
              <w:rPr>
                <w:b/>
                <w:color w:val="000000" w:themeColor="text1"/>
              </w:rPr>
              <w:t>Q4</w:t>
            </w:r>
          </w:p>
          <w:p w14:paraId="1B43C195" w14:textId="778C06B0" w:rsidR="00B15BE5" w:rsidRPr="00495A11" w:rsidRDefault="00B15BE5" w:rsidP="00B15BE5">
            <w:pPr>
              <w:jc w:val="center"/>
              <w:rPr>
                <w:b/>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C4B0CC"/>
          </w:tcPr>
          <w:p w14:paraId="5970D48B" w14:textId="77777777" w:rsidR="00B15BE5" w:rsidRDefault="00B15BE5" w:rsidP="00B15BE5">
            <w:pPr>
              <w:jc w:val="center"/>
              <w:rPr>
                <w:b/>
                <w:color w:val="000000" w:themeColor="text1"/>
              </w:rPr>
            </w:pPr>
            <w:r w:rsidRPr="55245693">
              <w:rPr>
                <w:b/>
                <w:color w:val="000000" w:themeColor="text1"/>
              </w:rPr>
              <w:t>Q4</w:t>
            </w:r>
          </w:p>
          <w:p w14:paraId="1AE9CE31" w14:textId="0919A4C6" w:rsidR="00B15BE5" w:rsidRPr="00495A11" w:rsidRDefault="00B15BE5" w:rsidP="00B15BE5">
            <w:pPr>
              <w:jc w:val="center"/>
              <w:rPr>
                <w:b/>
                <w:color w:val="000000" w:themeColor="text1"/>
              </w:rPr>
            </w:pPr>
            <w:r w:rsidRPr="000E7EED">
              <w:rPr>
                <w:b/>
                <w:color w:val="000000" w:themeColor="text1"/>
              </w:rPr>
              <w:t>20</w:t>
            </w:r>
            <w:r>
              <w:rPr>
                <w:b/>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1546" w:type="dxa"/>
            <w:shd w:val="clear" w:color="auto" w:fill="C4B0CC"/>
          </w:tcPr>
          <w:p w14:paraId="1697F97B" w14:textId="177A5BE2" w:rsidR="00B15BE5" w:rsidRPr="00495A11" w:rsidRDefault="00B15BE5" w:rsidP="00B15BE5">
            <w:pPr>
              <w:jc w:val="center"/>
              <w:rPr>
                <w:b/>
                <w:color w:val="000000" w:themeColor="text1"/>
              </w:rPr>
            </w:pPr>
            <w:r>
              <w:rPr>
                <w:b/>
                <w:color w:val="000000" w:themeColor="text1"/>
              </w:rPr>
              <w:t>Year-end total 2020</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C4B0CC"/>
          </w:tcPr>
          <w:p w14:paraId="5F4AA8B1" w14:textId="0D4FE564" w:rsidR="00B15BE5" w:rsidRPr="00495A11" w:rsidRDefault="00B15BE5" w:rsidP="00B15BE5">
            <w:pPr>
              <w:jc w:val="center"/>
              <w:rPr>
                <w:b/>
                <w:color w:val="000000" w:themeColor="text1"/>
              </w:rPr>
            </w:pPr>
            <w:r w:rsidRPr="4E94EB1A">
              <w:rPr>
                <w:b/>
                <w:color w:val="000000" w:themeColor="text1"/>
              </w:rPr>
              <w:t>Year-end projection</w:t>
            </w:r>
            <w:r>
              <w:rPr>
                <w:b/>
                <w:color w:val="000000" w:themeColor="text1"/>
              </w:rPr>
              <w:t xml:space="preserve"> 2020 </w:t>
            </w:r>
          </w:p>
        </w:tc>
        <w:tc>
          <w:tcPr>
            <w:cnfStyle w:val="000001000000" w:firstRow="0" w:lastRow="0" w:firstColumn="0" w:lastColumn="0" w:oddVBand="0" w:evenVBand="1" w:oddHBand="0" w:evenHBand="0" w:firstRowFirstColumn="0" w:firstRowLastColumn="0" w:lastRowFirstColumn="0" w:lastRowLastColumn="0"/>
            <w:tcW w:w="1564" w:type="dxa"/>
            <w:shd w:val="clear" w:color="auto" w:fill="C4B0CC"/>
          </w:tcPr>
          <w:p w14:paraId="3AA8D74A" w14:textId="4D1FDE1B" w:rsidR="00B15BE5" w:rsidRDefault="00B15BE5" w:rsidP="00B15BE5">
            <w:pPr>
              <w:jc w:val="center"/>
              <w:rPr>
                <w:b/>
                <w:color w:val="000000" w:themeColor="text1"/>
              </w:rPr>
            </w:pPr>
            <w:r w:rsidRPr="55245693">
              <w:rPr>
                <w:b/>
                <w:color w:val="000000" w:themeColor="text1"/>
              </w:rPr>
              <w:t>Q1 2021 projection</w:t>
            </w:r>
          </w:p>
        </w:tc>
      </w:tr>
      <w:tr w:rsidR="00B15BE5" w:rsidRPr="0021615C" w14:paraId="17F5CA1B" w14:textId="248167B6" w:rsidTr="00B15BE5">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2441" w:type="dxa"/>
          </w:tcPr>
          <w:p w14:paraId="19F24B7C" w14:textId="77777777" w:rsidR="00B15BE5" w:rsidRPr="000E7EED" w:rsidRDefault="00B15BE5" w:rsidP="00495A11">
            <w:pPr>
              <w:rPr>
                <w:color w:val="000000" w:themeColor="text1"/>
              </w:rPr>
            </w:pPr>
            <w:r w:rsidRPr="000E7EED">
              <w:rPr>
                <w:color w:val="000000" w:themeColor="text1"/>
              </w:rPr>
              <w:t>Information and community legal education services</w:t>
            </w:r>
          </w:p>
        </w:tc>
        <w:tc>
          <w:tcPr>
            <w:cnfStyle w:val="000001000000" w:firstRow="0" w:lastRow="0" w:firstColumn="0" w:lastColumn="0" w:oddVBand="0" w:evenVBand="1" w:oddHBand="0" w:evenHBand="0" w:firstRowFirstColumn="0" w:firstRowLastColumn="0" w:lastRowFirstColumn="0" w:lastRowLastColumn="0"/>
            <w:tcW w:w="1369" w:type="dxa"/>
          </w:tcPr>
          <w:p w14:paraId="7F4686D8" w14:textId="1B385483" w:rsidR="00B15BE5" w:rsidRPr="000E7EED" w:rsidRDefault="00F873B4" w:rsidP="00495A11">
            <w:pPr>
              <w:jc w:val="right"/>
              <w:rPr>
                <w:color w:val="000000" w:themeColor="text1"/>
              </w:rPr>
            </w:pPr>
            <w:r>
              <w:rPr>
                <w:color w:val="000000" w:themeColor="text1"/>
              </w:rPr>
              <w:t>27,271</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30C32A25" w14:textId="772974FE" w:rsidR="00B15BE5" w:rsidRPr="0021615C" w:rsidRDefault="00C911C2" w:rsidP="00495A11">
            <w:pPr>
              <w:jc w:val="right"/>
            </w:pPr>
            <w:r>
              <w:t>26,804</w:t>
            </w:r>
          </w:p>
        </w:tc>
        <w:tc>
          <w:tcPr>
            <w:cnfStyle w:val="000001000000" w:firstRow="0" w:lastRow="0" w:firstColumn="0" w:lastColumn="0" w:oddVBand="0" w:evenVBand="1" w:oddHBand="0" w:evenHBand="0" w:firstRowFirstColumn="0" w:firstRowLastColumn="0" w:lastRowFirstColumn="0" w:lastRowLastColumn="0"/>
            <w:tcW w:w="1546" w:type="dxa"/>
          </w:tcPr>
          <w:p w14:paraId="4A349F43" w14:textId="261B078C" w:rsidR="00B15BE5" w:rsidRPr="0021615C" w:rsidRDefault="00930942" w:rsidP="00495A11">
            <w:pPr>
              <w:jc w:val="right"/>
            </w:pPr>
            <w:r>
              <w:rPr>
                <w:color w:val="000000" w:themeColor="text1"/>
              </w:rPr>
              <w:t>113,149</w:t>
            </w:r>
          </w:p>
        </w:tc>
        <w:tc>
          <w:tcPr>
            <w:cnfStyle w:val="000010000000" w:firstRow="0" w:lastRow="0" w:firstColumn="0" w:lastColumn="0" w:oddVBand="1" w:evenVBand="0" w:oddHBand="0" w:evenHBand="0" w:firstRowFirstColumn="0" w:firstRowLastColumn="0" w:lastRowFirstColumn="0" w:lastRowLastColumn="0"/>
            <w:tcW w:w="1564" w:type="dxa"/>
          </w:tcPr>
          <w:p w14:paraId="5FCEB4AA" w14:textId="77777777" w:rsidR="00B15BE5" w:rsidRPr="0021615C" w:rsidRDefault="00B15BE5" w:rsidP="00495A11">
            <w:pPr>
              <w:jc w:val="right"/>
            </w:pPr>
            <w:r w:rsidRPr="0021615C">
              <w:t>1</w:t>
            </w:r>
            <w:r>
              <w:t>18,100</w:t>
            </w:r>
          </w:p>
        </w:tc>
        <w:tc>
          <w:tcPr>
            <w:cnfStyle w:val="000001000000" w:firstRow="0" w:lastRow="0" w:firstColumn="0" w:lastColumn="0" w:oddVBand="0" w:evenVBand="1" w:oddHBand="0" w:evenHBand="0" w:firstRowFirstColumn="0" w:firstRowLastColumn="0" w:lastRowFirstColumn="0" w:lastRowLastColumn="0"/>
            <w:tcW w:w="1564" w:type="dxa"/>
          </w:tcPr>
          <w:p w14:paraId="1374827E" w14:textId="2A50D4C6" w:rsidR="00B15BE5" w:rsidRPr="0021615C" w:rsidRDefault="00AA2B4A" w:rsidP="00495A11">
            <w:pPr>
              <w:jc w:val="right"/>
            </w:pPr>
            <w:r>
              <w:t>N/A</w:t>
            </w:r>
          </w:p>
        </w:tc>
      </w:tr>
      <w:tr w:rsidR="00B15BE5" w:rsidRPr="000E7EED" w14:paraId="4FF30635" w14:textId="5342F379" w:rsidTr="00B15BE5">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41" w:type="dxa"/>
          </w:tcPr>
          <w:p w14:paraId="4B573A4F" w14:textId="77777777" w:rsidR="00B15BE5" w:rsidRPr="000E7EED" w:rsidRDefault="00B15BE5" w:rsidP="00495A11">
            <w:pPr>
              <w:rPr>
                <w:color w:val="000000" w:themeColor="text1"/>
              </w:rPr>
            </w:pPr>
            <w:r w:rsidRPr="000E7EED">
              <w:rPr>
                <w:color w:val="000000" w:themeColor="text1"/>
              </w:rPr>
              <w:t>Sessions on our website</w:t>
            </w:r>
          </w:p>
        </w:tc>
        <w:tc>
          <w:tcPr>
            <w:cnfStyle w:val="000001000000" w:firstRow="0" w:lastRow="0" w:firstColumn="0" w:lastColumn="0" w:oddVBand="0" w:evenVBand="1" w:oddHBand="0" w:evenHBand="0" w:firstRowFirstColumn="0" w:firstRowLastColumn="0" w:lastRowFirstColumn="0" w:lastRowLastColumn="0"/>
            <w:tcW w:w="1369" w:type="dxa"/>
          </w:tcPr>
          <w:p w14:paraId="6C64D3FF" w14:textId="5B001EB6" w:rsidR="00B15BE5" w:rsidRPr="000E7EED" w:rsidRDefault="00A06AC2" w:rsidP="00495A11">
            <w:pPr>
              <w:jc w:val="right"/>
              <w:rPr>
                <w:color w:val="000000" w:themeColor="text1"/>
              </w:rPr>
            </w:pPr>
            <w:r>
              <w:rPr>
                <w:color w:val="000000" w:themeColor="text1"/>
              </w:rPr>
              <w:t>702,735</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099D8DD4" w14:textId="12FF2931" w:rsidR="00B15BE5" w:rsidRPr="000E7EED" w:rsidRDefault="008A109B" w:rsidP="00495A11">
            <w:pPr>
              <w:jc w:val="right"/>
              <w:rPr>
                <w:color w:val="000000" w:themeColor="text1"/>
              </w:rPr>
            </w:pPr>
            <w:r>
              <w:rPr>
                <w:color w:val="000000" w:themeColor="text1"/>
              </w:rPr>
              <w:t>691,246</w:t>
            </w:r>
          </w:p>
        </w:tc>
        <w:tc>
          <w:tcPr>
            <w:cnfStyle w:val="000001000000" w:firstRow="0" w:lastRow="0" w:firstColumn="0" w:lastColumn="0" w:oddVBand="0" w:evenVBand="1" w:oddHBand="0" w:evenHBand="0" w:firstRowFirstColumn="0" w:firstRowLastColumn="0" w:lastRowFirstColumn="0" w:lastRowLastColumn="0"/>
            <w:tcW w:w="1546" w:type="dxa"/>
          </w:tcPr>
          <w:p w14:paraId="7C56B77B" w14:textId="4741B719" w:rsidR="00B15BE5" w:rsidRDefault="00A34293" w:rsidP="00495A11">
            <w:pPr>
              <w:jc w:val="right"/>
              <w:rPr>
                <w:color w:val="000000" w:themeColor="text1"/>
              </w:rPr>
            </w:pPr>
            <w:r>
              <w:rPr>
                <w:color w:val="000000" w:themeColor="text1"/>
              </w:rPr>
              <w:t>2,685,919</w:t>
            </w:r>
          </w:p>
        </w:tc>
        <w:tc>
          <w:tcPr>
            <w:cnfStyle w:val="000010000000" w:firstRow="0" w:lastRow="0" w:firstColumn="0" w:lastColumn="0" w:oddVBand="1" w:evenVBand="0" w:oddHBand="0" w:evenHBand="0" w:firstRowFirstColumn="0" w:firstRowLastColumn="0" w:lastRowFirstColumn="0" w:lastRowLastColumn="0"/>
            <w:tcW w:w="1564" w:type="dxa"/>
          </w:tcPr>
          <w:p w14:paraId="25C9F61A" w14:textId="77777777" w:rsidR="00B15BE5" w:rsidRPr="000E7EED" w:rsidRDefault="00B15BE5" w:rsidP="00495A11">
            <w:pPr>
              <w:jc w:val="right"/>
              <w:rPr>
                <w:color w:val="000000" w:themeColor="text1"/>
              </w:rPr>
            </w:pPr>
            <w:r>
              <w:rPr>
                <w:color w:val="000000" w:themeColor="text1"/>
              </w:rPr>
              <w:t>2,593,000</w:t>
            </w:r>
          </w:p>
        </w:tc>
        <w:tc>
          <w:tcPr>
            <w:cnfStyle w:val="000001000000" w:firstRow="0" w:lastRow="0" w:firstColumn="0" w:lastColumn="0" w:oddVBand="0" w:evenVBand="1" w:oddHBand="0" w:evenHBand="0" w:firstRowFirstColumn="0" w:firstRowLastColumn="0" w:lastRowFirstColumn="0" w:lastRowLastColumn="0"/>
            <w:tcW w:w="1564" w:type="dxa"/>
          </w:tcPr>
          <w:p w14:paraId="4A834318" w14:textId="41B7926C" w:rsidR="00B15BE5" w:rsidRDefault="006B287D" w:rsidP="00495A11">
            <w:pPr>
              <w:jc w:val="right"/>
              <w:rPr>
                <w:color w:val="000000" w:themeColor="text1"/>
              </w:rPr>
            </w:pPr>
            <w:r>
              <w:rPr>
                <w:color w:val="000000" w:themeColor="text1"/>
              </w:rPr>
              <w:t>737,361</w:t>
            </w:r>
          </w:p>
        </w:tc>
      </w:tr>
      <w:tr w:rsidR="00B15BE5" w14:paraId="63D578F8" w14:textId="02422A66" w:rsidTr="00B15BE5">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41" w:type="dxa"/>
          </w:tcPr>
          <w:p w14:paraId="3941F306" w14:textId="77777777" w:rsidR="00B15BE5" w:rsidRPr="000E7EED" w:rsidRDefault="00B15BE5" w:rsidP="00495A11">
            <w:pPr>
              <w:rPr>
                <w:color w:val="000000" w:themeColor="text1"/>
              </w:rPr>
            </w:pPr>
            <w:r>
              <w:rPr>
                <w:color w:val="000000" w:themeColor="text1"/>
              </w:rPr>
              <w:t>Legal Advice and minor assistance</w:t>
            </w:r>
          </w:p>
        </w:tc>
        <w:tc>
          <w:tcPr>
            <w:cnfStyle w:val="000001000000" w:firstRow="0" w:lastRow="0" w:firstColumn="0" w:lastColumn="0" w:oddVBand="0" w:evenVBand="1" w:oddHBand="0" w:evenHBand="0" w:firstRowFirstColumn="0" w:firstRowLastColumn="0" w:lastRowFirstColumn="0" w:lastRowLastColumn="0"/>
            <w:tcW w:w="1369" w:type="dxa"/>
          </w:tcPr>
          <w:p w14:paraId="321509DE" w14:textId="49D4D1D9" w:rsidR="00B15BE5" w:rsidRPr="000E7EED" w:rsidRDefault="000E11BA" w:rsidP="00495A11">
            <w:pPr>
              <w:jc w:val="right"/>
              <w:rPr>
                <w:color w:val="000000" w:themeColor="text1"/>
              </w:rPr>
            </w:pPr>
            <w:r>
              <w:rPr>
                <w:color w:val="000000" w:themeColor="text1"/>
              </w:rPr>
              <w:t>10,407</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62B478A5" w14:textId="1FEE9C06" w:rsidR="00B15BE5" w:rsidRPr="000E7EED" w:rsidRDefault="00E5615B" w:rsidP="00495A11">
            <w:pPr>
              <w:jc w:val="right"/>
              <w:rPr>
                <w:color w:val="000000" w:themeColor="text1"/>
              </w:rPr>
            </w:pPr>
            <w:r>
              <w:rPr>
                <w:color w:val="000000" w:themeColor="text1"/>
              </w:rPr>
              <w:t>9,166</w:t>
            </w:r>
          </w:p>
        </w:tc>
        <w:tc>
          <w:tcPr>
            <w:cnfStyle w:val="000001000000" w:firstRow="0" w:lastRow="0" w:firstColumn="0" w:lastColumn="0" w:oddVBand="0" w:evenVBand="1" w:oddHBand="0" w:evenHBand="0" w:firstRowFirstColumn="0" w:firstRowLastColumn="0" w:lastRowFirstColumn="0" w:lastRowLastColumn="0"/>
            <w:tcW w:w="1546" w:type="dxa"/>
          </w:tcPr>
          <w:p w14:paraId="40852E7A" w14:textId="5CCEFFF9" w:rsidR="00B15BE5" w:rsidRDefault="009E65CF" w:rsidP="00495A11">
            <w:pPr>
              <w:jc w:val="right"/>
              <w:rPr>
                <w:color w:val="000000" w:themeColor="text1"/>
              </w:rPr>
            </w:pPr>
            <w:r>
              <w:rPr>
                <w:color w:val="000000" w:themeColor="text1"/>
              </w:rPr>
              <w:t>39,032</w:t>
            </w:r>
          </w:p>
        </w:tc>
        <w:tc>
          <w:tcPr>
            <w:cnfStyle w:val="000010000000" w:firstRow="0" w:lastRow="0" w:firstColumn="0" w:lastColumn="0" w:oddVBand="1" w:evenVBand="0" w:oddHBand="0" w:evenHBand="0" w:firstRowFirstColumn="0" w:firstRowLastColumn="0" w:lastRowFirstColumn="0" w:lastRowLastColumn="0"/>
            <w:tcW w:w="1564" w:type="dxa"/>
          </w:tcPr>
          <w:p w14:paraId="5054E4AC" w14:textId="6CC490B8" w:rsidR="00B15BE5" w:rsidRDefault="000C59E6" w:rsidP="00495A11">
            <w:pPr>
              <w:jc w:val="right"/>
              <w:rPr>
                <w:color w:val="000000" w:themeColor="text1"/>
              </w:rPr>
            </w:pPr>
            <w:r>
              <w:rPr>
                <w:color w:val="000000" w:themeColor="text1"/>
              </w:rPr>
              <w:t>41,600</w:t>
            </w:r>
          </w:p>
        </w:tc>
        <w:tc>
          <w:tcPr>
            <w:cnfStyle w:val="000001000000" w:firstRow="0" w:lastRow="0" w:firstColumn="0" w:lastColumn="0" w:oddVBand="0" w:evenVBand="1" w:oddHBand="0" w:evenHBand="0" w:firstRowFirstColumn="0" w:firstRowLastColumn="0" w:lastRowFirstColumn="0" w:lastRowLastColumn="0"/>
            <w:tcW w:w="1564" w:type="dxa"/>
          </w:tcPr>
          <w:p w14:paraId="3F6148B9" w14:textId="79FF7C21" w:rsidR="00B15BE5" w:rsidRDefault="005F0386" w:rsidP="00495A11">
            <w:pPr>
              <w:jc w:val="right"/>
              <w:rPr>
                <w:color w:val="000000" w:themeColor="text1"/>
              </w:rPr>
            </w:pPr>
            <w:r>
              <w:t>N/A</w:t>
            </w:r>
          </w:p>
        </w:tc>
      </w:tr>
    </w:tbl>
    <w:p w14:paraId="379224AF" w14:textId="4DC73DCA" w:rsidR="005A5774" w:rsidRPr="00E67F29" w:rsidRDefault="005A5774" w:rsidP="005A5774">
      <w:pPr>
        <w:pStyle w:val="Tableheader"/>
        <w:rPr>
          <w:b w:val="0"/>
          <w:bCs w:val="0"/>
          <w:i/>
          <w:iCs/>
          <w:sz w:val="22"/>
          <w:szCs w:val="22"/>
        </w:rPr>
      </w:pPr>
      <w:r>
        <w:rPr>
          <w:b w:val="0"/>
          <w:bCs w:val="0"/>
          <w:sz w:val="22"/>
          <w:szCs w:val="22"/>
        </w:rPr>
        <w:t xml:space="preserve">Legal Help is the main service provider of information and advice sessions at VLA. </w:t>
      </w:r>
      <w:r w:rsidRPr="00596D01">
        <w:rPr>
          <w:b w:val="0"/>
          <w:bCs w:val="0"/>
          <w:sz w:val="22"/>
          <w:szCs w:val="22"/>
        </w:rPr>
        <w:t>The effect of the increas</w:t>
      </w:r>
      <w:r>
        <w:rPr>
          <w:b w:val="0"/>
          <w:bCs w:val="0"/>
          <w:sz w:val="22"/>
          <w:szCs w:val="22"/>
        </w:rPr>
        <w:t xml:space="preserve">ed </w:t>
      </w:r>
      <w:r w:rsidRPr="00596D01">
        <w:rPr>
          <w:b w:val="0"/>
          <w:bCs w:val="0"/>
          <w:sz w:val="22"/>
          <w:szCs w:val="22"/>
        </w:rPr>
        <w:t>call duration</w:t>
      </w:r>
      <w:r>
        <w:rPr>
          <w:b w:val="0"/>
          <w:bCs w:val="0"/>
          <w:sz w:val="22"/>
          <w:szCs w:val="22"/>
        </w:rPr>
        <w:t xml:space="preserve"> (Table 1.2)</w:t>
      </w:r>
      <w:r w:rsidRPr="00596D01">
        <w:rPr>
          <w:b w:val="0"/>
          <w:bCs w:val="0"/>
          <w:sz w:val="22"/>
          <w:szCs w:val="22"/>
        </w:rPr>
        <w:t xml:space="preserve"> is that staff are less available to take other calls</w:t>
      </w:r>
      <w:r>
        <w:rPr>
          <w:b w:val="0"/>
          <w:bCs w:val="0"/>
          <w:sz w:val="22"/>
          <w:szCs w:val="22"/>
        </w:rPr>
        <w:t>. Fewer information sessions have been delivered in 2019–20 than projected as a result.</w:t>
      </w:r>
    </w:p>
    <w:p w14:paraId="0D29B67C" w14:textId="1DC7D07D" w:rsidR="00CA71CC" w:rsidRPr="005740EB" w:rsidRDefault="005A5774" w:rsidP="005A5774">
      <w:pPr>
        <w:pStyle w:val="Tableheader"/>
        <w:rPr>
          <w:b w:val="0"/>
          <w:bCs w:val="0"/>
          <w:sz w:val="22"/>
          <w:szCs w:val="22"/>
        </w:rPr>
      </w:pPr>
      <w:r>
        <w:rPr>
          <w:b w:val="0"/>
          <w:bCs w:val="0"/>
          <w:sz w:val="22"/>
          <w:szCs w:val="22"/>
        </w:rPr>
        <w:t xml:space="preserve">We saw an </w:t>
      </w:r>
      <w:r w:rsidRPr="005740EB">
        <w:rPr>
          <w:b w:val="0"/>
          <w:bCs w:val="0"/>
          <w:sz w:val="22"/>
          <w:szCs w:val="22"/>
        </w:rPr>
        <w:t xml:space="preserve">increase in access to legal information via </w:t>
      </w:r>
      <w:r>
        <w:rPr>
          <w:b w:val="0"/>
          <w:bCs w:val="0"/>
          <w:sz w:val="22"/>
          <w:szCs w:val="22"/>
        </w:rPr>
        <w:t xml:space="preserve">our </w:t>
      </w:r>
      <w:r w:rsidRPr="005740EB">
        <w:rPr>
          <w:b w:val="0"/>
          <w:bCs w:val="0"/>
          <w:sz w:val="22"/>
          <w:szCs w:val="22"/>
        </w:rPr>
        <w:t>website</w:t>
      </w:r>
      <w:r>
        <w:rPr>
          <w:b w:val="0"/>
          <w:bCs w:val="0"/>
          <w:sz w:val="22"/>
          <w:szCs w:val="22"/>
        </w:rPr>
        <w:t xml:space="preserve"> in quarter four (Table 1.3)</w:t>
      </w:r>
      <w:r w:rsidRPr="005740EB">
        <w:rPr>
          <w:b w:val="0"/>
          <w:bCs w:val="0"/>
          <w:sz w:val="22"/>
          <w:szCs w:val="22"/>
        </w:rPr>
        <w:t>. Between 19 March and 30 June 2020</w:t>
      </w:r>
      <w:r w:rsidR="002439F5">
        <w:rPr>
          <w:b w:val="0"/>
          <w:bCs w:val="0"/>
          <w:sz w:val="22"/>
          <w:szCs w:val="22"/>
        </w:rPr>
        <w:t>,</w:t>
      </w:r>
      <w:r w:rsidRPr="005740EB">
        <w:rPr>
          <w:b w:val="0"/>
          <w:bCs w:val="0"/>
          <w:sz w:val="22"/>
          <w:szCs w:val="22"/>
        </w:rPr>
        <w:t xml:space="preserve"> 84,032 visitors</w:t>
      </w:r>
      <w:r>
        <w:rPr>
          <w:b w:val="0"/>
          <w:bCs w:val="0"/>
          <w:sz w:val="22"/>
          <w:szCs w:val="22"/>
        </w:rPr>
        <w:t xml:space="preserve"> </w:t>
      </w:r>
      <w:r w:rsidRPr="005740EB">
        <w:rPr>
          <w:b w:val="0"/>
          <w:bCs w:val="0"/>
          <w:sz w:val="22"/>
          <w:szCs w:val="22"/>
        </w:rPr>
        <w:t xml:space="preserve">accessed </w:t>
      </w:r>
      <w:r>
        <w:rPr>
          <w:b w:val="0"/>
          <w:bCs w:val="0"/>
          <w:sz w:val="22"/>
          <w:szCs w:val="22"/>
        </w:rPr>
        <w:t>the</w:t>
      </w:r>
      <w:r w:rsidRPr="005740EB">
        <w:rPr>
          <w:b w:val="0"/>
          <w:bCs w:val="0"/>
          <w:sz w:val="22"/>
          <w:szCs w:val="22"/>
        </w:rPr>
        <w:t xml:space="preserve"> COVID-19 legal information webpages. This includes 24,711 visits to VLA’s main information page, 16,661 visits to ‘COVID-19 and losing work’ and 11,199 visits to ‘COVID-19 and parenting issues’.</w:t>
      </w:r>
    </w:p>
    <w:p w14:paraId="2A1F0837" w14:textId="380ACFF1" w:rsidR="00495A11" w:rsidRPr="00E46959" w:rsidRDefault="007C1487" w:rsidP="00523B7C">
      <w:pPr>
        <w:rPr>
          <w:b/>
          <w:bCs/>
        </w:rPr>
      </w:pPr>
      <w:r w:rsidRPr="00E46959">
        <w:rPr>
          <w:b/>
          <w:bCs/>
        </w:rPr>
        <w:t>Table 1.4 Court services 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1"/>
        <w:gridCol w:w="1369"/>
        <w:gridCol w:w="1588"/>
        <w:gridCol w:w="1546"/>
        <w:gridCol w:w="1564"/>
        <w:gridCol w:w="1564"/>
      </w:tblGrid>
      <w:tr w:rsidR="00B15BE5" w14:paraId="052E6F62" w14:textId="5735B623" w:rsidTr="00B15BE5">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41" w:type="dxa"/>
            <w:shd w:val="clear" w:color="auto" w:fill="C4B0CC"/>
          </w:tcPr>
          <w:p w14:paraId="038AE825" w14:textId="77777777" w:rsidR="00B15BE5" w:rsidRPr="00495A11" w:rsidRDefault="00B15BE5" w:rsidP="00B15BE5">
            <w:pPr>
              <w:rPr>
                <w:b/>
                <w:bCs w:val="0"/>
                <w:color w:val="000000" w:themeColor="text1"/>
              </w:rPr>
            </w:pPr>
            <w:r w:rsidRPr="00495A11">
              <w:rPr>
                <w:b/>
                <w:bCs w:val="0"/>
                <w:color w:val="000000" w:themeColor="text1"/>
              </w:rPr>
              <w:t>Court Services</w:t>
            </w:r>
          </w:p>
        </w:tc>
        <w:tc>
          <w:tcPr>
            <w:cnfStyle w:val="000001000000" w:firstRow="0" w:lastRow="0" w:firstColumn="0" w:lastColumn="0" w:oddVBand="0" w:evenVBand="1" w:oddHBand="0" w:evenHBand="0" w:firstRowFirstColumn="0" w:firstRowLastColumn="0" w:lastRowFirstColumn="0" w:lastRowLastColumn="0"/>
            <w:tcW w:w="1369" w:type="dxa"/>
            <w:shd w:val="clear" w:color="auto" w:fill="C4B0CC"/>
          </w:tcPr>
          <w:p w14:paraId="339F0C47" w14:textId="77777777" w:rsidR="00B15BE5" w:rsidRPr="000E7EED" w:rsidRDefault="00B15BE5" w:rsidP="00B15BE5">
            <w:pPr>
              <w:jc w:val="center"/>
              <w:rPr>
                <w:b/>
                <w:color w:val="000000" w:themeColor="text1"/>
              </w:rPr>
            </w:pPr>
            <w:r w:rsidRPr="55245693">
              <w:rPr>
                <w:b/>
                <w:color w:val="000000" w:themeColor="text1"/>
              </w:rPr>
              <w:t>Q4</w:t>
            </w:r>
          </w:p>
          <w:p w14:paraId="02F895D5" w14:textId="77A6DEB9" w:rsidR="00B15BE5" w:rsidRPr="000E7EED" w:rsidRDefault="00B15BE5" w:rsidP="00B15BE5">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C4B0CC"/>
          </w:tcPr>
          <w:p w14:paraId="5F47194B" w14:textId="77777777" w:rsidR="00B15BE5" w:rsidRDefault="00B15BE5" w:rsidP="00B15BE5">
            <w:pPr>
              <w:jc w:val="center"/>
              <w:rPr>
                <w:b/>
                <w:color w:val="000000" w:themeColor="text1"/>
              </w:rPr>
            </w:pPr>
            <w:r w:rsidRPr="55245693">
              <w:rPr>
                <w:b/>
                <w:color w:val="000000" w:themeColor="text1"/>
              </w:rPr>
              <w:t>Q4</w:t>
            </w:r>
          </w:p>
          <w:p w14:paraId="1FA34AA2" w14:textId="45A232D4" w:rsidR="00B15BE5" w:rsidRPr="000E7EED" w:rsidRDefault="00B15BE5" w:rsidP="00B15BE5">
            <w:pPr>
              <w:jc w:val="center"/>
              <w:rPr>
                <w:color w:val="000000" w:themeColor="text1"/>
              </w:rPr>
            </w:pPr>
            <w:r w:rsidRPr="000E7EED">
              <w:rPr>
                <w:b/>
                <w:color w:val="000000" w:themeColor="text1"/>
              </w:rPr>
              <w:t>20</w:t>
            </w:r>
            <w:r>
              <w:rPr>
                <w:b/>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1546" w:type="dxa"/>
            <w:shd w:val="clear" w:color="auto" w:fill="C4B0CC"/>
          </w:tcPr>
          <w:p w14:paraId="5672E58B" w14:textId="6D211348" w:rsidR="00B15BE5" w:rsidRDefault="00B15BE5" w:rsidP="00B15BE5">
            <w:pPr>
              <w:jc w:val="center"/>
              <w:rPr>
                <w:color w:val="000000" w:themeColor="text1"/>
              </w:rPr>
            </w:pPr>
            <w:r>
              <w:rPr>
                <w:b/>
                <w:color w:val="000000" w:themeColor="text1"/>
              </w:rPr>
              <w:t>Year-end total 2020</w:t>
            </w:r>
          </w:p>
        </w:tc>
        <w:tc>
          <w:tcPr>
            <w:cnfStyle w:val="000010000000" w:firstRow="0" w:lastRow="0" w:firstColumn="0" w:lastColumn="0" w:oddVBand="1" w:evenVBand="0" w:oddHBand="0" w:evenHBand="0" w:firstRowFirstColumn="0" w:firstRowLastColumn="0" w:lastRowFirstColumn="0" w:lastRowLastColumn="0"/>
            <w:tcW w:w="1564" w:type="dxa"/>
            <w:shd w:val="clear" w:color="auto" w:fill="C4B0CC"/>
          </w:tcPr>
          <w:p w14:paraId="10DCE449" w14:textId="41CB2765" w:rsidR="00B15BE5" w:rsidRDefault="00B15BE5" w:rsidP="00B15BE5">
            <w:pPr>
              <w:jc w:val="center"/>
              <w:rPr>
                <w:color w:val="000000" w:themeColor="text1"/>
              </w:rPr>
            </w:pPr>
            <w:r w:rsidRPr="4E94EB1A">
              <w:rPr>
                <w:b/>
                <w:color w:val="000000" w:themeColor="text1"/>
              </w:rPr>
              <w:t>Year-end projection</w:t>
            </w:r>
            <w:r>
              <w:rPr>
                <w:b/>
                <w:color w:val="000000" w:themeColor="text1"/>
              </w:rPr>
              <w:t xml:space="preserve"> 2020 </w:t>
            </w:r>
          </w:p>
        </w:tc>
        <w:tc>
          <w:tcPr>
            <w:cnfStyle w:val="000001000000" w:firstRow="0" w:lastRow="0" w:firstColumn="0" w:lastColumn="0" w:oddVBand="0" w:evenVBand="1" w:oddHBand="0" w:evenHBand="0" w:firstRowFirstColumn="0" w:firstRowLastColumn="0" w:lastRowFirstColumn="0" w:lastRowLastColumn="0"/>
            <w:tcW w:w="1564" w:type="dxa"/>
            <w:shd w:val="clear" w:color="auto" w:fill="C4B0CC"/>
          </w:tcPr>
          <w:p w14:paraId="429931AF" w14:textId="29B31553" w:rsidR="00B15BE5" w:rsidRDefault="00B15BE5" w:rsidP="00B15BE5">
            <w:pPr>
              <w:jc w:val="center"/>
              <w:rPr>
                <w:b/>
                <w:color w:val="000000" w:themeColor="text1"/>
              </w:rPr>
            </w:pPr>
            <w:r w:rsidRPr="55245693">
              <w:rPr>
                <w:b/>
                <w:color w:val="000000" w:themeColor="text1"/>
              </w:rPr>
              <w:t>Q1 2021 projection</w:t>
            </w:r>
          </w:p>
        </w:tc>
      </w:tr>
      <w:tr w:rsidR="00D83854" w14:paraId="3C3FE80A" w14:textId="1E73DF32" w:rsidTr="00B15BE5">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41" w:type="dxa"/>
          </w:tcPr>
          <w:p w14:paraId="6173B22E" w14:textId="77777777" w:rsidR="00D83854" w:rsidRDefault="00D83854" w:rsidP="00D83854">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369" w:type="dxa"/>
          </w:tcPr>
          <w:p w14:paraId="2E8775AA" w14:textId="5E99E3AA" w:rsidR="00D83854" w:rsidRPr="000E7EED" w:rsidRDefault="00D83854" w:rsidP="00D83854">
            <w:pPr>
              <w:jc w:val="right"/>
              <w:rPr>
                <w:color w:val="000000" w:themeColor="text1"/>
              </w:rPr>
            </w:pPr>
            <w:r>
              <w:rPr>
                <w:color w:val="000000" w:themeColor="text1"/>
              </w:rPr>
              <w:t>23,215</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7AAB1F72" w14:textId="21BD82F0" w:rsidR="00D83854" w:rsidRPr="000E7EED" w:rsidRDefault="00D83854" w:rsidP="00D83854">
            <w:pPr>
              <w:jc w:val="right"/>
              <w:rPr>
                <w:color w:val="000000" w:themeColor="text1"/>
              </w:rPr>
            </w:pPr>
            <w:r>
              <w:rPr>
                <w:color w:val="000000" w:themeColor="text1"/>
              </w:rPr>
              <w:t>12,036</w:t>
            </w:r>
          </w:p>
        </w:tc>
        <w:tc>
          <w:tcPr>
            <w:cnfStyle w:val="000001000000" w:firstRow="0" w:lastRow="0" w:firstColumn="0" w:lastColumn="0" w:oddVBand="0" w:evenVBand="1" w:oddHBand="0" w:evenHBand="0" w:firstRowFirstColumn="0" w:firstRowLastColumn="0" w:lastRowFirstColumn="0" w:lastRowLastColumn="0"/>
            <w:tcW w:w="1546" w:type="dxa"/>
          </w:tcPr>
          <w:p w14:paraId="11E241D7" w14:textId="367DB95E" w:rsidR="00D83854" w:rsidRDefault="00D83854" w:rsidP="00D83854">
            <w:pPr>
              <w:jc w:val="right"/>
              <w:rPr>
                <w:color w:val="000000" w:themeColor="text1"/>
              </w:rPr>
            </w:pPr>
            <w:r>
              <w:rPr>
                <w:color w:val="000000" w:themeColor="text1"/>
              </w:rPr>
              <w:t>78,478</w:t>
            </w:r>
          </w:p>
        </w:tc>
        <w:tc>
          <w:tcPr>
            <w:cnfStyle w:val="000010000000" w:firstRow="0" w:lastRow="0" w:firstColumn="0" w:lastColumn="0" w:oddVBand="1" w:evenVBand="0" w:oddHBand="0" w:evenHBand="0" w:firstRowFirstColumn="0" w:firstRowLastColumn="0" w:lastRowFirstColumn="0" w:lastRowLastColumn="0"/>
            <w:tcW w:w="1564" w:type="dxa"/>
          </w:tcPr>
          <w:p w14:paraId="30049E76" w14:textId="77777777" w:rsidR="00D83854" w:rsidRDefault="00D83854" w:rsidP="00D83854">
            <w:pPr>
              <w:jc w:val="right"/>
              <w:rPr>
                <w:color w:val="000000" w:themeColor="text1"/>
              </w:rPr>
            </w:pPr>
            <w:r>
              <w:t>89,700</w:t>
            </w:r>
          </w:p>
        </w:tc>
        <w:tc>
          <w:tcPr>
            <w:cnfStyle w:val="000001000000" w:firstRow="0" w:lastRow="0" w:firstColumn="0" w:lastColumn="0" w:oddVBand="0" w:evenVBand="1" w:oddHBand="0" w:evenHBand="0" w:firstRowFirstColumn="0" w:firstRowLastColumn="0" w:lastRowFirstColumn="0" w:lastRowLastColumn="0"/>
            <w:tcW w:w="1564" w:type="dxa"/>
          </w:tcPr>
          <w:p w14:paraId="5E464BA4" w14:textId="5949F3C6" w:rsidR="00D83854" w:rsidRDefault="00D83854" w:rsidP="00D83854">
            <w:pPr>
              <w:jc w:val="right"/>
            </w:pPr>
            <w:r w:rsidRPr="005F14C8">
              <w:t>N/A</w:t>
            </w:r>
          </w:p>
        </w:tc>
      </w:tr>
      <w:tr w:rsidR="00D83854" w14:paraId="44E57F19" w14:textId="0E5C910E" w:rsidTr="00B15BE5">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41" w:type="dxa"/>
          </w:tcPr>
          <w:p w14:paraId="7AB592EF" w14:textId="77777777" w:rsidR="00D83854" w:rsidRDefault="00D83854" w:rsidP="00D83854">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369" w:type="dxa"/>
          </w:tcPr>
          <w:p w14:paraId="22D2C9B8" w14:textId="3BC9CDDC" w:rsidR="00D83854" w:rsidRPr="000E7EED" w:rsidRDefault="00D83854" w:rsidP="00D83854">
            <w:pPr>
              <w:jc w:val="right"/>
              <w:rPr>
                <w:color w:val="000000" w:themeColor="text1"/>
              </w:rPr>
            </w:pPr>
            <w:r>
              <w:rPr>
                <w:color w:val="000000" w:themeColor="text1"/>
              </w:rPr>
              <w:t>11,502</w:t>
            </w:r>
          </w:p>
        </w:tc>
        <w:tc>
          <w:tcPr>
            <w:cnfStyle w:val="000010000000" w:firstRow="0" w:lastRow="0" w:firstColumn="0" w:lastColumn="0" w:oddVBand="1" w:evenVBand="0" w:oddHBand="0" w:evenHBand="0" w:firstRowFirstColumn="0" w:firstRowLastColumn="0" w:lastRowFirstColumn="0" w:lastRowLastColumn="0"/>
            <w:tcW w:w="1588" w:type="dxa"/>
            <w:shd w:val="clear" w:color="auto" w:fill="D9D9D9" w:themeFill="background1" w:themeFillShade="D9"/>
          </w:tcPr>
          <w:p w14:paraId="64C623A0" w14:textId="616A5EBD" w:rsidR="00D83854" w:rsidRPr="000E7EED" w:rsidRDefault="00D83854" w:rsidP="00D83854">
            <w:pPr>
              <w:jc w:val="right"/>
              <w:rPr>
                <w:color w:val="000000" w:themeColor="text1"/>
              </w:rPr>
            </w:pPr>
            <w:r>
              <w:rPr>
                <w:color w:val="000000" w:themeColor="text1"/>
              </w:rPr>
              <w:t>9,575</w:t>
            </w:r>
          </w:p>
        </w:tc>
        <w:tc>
          <w:tcPr>
            <w:cnfStyle w:val="000001000000" w:firstRow="0" w:lastRow="0" w:firstColumn="0" w:lastColumn="0" w:oddVBand="0" w:evenVBand="1" w:oddHBand="0" w:evenHBand="0" w:firstRowFirstColumn="0" w:firstRowLastColumn="0" w:lastRowFirstColumn="0" w:lastRowLastColumn="0"/>
            <w:tcW w:w="1546" w:type="dxa"/>
          </w:tcPr>
          <w:p w14:paraId="20519BE6" w14:textId="238A70EE" w:rsidR="00D83854" w:rsidRDefault="00D83854" w:rsidP="00D83854">
            <w:pPr>
              <w:jc w:val="right"/>
              <w:rPr>
                <w:color w:val="000000" w:themeColor="text1"/>
              </w:rPr>
            </w:pPr>
            <w:r>
              <w:rPr>
                <w:color w:val="000000" w:themeColor="text1"/>
              </w:rPr>
              <w:t>45,334</w:t>
            </w:r>
          </w:p>
        </w:tc>
        <w:tc>
          <w:tcPr>
            <w:cnfStyle w:val="000010000000" w:firstRow="0" w:lastRow="0" w:firstColumn="0" w:lastColumn="0" w:oddVBand="1" w:evenVBand="0" w:oddHBand="0" w:evenHBand="0" w:firstRowFirstColumn="0" w:firstRowLastColumn="0" w:lastRowFirstColumn="0" w:lastRowLastColumn="0"/>
            <w:tcW w:w="1564" w:type="dxa"/>
          </w:tcPr>
          <w:p w14:paraId="75D69A2C" w14:textId="54C37929" w:rsidR="00D83854" w:rsidRDefault="00D83854" w:rsidP="00D83854">
            <w:pPr>
              <w:jc w:val="right"/>
              <w:rPr>
                <w:color w:val="000000" w:themeColor="text1"/>
              </w:rPr>
            </w:pPr>
            <w:r>
              <w:rPr>
                <w:color w:val="000000" w:themeColor="text1"/>
              </w:rPr>
              <w:t>47,500</w:t>
            </w:r>
          </w:p>
        </w:tc>
        <w:tc>
          <w:tcPr>
            <w:cnfStyle w:val="000001000000" w:firstRow="0" w:lastRow="0" w:firstColumn="0" w:lastColumn="0" w:oddVBand="0" w:evenVBand="1" w:oddHBand="0" w:evenHBand="0" w:firstRowFirstColumn="0" w:firstRowLastColumn="0" w:lastRowFirstColumn="0" w:lastRowLastColumn="0"/>
            <w:tcW w:w="1564" w:type="dxa"/>
          </w:tcPr>
          <w:p w14:paraId="10358AE0" w14:textId="0519E174" w:rsidR="00D83854" w:rsidRDefault="00D83854" w:rsidP="00D83854">
            <w:pPr>
              <w:jc w:val="right"/>
              <w:rPr>
                <w:color w:val="000000" w:themeColor="text1"/>
              </w:rPr>
            </w:pPr>
            <w:r w:rsidRPr="005F14C8">
              <w:t>N/A</w:t>
            </w:r>
          </w:p>
        </w:tc>
      </w:tr>
    </w:tbl>
    <w:p w14:paraId="0F2513A9" w14:textId="77777777" w:rsidR="006D2FD5" w:rsidRPr="006D2FD5" w:rsidRDefault="006D2FD5" w:rsidP="006D2FD5">
      <w:pPr>
        <w:rPr>
          <w:lang w:eastAsia="en-AU"/>
        </w:rPr>
      </w:pPr>
    </w:p>
    <w:p w14:paraId="1C3CE7AE" w14:textId="444FF05F" w:rsidR="00CA71CC" w:rsidRPr="00DB36A3" w:rsidRDefault="00CA71CC" w:rsidP="00CA71CC">
      <w:pPr>
        <w:rPr>
          <w:lang w:eastAsia="en-AU"/>
        </w:rPr>
      </w:pPr>
      <w:r>
        <w:rPr>
          <w:lang w:eastAsia="en-AU"/>
        </w:rPr>
        <w:lastRenderedPageBreak/>
        <w:t>The number of duty lawyer</w:t>
      </w:r>
      <w:r w:rsidR="00F85BFF">
        <w:rPr>
          <w:lang w:eastAsia="en-AU"/>
        </w:rPr>
        <w:t xml:space="preserve"> services delivered in quarter four</w:t>
      </w:r>
      <w:r>
        <w:rPr>
          <w:lang w:eastAsia="en-AU"/>
        </w:rPr>
        <w:t xml:space="preserve"> were heavily</w:t>
      </w:r>
      <w:r w:rsidR="00F85BFF">
        <w:rPr>
          <w:lang w:eastAsia="en-AU"/>
        </w:rPr>
        <w:t xml:space="preserve"> impacted</w:t>
      </w:r>
      <w:r>
        <w:rPr>
          <w:lang w:eastAsia="en-AU"/>
        </w:rPr>
        <w:t xml:space="preserve"> by the COVID-19 changes to service delivery</w:t>
      </w:r>
      <w:r w:rsidR="00F85BFF">
        <w:rPr>
          <w:lang w:eastAsia="en-AU"/>
        </w:rPr>
        <w:t>.</w:t>
      </w:r>
      <w:r>
        <w:rPr>
          <w:lang w:eastAsia="en-AU"/>
        </w:rPr>
        <w:t xml:space="preserve"> </w:t>
      </w:r>
      <w:r w:rsidRPr="00DB36A3">
        <w:rPr>
          <w:noProof/>
          <w:lang w:eastAsia="en-AU"/>
        </w:rPr>
        <w:t>These changes resulted in a significant reduction in non-</w:t>
      </w:r>
      <w:r w:rsidR="00DE4EC7">
        <w:rPr>
          <w:noProof/>
          <w:lang w:eastAsia="en-AU"/>
        </w:rPr>
        <w:t>custody</w:t>
      </w:r>
      <w:r w:rsidR="0006012E">
        <w:rPr>
          <w:noProof/>
          <w:lang w:eastAsia="en-AU"/>
        </w:rPr>
        <w:t xml:space="preserve"> and non-family violence</w:t>
      </w:r>
      <w:r w:rsidRPr="00DB36A3">
        <w:rPr>
          <w:noProof/>
          <w:lang w:eastAsia="en-AU"/>
        </w:rPr>
        <w:t xml:space="preserve"> related duty lawyer services at Magistrates’ Courts delivered in 2019–20. The average number of duty lawyer services delivered per month from July 2019 to February 2020 was 7,931. In quarter four, April to June</w:t>
      </w:r>
      <w:r w:rsidR="00C11059">
        <w:rPr>
          <w:noProof/>
          <w:lang w:eastAsia="en-AU"/>
        </w:rPr>
        <w:t xml:space="preserve"> 2020,</w:t>
      </w:r>
      <w:r w:rsidRPr="00DB36A3">
        <w:rPr>
          <w:noProof/>
          <w:lang w:eastAsia="en-AU"/>
        </w:rPr>
        <w:t xml:space="preserve"> the monthly average dropped to 2,919. </w:t>
      </w:r>
      <w:r w:rsidR="00946F17">
        <w:rPr>
          <w:noProof/>
          <w:lang w:eastAsia="en-AU"/>
        </w:rPr>
        <w:t>Family violence related duty lawyer services also reduced, however these matters were prioritised</w:t>
      </w:r>
      <w:r w:rsidR="001770F6">
        <w:rPr>
          <w:noProof/>
          <w:lang w:eastAsia="en-AU"/>
        </w:rPr>
        <w:t xml:space="preserve"> by the courts and so were less affected than other areas of law.</w:t>
      </w:r>
    </w:p>
    <w:p w14:paraId="3EC3FA3A" w14:textId="753B00CA" w:rsidR="00D340F1" w:rsidRDefault="00CA71CC" w:rsidP="00CA71CC">
      <w:pPr>
        <w:rPr>
          <w:rFonts w:eastAsia="Arial"/>
          <w:i/>
          <w:iCs/>
        </w:rPr>
      </w:pPr>
      <w:r w:rsidRPr="00DB36A3">
        <w:rPr>
          <w:rFonts w:eastAsia="Arial"/>
        </w:rPr>
        <w:t xml:space="preserve">We continued to provide duty lawyer services for </w:t>
      </w:r>
      <w:r w:rsidRPr="00DB36A3">
        <w:rPr>
          <w:rFonts w:eastAsia="Arial"/>
          <w:noProof/>
        </w:rPr>
        <w:t xml:space="preserve">child protection, custody, and family </w:t>
      </w:r>
      <w:r w:rsidRPr="00DB36A3">
        <w:rPr>
          <w:rFonts w:eastAsia="Arial"/>
        </w:rPr>
        <w:t xml:space="preserve">violence intervention order (FVIO) matters at Magistrates’ </w:t>
      </w:r>
      <w:r w:rsidRPr="00DB36A3">
        <w:rPr>
          <w:rFonts w:eastAsia="Arial"/>
          <w:noProof/>
        </w:rPr>
        <w:t xml:space="preserve">and Children’s </w:t>
      </w:r>
      <w:r w:rsidRPr="00DB36A3">
        <w:rPr>
          <w:rFonts w:eastAsia="Arial"/>
        </w:rPr>
        <w:t>Courts across the state</w:t>
      </w:r>
      <w:r w:rsidRPr="00DB36A3">
        <w:rPr>
          <w:rFonts w:eastAsia="Arial"/>
          <w:noProof/>
        </w:rPr>
        <w:t>.</w:t>
      </w:r>
      <w:r w:rsidRPr="00DB36A3">
        <w:rPr>
          <w:rFonts w:eastAsia="Arial"/>
        </w:rPr>
        <w:t xml:space="preserve"> We also continued to provide duty lawyer services seven days and nights a week at the Bail and Remand Court at the Melbourne Magistrates</w:t>
      </w:r>
      <w:r w:rsidR="00E80FE7">
        <w:rPr>
          <w:rFonts w:eastAsia="Arial"/>
        </w:rPr>
        <w:t>’</w:t>
      </w:r>
      <w:r w:rsidRPr="00DB36A3">
        <w:rPr>
          <w:rFonts w:eastAsia="Arial"/>
        </w:rPr>
        <w:t xml:space="preserve"> Court. In quarter four we helped 10 per cent more people at Bail and Remand Court and in custody through our duty lawyer service than during the same period in 2019. </w:t>
      </w:r>
    </w:p>
    <w:p w14:paraId="6861BBE2" w14:textId="1C48FED5" w:rsidR="005B468A" w:rsidRPr="00E7326F" w:rsidRDefault="005B468A" w:rsidP="005B468A">
      <w:pPr>
        <w:rPr>
          <w:i/>
          <w:iCs/>
          <w:lang w:eastAsia="en-AU"/>
        </w:rPr>
      </w:pPr>
      <w:r w:rsidRPr="00647983">
        <w:rPr>
          <w:lang w:eastAsia="en-AU"/>
        </w:rPr>
        <w:t xml:space="preserve">After the changes to </w:t>
      </w:r>
      <w:r w:rsidRPr="00647983">
        <w:rPr>
          <w:noProof/>
          <w:lang w:eastAsia="en-AU"/>
        </w:rPr>
        <w:t>court</w:t>
      </w:r>
      <w:r w:rsidRPr="00647983">
        <w:rPr>
          <w:lang w:eastAsia="en-AU"/>
        </w:rPr>
        <w:t xml:space="preserve"> proceedings</w:t>
      </w:r>
      <w:r w:rsidR="00FB67AE">
        <w:rPr>
          <w:lang w:eastAsia="en-AU"/>
        </w:rPr>
        <w:t>,</w:t>
      </w:r>
      <w:r w:rsidRPr="00647983">
        <w:rPr>
          <w:lang w:eastAsia="en-AU"/>
        </w:rPr>
        <w:t xml:space="preserve"> we received </w:t>
      </w:r>
      <w:r w:rsidR="001E1C65">
        <w:rPr>
          <w:lang w:eastAsia="en-AU"/>
        </w:rPr>
        <w:t xml:space="preserve">slightly </w:t>
      </w:r>
      <w:r w:rsidRPr="00647983">
        <w:rPr>
          <w:lang w:eastAsia="en-AU"/>
        </w:rPr>
        <w:t>fewer applications for grants of assistance</w:t>
      </w:r>
      <w:r w:rsidR="00804E26">
        <w:rPr>
          <w:lang w:eastAsia="en-AU"/>
        </w:rPr>
        <w:t xml:space="preserve"> in quarter four (Table 1.4)</w:t>
      </w:r>
      <w:r w:rsidRPr="00647983">
        <w:rPr>
          <w:lang w:eastAsia="en-AU"/>
        </w:rPr>
        <w:t xml:space="preserve">. However, the large number of applications granted earlier in the year has meant that the </w:t>
      </w:r>
      <w:r w:rsidR="00056A93" w:rsidRPr="00647983">
        <w:rPr>
          <w:lang w:eastAsia="en-AU"/>
        </w:rPr>
        <w:t>slowdown</w:t>
      </w:r>
      <w:r w:rsidRPr="00647983">
        <w:rPr>
          <w:lang w:eastAsia="en-AU"/>
        </w:rPr>
        <w:t xml:space="preserve"> of applications after COVID-19 has</w:t>
      </w:r>
      <w:r w:rsidR="00555BCB">
        <w:rPr>
          <w:lang w:eastAsia="en-AU"/>
        </w:rPr>
        <w:t xml:space="preserve"> meant that the year-end total for 2019–20 is </w:t>
      </w:r>
      <w:r w:rsidR="00E70562">
        <w:rPr>
          <w:lang w:eastAsia="en-AU"/>
        </w:rPr>
        <w:t>similar to that of 2018–19 (45,</w:t>
      </w:r>
      <w:r w:rsidR="001575EE">
        <w:rPr>
          <w:lang w:eastAsia="en-AU"/>
        </w:rPr>
        <w:t>180).</w:t>
      </w:r>
      <w:r w:rsidR="00E7326F">
        <w:rPr>
          <w:lang w:eastAsia="en-AU"/>
        </w:rPr>
        <w:t xml:space="preserve"> </w:t>
      </w:r>
    </w:p>
    <w:p w14:paraId="31BC32D4" w14:textId="415BA9B6" w:rsidR="004175B7" w:rsidRPr="004175B7" w:rsidRDefault="004175B7" w:rsidP="004175B7">
      <w:pPr>
        <w:pStyle w:val="Heading2"/>
      </w:pPr>
      <w:r w:rsidRPr="004175B7">
        <w:t>Outlook for</w:t>
      </w:r>
      <w:r w:rsidR="00E91FF5" w:rsidRPr="00E91FF5">
        <w:t xml:space="preserve"> </w:t>
      </w:r>
      <w:r w:rsidR="00E91FF5" w:rsidRPr="004175B7">
        <w:t>20</w:t>
      </w:r>
      <w:r w:rsidR="00454D77">
        <w:t>20</w:t>
      </w:r>
      <w:r w:rsidR="00E91FF5" w:rsidRPr="004175B7">
        <w:t>–2</w:t>
      </w:r>
      <w:r w:rsidR="00454D77">
        <w:t>1</w:t>
      </w:r>
      <w:r w:rsidR="007F609B">
        <w:t xml:space="preserve"> </w:t>
      </w:r>
    </w:p>
    <w:p w14:paraId="73ECE985" w14:textId="6E8C97D5" w:rsidR="004B5E81" w:rsidRDefault="0096789B" w:rsidP="006D2FD5">
      <w:pPr>
        <w:rPr>
          <w:lang w:eastAsia="en-AU"/>
        </w:rPr>
      </w:pPr>
      <w:r>
        <w:rPr>
          <w:lang w:eastAsia="en-AU"/>
        </w:rPr>
        <w:t xml:space="preserve">We have published our </w:t>
      </w:r>
      <w:hyperlink r:id="rId12" w:history="1">
        <w:r w:rsidRPr="00F80805">
          <w:rPr>
            <w:rStyle w:val="Hyperlink"/>
            <w:lang w:eastAsia="en-AU"/>
          </w:rPr>
          <w:t>Corporate Plan 2020</w:t>
        </w:r>
        <w:r w:rsidR="000631DD">
          <w:rPr>
            <w:rStyle w:val="Hyperlink"/>
            <w:lang w:eastAsia="en-AU"/>
          </w:rPr>
          <w:t>–</w:t>
        </w:r>
        <w:r w:rsidRPr="00F80805">
          <w:rPr>
            <w:rStyle w:val="Hyperlink"/>
            <w:lang w:eastAsia="en-AU"/>
          </w:rPr>
          <w:t>21</w:t>
        </w:r>
      </w:hyperlink>
      <w:r w:rsidR="00673FB0">
        <w:rPr>
          <w:lang w:eastAsia="en-AU"/>
        </w:rPr>
        <w:t xml:space="preserve">, </w:t>
      </w:r>
      <w:r w:rsidR="00665B3A">
        <w:rPr>
          <w:lang w:eastAsia="en-AU"/>
        </w:rPr>
        <w:t>which marks the third year of</w:t>
      </w:r>
      <w:r w:rsidR="007F3064">
        <w:rPr>
          <w:lang w:eastAsia="en-AU"/>
        </w:rPr>
        <w:t xml:space="preserve"> our</w:t>
      </w:r>
      <w:r w:rsidR="00665B3A">
        <w:rPr>
          <w:lang w:eastAsia="en-AU"/>
        </w:rPr>
        <w:t xml:space="preserve"> </w:t>
      </w:r>
      <w:hyperlink r:id="rId13" w:history="1">
        <w:r w:rsidR="00665B3A" w:rsidRPr="00DA74F0">
          <w:rPr>
            <w:rStyle w:val="Hyperlink"/>
            <w:lang w:eastAsia="en-AU"/>
          </w:rPr>
          <w:t>four year strategic plan</w:t>
        </w:r>
        <w:r w:rsidR="000631DD" w:rsidRPr="00DA74F0">
          <w:rPr>
            <w:rStyle w:val="Hyperlink"/>
            <w:lang w:eastAsia="en-AU"/>
          </w:rPr>
          <w:t>.</w:t>
        </w:r>
      </w:hyperlink>
      <w:r w:rsidR="00665B3A">
        <w:rPr>
          <w:lang w:eastAsia="en-AU"/>
        </w:rPr>
        <w:t xml:space="preserve"> However,</w:t>
      </w:r>
      <w:r>
        <w:rPr>
          <w:lang w:eastAsia="en-AU"/>
        </w:rPr>
        <w:t xml:space="preserve"> </w:t>
      </w:r>
      <w:r w:rsidR="00665B3A">
        <w:rPr>
          <w:lang w:eastAsia="en-AU"/>
        </w:rPr>
        <w:t>t</w:t>
      </w:r>
      <w:r w:rsidR="00251FD0">
        <w:rPr>
          <w:lang w:eastAsia="en-AU"/>
        </w:rPr>
        <w:t xml:space="preserve">he </w:t>
      </w:r>
      <w:r w:rsidR="000631DD">
        <w:rPr>
          <w:lang w:eastAsia="en-AU"/>
        </w:rPr>
        <w:t>extended</w:t>
      </w:r>
      <w:r w:rsidR="00251FD0">
        <w:rPr>
          <w:lang w:eastAsia="en-AU"/>
        </w:rPr>
        <w:t xml:space="preserve"> State of Emergency</w:t>
      </w:r>
      <w:r w:rsidR="00D0584F">
        <w:rPr>
          <w:lang w:eastAsia="en-AU"/>
        </w:rPr>
        <w:t xml:space="preserve"> and the possibility of future lockdowns to tackle community transmission of COVID-19 makes 2020–21 a difficult year to predict.</w:t>
      </w:r>
      <w:r w:rsidR="00001AA9">
        <w:rPr>
          <w:lang w:eastAsia="en-AU"/>
        </w:rPr>
        <w:t xml:space="preserve"> </w:t>
      </w:r>
      <w:r w:rsidR="00440A28">
        <w:rPr>
          <w:lang w:eastAsia="en-AU"/>
        </w:rPr>
        <w:t xml:space="preserve">Whilst a </w:t>
      </w:r>
      <w:hyperlink r:id="rId14" w:history="1">
        <w:r w:rsidR="00440A28" w:rsidRPr="00043D3D">
          <w:rPr>
            <w:rStyle w:val="Hyperlink"/>
            <w:lang w:eastAsia="en-AU"/>
          </w:rPr>
          <w:t>five year funding agreemen</w:t>
        </w:r>
      </w:hyperlink>
      <w:r w:rsidR="00440A28">
        <w:rPr>
          <w:lang w:eastAsia="en-AU"/>
        </w:rPr>
        <w:t xml:space="preserve">t with the Commonwealth was </w:t>
      </w:r>
      <w:r w:rsidR="00E80FE7">
        <w:rPr>
          <w:lang w:eastAsia="en-AU"/>
        </w:rPr>
        <w:t>signed by the State in June 2020</w:t>
      </w:r>
      <w:r w:rsidR="00440A28">
        <w:rPr>
          <w:lang w:eastAsia="en-AU"/>
        </w:rPr>
        <w:t>, t</w:t>
      </w:r>
      <w:r w:rsidR="00001AA9">
        <w:rPr>
          <w:lang w:eastAsia="en-AU"/>
        </w:rPr>
        <w:t xml:space="preserve">he State </w:t>
      </w:r>
      <w:r w:rsidR="000631DD">
        <w:rPr>
          <w:lang w:eastAsia="en-AU"/>
        </w:rPr>
        <w:t>B</w:t>
      </w:r>
      <w:r w:rsidR="00001AA9">
        <w:rPr>
          <w:lang w:eastAsia="en-AU"/>
        </w:rPr>
        <w:t xml:space="preserve">udget </w:t>
      </w:r>
      <w:r w:rsidR="00883643">
        <w:rPr>
          <w:lang w:eastAsia="en-AU"/>
        </w:rPr>
        <w:t>has been</w:t>
      </w:r>
      <w:r w:rsidR="00001AA9">
        <w:rPr>
          <w:lang w:eastAsia="en-AU"/>
        </w:rPr>
        <w:t xml:space="preserve"> delayed until </w:t>
      </w:r>
      <w:r w:rsidR="00421702">
        <w:rPr>
          <w:lang w:eastAsia="en-AU"/>
        </w:rPr>
        <w:t>late 2020</w:t>
      </w:r>
      <w:r w:rsidR="00486866">
        <w:rPr>
          <w:lang w:eastAsia="en-AU"/>
        </w:rPr>
        <w:t>, affecting our ability to provide projections for the</w:t>
      </w:r>
      <w:r w:rsidR="00833FFB">
        <w:rPr>
          <w:lang w:eastAsia="en-AU"/>
        </w:rPr>
        <w:t xml:space="preserve"> 2020</w:t>
      </w:r>
      <w:r w:rsidR="00E6127D">
        <w:rPr>
          <w:lang w:eastAsia="en-AU"/>
        </w:rPr>
        <w:t>–</w:t>
      </w:r>
      <w:r w:rsidR="00833FFB">
        <w:rPr>
          <w:lang w:eastAsia="en-AU"/>
        </w:rPr>
        <w:t>21</w:t>
      </w:r>
      <w:r w:rsidR="00883643">
        <w:rPr>
          <w:lang w:eastAsia="en-AU"/>
        </w:rPr>
        <w:t>.</w:t>
      </w:r>
      <w:r w:rsidR="00421702">
        <w:rPr>
          <w:lang w:eastAsia="en-AU"/>
        </w:rPr>
        <w:t xml:space="preserve"> </w:t>
      </w:r>
      <w:r w:rsidR="00883643">
        <w:rPr>
          <w:lang w:eastAsia="en-AU"/>
        </w:rPr>
        <w:t>O</w:t>
      </w:r>
      <w:r w:rsidR="00421702">
        <w:rPr>
          <w:lang w:eastAsia="en-AU"/>
        </w:rPr>
        <w:t xml:space="preserve">ur </w:t>
      </w:r>
      <w:r w:rsidR="00651960">
        <w:rPr>
          <w:lang w:eastAsia="en-AU"/>
        </w:rPr>
        <w:t xml:space="preserve">underlying </w:t>
      </w:r>
      <w:r w:rsidR="00421702">
        <w:rPr>
          <w:lang w:eastAsia="en-AU"/>
        </w:rPr>
        <w:t xml:space="preserve">financial sustainability </w:t>
      </w:r>
      <w:r w:rsidR="000631DD">
        <w:rPr>
          <w:lang w:eastAsia="en-AU"/>
        </w:rPr>
        <w:t xml:space="preserve">challenges </w:t>
      </w:r>
      <w:r w:rsidR="000B2F2F">
        <w:rPr>
          <w:lang w:eastAsia="en-AU"/>
        </w:rPr>
        <w:t xml:space="preserve">also </w:t>
      </w:r>
      <w:r w:rsidR="0041403A">
        <w:rPr>
          <w:lang w:eastAsia="en-AU"/>
        </w:rPr>
        <w:t>mean that there is a lot of uncertainty o</w:t>
      </w:r>
      <w:r w:rsidR="000B2F2F">
        <w:rPr>
          <w:lang w:eastAsia="en-AU"/>
        </w:rPr>
        <w:t>ver</w:t>
      </w:r>
      <w:r w:rsidR="0041403A">
        <w:rPr>
          <w:lang w:eastAsia="en-AU"/>
        </w:rPr>
        <w:t xml:space="preserve"> what the next 12 months will look like.</w:t>
      </w:r>
      <w:r w:rsidR="00D0584F">
        <w:rPr>
          <w:lang w:eastAsia="en-AU"/>
        </w:rPr>
        <w:t xml:space="preserve"> </w:t>
      </w:r>
    </w:p>
    <w:p w14:paraId="748A7B5D" w14:textId="57481E77" w:rsidR="006D2FD5" w:rsidRDefault="003A4647" w:rsidP="006D2FD5">
      <w:pPr>
        <w:rPr>
          <w:lang w:eastAsia="en-AU"/>
        </w:rPr>
      </w:pPr>
      <w:r>
        <w:rPr>
          <w:lang w:eastAsia="en-AU"/>
        </w:rPr>
        <w:t>The implications of stage three and four lockdowns on the justice system in Victoria are likely to have an ongoing impact in 2020–21. There</w:t>
      </w:r>
      <w:r w:rsidR="00C50D42">
        <w:rPr>
          <w:lang w:eastAsia="en-AU"/>
        </w:rPr>
        <w:t xml:space="preserve"> will be a large backlog of </w:t>
      </w:r>
      <w:r w:rsidR="00747477">
        <w:rPr>
          <w:lang w:eastAsia="en-AU"/>
        </w:rPr>
        <w:t>court matters</w:t>
      </w:r>
      <w:r w:rsidR="00651960">
        <w:rPr>
          <w:lang w:eastAsia="en-AU"/>
        </w:rPr>
        <w:t xml:space="preserve"> </w:t>
      </w:r>
      <w:r w:rsidR="00C50D42">
        <w:rPr>
          <w:lang w:eastAsia="en-AU"/>
        </w:rPr>
        <w:t xml:space="preserve">as well as </w:t>
      </w:r>
      <w:r w:rsidR="00AD35EF">
        <w:rPr>
          <w:lang w:eastAsia="en-AU"/>
        </w:rPr>
        <w:t>new cases, and it is unknown when the courts will be back at full capacity</w:t>
      </w:r>
      <w:r w:rsidR="00FD12B3">
        <w:rPr>
          <w:lang w:eastAsia="en-AU"/>
        </w:rPr>
        <w:t>—</w:t>
      </w:r>
      <w:r w:rsidR="00AD35EF">
        <w:rPr>
          <w:lang w:eastAsia="en-AU"/>
        </w:rPr>
        <w:t xml:space="preserve">either in-person or virtually. </w:t>
      </w:r>
      <w:r w:rsidR="00A563AD">
        <w:rPr>
          <w:lang w:eastAsia="en-AU"/>
        </w:rPr>
        <w:t>This makes predicting the number of services we are going to deliver in 2020</w:t>
      </w:r>
      <w:r w:rsidR="00FD12B3">
        <w:rPr>
          <w:lang w:eastAsia="en-AU"/>
        </w:rPr>
        <w:t>–</w:t>
      </w:r>
      <w:r w:rsidR="00A563AD">
        <w:rPr>
          <w:lang w:eastAsia="en-AU"/>
        </w:rPr>
        <w:t xml:space="preserve">21 particularly difficult. </w:t>
      </w:r>
    </w:p>
    <w:p w14:paraId="466A1C69" w14:textId="6121D330" w:rsidR="00694EDB" w:rsidRDefault="00D86194" w:rsidP="003F26A1">
      <w:r>
        <w:t xml:space="preserve">Our challenge for the year ahead is to ensure that clients remain aware, connected and engaged with our services whilst protecting the safety of our clients, community and staff. </w:t>
      </w:r>
      <w:r w:rsidR="009E00AD">
        <w:t>We are already seeing changes to the types of legal need that our clients are experiencing, such as increases in tenancy</w:t>
      </w:r>
      <w:r w:rsidR="00E80FE7">
        <w:t>, employment</w:t>
      </w:r>
      <w:r w:rsidR="009E00AD">
        <w:t xml:space="preserve"> and family violence enquiries. </w:t>
      </w:r>
      <w:r w:rsidR="000141D8">
        <w:t xml:space="preserve">The very real possibility of a severe </w:t>
      </w:r>
      <w:r w:rsidR="00C03C96">
        <w:t>economic</w:t>
      </w:r>
      <w:r w:rsidR="000141D8">
        <w:t xml:space="preserve"> downturn </w:t>
      </w:r>
      <w:r w:rsidR="00C03C96">
        <w:t>will mean that more Victorians in need of legal assistance will be eligible for our services</w:t>
      </w:r>
      <w:r w:rsidR="00006274">
        <w:t>.</w:t>
      </w:r>
      <w:r w:rsidR="00563426">
        <w:t xml:space="preserve"> This </w:t>
      </w:r>
      <w:r w:rsidR="00AB591B">
        <w:t>increased</w:t>
      </w:r>
      <w:r w:rsidR="00883FB1">
        <w:t xml:space="preserve"> and changing</w:t>
      </w:r>
      <w:r w:rsidR="00AB591B">
        <w:t xml:space="preserve"> need </w:t>
      </w:r>
      <w:r w:rsidR="00563426">
        <w:t xml:space="preserve">coincides with </w:t>
      </w:r>
      <w:r w:rsidR="00883FB1">
        <w:t>an uncertain financial future</w:t>
      </w:r>
      <w:r w:rsidR="006E6AF9">
        <w:t xml:space="preserve">. </w:t>
      </w:r>
      <w:r w:rsidR="0098552A">
        <w:t>We will continue to look for ways to overcome the current shortfalls in our baseline funding</w:t>
      </w:r>
      <w:r w:rsidR="00577361">
        <w:t xml:space="preserve"> and the</w:t>
      </w:r>
      <w:r w:rsidR="006E6AF9">
        <w:t xml:space="preserve"> </w:t>
      </w:r>
      <w:r w:rsidR="00563426">
        <w:t>reductions in funding from the Public Purpose Fund</w:t>
      </w:r>
      <w:r w:rsidR="00577361">
        <w:t>.</w:t>
      </w:r>
      <w:r w:rsidR="005E566B">
        <w:t xml:space="preserve"> </w:t>
      </w:r>
    </w:p>
    <w:p w14:paraId="33E7F2BD" w14:textId="737E0FDD" w:rsidR="000464B3" w:rsidRDefault="000464B3" w:rsidP="00871954">
      <w:pPr>
        <w:spacing w:after="0" w:line="240" w:lineRule="auto"/>
      </w:pPr>
      <w:r>
        <w:br w:type="page"/>
      </w:r>
    </w:p>
    <w:p w14:paraId="6EB8CCDC" w14:textId="77777777" w:rsidR="004175B7" w:rsidRPr="004175B7" w:rsidRDefault="004175B7" w:rsidP="004175B7">
      <w:pPr>
        <w:pStyle w:val="Heading2"/>
      </w:pPr>
      <w:r w:rsidRPr="004175B7">
        <w:lastRenderedPageBreak/>
        <w:t>Financial summary</w:t>
      </w:r>
    </w:p>
    <w:p w14:paraId="15EEF3D0" w14:textId="631A27A2" w:rsidR="003D6401" w:rsidRDefault="003D6401" w:rsidP="003D6401">
      <w:pPr>
        <w:autoSpaceDE w:val="0"/>
        <w:autoSpaceDN w:val="0"/>
        <w:adjustRightInd w:val="0"/>
        <w:spacing w:after="80" w:line="288" w:lineRule="auto"/>
      </w:pPr>
      <w:r>
        <w:t>In 2019–20, Victoria Legal Aid achieved a net surplus of $17 million</w:t>
      </w:r>
      <w:r w:rsidR="002D32FD">
        <w:t>. H</w:t>
      </w:r>
      <w:r>
        <w:t>owever</w:t>
      </w:r>
      <w:r w:rsidR="002D32FD">
        <w:t>,</w:t>
      </w:r>
      <w:r>
        <w:t xml:space="preserve"> this is not reflective of </w:t>
      </w:r>
      <w:r w:rsidR="002D32FD">
        <w:t>our</w:t>
      </w:r>
      <w:r>
        <w:t xml:space="preserve"> underlying financial performance. </w:t>
      </w:r>
      <w:r w:rsidR="002D32FD">
        <w:t>VLA’s</w:t>
      </w:r>
      <w:r>
        <w:t xml:space="preserve"> underlying result was a surplus of approximately $4 million reflecting the significant deferral of case and trial expenditure into future years as a result of changes in court practices </w:t>
      </w:r>
      <w:r w:rsidR="00B63711">
        <w:t>because of</w:t>
      </w:r>
      <w:r>
        <w:t xml:space="preserve"> COVID-19. </w:t>
      </w:r>
    </w:p>
    <w:p w14:paraId="0B0C2751" w14:textId="6726B53F" w:rsidR="003D6401" w:rsidRDefault="003D6401" w:rsidP="003D6401">
      <w:pPr>
        <w:autoSpaceDE w:val="0"/>
        <w:autoSpaceDN w:val="0"/>
        <w:adjustRightInd w:val="0"/>
        <w:spacing w:after="80" w:line="288" w:lineRule="auto"/>
      </w:pPr>
      <w:r>
        <w:t>The remainder of the surplus primarily relates to the recognition of project funding for initiatives where the cost will be incurred in 2020</w:t>
      </w:r>
      <w:r w:rsidR="002D32FD">
        <w:t>–</w:t>
      </w:r>
      <w:r>
        <w:t>21 and the accounting treatment of Digital Legal Aid Project funding</w:t>
      </w:r>
      <w:r w:rsidR="00B63711">
        <w:t>—</w:t>
      </w:r>
      <w:r>
        <w:t xml:space="preserve">where the corresponding expenditure is reflected in VLA’s Balance Sheet.  </w:t>
      </w:r>
    </w:p>
    <w:p w14:paraId="6C4CFD1B" w14:textId="77777777" w:rsidR="003D6401" w:rsidRDefault="003D6401" w:rsidP="003D6401">
      <w:pPr>
        <w:autoSpaceDE w:val="0"/>
        <w:autoSpaceDN w:val="0"/>
        <w:adjustRightInd w:val="0"/>
        <w:spacing w:after="80" w:line="288" w:lineRule="auto"/>
      </w:pPr>
      <w:r>
        <w:t xml:space="preserve">Both total income and expenses increased during the year, primarily associated with additional one-off funding received from the State and Commonwealth Governments for COVID-19 response and bushfire recovery, including increased distributions to Community Legal Centres.  The increase in assets and liabilities was primarily due to an accounting standard change requiring recognition of our future lease commitments, with no impact on our underlying position. </w:t>
      </w:r>
    </w:p>
    <w:p w14:paraId="76D6E689" w14:textId="3EE4BE94" w:rsidR="00F7696B" w:rsidRPr="00CD2635" w:rsidRDefault="003D6401" w:rsidP="003F26A1">
      <w:pPr>
        <w:autoSpaceDE w:val="0"/>
        <w:autoSpaceDN w:val="0"/>
        <w:adjustRightInd w:val="0"/>
        <w:spacing w:after="80" w:line="288" w:lineRule="auto"/>
        <w:rPr>
          <w:rFonts w:cs="Arial"/>
          <w:szCs w:val="22"/>
        </w:rPr>
      </w:pPr>
      <w:r>
        <w:t>Our financial future is challenging. We expect demand to continue to grow faster than funding, excluding the short-term impacts of court service changes</w:t>
      </w:r>
      <w:r w:rsidR="00871954">
        <w:t>, and we</w:t>
      </w:r>
      <w:r>
        <w:t xml:space="preserve"> continue to work with the Department of Justice and Community Safety to determine sustainable funding solutions. </w:t>
      </w:r>
      <w:r w:rsidR="002D1A7F">
        <w:t>However, i</w:t>
      </w:r>
      <w:r>
        <w:t>f additional funding is not provided, we are on track to commence implementation of further savings measures in 2020–</w:t>
      </w:r>
      <w:r w:rsidR="00F06D05">
        <w:t>21. These</w:t>
      </w:r>
      <w:r>
        <w:t xml:space="preserve"> savings measures have been developed in consultation with key stakeholders and will significantly impact the service levels we provide the Victorian community in the future. </w:t>
      </w:r>
    </w:p>
    <w:p w14:paraId="5C7A41B4" w14:textId="1A099F73" w:rsidR="004175B7" w:rsidRPr="004175B7" w:rsidRDefault="004175B7" w:rsidP="004175B7">
      <w:pPr>
        <w:pStyle w:val="Heading3"/>
      </w:pPr>
      <w:bookmarkStart w:id="2" w:name="_Hlk33006424"/>
      <w:bookmarkStart w:id="3" w:name="_Hlk25835001"/>
      <w:r w:rsidRPr="004175B7">
        <w:rPr>
          <w:rStyle w:val="Heading3Char"/>
          <w:b/>
          <w:bCs/>
        </w:rPr>
        <w:t>Total revenue breakdown</w:t>
      </w:r>
      <w:r w:rsidR="007F609B">
        <w:rPr>
          <w:rStyle w:val="Heading3Char"/>
          <w:b/>
          <w:bCs/>
        </w:rPr>
        <w:t xml:space="preserve"> </w:t>
      </w:r>
      <w:r w:rsidR="00A6458C" w:rsidRPr="004175B7">
        <w:rPr>
          <w:rStyle w:val="Heading3Char"/>
          <w:b/>
          <w:bCs/>
        </w:rPr>
        <w:t>(</w:t>
      </w:r>
      <w:r w:rsidRPr="004175B7">
        <w:rPr>
          <w:rStyle w:val="Heading3Char"/>
          <w:b/>
          <w:bCs/>
        </w:rPr>
        <w:t>$’000</w:t>
      </w:r>
      <w:r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745"/>
        <w:gridCol w:w="1487"/>
        <w:gridCol w:w="1563"/>
        <w:gridCol w:w="1765"/>
        <w:gridCol w:w="1765"/>
        <w:gridCol w:w="1761"/>
      </w:tblGrid>
      <w:tr w:rsidR="00925006" w:rsidRPr="000E7EED" w14:paraId="1C659569" w14:textId="77777777" w:rsidTr="002C4C15">
        <w:trPr>
          <w:cnfStyle w:val="100000000000" w:firstRow="1" w:lastRow="0" w:firstColumn="0" w:lastColumn="0" w:oddVBand="0" w:evenVBand="0" w:oddHBand="0" w:evenHBand="0" w:firstRowFirstColumn="0" w:firstRowLastColumn="0" w:lastRowFirstColumn="0" w:lastRowLastColumn="0"/>
        </w:trPr>
        <w:tc>
          <w:tcPr>
            <w:tcW w:w="865" w:type="pct"/>
            <w:tcBorders>
              <w:top w:val="single" w:sz="4" w:space="0" w:color="auto"/>
              <w:bottom w:val="single" w:sz="4" w:space="0" w:color="auto"/>
            </w:tcBorders>
            <w:shd w:val="clear" w:color="auto" w:fill="C3AFCC"/>
          </w:tcPr>
          <w:p w14:paraId="59377134" w14:textId="77777777" w:rsidR="002C4C15" w:rsidRPr="000E7EED" w:rsidRDefault="002C4C15" w:rsidP="0039260E">
            <w:pPr>
              <w:rPr>
                <w:b/>
                <w:color w:val="000000" w:themeColor="text1"/>
              </w:rPr>
            </w:pPr>
            <w:bookmarkStart w:id="4" w:name="_Hlk10632113"/>
            <w:bookmarkEnd w:id="2"/>
            <w:r w:rsidRPr="000E7EED">
              <w:rPr>
                <w:b/>
                <w:color w:val="000000" w:themeColor="text1"/>
              </w:rPr>
              <w:t>Revenue</w:t>
            </w:r>
          </w:p>
        </w:tc>
        <w:tc>
          <w:tcPr>
            <w:tcW w:w="737" w:type="pct"/>
            <w:tcBorders>
              <w:top w:val="single" w:sz="4" w:space="0" w:color="auto"/>
              <w:bottom w:val="single" w:sz="4" w:space="0" w:color="auto"/>
            </w:tcBorders>
            <w:shd w:val="clear" w:color="auto" w:fill="C3AFCC"/>
          </w:tcPr>
          <w:p w14:paraId="3EFEB76D" w14:textId="7F260A2F" w:rsidR="002C4C15" w:rsidRPr="000E7EED" w:rsidRDefault="002C4C15" w:rsidP="003F26A1">
            <w:pPr>
              <w:ind w:left="-536"/>
              <w:jc w:val="right"/>
              <w:rPr>
                <w:b/>
                <w:color w:val="000000" w:themeColor="text1"/>
              </w:rPr>
            </w:pPr>
            <w:r>
              <w:rPr>
                <w:b/>
                <w:color w:val="000000" w:themeColor="text1"/>
              </w:rPr>
              <w:t>Q4 2019</w:t>
            </w:r>
          </w:p>
        </w:tc>
        <w:tc>
          <w:tcPr>
            <w:tcW w:w="775" w:type="pct"/>
            <w:tcBorders>
              <w:top w:val="single" w:sz="4" w:space="0" w:color="auto"/>
              <w:bottom w:val="single" w:sz="4" w:space="0" w:color="auto"/>
            </w:tcBorders>
            <w:shd w:val="clear" w:color="auto" w:fill="C3AFCC"/>
          </w:tcPr>
          <w:p w14:paraId="4CCF9AC7" w14:textId="63F61E24" w:rsidR="002C4C15" w:rsidRPr="000E7EED" w:rsidRDefault="002C4C15" w:rsidP="0039260E">
            <w:pPr>
              <w:jc w:val="right"/>
              <w:rPr>
                <w:b/>
                <w:color w:val="000000" w:themeColor="text1"/>
              </w:rPr>
            </w:pPr>
            <w:r w:rsidRPr="000E7EED">
              <w:rPr>
                <w:b/>
                <w:color w:val="000000" w:themeColor="text1"/>
              </w:rPr>
              <w:t>Q</w:t>
            </w:r>
            <w:r>
              <w:rPr>
                <w:b/>
                <w:color w:val="000000" w:themeColor="text1"/>
              </w:rPr>
              <w:t>4 2020</w:t>
            </w:r>
          </w:p>
        </w:tc>
        <w:tc>
          <w:tcPr>
            <w:tcW w:w="875" w:type="pct"/>
            <w:tcBorders>
              <w:top w:val="single" w:sz="4" w:space="0" w:color="auto"/>
              <w:bottom w:val="single" w:sz="4" w:space="0" w:color="auto"/>
            </w:tcBorders>
            <w:shd w:val="clear" w:color="auto" w:fill="C3AFCC"/>
          </w:tcPr>
          <w:p w14:paraId="6736B7A0" w14:textId="2D8EA868" w:rsidR="002C4C15" w:rsidRPr="000E7EED" w:rsidRDefault="002C4C15" w:rsidP="0039260E">
            <w:pPr>
              <w:jc w:val="right"/>
              <w:rPr>
                <w:b/>
                <w:color w:val="000000" w:themeColor="text1"/>
              </w:rPr>
            </w:pPr>
            <w:r>
              <w:rPr>
                <w:b/>
                <w:color w:val="000000" w:themeColor="text1"/>
              </w:rPr>
              <w:t>Year-end total 2019-20</w:t>
            </w:r>
          </w:p>
        </w:tc>
        <w:tc>
          <w:tcPr>
            <w:tcW w:w="875" w:type="pct"/>
            <w:tcBorders>
              <w:top w:val="single" w:sz="4" w:space="0" w:color="auto"/>
              <w:bottom w:val="single" w:sz="4" w:space="0" w:color="auto"/>
            </w:tcBorders>
            <w:shd w:val="clear" w:color="auto" w:fill="C3AFCC"/>
          </w:tcPr>
          <w:p w14:paraId="53719763" w14:textId="35CBD1A7" w:rsidR="002C4C15" w:rsidRPr="000E7EED" w:rsidRDefault="002C4C15" w:rsidP="0039260E">
            <w:pPr>
              <w:jc w:val="right"/>
              <w:rPr>
                <w:b/>
                <w:color w:val="000000" w:themeColor="text1"/>
              </w:rPr>
            </w:pPr>
            <w:r w:rsidRPr="000E7EED">
              <w:rPr>
                <w:b/>
                <w:color w:val="000000" w:themeColor="text1"/>
              </w:rPr>
              <w:t>Q</w:t>
            </w:r>
            <w:r>
              <w:rPr>
                <w:b/>
                <w:color w:val="000000" w:themeColor="text1"/>
              </w:rPr>
              <w:t>1 2021 projection</w:t>
            </w:r>
          </w:p>
        </w:tc>
        <w:tc>
          <w:tcPr>
            <w:tcW w:w="873" w:type="pct"/>
            <w:tcBorders>
              <w:top w:val="single" w:sz="4" w:space="0" w:color="auto"/>
              <w:bottom w:val="single" w:sz="4" w:space="0" w:color="auto"/>
            </w:tcBorders>
            <w:shd w:val="clear" w:color="auto" w:fill="C3AFCC"/>
          </w:tcPr>
          <w:p w14:paraId="47C99BAA" w14:textId="3E066EFA" w:rsidR="002C4C15" w:rsidRPr="000E7EED" w:rsidRDefault="002C4C15" w:rsidP="0039260E">
            <w:pPr>
              <w:jc w:val="right"/>
              <w:rPr>
                <w:b/>
                <w:color w:val="000000" w:themeColor="text1"/>
              </w:rPr>
            </w:pPr>
            <w:r>
              <w:rPr>
                <w:b/>
                <w:color w:val="000000" w:themeColor="text1"/>
              </w:rPr>
              <w:t>2021 Year-end projection</w:t>
            </w:r>
          </w:p>
        </w:tc>
      </w:tr>
      <w:tr w:rsidR="002C4C15" w:rsidRPr="000E7EED" w14:paraId="01E48904" w14:textId="77777777" w:rsidTr="003F26A1">
        <w:tc>
          <w:tcPr>
            <w:tcW w:w="865" w:type="pct"/>
            <w:tcBorders>
              <w:top w:val="single" w:sz="4" w:space="0" w:color="auto"/>
              <w:bottom w:val="single" w:sz="4" w:space="0" w:color="auto"/>
            </w:tcBorders>
          </w:tcPr>
          <w:p w14:paraId="0021B005" w14:textId="77777777" w:rsidR="002C4C15" w:rsidRPr="000E7EED" w:rsidRDefault="002C4C15" w:rsidP="00B24351">
            <w:pPr>
              <w:rPr>
                <w:color w:val="000000" w:themeColor="text1"/>
              </w:rPr>
            </w:pPr>
            <w:r w:rsidRPr="000E7EED">
              <w:rPr>
                <w:color w:val="000000" w:themeColor="text1"/>
              </w:rPr>
              <w:t>Commonwealth – grants</w:t>
            </w:r>
          </w:p>
        </w:tc>
        <w:tc>
          <w:tcPr>
            <w:tcW w:w="737" w:type="pct"/>
            <w:tcBorders>
              <w:top w:val="single" w:sz="4" w:space="0" w:color="auto"/>
              <w:bottom w:val="single" w:sz="4" w:space="0" w:color="auto"/>
            </w:tcBorders>
          </w:tcPr>
          <w:p w14:paraId="276A5F3F" w14:textId="6F361AEA" w:rsidR="002C4C15" w:rsidRPr="008E424E" w:rsidRDefault="002C4C15" w:rsidP="00B24351">
            <w:pPr>
              <w:jc w:val="right"/>
            </w:pPr>
            <w:r>
              <w:t>15,809</w:t>
            </w:r>
          </w:p>
        </w:tc>
        <w:tc>
          <w:tcPr>
            <w:tcW w:w="775" w:type="pct"/>
            <w:tcBorders>
              <w:top w:val="single" w:sz="4" w:space="0" w:color="auto"/>
              <w:bottom w:val="single" w:sz="4" w:space="0" w:color="auto"/>
            </w:tcBorders>
          </w:tcPr>
          <w:p w14:paraId="36D4CCE7" w14:textId="273E4CEA" w:rsidR="002C4C15" w:rsidRPr="008E424E" w:rsidRDefault="002C4C15" w:rsidP="00B24351">
            <w:pPr>
              <w:jc w:val="right"/>
            </w:pPr>
            <w:r>
              <w:t>16,466</w:t>
            </w:r>
          </w:p>
        </w:tc>
        <w:tc>
          <w:tcPr>
            <w:tcW w:w="875" w:type="pct"/>
            <w:tcBorders>
              <w:top w:val="single" w:sz="4" w:space="0" w:color="auto"/>
              <w:bottom w:val="single" w:sz="4" w:space="0" w:color="auto"/>
            </w:tcBorders>
          </w:tcPr>
          <w:p w14:paraId="028BBC17" w14:textId="616B312E" w:rsidR="002C4C15" w:rsidRPr="00584D52" w:rsidRDefault="003E6C61" w:rsidP="00B24351">
            <w:pPr>
              <w:jc w:val="right"/>
            </w:pPr>
            <w:r>
              <w:t>64,466</w:t>
            </w:r>
          </w:p>
        </w:tc>
        <w:tc>
          <w:tcPr>
            <w:tcW w:w="875" w:type="pct"/>
            <w:tcBorders>
              <w:top w:val="single" w:sz="4" w:space="0" w:color="auto"/>
              <w:bottom w:val="single" w:sz="4" w:space="0" w:color="auto"/>
            </w:tcBorders>
          </w:tcPr>
          <w:p w14:paraId="1CC59A0E" w14:textId="38DED583"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63B3C048" w14:textId="57B1CAD2" w:rsidR="002C4C15" w:rsidRPr="008E424E" w:rsidRDefault="002C4C15" w:rsidP="00B24351">
            <w:pPr>
              <w:jc w:val="right"/>
            </w:pPr>
            <w:r w:rsidRPr="00584D52">
              <w:t>N/A</w:t>
            </w:r>
          </w:p>
        </w:tc>
      </w:tr>
      <w:tr w:rsidR="002C4C15" w:rsidRPr="000E7EED" w14:paraId="63873906" w14:textId="77777777" w:rsidTr="003F26A1">
        <w:tc>
          <w:tcPr>
            <w:tcW w:w="865" w:type="pct"/>
            <w:tcBorders>
              <w:top w:val="single" w:sz="4" w:space="0" w:color="auto"/>
              <w:bottom w:val="single" w:sz="4" w:space="0" w:color="auto"/>
            </w:tcBorders>
          </w:tcPr>
          <w:p w14:paraId="218159F5" w14:textId="226857F3" w:rsidR="002C4C15" w:rsidRPr="000E7EED" w:rsidRDefault="002C4C15" w:rsidP="00B24351">
            <w:pPr>
              <w:rPr>
                <w:color w:val="000000" w:themeColor="text1"/>
              </w:rPr>
            </w:pPr>
            <w:r>
              <w:rPr>
                <w:color w:val="000000" w:themeColor="text1"/>
              </w:rPr>
              <w:t>ECCCF income</w:t>
            </w:r>
          </w:p>
        </w:tc>
        <w:tc>
          <w:tcPr>
            <w:tcW w:w="737" w:type="pct"/>
            <w:tcBorders>
              <w:top w:val="single" w:sz="4" w:space="0" w:color="auto"/>
              <w:bottom w:val="single" w:sz="4" w:space="0" w:color="auto"/>
            </w:tcBorders>
          </w:tcPr>
          <w:p w14:paraId="7A64DCB3" w14:textId="480DE16D" w:rsidR="002C4C15" w:rsidRDefault="002C4C15" w:rsidP="00B24351">
            <w:pPr>
              <w:jc w:val="right"/>
            </w:pPr>
            <w:r>
              <w:t>1,566</w:t>
            </w:r>
          </w:p>
        </w:tc>
        <w:tc>
          <w:tcPr>
            <w:tcW w:w="775" w:type="pct"/>
            <w:tcBorders>
              <w:top w:val="single" w:sz="4" w:space="0" w:color="auto"/>
              <w:bottom w:val="single" w:sz="4" w:space="0" w:color="auto"/>
            </w:tcBorders>
          </w:tcPr>
          <w:p w14:paraId="0A73B0EC" w14:textId="5ABEB806" w:rsidR="002C4C15" w:rsidRDefault="00236475" w:rsidP="00B24351">
            <w:pPr>
              <w:jc w:val="right"/>
            </w:pPr>
            <w:r>
              <w:t>840</w:t>
            </w:r>
          </w:p>
        </w:tc>
        <w:tc>
          <w:tcPr>
            <w:tcW w:w="875" w:type="pct"/>
            <w:tcBorders>
              <w:top w:val="single" w:sz="4" w:space="0" w:color="auto"/>
              <w:bottom w:val="single" w:sz="4" w:space="0" w:color="auto"/>
            </w:tcBorders>
          </w:tcPr>
          <w:p w14:paraId="7E960E82" w14:textId="640FD467" w:rsidR="002C4C15" w:rsidRPr="00584D52" w:rsidRDefault="003E6C61" w:rsidP="00B24351">
            <w:pPr>
              <w:jc w:val="right"/>
            </w:pPr>
            <w:r>
              <w:t>2,277</w:t>
            </w:r>
          </w:p>
        </w:tc>
        <w:tc>
          <w:tcPr>
            <w:tcW w:w="875" w:type="pct"/>
            <w:tcBorders>
              <w:top w:val="single" w:sz="4" w:space="0" w:color="auto"/>
              <w:bottom w:val="single" w:sz="4" w:space="0" w:color="auto"/>
            </w:tcBorders>
          </w:tcPr>
          <w:p w14:paraId="135704CF" w14:textId="61A6A0EF"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0C604016" w14:textId="5078DA19" w:rsidR="002C4C15" w:rsidRPr="008E424E" w:rsidRDefault="002C4C15" w:rsidP="00B24351">
            <w:pPr>
              <w:jc w:val="right"/>
            </w:pPr>
            <w:r w:rsidRPr="00584D52">
              <w:t>N/A</w:t>
            </w:r>
          </w:p>
        </w:tc>
      </w:tr>
      <w:tr w:rsidR="002C4C15" w:rsidRPr="000E7EED" w14:paraId="0A69F6B4" w14:textId="77777777" w:rsidTr="003F26A1">
        <w:tc>
          <w:tcPr>
            <w:tcW w:w="865" w:type="pct"/>
            <w:tcBorders>
              <w:top w:val="single" w:sz="4" w:space="0" w:color="auto"/>
              <w:bottom w:val="single" w:sz="4" w:space="0" w:color="auto"/>
            </w:tcBorders>
          </w:tcPr>
          <w:p w14:paraId="3768FF6C" w14:textId="77777777" w:rsidR="002C4C15" w:rsidRPr="000E7EED" w:rsidRDefault="002C4C15" w:rsidP="00B24351">
            <w:pPr>
              <w:rPr>
                <w:b/>
                <w:color w:val="000000" w:themeColor="text1"/>
              </w:rPr>
            </w:pPr>
            <w:r w:rsidRPr="000E7EED">
              <w:rPr>
                <w:color w:val="000000" w:themeColor="text1"/>
              </w:rPr>
              <w:t>State – grants</w:t>
            </w:r>
          </w:p>
        </w:tc>
        <w:tc>
          <w:tcPr>
            <w:tcW w:w="737" w:type="pct"/>
            <w:tcBorders>
              <w:top w:val="single" w:sz="4" w:space="0" w:color="auto"/>
              <w:bottom w:val="single" w:sz="4" w:space="0" w:color="auto"/>
            </w:tcBorders>
          </w:tcPr>
          <w:p w14:paraId="521BA914" w14:textId="07C2F6D8" w:rsidR="002C4C15" w:rsidRPr="008E424E" w:rsidRDefault="002C4C15" w:rsidP="00B24351">
            <w:pPr>
              <w:jc w:val="right"/>
            </w:pPr>
            <w:r>
              <w:t>32,405</w:t>
            </w:r>
          </w:p>
        </w:tc>
        <w:tc>
          <w:tcPr>
            <w:tcW w:w="775" w:type="pct"/>
            <w:tcBorders>
              <w:top w:val="single" w:sz="4" w:space="0" w:color="auto"/>
              <w:bottom w:val="single" w:sz="4" w:space="0" w:color="auto"/>
            </w:tcBorders>
          </w:tcPr>
          <w:p w14:paraId="0A3242C1" w14:textId="3DC15EE7" w:rsidR="002C4C15" w:rsidRPr="008E424E" w:rsidRDefault="002C4C15" w:rsidP="00B24351">
            <w:pPr>
              <w:jc w:val="right"/>
            </w:pPr>
            <w:r>
              <w:t>30,282</w:t>
            </w:r>
          </w:p>
        </w:tc>
        <w:tc>
          <w:tcPr>
            <w:tcW w:w="875" w:type="pct"/>
            <w:tcBorders>
              <w:top w:val="single" w:sz="4" w:space="0" w:color="auto"/>
              <w:bottom w:val="single" w:sz="4" w:space="0" w:color="auto"/>
            </w:tcBorders>
          </w:tcPr>
          <w:p w14:paraId="536130BB" w14:textId="64FB3CF5" w:rsidR="002C4C15" w:rsidRPr="00584D52" w:rsidRDefault="003E6C61" w:rsidP="00B24351">
            <w:pPr>
              <w:jc w:val="right"/>
            </w:pPr>
            <w:r>
              <w:t>142,199</w:t>
            </w:r>
          </w:p>
        </w:tc>
        <w:tc>
          <w:tcPr>
            <w:tcW w:w="875" w:type="pct"/>
            <w:tcBorders>
              <w:top w:val="single" w:sz="4" w:space="0" w:color="auto"/>
              <w:bottom w:val="single" w:sz="4" w:space="0" w:color="auto"/>
            </w:tcBorders>
          </w:tcPr>
          <w:p w14:paraId="45379B76" w14:textId="4753D2CA"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0153E44C" w14:textId="75CA63D3" w:rsidR="002C4C15" w:rsidRPr="008E424E" w:rsidRDefault="002C4C15" w:rsidP="00B24351">
            <w:pPr>
              <w:jc w:val="right"/>
            </w:pPr>
            <w:r w:rsidRPr="00584D52">
              <w:t>N/A</w:t>
            </w:r>
          </w:p>
        </w:tc>
      </w:tr>
      <w:tr w:rsidR="002C4C15" w:rsidRPr="000E7EED" w14:paraId="1FBF8D6C" w14:textId="77777777" w:rsidTr="003F26A1">
        <w:tc>
          <w:tcPr>
            <w:tcW w:w="865" w:type="pct"/>
            <w:tcBorders>
              <w:top w:val="single" w:sz="4" w:space="0" w:color="auto"/>
              <w:bottom w:val="single" w:sz="4" w:space="0" w:color="auto"/>
            </w:tcBorders>
          </w:tcPr>
          <w:p w14:paraId="1E2A089F" w14:textId="77777777" w:rsidR="002C4C15" w:rsidRPr="000E7EED" w:rsidRDefault="002C4C15" w:rsidP="00B24351">
            <w:pPr>
              <w:rPr>
                <w:b/>
                <w:color w:val="000000" w:themeColor="text1"/>
              </w:rPr>
            </w:pPr>
            <w:r w:rsidRPr="000E7EED">
              <w:rPr>
                <w:color w:val="000000" w:themeColor="text1"/>
              </w:rPr>
              <w:t>Public Purpose Fund</w:t>
            </w:r>
          </w:p>
        </w:tc>
        <w:tc>
          <w:tcPr>
            <w:tcW w:w="737" w:type="pct"/>
            <w:tcBorders>
              <w:top w:val="single" w:sz="4" w:space="0" w:color="auto"/>
              <w:bottom w:val="single" w:sz="4" w:space="0" w:color="auto"/>
            </w:tcBorders>
          </w:tcPr>
          <w:p w14:paraId="4D9987B3" w14:textId="70648AB0" w:rsidR="002C4C15" w:rsidRPr="008E424E" w:rsidRDefault="002C4C15" w:rsidP="00B24351">
            <w:pPr>
              <w:jc w:val="right"/>
            </w:pPr>
            <w:r>
              <w:t>7,</w:t>
            </w:r>
            <w:r w:rsidR="000D61AB">
              <w:t>035</w:t>
            </w:r>
          </w:p>
        </w:tc>
        <w:tc>
          <w:tcPr>
            <w:tcW w:w="775" w:type="pct"/>
            <w:tcBorders>
              <w:top w:val="single" w:sz="4" w:space="0" w:color="auto"/>
              <w:bottom w:val="single" w:sz="4" w:space="0" w:color="auto"/>
            </w:tcBorders>
          </w:tcPr>
          <w:p w14:paraId="15F7CE9C" w14:textId="4557C261" w:rsidR="002C4C15" w:rsidRPr="008E424E" w:rsidRDefault="002C4C15" w:rsidP="00B24351">
            <w:pPr>
              <w:jc w:val="right"/>
            </w:pPr>
            <w:r>
              <w:t>7,884</w:t>
            </w:r>
          </w:p>
        </w:tc>
        <w:tc>
          <w:tcPr>
            <w:tcW w:w="875" w:type="pct"/>
            <w:tcBorders>
              <w:top w:val="single" w:sz="4" w:space="0" w:color="auto"/>
              <w:bottom w:val="single" w:sz="4" w:space="0" w:color="auto"/>
            </w:tcBorders>
          </w:tcPr>
          <w:p w14:paraId="30DB09E6" w14:textId="4485D707" w:rsidR="002C4C15" w:rsidRPr="00584D52" w:rsidRDefault="001A0D32" w:rsidP="00B24351">
            <w:pPr>
              <w:jc w:val="right"/>
            </w:pPr>
            <w:r>
              <w:t>31,539</w:t>
            </w:r>
          </w:p>
        </w:tc>
        <w:tc>
          <w:tcPr>
            <w:tcW w:w="875" w:type="pct"/>
            <w:tcBorders>
              <w:top w:val="single" w:sz="4" w:space="0" w:color="auto"/>
              <w:bottom w:val="single" w:sz="4" w:space="0" w:color="auto"/>
            </w:tcBorders>
          </w:tcPr>
          <w:p w14:paraId="5EBDFA1B" w14:textId="5C2977A6"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3930C9EE" w14:textId="3DE002EE" w:rsidR="002C4C15" w:rsidRPr="008E424E" w:rsidRDefault="002C4C15" w:rsidP="00B24351">
            <w:pPr>
              <w:jc w:val="right"/>
            </w:pPr>
            <w:r w:rsidRPr="00584D52">
              <w:t>N/A</w:t>
            </w:r>
          </w:p>
        </w:tc>
      </w:tr>
      <w:tr w:rsidR="002C4C15" w:rsidRPr="000E7EED" w14:paraId="078C4944" w14:textId="77777777" w:rsidTr="003F26A1">
        <w:tc>
          <w:tcPr>
            <w:tcW w:w="865" w:type="pct"/>
            <w:tcBorders>
              <w:top w:val="single" w:sz="4" w:space="0" w:color="auto"/>
              <w:bottom w:val="single" w:sz="4" w:space="0" w:color="auto"/>
            </w:tcBorders>
          </w:tcPr>
          <w:p w14:paraId="12A13989" w14:textId="77777777" w:rsidR="002C4C15" w:rsidRPr="000E7EED" w:rsidRDefault="002C4C15" w:rsidP="00B24351">
            <w:pPr>
              <w:rPr>
                <w:b/>
                <w:color w:val="000000" w:themeColor="text1"/>
              </w:rPr>
            </w:pPr>
            <w:r w:rsidRPr="000E7EED">
              <w:rPr>
                <w:color w:val="000000" w:themeColor="text1"/>
              </w:rPr>
              <w:t>Case revenue</w:t>
            </w:r>
          </w:p>
        </w:tc>
        <w:tc>
          <w:tcPr>
            <w:tcW w:w="737" w:type="pct"/>
            <w:tcBorders>
              <w:top w:val="single" w:sz="4" w:space="0" w:color="auto"/>
              <w:bottom w:val="single" w:sz="4" w:space="0" w:color="auto"/>
            </w:tcBorders>
          </w:tcPr>
          <w:p w14:paraId="4E28F351" w14:textId="6B1A9BAA" w:rsidR="002C4C15" w:rsidRPr="008E424E" w:rsidRDefault="002C4C15" w:rsidP="00B24351">
            <w:pPr>
              <w:jc w:val="right"/>
            </w:pPr>
            <w:r>
              <w:t>1,551</w:t>
            </w:r>
          </w:p>
        </w:tc>
        <w:tc>
          <w:tcPr>
            <w:tcW w:w="775" w:type="pct"/>
            <w:tcBorders>
              <w:top w:val="single" w:sz="4" w:space="0" w:color="auto"/>
              <w:bottom w:val="single" w:sz="4" w:space="0" w:color="auto"/>
            </w:tcBorders>
          </w:tcPr>
          <w:p w14:paraId="140B4D42" w14:textId="55DD4651" w:rsidR="002C4C15" w:rsidRPr="008E424E" w:rsidRDefault="00EE3C60" w:rsidP="00B24351">
            <w:pPr>
              <w:jc w:val="right"/>
            </w:pPr>
            <w:r>
              <w:t>1</w:t>
            </w:r>
            <w:r w:rsidR="000D61AB">
              <w:t>,070</w:t>
            </w:r>
          </w:p>
        </w:tc>
        <w:tc>
          <w:tcPr>
            <w:tcW w:w="875" w:type="pct"/>
            <w:tcBorders>
              <w:top w:val="single" w:sz="4" w:space="0" w:color="auto"/>
              <w:bottom w:val="single" w:sz="4" w:space="0" w:color="auto"/>
            </w:tcBorders>
          </w:tcPr>
          <w:p w14:paraId="5D7585BA" w14:textId="4679F264" w:rsidR="002C4C15" w:rsidRPr="00584D52" w:rsidRDefault="001A0D32" w:rsidP="00B24351">
            <w:pPr>
              <w:jc w:val="right"/>
            </w:pPr>
            <w:r>
              <w:t>5,392</w:t>
            </w:r>
          </w:p>
        </w:tc>
        <w:tc>
          <w:tcPr>
            <w:tcW w:w="875" w:type="pct"/>
            <w:tcBorders>
              <w:top w:val="single" w:sz="4" w:space="0" w:color="auto"/>
              <w:bottom w:val="single" w:sz="4" w:space="0" w:color="auto"/>
            </w:tcBorders>
          </w:tcPr>
          <w:p w14:paraId="109FA6DC" w14:textId="24DF73CF"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57D0FD25" w14:textId="2B6A92A2" w:rsidR="002C4C15" w:rsidRPr="008E424E" w:rsidRDefault="002C4C15" w:rsidP="00B24351">
            <w:pPr>
              <w:jc w:val="right"/>
            </w:pPr>
            <w:r w:rsidRPr="00584D52">
              <w:t>N/A</w:t>
            </w:r>
          </w:p>
        </w:tc>
      </w:tr>
      <w:tr w:rsidR="002C4C15" w:rsidRPr="000E7EED" w14:paraId="3D1AE2EE" w14:textId="77777777" w:rsidTr="003F26A1">
        <w:tc>
          <w:tcPr>
            <w:tcW w:w="865" w:type="pct"/>
            <w:tcBorders>
              <w:top w:val="single" w:sz="4" w:space="0" w:color="auto"/>
              <w:bottom w:val="single" w:sz="4" w:space="0" w:color="auto"/>
            </w:tcBorders>
          </w:tcPr>
          <w:p w14:paraId="2BE35A7F" w14:textId="77777777" w:rsidR="002C4C15" w:rsidRPr="000E7EED" w:rsidRDefault="002C4C15" w:rsidP="00B24351">
            <w:pPr>
              <w:rPr>
                <w:b/>
                <w:color w:val="000000" w:themeColor="text1"/>
              </w:rPr>
            </w:pPr>
            <w:r w:rsidRPr="000E7EED">
              <w:rPr>
                <w:color w:val="000000" w:themeColor="text1"/>
              </w:rPr>
              <w:t>Other income</w:t>
            </w:r>
          </w:p>
        </w:tc>
        <w:tc>
          <w:tcPr>
            <w:tcW w:w="737" w:type="pct"/>
            <w:tcBorders>
              <w:top w:val="single" w:sz="4" w:space="0" w:color="auto"/>
              <w:bottom w:val="single" w:sz="4" w:space="0" w:color="auto"/>
            </w:tcBorders>
          </w:tcPr>
          <w:p w14:paraId="4C1374BB" w14:textId="46C6BF1C" w:rsidR="002C4C15" w:rsidRPr="008E424E" w:rsidRDefault="002C4C15" w:rsidP="00B24351">
            <w:pPr>
              <w:jc w:val="right"/>
            </w:pPr>
            <w:r>
              <w:t>489</w:t>
            </w:r>
          </w:p>
        </w:tc>
        <w:tc>
          <w:tcPr>
            <w:tcW w:w="775" w:type="pct"/>
            <w:tcBorders>
              <w:top w:val="single" w:sz="4" w:space="0" w:color="auto"/>
              <w:bottom w:val="single" w:sz="4" w:space="0" w:color="auto"/>
            </w:tcBorders>
          </w:tcPr>
          <w:p w14:paraId="2172056C" w14:textId="6CE07040" w:rsidR="002C4C15" w:rsidRPr="008E424E" w:rsidRDefault="002C4C15" w:rsidP="00B24351">
            <w:pPr>
              <w:jc w:val="right"/>
            </w:pPr>
            <w:r>
              <w:t>86</w:t>
            </w:r>
          </w:p>
        </w:tc>
        <w:tc>
          <w:tcPr>
            <w:tcW w:w="875" w:type="pct"/>
            <w:tcBorders>
              <w:top w:val="single" w:sz="4" w:space="0" w:color="auto"/>
              <w:bottom w:val="single" w:sz="4" w:space="0" w:color="auto"/>
            </w:tcBorders>
          </w:tcPr>
          <w:p w14:paraId="4E6804D0" w14:textId="35D481A0" w:rsidR="002C4C15" w:rsidRPr="00584D52" w:rsidRDefault="003B530D" w:rsidP="00B24351">
            <w:pPr>
              <w:jc w:val="right"/>
            </w:pPr>
            <w:r>
              <w:t>783</w:t>
            </w:r>
          </w:p>
        </w:tc>
        <w:tc>
          <w:tcPr>
            <w:tcW w:w="875" w:type="pct"/>
            <w:tcBorders>
              <w:top w:val="single" w:sz="4" w:space="0" w:color="auto"/>
              <w:bottom w:val="single" w:sz="4" w:space="0" w:color="auto"/>
            </w:tcBorders>
          </w:tcPr>
          <w:p w14:paraId="2E46D1C2" w14:textId="328820CD"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6DE9CAED" w14:textId="2B5F2B0C" w:rsidR="002C4C15" w:rsidRPr="008E424E" w:rsidRDefault="002C4C15" w:rsidP="00B24351">
            <w:pPr>
              <w:jc w:val="right"/>
            </w:pPr>
            <w:r w:rsidRPr="00584D52">
              <w:t>N/A</w:t>
            </w:r>
          </w:p>
        </w:tc>
      </w:tr>
      <w:tr w:rsidR="00135AFA" w:rsidRPr="000E7EED" w14:paraId="6EB9D4A0" w14:textId="77777777" w:rsidTr="002C4C15">
        <w:tc>
          <w:tcPr>
            <w:tcW w:w="865" w:type="pct"/>
            <w:tcBorders>
              <w:top w:val="single" w:sz="4" w:space="0" w:color="auto"/>
              <w:bottom w:val="single" w:sz="4" w:space="0" w:color="auto"/>
            </w:tcBorders>
            <w:shd w:val="clear" w:color="auto" w:fill="D9D9D9" w:themeFill="background1" w:themeFillShade="D9"/>
          </w:tcPr>
          <w:p w14:paraId="4B808F9D" w14:textId="77777777" w:rsidR="002C4C15" w:rsidRPr="00B136D3" w:rsidRDefault="002C4C15" w:rsidP="00B24351">
            <w:pPr>
              <w:rPr>
                <w:b/>
                <w:color w:val="000000" w:themeColor="text1"/>
              </w:rPr>
            </w:pPr>
            <w:r w:rsidRPr="00B136D3">
              <w:rPr>
                <w:b/>
                <w:color w:val="000000" w:themeColor="text1"/>
              </w:rPr>
              <w:t>Operating revenu</w:t>
            </w:r>
            <w:r>
              <w:rPr>
                <w:b/>
                <w:color w:val="000000" w:themeColor="text1"/>
              </w:rPr>
              <w:t>e</w:t>
            </w:r>
          </w:p>
        </w:tc>
        <w:tc>
          <w:tcPr>
            <w:tcW w:w="737" w:type="pct"/>
            <w:tcBorders>
              <w:top w:val="single" w:sz="4" w:space="0" w:color="auto"/>
              <w:bottom w:val="single" w:sz="4" w:space="0" w:color="auto"/>
            </w:tcBorders>
            <w:shd w:val="clear" w:color="auto" w:fill="D9D9D9" w:themeFill="background1" w:themeFillShade="D9"/>
          </w:tcPr>
          <w:p w14:paraId="1E125AFF" w14:textId="7D032547" w:rsidR="002C4C15" w:rsidRPr="00B136D3" w:rsidRDefault="002C4C15" w:rsidP="00B24351">
            <w:pPr>
              <w:jc w:val="right"/>
              <w:rPr>
                <w:b/>
                <w:bCs/>
              </w:rPr>
            </w:pPr>
            <w:r>
              <w:rPr>
                <w:b/>
                <w:bCs/>
              </w:rPr>
              <w:t>5</w:t>
            </w:r>
            <w:r w:rsidR="00EC57A4">
              <w:rPr>
                <w:b/>
                <w:bCs/>
              </w:rPr>
              <w:t>8,855</w:t>
            </w:r>
          </w:p>
        </w:tc>
        <w:tc>
          <w:tcPr>
            <w:tcW w:w="775" w:type="pct"/>
            <w:tcBorders>
              <w:top w:val="single" w:sz="4" w:space="0" w:color="auto"/>
              <w:bottom w:val="single" w:sz="4" w:space="0" w:color="auto"/>
            </w:tcBorders>
            <w:shd w:val="clear" w:color="auto" w:fill="D9D9D9" w:themeFill="background1" w:themeFillShade="D9"/>
          </w:tcPr>
          <w:p w14:paraId="41399DC3" w14:textId="7CB9FE4A" w:rsidR="002C4C15" w:rsidRPr="00B136D3" w:rsidRDefault="002C4C15" w:rsidP="00B24351">
            <w:pPr>
              <w:jc w:val="right"/>
              <w:rPr>
                <w:b/>
                <w:bCs/>
              </w:rPr>
            </w:pPr>
            <w:r>
              <w:rPr>
                <w:b/>
                <w:bCs/>
              </w:rPr>
              <w:t>5</w:t>
            </w:r>
            <w:r w:rsidR="00EC57A4">
              <w:rPr>
                <w:b/>
                <w:bCs/>
              </w:rPr>
              <w:t>6,628</w:t>
            </w:r>
          </w:p>
        </w:tc>
        <w:tc>
          <w:tcPr>
            <w:tcW w:w="875" w:type="pct"/>
            <w:tcBorders>
              <w:top w:val="single" w:sz="4" w:space="0" w:color="auto"/>
              <w:bottom w:val="single" w:sz="4" w:space="0" w:color="auto"/>
            </w:tcBorders>
            <w:shd w:val="clear" w:color="auto" w:fill="D9D9D9" w:themeFill="background1" w:themeFillShade="D9"/>
          </w:tcPr>
          <w:p w14:paraId="506351C3" w14:textId="39EFFC0B" w:rsidR="002C4C15" w:rsidRPr="003F26A1" w:rsidRDefault="003B530D" w:rsidP="00B24351">
            <w:pPr>
              <w:jc w:val="right"/>
              <w:rPr>
                <w:b/>
                <w:bCs/>
              </w:rPr>
            </w:pPr>
            <w:r w:rsidRPr="003F26A1">
              <w:rPr>
                <w:b/>
                <w:bCs/>
              </w:rPr>
              <w:t>247,016</w:t>
            </w:r>
          </w:p>
        </w:tc>
        <w:tc>
          <w:tcPr>
            <w:tcW w:w="875" w:type="pct"/>
            <w:tcBorders>
              <w:top w:val="single" w:sz="4" w:space="0" w:color="auto"/>
              <w:bottom w:val="single" w:sz="4" w:space="0" w:color="auto"/>
            </w:tcBorders>
            <w:shd w:val="clear" w:color="auto" w:fill="D9D9D9" w:themeFill="background1" w:themeFillShade="D9"/>
          </w:tcPr>
          <w:p w14:paraId="5A66135C" w14:textId="065D5380" w:rsidR="002C4C15" w:rsidRPr="00B136D3" w:rsidRDefault="002C4C15" w:rsidP="00B24351">
            <w:pPr>
              <w:jc w:val="right"/>
              <w:rPr>
                <w:b/>
                <w:bCs/>
              </w:rPr>
            </w:pPr>
            <w:r w:rsidRPr="00584D52">
              <w:t>N/A</w:t>
            </w:r>
          </w:p>
        </w:tc>
        <w:tc>
          <w:tcPr>
            <w:tcW w:w="873" w:type="pct"/>
            <w:tcBorders>
              <w:top w:val="single" w:sz="4" w:space="0" w:color="auto"/>
              <w:bottom w:val="single" w:sz="4" w:space="0" w:color="auto"/>
            </w:tcBorders>
            <w:shd w:val="clear" w:color="auto" w:fill="D9D9D9" w:themeFill="background1" w:themeFillShade="D9"/>
          </w:tcPr>
          <w:p w14:paraId="1901A23E" w14:textId="4558F74B" w:rsidR="002C4C15" w:rsidRPr="00B136D3" w:rsidRDefault="002C4C15" w:rsidP="00B24351">
            <w:pPr>
              <w:jc w:val="right"/>
              <w:rPr>
                <w:b/>
                <w:bCs/>
              </w:rPr>
            </w:pPr>
            <w:r w:rsidRPr="00584D52">
              <w:t>N/A</w:t>
            </w:r>
          </w:p>
        </w:tc>
      </w:tr>
      <w:tr w:rsidR="00BE0E64" w:rsidRPr="000E7EED" w14:paraId="44E94EAE" w14:textId="77777777" w:rsidTr="002C4C15">
        <w:tc>
          <w:tcPr>
            <w:tcW w:w="865" w:type="pct"/>
            <w:tcBorders>
              <w:top w:val="single" w:sz="4" w:space="0" w:color="auto"/>
              <w:bottom w:val="single" w:sz="4" w:space="0" w:color="auto"/>
            </w:tcBorders>
          </w:tcPr>
          <w:p w14:paraId="711F1E09" w14:textId="22200231" w:rsidR="00BE0E64" w:rsidRDefault="00BA474C" w:rsidP="00B24351">
            <w:pPr>
              <w:rPr>
                <w:color w:val="000000" w:themeColor="text1"/>
              </w:rPr>
            </w:pPr>
            <w:r>
              <w:rPr>
                <w:color w:val="000000" w:themeColor="text1"/>
              </w:rPr>
              <w:t>ECCCF income (carry forward)</w:t>
            </w:r>
          </w:p>
        </w:tc>
        <w:tc>
          <w:tcPr>
            <w:tcW w:w="737" w:type="pct"/>
            <w:tcBorders>
              <w:top w:val="single" w:sz="4" w:space="0" w:color="auto"/>
              <w:bottom w:val="single" w:sz="4" w:space="0" w:color="auto"/>
            </w:tcBorders>
          </w:tcPr>
          <w:p w14:paraId="51D034D5" w14:textId="4100E56C" w:rsidR="00BE0E64" w:rsidRDefault="00BA474C" w:rsidP="00B24351">
            <w:pPr>
              <w:jc w:val="right"/>
            </w:pPr>
            <w:r>
              <w:t>0</w:t>
            </w:r>
          </w:p>
        </w:tc>
        <w:tc>
          <w:tcPr>
            <w:tcW w:w="775" w:type="pct"/>
            <w:tcBorders>
              <w:top w:val="single" w:sz="4" w:space="0" w:color="auto"/>
              <w:bottom w:val="single" w:sz="4" w:space="0" w:color="auto"/>
            </w:tcBorders>
          </w:tcPr>
          <w:p w14:paraId="3B87A912" w14:textId="0C92DA9A" w:rsidR="00BE0E64" w:rsidRDefault="00BA474C" w:rsidP="00B24351">
            <w:pPr>
              <w:jc w:val="right"/>
            </w:pPr>
            <w:r>
              <w:t>3,200</w:t>
            </w:r>
          </w:p>
        </w:tc>
        <w:tc>
          <w:tcPr>
            <w:tcW w:w="875" w:type="pct"/>
            <w:tcBorders>
              <w:top w:val="single" w:sz="4" w:space="0" w:color="auto"/>
              <w:bottom w:val="single" w:sz="4" w:space="0" w:color="auto"/>
            </w:tcBorders>
          </w:tcPr>
          <w:p w14:paraId="5E6DDB46" w14:textId="7834C3D3" w:rsidR="00BE0E64" w:rsidRPr="00584D52" w:rsidRDefault="00D44A70" w:rsidP="00B24351">
            <w:pPr>
              <w:jc w:val="right"/>
            </w:pPr>
            <w:r>
              <w:t>3,200</w:t>
            </w:r>
          </w:p>
        </w:tc>
        <w:tc>
          <w:tcPr>
            <w:tcW w:w="875" w:type="pct"/>
            <w:tcBorders>
              <w:top w:val="single" w:sz="4" w:space="0" w:color="auto"/>
              <w:bottom w:val="single" w:sz="4" w:space="0" w:color="auto"/>
            </w:tcBorders>
          </w:tcPr>
          <w:p w14:paraId="3781EE10" w14:textId="77777777" w:rsidR="00BE0E64" w:rsidRPr="00584D52" w:rsidRDefault="00BE0E64" w:rsidP="00B24351">
            <w:pPr>
              <w:jc w:val="right"/>
            </w:pPr>
          </w:p>
        </w:tc>
        <w:tc>
          <w:tcPr>
            <w:tcW w:w="873" w:type="pct"/>
            <w:tcBorders>
              <w:top w:val="single" w:sz="4" w:space="0" w:color="auto"/>
              <w:bottom w:val="single" w:sz="4" w:space="0" w:color="auto"/>
            </w:tcBorders>
          </w:tcPr>
          <w:p w14:paraId="0E96A94B" w14:textId="77777777" w:rsidR="00BE0E64" w:rsidRPr="00584D52" w:rsidRDefault="00BE0E64" w:rsidP="00B24351">
            <w:pPr>
              <w:jc w:val="right"/>
            </w:pPr>
          </w:p>
        </w:tc>
      </w:tr>
      <w:tr w:rsidR="002C4C15" w:rsidRPr="000E7EED" w14:paraId="177430AB" w14:textId="77777777" w:rsidTr="003F26A1">
        <w:tc>
          <w:tcPr>
            <w:tcW w:w="865" w:type="pct"/>
            <w:tcBorders>
              <w:top w:val="single" w:sz="4" w:space="0" w:color="auto"/>
              <w:bottom w:val="single" w:sz="4" w:space="0" w:color="auto"/>
            </w:tcBorders>
          </w:tcPr>
          <w:p w14:paraId="6A1EEF7D" w14:textId="77777777" w:rsidR="002C4C15" w:rsidRPr="000E7EED" w:rsidRDefault="002C4C15" w:rsidP="00B24351">
            <w:pPr>
              <w:rPr>
                <w:color w:val="000000" w:themeColor="text1"/>
              </w:rPr>
            </w:pPr>
            <w:r>
              <w:rPr>
                <w:color w:val="000000" w:themeColor="text1"/>
              </w:rPr>
              <w:t>Digital Legal Aid income</w:t>
            </w:r>
          </w:p>
        </w:tc>
        <w:tc>
          <w:tcPr>
            <w:tcW w:w="737" w:type="pct"/>
            <w:tcBorders>
              <w:top w:val="single" w:sz="4" w:space="0" w:color="auto"/>
              <w:bottom w:val="single" w:sz="4" w:space="0" w:color="auto"/>
            </w:tcBorders>
          </w:tcPr>
          <w:p w14:paraId="3FD687DF" w14:textId="0113CF04" w:rsidR="002C4C15" w:rsidRPr="008E424E" w:rsidRDefault="002C4C15" w:rsidP="00B24351">
            <w:pPr>
              <w:jc w:val="right"/>
            </w:pPr>
            <w:r>
              <w:t>1</w:t>
            </w:r>
            <w:r w:rsidR="0096228B">
              <w:t>,000</w:t>
            </w:r>
          </w:p>
        </w:tc>
        <w:tc>
          <w:tcPr>
            <w:tcW w:w="775" w:type="pct"/>
            <w:tcBorders>
              <w:top w:val="single" w:sz="4" w:space="0" w:color="auto"/>
              <w:bottom w:val="single" w:sz="4" w:space="0" w:color="auto"/>
            </w:tcBorders>
          </w:tcPr>
          <w:p w14:paraId="24273A59" w14:textId="3A36225B" w:rsidR="002C4C15" w:rsidRPr="008E424E" w:rsidRDefault="002C4C15" w:rsidP="00B24351">
            <w:pPr>
              <w:jc w:val="right"/>
            </w:pPr>
            <w:r>
              <w:t>1,167</w:t>
            </w:r>
          </w:p>
        </w:tc>
        <w:tc>
          <w:tcPr>
            <w:tcW w:w="875" w:type="pct"/>
            <w:tcBorders>
              <w:top w:val="single" w:sz="4" w:space="0" w:color="auto"/>
              <w:bottom w:val="single" w:sz="4" w:space="0" w:color="auto"/>
            </w:tcBorders>
          </w:tcPr>
          <w:p w14:paraId="53967E50" w14:textId="174CB082" w:rsidR="002C4C15" w:rsidRPr="00584D52" w:rsidRDefault="00D44A70" w:rsidP="00B24351">
            <w:pPr>
              <w:jc w:val="right"/>
            </w:pPr>
            <w:r>
              <w:t>3,500</w:t>
            </w:r>
          </w:p>
        </w:tc>
        <w:tc>
          <w:tcPr>
            <w:tcW w:w="875" w:type="pct"/>
            <w:tcBorders>
              <w:top w:val="single" w:sz="4" w:space="0" w:color="auto"/>
              <w:bottom w:val="single" w:sz="4" w:space="0" w:color="auto"/>
            </w:tcBorders>
          </w:tcPr>
          <w:p w14:paraId="0FF634FD" w14:textId="6FF98CF7" w:rsidR="002C4C15" w:rsidRPr="008E424E" w:rsidRDefault="002C4C15" w:rsidP="00B24351">
            <w:pPr>
              <w:jc w:val="right"/>
            </w:pPr>
            <w:r w:rsidRPr="00584D52">
              <w:t>N/A</w:t>
            </w:r>
          </w:p>
        </w:tc>
        <w:tc>
          <w:tcPr>
            <w:tcW w:w="873" w:type="pct"/>
            <w:tcBorders>
              <w:top w:val="single" w:sz="4" w:space="0" w:color="auto"/>
              <w:bottom w:val="single" w:sz="4" w:space="0" w:color="auto"/>
            </w:tcBorders>
          </w:tcPr>
          <w:p w14:paraId="735B7A6A" w14:textId="53A1C8A1" w:rsidR="002C4C15" w:rsidRPr="008E424E" w:rsidRDefault="002C4C15" w:rsidP="00B24351">
            <w:pPr>
              <w:jc w:val="right"/>
            </w:pPr>
            <w:r w:rsidRPr="00584D52">
              <w:t>N/A</w:t>
            </w:r>
          </w:p>
        </w:tc>
      </w:tr>
      <w:tr w:rsidR="002C4C15" w:rsidRPr="000E7EED" w14:paraId="7F598A7D" w14:textId="77777777" w:rsidTr="003F26A1">
        <w:tc>
          <w:tcPr>
            <w:tcW w:w="865" w:type="pct"/>
            <w:tcBorders>
              <w:top w:val="single" w:sz="4" w:space="0" w:color="auto"/>
              <w:bottom w:val="single" w:sz="4" w:space="0" w:color="auto"/>
            </w:tcBorders>
            <w:shd w:val="clear" w:color="auto" w:fill="auto"/>
          </w:tcPr>
          <w:p w14:paraId="5FCFAD86" w14:textId="7DA10FB8" w:rsidR="002C4C15" w:rsidRPr="00463A3D" w:rsidRDefault="002C4C15" w:rsidP="00B24351">
            <w:pPr>
              <w:rPr>
                <w:bCs/>
                <w:color w:val="000000" w:themeColor="text1"/>
              </w:rPr>
            </w:pPr>
            <w:r>
              <w:rPr>
                <w:bCs/>
                <w:color w:val="000000" w:themeColor="text1"/>
              </w:rPr>
              <w:t>COVID and Bushfire Emergency</w:t>
            </w:r>
          </w:p>
        </w:tc>
        <w:tc>
          <w:tcPr>
            <w:tcW w:w="737" w:type="pct"/>
            <w:tcBorders>
              <w:top w:val="single" w:sz="4" w:space="0" w:color="auto"/>
              <w:bottom w:val="single" w:sz="4" w:space="0" w:color="auto"/>
            </w:tcBorders>
            <w:shd w:val="clear" w:color="auto" w:fill="auto"/>
          </w:tcPr>
          <w:p w14:paraId="3D40E364" w14:textId="5CA04569" w:rsidR="002C4C15" w:rsidRPr="00B457A7" w:rsidRDefault="002C4C15" w:rsidP="00B24351">
            <w:pPr>
              <w:jc w:val="right"/>
            </w:pPr>
            <w:r>
              <w:t>0</w:t>
            </w:r>
          </w:p>
        </w:tc>
        <w:tc>
          <w:tcPr>
            <w:tcW w:w="775" w:type="pct"/>
            <w:tcBorders>
              <w:top w:val="single" w:sz="4" w:space="0" w:color="auto"/>
              <w:bottom w:val="single" w:sz="4" w:space="0" w:color="auto"/>
            </w:tcBorders>
            <w:shd w:val="clear" w:color="auto" w:fill="auto"/>
          </w:tcPr>
          <w:p w14:paraId="7D605AE0" w14:textId="12F73A10" w:rsidR="002C4C15" w:rsidRPr="00B457A7" w:rsidRDefault="002C4C15" w:rsidP="00B24351">
            <w:pPr>
              <w:jc w:val="right"/>
            </w:pPr>
            <w:r>
              <w:t>13,610</w:t>
            </w:r>
          </w:p>
        </w:tc>
        <w:tc>
          <w:tcPr>
            <w:tcW w:w="875" w:type="pct"/>
            <w:tcBorders>
              <w:top w:val="single" w:sz="4" w:space="0" w:color="auto"/>
              <w:bottom w:val="single" w:sz="4" w:space="0" w:color="auto"/>
            </w:tcBorders>
            <w:shd w:val="clear" w:color="auto" w:fill="auto"/>
          </w:tcPr>
          <w:p w14:paraId="6EC19ED6" w14:textId="6E7A2F80" w:rsidR="002C4C15" w:rsidRPr="00584D52" w:rsidRDefault="00D44A70" w:rsidP="00B24351">
            <w:pPr>
              <w:jc w:val="right"/>
            </w:pPr>
            <w:r>
              <w:t>13,610</w:t>
            </w:r>
          </w:p>
        </w:tc>
        <w:tc>
          <w:tcPr>
            <w:tcW w:w="875" w:type="pct"/>
            <w:tcBorders>
              <w:top w:val="single" w:sz="4" w:space="0" w:color="auto"/>
              <w:bottom w:val="single" w:sz="4" w:space="0" w:color="auto"/>
            </w:tcBorders>
            <w:shd w:val="clear" w:color="auto" w:fill="auto"/>
          </w:tcPr>
          <w:p w14:paraId="748B44A0" w14:textId="009AB942" w:rsidR="002C4C15" w:rsidRPr="00B457A7" w:rsidRDefault="002C4C15" w:rsidP="00B24351">
            <w:pPr>
              <w:jc w:val="right"/>
            </w:pPr>
            <w:r w:rsidRPr="00584D52">
              <w:t>N/A</w:t>
            </w:r>
          </w:p>
        </w:tc>
        <w:tc>
          <w:tcPr>
            <w:tcW w:w="873" w:type="pct"/>
            <w:tcBorders>
              <w:top w:val="single" w:sz="4" w:space="0" w:color="auto"/>
              <w:bottom w:val="single" w:sz="4" w:space="0" w:color="auto"/>
            </w:tcBorders>
            <w:shd w:val="clear" w:color="auto" w:fill="auto"/>
          </w:tcPr>
          <w:p w14:paraId="1DD494B4" w14:textId="4AC1DA9D" w:rsidR="002C4C15" w:rsidRPr="00B457A7" w:rsidRDefault="002C4C15" w:rsidP="00B24351">
            <w:pPr>
              <w:jc w:val="right"/>
            </w:pPr>
            <w:r w:rsidRPr="00584D52">
              <w:t>N/A</w:t>
            </w:r>
          </w:p>
        </w:tc>
      </w:tr>
      <w:tr w:rsidR="00135AFA" w:rsidRPr="000E7EED" w14:paraId="1D93C896" w14:textId="77777777" w:rsidTr="002C4C15">
        <w:tc>
          <w:tcPr>
            <w:tcW w:w="865" w:type="pct"/>
            <w:tcBorders>
              <w:top w:val="single" w:sz="4" w:space="0" w:color="auto"/>
              <w:bottom w:val="single" w:sz="4" w:space="0" w:color="auto"/>
            </w:tcBorders>
            <w:shd w:val="clear" w:color="auto" w:fill="D9D9D9" w:themeFill="background1" w:themeFillShade="D9"/>
          </w:tcPr>
          <w:p w14:paraId="5F7BC2D9" w14:textId="77777777" w:rsidR="002C4C15" w:rsidRPr="000E7EED" w:rsidRDefault="002C4C15" w:rsidP="00B24351">
            <w:pPr>
              <w:rPr>
                <w:b/>
                <w:color w:val="000000" w:themeColor="text1"/>
              </w:rPr>
            </w:pPr>
            <w:r w:rsidRPr="000E7EED">
              <w:rPr>
                <w:b/>
                <w:color w:val="000000" w:themeColor="text1"/>
              </w:rPr>
              <w:lastRenderedPageBreak/>
              <w:t>Total revenue</w:t>
            </w:r>
          </w:p>
        </w:tc>
        <w:tc>
          <w:tcPr>
            <w:tcW w:w="737" w:type="pct"/>
            <w:tcBorders>
              <w:top w:val="single" w:sz="4" w:space="0" w:color="auto"/>
              <w:bottom w:val="single" w:sz="4" w:space="0" w:color="auto"/>
            </w:tcBorders>
            <w:shd w:val="clear" w:color="auto" w:fill="D9D9D9" w:themeFill="background1" w:themeFillShade="D9"/>
          </w:tcPr>
          <w:p w14:paraId="29EED78C" w14:textId="05BBAC0A" w:rsidR="002C4C15" w:rsidRPr="008E424E" w:rsidRDefault="002C4C15" w:rsidP="00B24351">
            <w:pPr>
              <w:jc w:val="right"/>
              <w:rPr>
                <w:b/>
                <w:bCs/>
              </w:rPr>
            </w:pPr>
            <w:r>
              <w:rPr>
                <w:b/>
                <w:bCs/>
              </w:rPr>
              <w:t>59,885</w:t>
            </w:r>
          </w:p>
        </w:tc>
        <w:tc>
          <w:tcPr>
            <w:tcW w:w="775" w:type="pct"/>
            <w:tcBorders>
              <w:top w:val="single" w:sz="4" w:space="0" w:color="auto"/>
              <w:bottom w:val="single" w:sz="4" w:space="0" w:color="auto"/>
            </w:tcBorders>
            <w:shd w:val="clear" w:color="auto" w:fill="D9D9D9" w:themeFill="background1" w:themeFillShade="D9"/>
          </w:tcPr>
          <w:p w14:paraId="4ACFF219" w14:textId="09EC9760" w:rsidR="002C4C15" w:rsidRPr="00B457A7" w:rsidRDefault="002C4C15" w:rsidP="00B24351">
            <w:pPr>
              <w:jc w:val="right"/>
              <w:rPr>
                <w:b/>
                <w:bCs/>
              </w:rPr>
            </w:pPr>
            <w:r>
              <w:rPr>
                <w:b/>
                <w:bCs/>
              </w:rPr>
              <w:t>74,</w:t>
            </w:r>
            <w:r w:rsidR="00783C07">
              <w:rPr>
                <w:b/>
                <w:bCs/>
              </w:rPr>
              <w:t>605</w:t>
            </w:r>
          </w:p>
        </w:tc>
        <w:tc>
          <w:tcPr>
            <w:tcW w:w="875" w:type="pct"/>
            <w:tcBorders>
              <w:top w:val="single" w:sz="4" w:space="0" w:color="auto"/>
              <w:bottom w:val="single" w:sz="4" w:space="0" w:color="auto"/>
            </w:tcBorders>
            <w:shd w:val="clear" w:color="auto" w:fill="D9D9D9" w:themeFill="background1" w:themeFillShade="D9"/>
          </w:tcPr>
          <w:p w14:paraId="586F2F3E" w14:textId="2EEF4CAD" w:rsidR="002C4C15" w:rsidRPr="003F26A1" w:rsidRDefault="00D44A70" w:rsidP="00B24351">
            <w:pPr>
              <w:jc w:val="right"/>
              <w:rPr>
                <w:b/>
                <w:bCs/>
              </w:rPr>
            </w:pPr>
            <w:r>
              <w:rPr>
                <w:b/>
                <w:bCs/>
              </w:rPr>
              <w:t>267,326</w:t>
            </w:r>
          </w:p>
        </w:tc>
        <w:tc>
          <w:tcPr>
            <w:tcW w:w="875" w:type="pct"/>
            <w:tcBorders>
              <w:top w:val="single" w:sz="4" w:space="0" w:color="auto"/>
              <w:bottom w:val="single" w:sz="4" w:space="0" w:color="auto"/>
            </w:tcBorders>
            <w:shd w:val="clear" w:color="auto" w:fill="D9D9D9" w:themeFill="background1" w:themeFillShade="D9"/>
          </w:tcPr>
          <w:p w14:paraId="26877390" w14:textId="5477F0C0" w:rsidR="002C4C15" w:rsidRPr="00B457A7" w:rsidRDefault="002C4C15" w:rsidP="00B24351">
            <w:pPr>
              <w:jc w:val="right"/>
              <w:rPr>
                <w:b/>
                <w:bCs/>
              </w:rPr>
            </w:pPr>
            <w:r w:rsidRPr="00584D52">
              <w:t>N/A</w:t>
            </w:r>
          </w:p>
        </w:tc>
        <w:tc>
          <w:tcPr>
            <w:tcW w:w="873" w:type="pct"/>
            <w:tcBorders>
              <w:top w:val="single" w:sz="4" w:space="0" w:color="auto"/>
              <w:bottom w:val="single" w:sz="4" w:space="0" w:color="auto"/>
            </w:tcBorders>
            <w:shd w:val="clear" w:color="auto" w:fill="D9D9D9" w:themeFill="background1" w:themeFillShade="D9"/>
          </w:tcPr>
          <w:p w14:paraId="356923EB" w14:textId="185BDC68" w:rsidR="002C4C15" w:rsidRPr="00B457A7" w:rsidRDefault="002C4C15" w:rsidP="00B24351">
            <w:pPr>
              <w:jc w:val="right"/>
              <w:rPr>
                <w:b/>
                <w:bCs/>
              </w:rPr>
            </w:pPr>
            <w:r w:rsidRPr="00584D52">
              <w:t>N/A</w:t>
            </w:r>
          </w:p>
        </w:tc>
      </w:tr>
    </w:tbl>
    <w:p w14:paraId="4982F0A4" w14:textId="77777777" w:rsidR="004175B7" w:rsidRPr="000E7EED" w:rsidRDefault="004175B7" w:rsidP="004175B7">
      <w:pPr>
        <w:pStyle w:val="Heading3"/>
      </w:pPr>
      <w:bookmarkStart w:id="5" w:name="_Hlk33006441"/>
      <w:r w:rsidRPr="000E7EED">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615"/>
        <w:gridCol w:w="1575"/>
        <w:gridCol w:w="1575"/>
        <w:gridCol w:w="1775"/>
        <w:gridCol w:w="1777"/>
        <w:gridCol w:w="1769"/>
      </w:tblGrid>
      <w:tr w:rsidR="00F91078" w:rsidRPr="000E7EED" w14:paraId="1A26A49B" w14:textId="77777777" w:rsidTr="003F26A1">
        <w:trPr>
          <w:cnfStyle w:val="100000000000" w:firstRow="1" w:lastRow="0" w:firstColumn="0" w:lastColumn="0" w:oddVBand="0" w:evenVBand="0" w:oddHBand="0" w:evenHBand="0" w:firstRowFirstColumn="0" w:firstRowLastColumn="0" w:lastRowFirstColumn="0" w:lastRowLastColumn="0"/>
        </w:trPr>
        <w:tc>
          <w:tcPr>
            <w:tcW w:w="800" w:type="pct"/>
            <w:tcBorders>
              <w:top w:val="single" w:sz="4" w:space="0" w:color="auto"/>
              <w:bottom w:val="single" w:sz="4" w:space="0" w:color="auto"/>
            </w:tcBorders>
            <w:shd w:val="clear" w:color="auto" w:fill="C3AFCC"/>
          </w:tcPr>
          <w:p w14:paraId="3F56AEBA" w14:textId="77777777" w:rsidR="00F91078" w:rsidRPr="000E7EED" w:rsidRDefault="00F91078" w:rsidP="00F91078">
            <w:pPr>
              <w:rPr>
                <w:b/>
                <w:color w:val="000000" w:themeColor="text1"/>
              </w:rPr>
            </w:pPr>
            <w:bookmarkStart w:id="6" w:name="_Hlk33006456"/>
            <w:bookmarkEnd w:id="5"/>
            <w:r w:rsidRPr="000E7EED">
              <w:rPr>
                <w:b/>
                <w:color w:val="000000" w:themeColor="text1"/>
              </w:rPr>
              <w:t>Expenditure</w:t>
            </w:r>
          </w:p>
        </w:tc>
        <w:tc>
          <w:tcPr>
            <w:tcW w:w="781" w:type="pct"/>
            <w:tcBorders>
              <w:top w:val="single" w:sz="4" w:space="0" w:color="auto"/>
              <w:bottom w:val="single" w:sz="4" w:space="0" w:color="auto"/>
            </w:tcBorders>
            <w:shd w:val="clear" w:color="auto" w:fill="C3AFCC"/>
          </w:tcPr>
          <w:p w14:paraId="7B79E5AA" w14:textId="0D38E2FE" w:rsidR="00F91078" w:rsidRPr="000E7EED" w:rsidRDefault="00F91078" w:rsidP="00F91078">
            <w:pPr>
              <w:jc w:val="right"/>
              <w:rPr>
                <w:b/>
                <w:color w:val="000000" w:themeColor="text1"/>
              </w:rPr>
            </w:pPr>
            <w:r>
              <w:rPr>
                <w:b/>
                <w:color w:val="000000" w:themeColor="text1"/>
              </w:rPr>
              <w:t>Q4 2019</w:t>
            </w:r>
          </w:p>
        </w:tc>
        <w:tc>
          <w:tcPr>
            <w:tcW w:w="781" w:type="pct"/>
            <w:tcBorders>
              <w:top w:val="single" w:sz="4" w:space="0" w:color="auto"/>
              <w:bottom w:val="single" w:sz="4" w:space="0" w:color="auto"/>
            </w:tcBorders>
            <w:shd w:val="clear" w:color="auto" w:fill="C3AFCC"/>
          </w:tcPr>
          <w:p w14:paraId="0E6CB1A2" w14:textId="5ADBD8DA" w:rsidR="00F91078" w:rsidRPr="000E7EED" w:rsidRDefault="00F91078" w:rsidP="00F91078">
            <w:pPr>
              <w:jc w:val="right"/>
              <w:rPr>
                <w:b/>
                <w:color w:val="000000" w:themeColor="text1"/>
              </w:rPr>
            </w:pPr>
            <w:r w:rsidRPr="000E7EED">
              <w:rPr>
                <w:b/>
                <w:color w:val="000000" w:themeColor="text1"/>
              </w:rPr>
              <w:t>Q</w:t>
            </w:r>
            <w:r>
              <w:rPr>
                <w:b/>
                <w:color w:val="000000" w:themeColor="text1"/>
              </w:rPr>
              <w:t>4 2020</w:t>
            </w:r>
          </w:p>
        </w:tc>
        <w:tc>
          <w:tcPr>
            <w:tcW w:w="880" w:type="pct"/>
            <w:tcBorders>
              <w:top w:val="single" w:sz="4" w:space="0" w:color="auto"/>
              <w:bottom w:val="single" w:sz="4" w:space="0" w:color="auto"/>
            </w:tcBorders>
            <w:shd w:val="clear" w:color="auto" w:fill="C3AFCC"/>
          </w:tcPr>
          <w:p w14:paraId="2A9565DC" w14:textId="23C41F7C" w:rsidR="00F91078" w:rsidRPr="000E7EED" w:rsidRDefault="00F91078" w:rsidP="00F91078">
            <w:pPr>
              <w:jc w:val="right"/>
              <w:rPr>
                <w:b/>
                <w:color w:val="000000" w:themeColor="text1"/>
              </w:rPr>
            </w:pPr>
            <w:r>
              <w:rPr>
                <w:b/>
                <w:color w:val="000000" w:themeColor="text1"/>
              </w:rPr>
              <w:t>Year-end total 2019-20</w:t>
            </w:r>
          </w:p>
        </w:tc>
        <w:tc>
          <w:tcPr>
            <w:tcW w:w="881" w:type="pct"/>
            <w:tcBorders>
              <w:top w:val="single" w:sz="4" w:space="0" w:color="auto"/>
              <w:bottom w:val="single" w:sz="4" w:space="0" w:color="auto"/>
            </w:tcBorders>
            <w:shd w:val="clear" w:color="auto" w:fill="C3AFCC"/>
          </w:tcPr>
          <w:p w14:paraId="7AE74587" w14:textId="6B94D438" w:rsidR="00F91078" w:rsidRPr="000E7EED" w:rsidRDefault="00F91078" w:rsidP="00F91078">
            <w:pPr>
              <w:jc w:val="right"/>
              <w:rPr>
                <w:b/>
                <w:color w:val="000000" w:themeColor="text1"/>
              </w:rPr>
            </w:pPr>
            <w:r w:rsidRPr="000E7EED">
              <w:rPr>
                <w:b/>
                <w:color w:val="000000" w:themeColor="text1"/>
              </w:rPr>
              <w:t>Q</w:t>
            </w:r>
            <w:r>
              <w:rPr>
                <w:b/>
                <w:color w:val="000000" w:themeColor="text1"/>
              </w:rPr>
              <w:t>1 2021 projection</w:t>
            </w:r>
          </w:p>
        </w:tc>
        <w:tc>
          <w:tcPr>
            <w:tcW w:w="878" w:type="pct"/>
            <w:tcBorders>
              <w:top w:val="single" w:sz="4" w:space="0" w:color="auto"/>
              <w:bottom w:val="single" w:sz="4" w:space="0" w:color="auto"/>
            </w:tcBorders>
            <w:shd w:val="clear" w:color="auto" w:fill="C3AFCC"/>
          </w:tcPr>
          <w:p w14:paraId="1563364B" w14:textId="0D857E8E" w:rsidR="00F91078" w:rsidRPr="000E7EED" w:rsidRDefault="00F91078" w:rsidP="00F91078">
            <w:pPr>
              <w:jc w:val="right"/>
              <w:rPr>
                <w:b/>
                <w:color w:val="000000" w:themeColor="text1"/>
              </w:rPr>
            </w:pPr>
            <w:r>
              <w:rPr>
                <w:b/>
                <w:color w:val="000000" w:themeColor="text1"/>
              </w:rPr>
              <w:t>2021 Year-end projection</w:t>
            </w:r>
          </w:p>
        </w:tc>
      </w:tr>
      <w:tr w:rsidR="00F91078" w:rsidRPr="000E7EED" w14:paraId="0355756B" w14:textId="77777777" w:rsidTr="003F26A1">
        <w:tc>
          <w:tcPr>
            <w:tcW w:w="800" w:type="pct"/>
            <w:tcBorders>
              <w:top w:val="single" w:sz="4" w:space="0" w:color="auto"/>
              <w:bottom w:val="single" w:sz="4" w:space="0" w:color="auto"/>
            </w:tcBorders>
          </w:tcPr>
          <w:p w14:paraId="57857B1D" w14:textId="7F8E3E51" w:rsidR="00F91078" w:rsidRPr="000E7EED" w:rsidRDefault="00F91078" w:rsidP="00F91078">
            <w:pPr>
              <w:rPr>
                <w:color w:val="000000" w:themeColor="text1"/>
              </w:rPr>
            </w:pPr>
            <w:r w:rsidRPr="000E7EED">
              <w:rPr>
                <w:color w:val="000000" w:themeColor="text1"/>
              </w:rPr>
              <w:t>Case expenditure</w:t>
            </w:r>
            <w:r>
              <w:rPr>
                <w:color w:val="000000" w:themeColor="text1"/>
              </w:rPr>
              <w:t xml:space="preserve"> (including ECCCF)</w:t>
            </w:r>
          </w:p>
        </w:tc>
        <w:tc>
          <w:tcPr>
            <w:tcW w:w="781" w:type="pct"/>
            <w:tcBorders>
              <w:top w:val="single" w:sz="4" w:space="0" w:color="auto"/>
              <w:bottom w:val="single" w:sz="4" w:space="0" w:color="auto"/>
            </w:tcBorders>
          </w:tcPr>
          <w:p w14:paraId="36D0F934" w14:textId="479E6613" w:rsidR="00F91078" w:rsidRPr="008E424E" w:rsidRDefault="00F91078" w:rsidP="00F91078">
            <w:pPr>
              <w:jc w:val="right"/>
            </w:pPr>
            <w:r>
              <w:t>27,</w:t>
            </w:r>
            <w:r w:rsidR="006B1DFD">
              <w:t>036</w:t>
            </w:r>
          </w:p>
        </w:tc>
        <w:tc>
          <w:tcPr>
            <w:tcW w:w="781" w:type="pct"/>
            <w:tcBorders>
              <w:top w:val="single" w:sz="4" w:space="0" w:color="auto"/>
              <w:bottom w:val="single" w:sz="4" w:space="0" w:color="auto"/>
            </w:tcBorders>
          </w:tcPr>
          <w:p w14:paraId="09F5086D" w14:textId="22BEB8F3" w:rsidR="00F91078" w:rsidRPr="008E424E" w:rsidRDefault="00F91078" w:rsidP="00F91078">
            <w:pPr>
              <w:jc w:val="right"/>
            </w:pPr>
            <w:r>
              <w:t>20,</w:t>
            </w:r>
            <w:r w:rsidR="006D1B06">
              <w:t>878</w:t>
            </w:r>
          </w:p>
        </w:tc>
        <w:tc>
          <w:tcPr>
            <w:tcW w:w="880" w:type="pct"/>
            <w:tcBorders>
              <w:top w:val="single" w:sz="4" w:space="0" w:color="auto"/>
              <w:bottom w:val="single" w:sz="4" w:space="0" w:color="auto"/>
            </w:tcBorders>
          </w:tcPr>
          <w:p w14:paraId="2BAF09AF" w14:textId="50F2D1F0" w:rsidR="00F91078" w:rsidRPr="005A7070" w:rsidRDefault="006D690A" w:rsidP="00F91078">
            <w:pPr>
              <w:jc w:val="right"/>
            </w:pPr>
            <w:r>
              <w:t>101,430</w:t>
            </w:r>
          </w:p>
        </w:tc>
        <w:tc>
          <w:tcPr>
            <w:tcW w:w="881" w:type="pct"/>
            <w:tcBorders>
              <w:top w:val="single" w:sz="4" w:space="0" w:color="auto"/>
              <w:bottom w:val="single" w:sz="4" w:space="0" w:color="auto"/>
            </w:tcBorders>
          </w:tcPr>
          <w:p w14:paraId="1850EA7C" w14:textId="09CA1826" w:rsidR="00F91078" w:rsidRPr="008E424E" w:rsidRDefault="00F91078" w:rsidP="00F91078">
            <w:pPr>
              <w:jc w:val="right"/>
            </w:pPr>
            <w:r w:rsidRPr="005A7070">
              <w:t>N/A</w:t>
            </w:r>
          </w:p>
        </w:tc>
        <w:tc>
          <w:tcPr>
            <w:tcW w:w="878" w:type="pct"/>
            <w:tcBorders>
              <w:top w:val="single" w:sz="4" w:space="0" w:color="auto"/>
              <w:bottom w:val="single" w:sz="4" w:space="0" w:color="auto"/>
            </w:tcBorders>
          </w:tcPr>
          <w:p w14:paraId="734042F4" w14:textId="290D236D" w:rsidR="00F91078" w:rsidRPr="008E424E" w:rsidRDefault="00F91078" w:rsidP="00F91078">
            <w:pPr>
              <w:jc w:val="right"/>
            </w:pPr>
            <w:r w:rsidRPr="005A7070">
              <w:t>N/A</w:t>
            </w:r>
          </w:p>
        </w:tc>
      </w:tr>
      <w:tr w:rsidR="00F91078" w:rsidRPr="000E7EED" w14:paraId="7181F757" w14:textId="77777777" w:rsidTr="003F26A1">
        <w:tc>
          <w:tcPr>
            <w:tcW w:w="800" w:type="pct"/>
            <w:tcBorders>
              <w:top w:val="single" w:sz="4" w:space="0" w:color="auto"/>
              <w:bottom w:val="single" w:sz="4" w:space="0" w:color="auto"/>
            </w:tcBorders>
          </w:tcPr>
          <w:p w14:paraId="00863735" w14:textId="77777777" w:rsidR="00F91078" w:rsidRPr="000E7EED" w:rsidRDefault="00F91078" w:rsidP="00F91078">
            <w:pPr>
              <w:rPr>
                <w:b/>
                <w:color w:val="000000" w:themeColor="text1"/>
              </w:rPr>
            </w:pPr>
            <w:r w:rsidRPr="000E7EED">
              <w:rPr>
                <w:color w:val="000000" w:themeColor="text1"/>
              </w:rPr>
              <w:t>Community legal centre payments</w:t>
            </w:r>
          </w:p>
        </w:tc>
        <w:tc>
          <w:tcPr>
            <w:tcW w:w="781" w:type="pct"/>
            <w:tcBorders>
              <w:top w:val="single" w:sz="4" w:space="0" w:color="auto"/>
              <w:bottom w:val="single" w:sz="4" w:space="0" w:color="auto"/>
            </w:tcBorders>
          </w:tcPr>
          <w:p w14:paraId="38009B9C" w14:textId="2837245C" w:rsidR="00F91078" w:rsidRPr="008E424E" w:rsidRDefault="00F91078" w:rsidP="00F91078">
            <w:pPr>
              <w:jc w:val="right"/>
            </w:pPr>
            <w:r>
              <w:t>8,026</w:t>
            </w:r>
          </w:p>
        </w:tc>
        <w:tc>
          <w:tcPr>
            <w:tcW w:w="781" w:type="pct"/>
            <w:tcBorders>
              <w:top w:val="single" w:sz="4" w:space="0" w:color="auto"/>
              <w:bottom w:val="single" w:sz="4" w:space="0" w:color="auto"/>
            </w:tcBorders>
          </w:tcPr>
          <w:p w14:paraId="0A5E81B9" w14:textId="7814DA38" w:rsidR="00F91078" w:rsidRPr="008E424E" w:rsidRDefault="00F91078" w:rsidP="00F91078">
            <w:pPr>
              <w:jc w:val="right"/>
            </w:pPr>
            <w:r>
              <w:t>9,</w:t>
            </w:r>
            <w:r w:rsidR="006D1B06">
              <w:t>541</w:t>
            </w:r>
          </w:p>
        </w:tc>
        <w:tc>
          <w:tcPr>
            <w:tcW w:w="880" w:type="pct"/>
            <w:tcBorders>
              <w:top w:val="single" w:sz="4" w:space="0" w:color="auto"/>
              <w:bottom w:val="single" w:sz="4" w:space="0" w:color="auto"/>
            </w:tcBorders>
          </w:tcPr>
          <w:p w14:paraId="69EFE359" w14:textId="7FC6FCF0" w:rsidR="00F91078" w:rsidRPr="005A7070" w:rsidRDefault="006D690A" w:rsidP="00F91078">
            <w:pPr>
              <w:jc w:val="right"/>
            </w:pPr>
            <w:r>
              <w:t>35,063</w:t>
            </w:r>
          </w:p>
        </w:tc>
        <w:tc>
          <w:tcPr>
            <w:tcW w:w="881" w:type="pct"/>
            <w:tcBorders>
              <w:top w:val="single" w:sz="4" w:space="0" w:color="auto"/>
              <w:bottom w:val="single" w:sz="4" w:space="0" w:color="auto"/>
            </w:tcBorders>
          </w:tcPr>
          <w:p w14:paraId="66A3512C" w14:textId="53049D70" w:rsidR="00F91078" w:rsidRPr="008E424E" w:rsidRDefault="00F91078" w:rsidP="00F91078">
            <w:pPr>
              <w:jc w:val="right"/>
            </w:pPr>
            <w:r w:rsidRPr="005A7070">
              <w:t>N/A</w:t>
            </w:r>
          </w:p>
        </w:tc>
        <w:tc>
          <w:tcPr>
            <w:tcW w:w="878" w:type="pct"/>
            <w:tcBorders>
              <w:top w:val="single" w:sz="4" w:space="0" w:color="auto"/>
              <w:bottom w:val="single" w:sz="4" w:space="0" w:color="auto"/>
            </w:tcBorders>
          </w:tcPr>
          <w:p w14:paraId="226E0351" w14:textId="7318BEB5" w:rsidR="00F91078" w:rsidRPr="008E424E" w:rsidRDefault="00F91078" w:rsidP="00F91078">
            <w:pPr>
              <w:jc w:val="right"/>
            </w:pPr>
            <w:r w:rsidRPr="005A7070">
              <w:t>N/A</w:t>
            </w:r>
          </w:p>
        </w:tc>
      </w:tr>
      <w:tr w:rsidR="00F91078" w:rsidRPr="000E7EED" w14:paraId="14088745" w14:textId="77777777" w:rsidTr="003F26A1">
        <w:tc>
          <w:tcPr>
            <w:tcW w:w="800" w:type="pct"/>
            <w:tcBorders>
              <w:top w:val="single" w:sz="4" w:space="0" w:color="auto"/>
              <w:bottom w:val="single" w:sz="4" w:space="0" w:color="auto"/>
            </w:tcBorders>
          </w:tcPr>
          <w:p w14:paraId="21FAB84C" w14:textId="77777777" w:rsidR="00F91078" w:rsidRPr="000E7EED" w:rsidRDefault="00F91078" w:rsidP="00F91078">
            <w:pPr>
              <w:rPr>
                <w:b/>
                <w:color w:val="000000" w:themeColor="text1"/>
              </w:rPr>
            </w:pPr>
            <w:r w:rsidRPr="000E7EED">
              <w:rPr>
                <w:color w:val="000000" w:themeColor="text1"/>
              </w:rPr>
              <w:t>Staff costs</w:t>
            </w:r>
          </w:p>
        </w:tc>
        <w:tc>
          <w:tcPr>
            <w:tcW w:w="781" w:type="pct"/>
            <w:tcBorders>
              <w:top w:val="single" w:sz="4" w:space="0" w:color="auto"/>
              <w:bottom w:val="single" w:sz="4" w:space="0" w:color="auto"/>
            </w:tcBorders>
          </w:tcPr>
          <w:p w14:paraId="2A7D0078" w14:textId="17590A9C" w:rsidR="00F91078" w:rsidRPr="008E424E" w:rsidRDefault="00F91078" w:rsidP="00F91078">
            <w:pPr>
              <w:jc w:val="right"/>
            </w:pPr>
            <w:r>
              <w:t>19,</w:t>
            </w:r>
            <w:r w:rsidR="006B1DFD">
              <w:t>782</w:t>
            </w:r>
          </w:p>
        </w:tc>
        <w:tc>
          <w:tcPr>
            <w:tcW w:w="781" w:type="pct"/>
            <w:tcBorders>
              <w:top w:val="single" w:sz="4" w:space="0" w:color="auto"/>
              <w:bottom w:val="single" w:sz="4" w:space="0" w:color="auto"/>
            </w:tcBorders>
          </w:tcPr>
          <w:p w14:paraId="1887D2AA" w14:textId="4DF8C907" w:rsidR="00F91078" w:rsidRPr="008E424E" w:rsidRDefault="00F91078" w:rsidP="00F91078">
            <w:pPr>
              <w:jc w:val="right"/>
            </w:pPr>
            <w:r>
              <w:t>20,</w:t>
            </w:r>
            <w:r w:rsidR="006D1B06">
              <w:t>250</w:t>
            </w:r>
          </w:p>
        </w:tc>
        <w:tc>
          <w:tcPr>
            <w:tcW w:w="880" w:type="pct"/>
            <w:tcBorders>
              <w:top w:val="single" w:sz="4" w:space="0" w:color="auto"/>
              <w:bottom w:val="single" w:sz="4" w:space="0" w:color="auto"/>
            </w:tcBorders>
          </w:tcPr>
          <w:p w14:paraId="638E55D6" w14:textId="1B1F0841" w:rsidR="00F91078" w:rsidRPr="005A7070" w:rsidRDefault="006D690A" w:rsidP="00F91078">
            <w:pPr>
              <w:jc w:val="right"/>
            </w:pPr>
            <w:r>
              <w:t>80,672</w:t>
            </w:r>
          </w:p>
        </w:tc>
        <w:tc>
          <w:tcPr>
            <w:tcW w:w="881" w:type="pct"/>
            <w:tcBorders>
              <w:top w:val="single" w:sz="4" w:space="0" w:color="auto"/>
              <w:bottom w:val="single" w:sz="4" w:space="0" w:color="auto"/>
            </w:tcBorders>
          </w:tcPr>
          <w:p w14:paraId="2DA979C8" w14:textId="5C4500E3" w:rsidR="00F91078" w:rsidRPr="008E424E" w:rsidRDefault="00F91078" w:rsidP="00F91078">
            <w:pPr>
              <w:jc w:val="right"/>
            </w:pPr>
            <w:r w:rsidRPr="005A7070">
              <w:t>N/A</w:t>
            </w:r>
          </w:p>
        </w:tc>
        <w:tc>
          <w:tcPr>
            <w:tcW w:w="878" w:type="pct"/>
            <w:tcBorders>
              <w:top w:val="single" w:sz="4" w:space="0" w:color="auto"/>
              <w:bottom w:val="single" w:sz="4" w:space="0" w:color="auto"/>
            </w:tcBorders>
          </w:tcPr>
          <w:p w14:paraId="59B1C612" w14:textId="5E3FDB28" w:rsidR="00F91078" w:rsidRPr="008E424E" w:rsidRDefault="00F91078" w:rsidP="00F91078">
            <w:pPr>
              <w:jc w:val="right"/>
            </w:pPr>
            <w:r w:rsidRPr="005A7070">
              <w:t>N/A</w:t>
            </w:r>
          </w:p>
        </w:tc>
      </w:tr>
      <w:tr w:rsidR="00F91078" w:rsidRPr="000E7EED" w14:paraId="166EC63C" w14:textId="77777777" w:rsidTr="003F26A1">
        <w:tc>
          <w:tcPr>
            <w:tcW w:w="800" w:type="pct"/>
            <w:tcBorders>
              <w:top w:val="single" w:sz="4" w:space="0" w:color="auto"/>
              <w:bottom w:val="single" w:sz="4" w:space="0" w:color="auto"/>
            </w:tcBorders>
          </w:tcPr>
          <w:p w14:paraId="263A16AB" w14:textId="77777777" w:rsidR="00F91078" w:rsidRPr="000E7EED" w:rsidRDefault="00F91078" w:rsidP="00F91078">
            <w:pPr>
              <w:rPr>
                <w:b/>
                <w:color w:val="000000" w:themeColor="text1"/>
              </w:rPr>
            </w:pPr>
            <w:r w:rsidRPr="000E7EED">
              <w:rPr>
                <w:color w:val="000000" w:themeColor="text1"/>
              </w:rPr>
              <w:t>Administration</w:t>
            </w:r>
          </w:p>
        </w:tc>
        <w:tc>
          <w:tcPr>
            <w:tcW w:w="781" w:type="pct"/>
            <w:tcBorders>
              <w:top w:val="single" w:sz="4" w:space="0" w:color="auto"/>
              <w:bottom w:val="single" w:sz="4" w:space="0" w:color="auto"/>
            </w:tcBorders>
          </w:tcPr>
          <w:p w14:paraId="1D84653B" w14:textId="52C76D70" w:rsidR="00F91078" w:rsidRPr="008E424E" w:rsidRDefault="006B1DFD" w:rsidP="00F91078">
            <w:pPr>
              <w:jc w:val="right"/>
            </w:pPr>
            <w:r>
              <w:t>6,338</w:t>
            </w:r>
          </w:p>
        </w:tc>
        <w:tc>
          <w:tcPr>
            <w:tcW w:w="781" w:type="pct"/>
            <w:tcBorders>
              <w:top w:val="single" w:sz="4" w:space="0" w:color="auto"/>
              <w:bottom w:val="single" w:sz="4" w:space="0" w:color="auto"/>
            </w:tcBorders>
          </w:tcPr>
          <w:p w14:paraId="7B2C4A5E" w14:textId="47BE4EB5" w:rsidR="00F91078" w:rsidRPr="008E424E" w:rsidRDefault="006D1B06" w:rsidP="00F91078">
            <w:pPr>
              <w:jc w:val="right"/>
            </w:pPr>
            <w:r>
              <w:t>6,590</w:t>
            </w:r>
          </w:p>
        </w:tc>
        <w:tc>
          <w:tcPr>
            <w:tcW w:w="880" w:type="pct"/>
            <w:tcBorders>
              <w:top w:val="single" w:sz="4" w:space="0" w:color="auto"/>
              <w:bottom w:val="single" w:sz="4" w:space="0" w:color="auto"/>
            </w:tcBorders>
          </w:tcPr>
          <w:p w14:paraId="03B69CEE" w14:textId="3D57AF0A" w:rsidR="00F91078" w:rsidRPr="005A7070" w:rsidRDefault="006D690A" w:rsidP="00F91078">
            <w:pPr>
              <w:jc w:val="right"/>
            </w:pPr>
            <w:r>
              <w:t>22,451</w:t>
            </w:r>
          </w:p>
        </w:tc>
        <w:tc>
          <w:tcPr>
            <w:tcW w:w="881" w:type="pct"/>
            <w:tcBorders>
              <w:top w:val="single" w:sz="4" w:space="0" w:color="auto"/>
              <w:bottom w:val="single" w:sz="4" w:space="0" w:color="auto"/>
            </w:tcBorders>
          </w:tcPr>
          <w:p w14:paraId="6D2DF25B" w14:textId="6ADE5A9B" w:rsidR="00F91078" w:rsidRPr="008E424E" w:rsidRDefault="00F91078" w:rsidP="00F91078">
            <w:pPr>
              <w:jc w:val="right"/>
            </w:pPr>
            <w:r w:rsidRPr="005A7070">
              <w:t>N/A</w:t>
            </w:r>
          </w:p>
        </w:tc>
        <w:tc>
          <w:tcPr>
            <w:tcW w:w="878" w:type="pct"/>
            <w:tcBorders>
              <w:top w:val="single" w:sz="4" w:space="0" w:color="auto"/>
              <w:bottom w:val="single" w:sz="4" w:space="0" w:color="auto"/>
            </w:tcBorders>
          </w:tcPr>
          <w:p w14:paraId="16B770CA" w14:textId="6F46D8E1" w:rsidR="00F91078" w:rsidRPr="008E424E" w:rsidRDefault="00F91078" w:rsidP="00F91078">
            <w:pPr>
              <w:jc w:val="right"/>
            </w:pPr>
            <w:r w:rsidRPr="005A7070">
              <w:t>N/A</w:t>
            </w:r>
          </w:p>
        </w:tc>
      </w:tr>
      <w:tr w:rsidR="00F91078" w:rsidRPr="000E7EED" w14:paraId="47E68247" w14:textId="77777777" w:rsidTr="003F26A1">
        <w:tc>
          <w:tcPr>
            <w:tcW w:w="800" w:type="pct"/>
            <w:tcBorders>
              <w:top w:val="single" w:sz="4" w:space="0" w:color="auto"/>
              <w:bottom w:val="single" w:sz="4" w:space="0" w:color="auto"/>
            </w:tcBorders>
          </w:tcPr>
          <w:p w14:paraId="32B79EE6" w14:textId="77777777" w:rsidR="00F91078" w:rsidRPr="000E7EED" w:rsidRDefault="00F91078" w:rsidP="00F91078">
            <w:pPr>
              <w:rPr>
                <w:b/>
                <w:color w:val="000000" w:themeColor="text1"/>
              </w:rPr>
            </w:pPr>
            <w:r w:rsidRPr="000E7EED">
              <w:rPr>
                <w:color w:val="000000" w:themeColor="text1"/>
              </w:rPr>
              <w:t>Projects</w:t>
            </w:r>
          </w:p>
        </w:tc>
        <w:tc>
          <w:tcPr>
            <w:tcW w:w="781" w:type="pct"/>
            <w:tcBorders>
              <w:top w:val="single" w:sz="4" w:space="0" w:color="auto"/>
              <w:bottom w:val="single" w:sz="4" w:space="0" w:color="auto"/>
            </w:tcBorders>
          </w:tcPr>
          <w:p w14:paraId="4957B2BF" w14:textId="0BFB1139" w:rsidR="00F91078" w:rsidRPr="008E424E" w:rsidRDefault="00494610" w:rsidP="00F91078">
            <w:pPr>
              <w:jc w:val="right"/>
            </w:pPr>
            <w:r>
              <w:t>532</w:t>
            </w:r>
          </w:p>
        </w:tc>
        <w:tc>
          <w:tcPr>
            <w:tcW w:w="781" w:type="pct"/>
            <w:tcBorders>
              <w:top w:val="single" w:sz="4" w:space="0" w:color="auto"/>
              <w:bottom w:val="single" w:sz="4" w:space="0" w:color="auto"/>
            </w:tcBorders>
          </w:tcPr>
          <w:p w14:paraId="44713762" w14:textId="39D07752" w:rsidR="00F91078" w:rsidRPr="008E424E" w:rsidRDefault="00845793" w:rsidP="00F91078">
            <w:pPr>
              <w:jc w:val="right"/>
            </w:pPr>
            <w:r>
              <w:t>710</w:t>
            </w:r>
          </w:p>
        </w:tc>
        <w:tc>
          <w:tcPr>
            <w:tcW w:w="880" w:type="pct"/>
            <w:tcBorders>
              <w:top w:val="single" w:sz="4" w:space="0" w:color="auto"/>
              <w:bottom w:val="single" w:sz="4" w:space="0" w:color="auto"/>
            </w:tcBorders>
          </w:tcPr>
          <w:p w14:paraId="7586D768" w14:textId="4BF4F130" w:rsidR="00F91078" w:rsidRPr="005A7070" w:rsidRDefault="008F3ABE" w:rsidP="00F91078">
            <w:pPr>
              <w:jc w:val="right"/>
            </w:pPr>
            <w:r>
              <w:t>2,636</w:t>
            </w:r>
          </w:p>
        </w:tc>
        <w:tc>
          <w:tcPr>
            <w:tcW w:w="881" w:type="pct"/>
            <w:tcBorders>
              <w:top w:val="single" w:sz="4" w:space="0" w:color="auto"/>
              <w:bottom w:val="single" w:sz="4" w:space="0" w:color="auto"/>
            </w:tcBorders>
          </w:tcPr>
          <w:p w14:paraId="466676F4" w14:textId="0D7E66CC" w:rsidR="00F91078" w:rsidRPr="008E424E" w:rsidRDefault="00F91078" w:rsidP="00F91078">
            <w:pPr>
              <w:jc w:val="right"/>
            </w:pPr>
            <w:r w:rsidRPr="005A7070">
              <w:t>N/A</w:t>
            </w:r>
          </w:p>
        </w:tc>
        <w:tc>
          <w:tcPr>
            <w:tcW w:w="878" w:type="pct"/>
            <w:tcBorders>
              <w:top w:val="single" w:sz="4" w:space="0" w:color="auto"/>
              <w:bottom w:val="single" w:sz="4" w:space="0" w:color="auto"/>
            </w:tcBorders>
          </w:tcPr>
          <w:p w14:paraId="63EE4C00" w14:textId="453A6A10" w:rsidR="00F91078" w:rsidRPr="008E424E" w:rsidRDefault="00F91078" w:rsidP="00F91078">
            <w:pPr>
              <w:jc w:val="right"/>
            </w:pPr>
            <w:r w:rsidRPr="005A7070">
              <w:t>N/A</w:t>
            </w:r>
          </w:p>
        </w:tc>
      </w:tr>
      <w:tr w:rsidR="00F91078" w:rsidRPr="000E7EED" w14:paraId="50872415" w14:textId="77777777" w:rsidTr="003F26A1">
        <w:tc>
          <w:tcPr>
            <w:tcW w:w="800" w:type="pct"/>
            <w:tcBorders>
              <w:top w:val="single" w:sz="4" w:space="0" w:color="auto"/>
              <w:bottom w:val="single" w:sz="4" w:space="0" w:color="auto"/>
            </w:tcBorders>
            <w:shd w:val="clear" w:color="auto" w:fill="D9D9D9" w:themeFill="background1" w:themeFillShade="D9"/>
          </w:tcPr>
          <w:p w14:paraId="7120B54E" w14:textId="6D03CC5D" w:rsidR="00F91078" w:rsidRPr="000E7EED" w:rsidRDefault="00F91078" w:rsidP="00F91078">
            <w:pPr>
              <w:rPr>
                <w:b/>
                <w:color w:val="000000" w:themeColor="text1"/>
              </w:rPr>
            </w:pPr>
            <w:r w:rsidRPr="000E7EED">
              <w:rPr>
                <w:b/>
                <w:color w:val="000000" w:themeColor="text1"/>
              </w:rPr>
              <w:t>Total expenditure</w:t>
            </w:r>
            <w:r w:rsidR="000E79DC">
              <w:rPr>
                <w:b/>
                <w:color w:val="000000" w:themeColor="text1"/>
              </w:rPr>
              <w:t xml:space="preserve"> (Excluding COVID and Bushfire)</w:t>
            </w:r>
          </w:p>
        </w:tc>
        <w:tc>
          <w:tcPr>
            <w:tcW w:w="781" w:type="pct"/>
            <w:tcBorders>
              <w:top w:val="single" w:sz="4" w:space="0" w:color="auto"/>
              <w:bottom w:val="single" w:sz="4" w:space="0" w:color="auto"/>
            </w:tcBorders>
            <w:shd w:val="clear" w:color="auto" w:fill="D9D9D9" w:themeFill="background1" w:themeFillShade="D9"/>
          </w:tcPr>
          <w:p w14:paraId="0ED87789" w14:textId="45C402D9" w:rsidR="00F91078" w:rsidRPr="00894561" w:rsidRDefault="00F91078" w:rsidP="00F91078">
            <w:pPr>
              <w:jc w:val="right"/>
              <w:rPr>
                <w:b/>
                <w:bCs/>
              </w:rPr>
            </w:pPr>
            <w:r>
              <w:rPr>
                <w:b/>
                <w:bCs/>
              </w:rPr>
              <w:t>6</w:t>
            </w:r>
            <w:r w:rsidR="00494610">
              <w:rPr>
                <w:b/>
                <w:bCs/>
              </w:rPr>
              <w:t>1,714</w:t>
            </w:r>
          </w:p>
        </w:tc>
        <w:tc>
          <w:tcPr>
            <w:tcW w:w="781" w:type="pct"/>
            <w:tcBorders>
              <w:top w:val="single" w:sz="4" w:space="0" w:color="auto"/>
              <w:bottom w:val="single" w:sz="4" w:space="0" w:color="auto"/>
            </w:tcBorders>
            <w:shd w:val="clear" w:color="auto" w:fill="D9D9D9" w:themeFill="background1" w:themeFillShade="D9"/>
          </w:tcPr>
          <w:p w14:paraId="216E8289" w14:textId="0BAE0A70" w:rsidR="00F91078" w:rsidRPr="00894561" w:rsidRDefault="00F91078" w:rsidP="00F91078">
            <w:pPr>
              <w:jc w:val="right"/>
              <w:rPr>
                <w:b/>
                <w:bCs/>
              </w:rPr>
            </w:pPr>
            <w:r>
              <w:rPr>
                <w:b/>
                <w:bCs/>
              </w:rPr>
              <w:t>57,</w:t>
            </w:r>
            <w:r w:rsidR="00845793">
              <w:rPr>
                <w:b/>
                <w:bCs/>
              </w:rPr>
              <w:t>969</w:t>
            </w:r>
          </w:p>
        </w:tc>
        <w:tc>
          <w:tcPr>
            <w:tcW w:w="880" w:type="pct"/>
            <w:tcBorders>
              <w:top w:val="single" w:sz="4" w:space="0" w:color="auto"/>
              <w:bottom w:val="single" w:sz="4" w:space="0" w:color="auto"/>
            </w:tcBorders>
            <w:shd w:val="clear" w:color="auto" w:fill="D9D9D9" w:themeFill="background1" w:themeFillShade="D9"/>
          </w:tcPr>
          <w:p w14:paraId="00293192" w14:textId="56DFA33F" w:rsidR="00F91078" w:rsidRPr="003F26A1" w:rsidRDefault="002044B7" w:rsidP="00F91078">
            <w:pPr>
              <w:jc w:val="right"/>
              <w:rPr>
                <w:b/>
                <w:bCs/>
              </w:rPr>
            </w:pPr>
            <w:r>
              <w:rPr>
                <w:b/>
                <w:bCs/>
              </w:rPr>
              <w:t>242,252</w:t>
            </w:r>
          </w:p>
        </w:tc>
        <w:tc>
          <w:tcPr>
            <w:tcW w:w="881" w:type="pct"/>
            <w:tcBorders>
              <w:top w:val="single" w:sz="4" w:space="0" w:color="auto"/>
              <w:bottom w:val="single" w:sz="4" w:space="0" w:color="auto"/>
            </w:tcBorders>
            <w:shd w:val="clear" w:color="auto" w:fill="D9D9D9" w:themeFill="background1" w:themeFillShade="D9"/>
          </w:tcPr>
          <w:p w14:paraId="27928B5A" w14:textId="2ED328BB" w:rsidR="00F91078" w:rsidRPr="00894561" w:rsidRDefault="00F91078" w:rsidP="00F91078">
            <w:pPr>
              <w:jc w:val="right"/>
              <w:rPr>
                <w:b/>
                <w:bCs/>
              </w:rPr>
            </w:pPr>
            <w:r w:rsidRPr="005A7070">
              <w:t>N/A</w:t>
            </w:r>
          </w:p>
        </w:tc>
        <w:tc>
          <w:tcPr>
            <w:tcW w:w="878" w:type="pct"/>
            <w:tcBorders>
              <w:top w:val="single" w:sz="4" w:space="0" w:color="auto"/>
              <w:bottom w:val="single" w:sz="4" w:space="0" w:color="auto"/>
            </w:tcBorders>
            <w:shd w:val="clear" w:color="auto" w:fill="D9D9D9" w:themeFill="background1" w:themeFillShade="D9"/>
          </w:tcPr>
          <w:p w14:paraId="3BF8BD68" w14:textId="75CE50B1" w:rsidR="00F91078" w:rsidRPr="00894561" w:rsidRDefault="00F91078" w:rsidP="00F91078">
            <w:pPr>
              <w:jc w:val="right"/>
              <w:rPr>
                <w:b/>
                <w:bCs/>
              </w:rPr>
            </w:pPr>
            <w:r w:rsidRPr="005A7070">
              <w:t>N/A</w:t>
            </w:r>
          </w:p>
        </w:tc>
      </w:tr>
      <w:tr w:rsidR="00F91078" w:rsidRPr="000E7EED" w14:paraId="130AFAC1" w14:textId="77777777" w:rsidTr="003F26A1">
        <w:tc>
          <w:tcPr>
            <w:tcW w:w="800" w:type="pct"/>
            <w:tcBorders>
              <w:top w:val="single" w:sz="4" w:space="0" w:color="auto"/>
              <w:bottom w:val="single" w:sz="4" w:space="0" w:color="auto"/>
            </w:tcBorders>
            <w:shd w:val="clear" w:color="auto" w:fill="auto"/>
          </w:tcPr>
          <w:p w14:paraId="5D4D3298" w14:textId="06502188" w:rsidR="00F91078" w:rsidRPr="00E5707B" w:rsidRDefault="00F91078" w:rsidP="00F91078">
            <w:pPr>
              <w:rPr>
                <w:b/>
                <w:color w:val="000000" w:themeColor="text1"/>
              </w:rPr>
            </w:pPr>
            <w:r>
              <w:rPr>
                <w:bCs/>
                <w:color w:val="000000" w:themeColor="text1"/>
              </w:rPr>
              <w:t>COVID and Bushfire Emergency</w:t>
            </w:r>
          </w:p>
        </w:tc>
        <w:tc>
          <w:tcPr>
            <w:tcW w:w="781" w:type="pct"/>
            <w:tcBorders>
              <w:top w:val="single" w:sz="4" w:space="0" w:color="auto"/>
              <w:bottom w:val="single" w:sz="4" w:space="0" w:color="auto"/>
            </w:tcBorders>
            <w:shd w:val="clear" w:color="auto" w:fill="auto"/>
          </w:tcPr>
          <w:p w14:paraId="759ACDAD" w14:textId="4B230A2A" w:rsidR="00F91078" w:rsidRPr="00C97F8C" w:rsidRDefault="00F91078" w:rsidP="00F91078">
            <w:pPr>
              <w:jc w:val="right"/>
              <w:rPr>
                <w:b/>
                <w:bCs/>
              </w:rPr>
            </w:pPr>
            <w:r>
              <w:t>0</w:t>
            </w:r>
          </w:p>
        </w:tc>
        <w:tc>
          <w:tcPr>
            <w:tcW w:w="781" w:type="pct"/>
            <w:tcBorders>
              <w:top w:val="single" w:sz="4" w:space="0" w:color="auto"/>
              <w:bottom w:val="single" w:sz="4" w:space="0" w:color="auto"/>
            </w:tcBorders>
            <w:shd w:val="clear" w:color="auto" w:fill="auto"/>
          </w:tcPr>
          <w:p w14:paraId="4ED16B98" w14:textId="1F09E234" w:rsidR="00F91078" w:rsidRPr="00C97F8C" w:rsidRDefault="00F91078" w:rsidP="00F91078">
            <w:pPr>
              <w:jc w:val="right"/>
              <w:rPr>
                <w:b/>
                <w:bCs/>
              </w:rPr>
            </w:pPr>
            <w:r>
              <w:t>8,353</w:t>
            </w:r>
          </w:p>
        </w:tc>
        <w:tc>
          <w:tcPr>
            <w:tcW w:w="880" w:type="pct"/>
            <w:tcBorders>
              <w:top w:val="single" w:sz="4" w:space="0" w:color="auto"/>
              <w:bottom w:val="single" w:sz="4" w:space="0" w:color="auto"/>
            </w:tcBorders>
            <w:shd w:val="clear" w:color="auto" w:fill="auto"/>
          </w:tcPr>
          <w:p w14:paraId="4CD428FF" w14:textId="39B727E9" w:rsidR="00F91078" w:rsidRPr="005A7070" w:rsidRDefault="001B0F4B" w:rsidP="00F91078">
            <w:pPr>
              <w:jc w:val="right"/>
            </w:pPr>
            <w:r>
              <w:t>8,353</w:t>
            </w:r>
          </w:p>
        </w:tc>
        <w:tc>
          <w:tcPr>
            <w:tcW w:w="881" w:type="pct"/>
            <w:tcBorders>
              <w:top w:val="single" w:sz="4" w:space="0" w:color="auto"/>
              <w:bottom w:val="single" w:sz="4" w:space="0" w:color="auto"/>
            </w:tcBorders>
            <w:shd w:val="clear" w:color="auto" w:fill="auto"/>
          </w:tcPr>
          <w:p w14:paraId="531988E6" w14:textId="06FA9070" w:rsidR="00F91078" w:rsidRPr="00DA1B6B" w:rsidRDefault="00F91078" w:rsidP="00F91078">
            <w:pPr>
              <w:jc w:val="right"/>
            </w:pPr>
            <w:r w:rsidRPr="005A7070">
              <w:t>N/A</w:t>
            </w:r>
          </w:p>
        </w:tc>
        <w:tc>
          <w:tcPr>
            <w:tcW w:w="878" w:type="pct"/>
            <w:tcBorders>
              <w:top w:val="single" w:sz="4" w:space="0" w:color="auto"/>
              <w:bottom w:val="single" w:sz="4" w:space="0" w:color="auto"/>
            </w:tcBorders>
            <w:shd w:val="clear" w:color="auto" w:fill="auto"/>
          </w:tcPr>
          <w:p w14:paraId="15A5C1DD" w14:textId="3CAF33C2" w:rsidR="00F91078" w:rsidRPr="00DA1B6B" w:rsidRDefault="00F91078" w:rsidP="00F91078">
            <w:pPr>
              <w:jc w:val="right"/>
            </w:pPr>
            <w:r w:rsidRPr="005A7070">
              <w:t>N/A</w:t>
            </w:r>
          </w:p>
        </w:tc>
      </w:tr>
      <w:tr w:rsidR="00F91078" w:rsidRPr="000E7EED" w14:paraId="1CE8541B" w14:textId="77777777" w:rsidTr="003F26A1">
        <w:tc>
          <w:tcPr>
            <w:tcW w:w="800" w:type="pct"/>
            <w:tcBorders>
              <w:top w:val="single" w:sz="4" w:space="0" w:color="auto"/>
              <w:bottom w:val="single" w:sz="4" w:space="0" w:color="auto"/>
            </w:tcBorders>
            <w:shd w:val="clear" w:color="auto" w:fill="D9D9D9" w:themeFill="background1" w:themeFillShade="D9"/>
          </w:tcPr>
          <w:p w14:paraId="18FB2D06" w14:textId="1EACFAC2" w:rsidR="00F91078" w:rsidRPr="00E5707B" w:rsidRDefault="00F91078" w:rsidP="00F91078">
            <w:pPr>
              <w:rPr>
                <w:b/>
                <w:color w:val="000000" w:themeColor="text1"/>
              </w:rPr>
            </w:pPr>
            <w:r w:rsidRPr="00E5707B">
              <w:rPr>
                <w:b/>
                <w:color w:val="000000" w:themeColor="text1"/>
              </w:rPr>
              <w:t>Total Expenditure</w:t>
            </w:r>
          </w:p>
        </w:tc>
        <w:tc>
          <w:tcPr>
            <w:tcW w:w="781" w:type="pct"/>
            <w:tcBorders>
              <w:top w:val="single" w:sz="4" w:space="0" w:color="auto"/>
              <w:bottom w:val="single" w:sz="4" w:space="0" w:color="auto"/>
            </w:tcBorders>
            <w:shd w:val="clear" w:color="auto" w:fill="D9D9D9" w:themeFill="background1" w:themeFillShade="D9"/>
          </w:tcPr>
          <w:p w14:paraId="76FB0562" w14:textId="468D29ED" w:rsidR="00F91078" w:rsidRPr="00C97F8C" w:rsidRDefault="00F91078" w:rsidP="00F91078">
            <w:pPr>
              <w:jc w:val="right"/>
              <w:rPr>
                <w:b/>
                <w:bCs/>
              </w:rPr>
            </w:pPr>
            <w:r>
              <w:rPr>
                <w:b/>
                <w:bCs/>
              </w:rPr>
              <w:t>61,714</w:t>
            </w:r>
          </w:p>
        </w:tc>
        <w:tc>
          <w:tcPr>
            <w:tcW w:w="781" w:type="pct"/>
            <w:tcBorders>
              <w:top w:val="single" w:sz="4" w:space="0" w:color="auto"/>
              <w:bottom w:val="single" w:sz="4" w:space="0" w:color="auto"/>
            </w:tcBorders>
            <w:shd w:val="clear" w:color="auto" w:fill="D9D9D9" w:themeFill="background1" w:themeFillShade="D9"/>
          </w:tcPr>
          <w:p w14:paraId="170A8860" w14:textId="2861677B" w:rsidR="00F91078" w:rsidRPr="00C97F8C" w:rsidRDefault="00F91078" w:rsidP="00F91078">
            <w:pPr>
              <w:jc w:val="right"/>
              <w:rPr>
                <w:b/>
                <w:bCs/>
              </w:rPr>
            </w:pPr>
            <w:r>
              <w:rPr>
                <w:b/>
                <w:bCs/>
              </w:rPr>
              <w:t>66,</w:t>
            </w:r>
            <w:r w:rsidR="00845793">
              <w:rPr>
                <w:b/>
                <w:bCs/>
              </w:rPr>
              <w:t>322</w:t>
            </w:r>
          </w:p>
        </w:tc>
        <w:tc>
          <w:tcPr>
            <w:tcW w:w="880" w:type="pct"/>
            <w:tcBorders>
              <w:top w:val="single" w:sz="4" w:space="0" w:color="auto"/>
              <w:bottom w:val="single" w:sz="4" w:space="0" w:color="auto"/>
            </w:tcBorders>
            <w:shd w:val="clear" w:color="auto" w:fill="D9D9D9" w:themeFill="background1" w:themeFillShade="D9"/>
          </w:tcPr>
          <w:p w14:paraId="74AE59C2" w14:textId="059AFF22" w:rsidR="00F91078" w:rsidRPr="003F26A1" w:rsidRDefault="001B0F4B" w:rsidP="00F91078">
            <w:pPr>
              <w:jc w:val="right"/>
              <w:rPr>
                <w:b/>
                <w:bCs/>
              </w:rPr>
            </w:pPr>
            <w:r>
              <w:rPr>
                <w:b/>
                <w:bCs/>
              </w:rPr>
              <w:t>25</w:t>
            </w:r>
            <w:r w:rsidR="000672A7">
              <w:rPr>
                <w:b/>
                <w:bCs/>
              </w:rPr>
              <w:t>0,605</w:t>
            </w:r>
          </w:p>
        </w:tc>
        <w:tc>
          <w:tcPr>
            <w:tcW w:w="881" w:type="pct"/>
            <w:tcBorders>
              <w:top w:val="single" w:sz="4" w:space="0" w:color="auto"/>
              <w:bottom w:val="single" w:sz="4" w:space="0" w:color="auto"/>
            </w:tcBorders>
            <w:shd w:val="clear" w:color="auto" w:fill="D9D9D9" w:themeFill="background1" w:themeFillShade="D9"/>
          </w:tcPr>
          <w:p w14:paraId="0A1E8373" w14:textId="3BCB9088" w:rsidR="00F91078" w:rsidRPr="00894561" w:rsidRDefault="00F91078" w:rsidP="00F91078">
            <w:pPr>
              <w:jc w:val="right"/>
              <w:rPr>
                <w:b/>
                <w:bCs/>
              </w:rPr>
            </w:pPr>
            <w:r w:rsidRPr="005A7070">
              <w:t>N/A</w:t>
            </w:r>
          </w:p>
        </w:tc>
        <w:tc>
          <w:tcPr>
            <w:tcW w:w="878" w:type="pct"/>
            <w:tcBorders>
              <w:top w:val="single" w:sz="4" w:space="0" w:color="auto"/>
              <w:bottom w:val="single" w:sz="4" w:space="0" w:color="auto"/>
            </w:tcBorders>
            <w:shd w:val="clear" w:color="auto" w:fill="D9D9D9" w:themeFill="background1" w:themeFillShade="D9"/>
          </w:tcPr>
          <w:p w14:paraId="4FA58B93" w14:textId="0B7489C0" w:rsidR="00F91078" w:rsidRPr="00894561" w:rsidRDefault="00F91078" w:rsidP="00F91078">
            <w:pPr>
              <w:jc w:val="right"/>
              <w:rPr>
                <w:b/>
                <w:bCs/>
              </w:rPr>
            </w:pPr>
            <w:r w:rsidRPr="005A7070">
              <w:t>N/A</w:t>
            </w:r>
          </w:p>
        </w:tc>
      </w:tr>
      <w:bookmarkEnd w:id="3"/>
      <w:bookmarkEnd w:id="4"/>
      <w:bookmarkEnd w:id="6"/>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5"/>
      <w:headerReference w:type="default" r:id="rId16"/>
      <w:footerReference w:type="even" r:id="rId17"/>
      <w:footerReference w:type="default" r:id="rId18"/>
      <w:headerReference w:type="first" r:id="rId19"/>
      <w:footerReference w:type="first" r:id="rId20"/>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C1382" w14:textId="77777777" w:rsidR="00D93CC4" w:rsidRDefault="00D93CC4">
      <w:pPr>
        <w:spacing w:after="0" w:line="240" w:lineRule="auto"/>
      </w:pPr>
      <w:r>
        <w:separator/>
      </w:r>
    </w:p>
  </w:endnote>
  <w:endnote w:type="continuationSeparator" w:id="0">
    <w:p w14:paraId="61541F80" w14:textId="77777777" w:rsidR="00D93CC4" w:rsidRDefault="00D93CC4">
      <w:pPr>
        <w:spacing w:after="0" w:line="240" w:lineRule="auto"/>
      </w:pPr>
      <w:r>
        <w:continuationSeparator/>
      </w:r>
    </w:p>
  </w:endnote>
  <w:endnote w:type="continuationNotice" w:id="1">
    <w:p w14:paraId="6020C027" w14:textId="77777777" w:rsidR="00D93CC4" w:rsidRDefault="00D93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EDAF9"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035B0B"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84D98" w14:textId="77777777" w:rsidR="00D93CC4" w:rsidRDefault="00D93CC4">
      <w:pPr>
        <w:spacing w:after="0" w:line="240" w:lineRule="auto"/>
      </w:pPr>
      <w:r>
        <w:separator/>
      </w:r>
    </w:p>
  </w:footnote>
  <w:footnote w:type="continuationSeparator" w:id="0">
    <w:p w14:paraId="017733F1" w14:textId="77777777" w:rsidR="00D93CC4" w:rsidRDefault="00D93CC4">
      <w:pPr>
        <w:spacing w:after="0" w:line="240" w:lineRule="auto"/>
      </w:pPr>
      <w:r>
        <w:continuationSeparator/>
      </w:r>
    </w:p>
  </w:footnote>
  <w:footnote w:type="continuationNotice" w:id="1">
    <w:p w14:paraId="6C2557B6" w14:textId="77777777" w:rsidR="00D93CC4" w:rsidRDefault="00D93CC4">
      <w:pPr>
        <w:spacing w:after="0" w:line="240" w:lineRule="auto"/>
      </w:pPr>
    </w:p>
  </w:footnote>
  <w:footnote w:id="2">
    <w:p w14:paraId="393D1CF4" w14:textId="77777777" w:rsidR="0095574A" w:rsidRDefault="0095574A"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609A9D3C"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A58C3"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 xml:space="preserve">2019–2020 quarter </w:t>
    </w:r>
    <w:r w:rsidR="00946883">
      <w:rPr>
        <w:rFonts w:ascii="Arial Bold" w:hAnsi="Arial Bold" w:cs="Arial"/>
        <w:b/>
        <w:color w:val="B1005D"/>
        <w:sz w:val="18"/>
        <w:szCs w:val="18"/>
      </w:rPr>
      <w:t>four</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5"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9"/>
  </w:num>
  <w:num w:numId="4">
    <w:abstractNumId w:val="11"/>
  </w:num>
  <w:num w:numId="5">
    <w:abstractNumId w:val="7"/>
  </w:num>
  <w:num w:numId="6">
    <w:abstractNumId w:val="21"/>
  </w:num>
  <w:num w:numId="7">
    <w:abstractNumId w:val="6"/>
  </w:num>
  <w:num w:numId="8">
    <w:abstractNumId w:val="21"/>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19"/>
  </w:num>
  <w:num w:numId="23">
    <w:abstractNumId w:val="19"/>
  </w:num>
  <w:num w:numId="24">
    <w:abstractNumId w:val="12"/>
  </w:num>
  <w:num w:numId="25">
    <w:abstractNumId w:val="23"/>
  </w:num>
  <w:num w:numId="26">
    <w:abstractNumId w:val="16"/>
  </w:num>
  <w:num w:numId="27">
    <w:abstractNumId w:val="20"/>
  </w:num>
  <w:num w:numId="28">
    <w:abstractNumId w:val="24"/>
  </w:num>
  <w:num w:numId="29">
    <w:abstractNumId w:val="18"/>
  </w:num>
  <w:num w:numId="30">
    <w:abstractNumId w:val="10"/>
  </w:num>
  <w:num w:numId="31">
    <w:abstractNumId w:val="14"/>
  </w:num>
  <w:num w:numId="32">
    <w:abstractNumId w:val="22"/>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AA9"/>
    <w:rsid w:val="000027B7"/>
    <w:rsid w:val="000036A6"/>
    <w:rsid w:val="0000378A"/>
    <w:rsid w:val="00004CE9"/>
    <w:rsid w:val="00004D17"/>
    <w:rsid w:val="00004F3D"/>
    <w:rsid w:val="000055D7"/>
    <w:rsid w:val="00005D79"/>
    <w:rsid w:val="00006274"/>
    <w:rsid w:val="000063FE"/>
    <w:rsid w:val="00006CCF"/>
    <w:rsid w:val="00010B52"/>
    <w:rsid w:val="000141D8"/>
    <w:rsid w:val="0001721A"/>
    <w:rsid w:val="00017518"/>
    <w:rsid w:val="000175F6"/>
    <w:rsid w:val="00017EC1"/>
    <w:rsid w:val="00020994"/>
    <w:rsid w:val="00021293"/>
    <w:rsid w:val="0002304F"/>
    <w:rsid w:val="00023379"/>
    <w:rsid w:val="000236FD"/>
    <w:rsid w:val="00024FD4"/>
    <w:rsid w:val="00025EB0"/>
    <w:rsid w:val="0002736E"/>
    <w:rsid w:val="00027BEB"/>
    <w:rsid w:val="00033B72"/>
    <w:rsid w:val="00034264"/>
    <w:rsid w:val="0003486A"/>
    <w:rsid w:val="00036024"/>
    <w:rsid w:val="000401FE"/>
    <w:rsid w:val="000410CD"/>
    <w:rsid w:val="00043D3D"/>
    <w:rsid w:val="00045B31"/>
    <w:rsid w:val="00045D7C"/>
    <w:rsid w:val="000464B3"/>
    <w:rsid w:val="00046677"/>
    <w:rsid w:val="00050188"/>
    <w:rsid w:val="00053FE2"/>
    <w:rsid w:val="00055CFB"/>
    <w:rsid w:val="00055DBF"/>
    <w:rsid w:val="00056A93"/>
    <w:rsid w:val="0006012E"/>
    <w:rsid w:val="000605FF"/>
    <w:rsid w:val="00060C67"/>
    <w:rsid w:val="000631DD"/>
    <w:rsid w:val="00063EF9"/>
    <w:rsid w:val="00065A6F"/>
    <w:rsid w:val="000660BF"/>
    <w:rsid w:val="000672A7"/>
    <w:rsid w:val="000679DF"/>
    <w:rsid w:val="00067EE4"/>
    <w:rsid w:val="000731E7"/>
    <w:rsid w:val="00073503"/>
    <w:rsid w:val="000776A9"/>
    <w:rsid w:val="00081319"/>
    <w:rsid w:val="0008244C"/>
    <w:rsid w:val="00082BB4"/>
    <w:rsid w:val="00082E40"/>
    <w:rsid w:val="00084405"/>
    <w:rsid w:val="00087B2F"/>
    <w:rsid w:val="0009039D"/>
    <w:rsid w:val="00096D8A"/>
    <w:rsid w:val="000A020B"/>
    <w:rsid w:val="000A0339"/>
    <w:rsid w:val="000A0349"/>
    <w:rsid w:val="000A0A68"/>
    <w:rsid w:val="000A2081"/>
    <w:rsid w:val="000A28EE"/>
    <w:rsid w:val="000A2FBE"/>
    <w:rsid w:val="000A3C2D"/>
    <w:rsid w:val="000A4EA9"/>
    <w:rsid w:val="000A68E1"/>
    <w:rsid w:val="000A6EDC"/>
    <w:rsid w:val="000A7E07"/>
    <w:rsid w:val="000B1465"/>
    <w:rsid w:val="000B185D"/>
    <w:rsid w:val="000B1E78"/>
    <w:rsid w:val="000B2F09"/>
    <w:rsid w:val="000B2F2F"/>
    <w:rsid w:val="000B40B7"/>
    <w:rsid w:val="000B6313"/>
    <w:rsid w:val="000B6A75"/>
    <w:rsid w:val="000C08C0"/>
    <w:rsid w:val="000C14B8"/>
    <w:rsid w:val="000C19D5"/>
    <w:rsid w:val="000C59E6"/>
    <w:rsid w:val="000C5E2B"/>
    <w:rsid w:val="000C7FB4"/>
    <w:rsid w:val="000D1243"/>
    <w:rsid w:val="000D32DA"/>
    <w:rsid w:val="000D469D"/>
    <w:rsid w:val="000D6156"/>
    <w:rsid w:val="000D61AB"/>
    <w:rsid w:val="000D64E6"/>
    <w:rsid w:val="000E0EF9"/>
    <w:rsid w:val="000E11BA"/>
    <w:rsid w:val="000E3D37"/>
    <w:rsid w:val="000E4249"/>
    <w:rsid w:val="000E5121"/>
    <w:rsid w:val="000E76E4"/>
    <w:rsid w:val="000E7883"/>
    <w:rsid w:val="000E79DC"/>
    <w:rsid w:val="000F0145"/>
    <w:rsid w:val="000F07A7"/>
    <w:rsid w:val="000F2939"/>
    <w:rsid w:val="000F36D8"/>
    <w:rsid w:val="000F45D3"/>
    <w:rsid w:val="000F7D49"/>
    <w:rsid w:val="000F7F7C"/>
    <w:rsid w:val="00100BB7"/>
    <w:rsid w:val="0010438C"/>
    <w:rsid w:val="00111862"/>
    <w:rsid w:val="00112C54"/>
    <w:rsid w:val="00112CA5"/>
    <w:rsid w:val="001202C1"/>
    <w:rsid w:val="00120D4C"/>
    <w:rsid w:val="00123404"/>
    <w:rsid w:val="00123514"/>
    <w:rsid w:val="00125593"/>
    <w:rsid w:val="00135929"/>
    <w:rsid w:val="00135A8A"/>
    <w:rsid w:val="00135AFA"/>
    <w:rsid w:val="00142198"/>
    <w:rsid w:val="001428BB"/>
    <w:rsid w:val="0015159B"/>
    <w:rsid w:val="0015181C"/>
    <w:rsid w:val="0015466E"/>
    <w:rsid w:val="00155264"/>
    <w:rsid w:val="00155A08"/>
    <w:rsid w:val="001575EE"/>
    <w:rsid w:val="00157C3D"/>
    <w:rsid w:val="0016044B"/>
    <w:rsid w:val="0016078D"/>
    <w:rsid w:val="001616E6"/>
    <w:rsid w:val="001624FD"/>
    <w:rsid w:val="00163488"/>
    <w:rsid w:val="001634DE"/>
    <w:rsid w:val="001658A2"/>
    <w:rsid w:val="00166EBD"/>
    <w:rsid w:val="00166FF4"/>
    <w:rsid w:val="00167103"/>
    <w:rsid w:val="00171921"/>
    <w:rsid w:val="00171F24"/>
    <w:rsid w:val="001728AA"/>
    <w:rsid w:val="001741E5"/>
    <w:rsid w:val="00175277"/>
    <w:rsid w:val="001770F6"/>
    <w:rsid w:val="00177331"/>
    <w:rsid w:val="00177814"/>
    <w:rsid w:val="0017798A"/>
    <w:rsid w:val="00181099"/>
    <w:rsid w:val="0018149D"/>
    <w:rsid w:val="00182EF2"/>
    <w:rsid w:val="00185425"/>
    <w:rsid w:val="00190038"/>
    <w:rsid w:val="00190A92"/>
    <w:rsid w:val="00192F61"/>
    <w:rsid w:val="00195BEA"/>
    <w:rsid w:val="001A0D32"/>
    <w:rsid w:val="001A1DBD"/>
    <w:rsid w:val="001A27AB"/>
    <w:rsid w:val="001A7527"/>
    <w:rsid w:val="001A76F6"/>
    <w:rsid w:val="001B0812"/>
    <w:rsid w:val="001B0F4B"/>
    <w:rsid w:val="001B1CE3"/>
    <w:rsid w:val="001B2B1F"/>
    <w:rsid w:val="001B3FB6"/>
    <w:rsid w:val="001B6034"/>
    <w:rsid w:val="001B7F0E"/>
    <w:rsid w:val="001C13AF"/>
    <w:rsid w:val="001C1875"/>
    <w:rsid w:val="001C37F7"/>
    <w:rsid w:val="001C3838"/>
    <w:rsid w:val="001C7169"/>
    <w:rsid w:val="001C7CB5"/>
    <w:rsid w:val="001D18F4"/>
    <w:rsid w:val="001E1C65"/>
    <w:rsid w:val="001E1EB8"/>
    <w:rsid w:val="001E2009"/>
    <w:rsid w:val="001E3A98"/>
    <w:rsid w:val="001E4157"/>
    <w:rsid w:val="001E705F"/>
    <w:rsid w:val="001E7B75"/>
    <w:rsid w:val="001F0CF5"/>
    <w:rsid w:val="001F1CD9"/>
    <w:rsid w:val="001F30AB"/>
    <w:rsid w:val="001F3E36"/>
    <w:rsid w:val="001F44EE"/>
    <w:rsid w:val="001F5011"/>
    <w:rsid w:val="001F5598"/>
    <w:rsid w:val="001F73D2"/>
    <w:rsid w:val="002002A6"/>
    <w:rsid w:val="00200366"/>
    <w:rsid w:val="00200CDD"/>
    <w:rsid w:val="002024CA"/>
    <w:rsid w:val="0020340C"/>
    <w:rsid w:val="002044B7"/>
    <w:rsid w:val="00204ABA"/>
    <w:rsid w:val="00204CCE"/>
    <w:rsid w:val="00207C62"/>
    <w:rsid w:val="002101E6"/>
    <w:rsid w:val="00212C25"/>
    <w:rsid w:val="00213A3C"/>
    <w:rsid w:val="002141AC"/>
    <w:rsid w:val="002143D0"/>
    <w:rsid w:val="00215D0D"/>
    <w:rsid w:val="00220889"/>
    <w:rsid w:val="0022503C"/>
    <w:rsid w:val="00225EEA"/>
    <w:rsid w:val="002310BB"/>
    <w:rsid w:val="00231769"/>
    <w:rsid w:val="00231AA1"/>
    <w:rsid w:val="00232748"/>
    <w:rsid w:val="00232963"/>
    <w:rsid w:val="00235197"/>
    <w:rsid w:val="002351A0"/>
    <w:rsid w:val="00235822"/>
    <w:rsid w:val="00236475"/>
    <w:rsid w:val="00237B26"/>
    <w:rsid w:val="00241319"/>
    <w:rsid w:val="002439F5"/>
    <w:rsid w:val="00244E32"/>
    <w:rsid w:val="00245207"/>
    <w:rsid w:val="00246649"/>
    <w:rsid w:val="00246DAF"/>
    <w:rsid w:val="002513FF"/>
    <w:rsid w:val="00251FD0"/>
    <w:rsid w:val="002538F1"/>
    <w:rsid w:val="00255BCF"/>
    <w:rsid w:val="002571EE"/>
    <w:rsid w:val="00257CAE"/>
    <w:rsid w:val="0027091D"/>
    <w:rsid w:val="0027473D"/>
    <w:rsid w:val="00276463"/>
    <w:rsid w:val="00283968"/>
    <w:rsid w:val="0028479C"/>
    <w:rsid w:val="00287D90"/>
    <w:rsid w:val="002915FB"/>
    <w:rsid w:val="00291777"/>
    <w:rsid w:val="00294D79"/>
    <w:rsid w:val="002A4595"/>
    <w:rsid w:val="002A4D73"/>
    <w:rsid w:val="002A713F"/>
    <w:rsid w:val="002A7FC0"/>
    <w:rsid w:val="002B0B94"/>
    <w:rsid w:val="002B1A23"/>
    <w:rsid w:val="002B4CD2"/>
    <w:rsid w:val="002B575F"/>
    <w:rsid w:val="002B5877"/>
    <w:rsid w:val="002B59EC"/>
    <w:rsid w:val="002B63DF"/>
    <w:rsid w:val="002B7915"/>
    <w:rsid w:val="002B7D3F"/>
    <w:rsid w:val="002C0C17"/>
    <w:rsid w:val="002C1325"/>
    <w:rsid w:val="002C1C38"/>
    <w:rsid w:val="002C3253"/>
    <w:rsid w:val="002C4C15"/>
    <w:rsid w:val="002C4EF6"/>
    <w:rsid w:val="002C5A71"/>
    <w:rsid w:val="002C60D8"/>
    <w:rsid w:val="002C7FCF"/>
    <w:rsid w:val="002D1206"/>
    <w:rsid w:val="002D1528"/>
    <w:rsid w:val="002D1A7F"/>
    <w:rsid w:val="002D2718"/>
    <w:rsid w:val="002D29D0"/>
    <w:rsid w:val="002D32FD"/>
    <w:rsid w:val="002D3848"/>
    <w:rsid w:val="002D5177"/>
    <w:rsid w:val="002E042D"/>
    <w:rsid w:val="002E3ECB"/>
    <w:rsid w:val="002E47E3"/>
    <w:rsid w:val="002E65E7"/>
    <w:rsid w:val="002E6C79"/>
    <w:rsid w:val="002E73F7"/>
    <w:rsid w:val="002F09CB"/>
    <w:rsid w:val="002F1296"/>
    <w:rsid w:val="002F1BF5"/>
    <w:rsid w:val="002F2D0D"/>
    <w:rsid w:val="002F2EE9"/>
    <w:rsid w:val="002F5880"/>
    <w:rsid w:val="002F6F44"/>
    <w:rsid w:val="00300639"/>
    <w:rsid w:val="0030160F"/>
    <w:rsid w:val="0030167A"/>
    <w:rsid w:val="003020FD"/>
    <w:rsid w:val="00304024"/>
    <w:rsid w:val="0030444E"/>
    <w:rsid w:val="00305DA2"/>
    <w:rsid w:val="00310C74"/>
    <w:rsid w:val="0031392C"/>
    <w:rsid w:val="0031443C"/>
    <w:rsid w:val="00316C23"/>
    <w:rsid w:val="0032193B"/>
    <w:rsid w:val="00321E12"/>
    <w:rsid w:val="00322A9C"/>
    <w:rsid w:val="00323AF3"/>
    <w:rsid w:val="0032480C"/>
    <w:rsid w:val="00324C66"/>
    <w:rsid w:val="00324F76"/>
    <w:rsid w:val="00325290"/>
    <w:rsid w:val="003252CE"/>
    <w:rsid w:val="00326DF4"/>
    <w:rsid w:val="00327F07"/>
    <w:rsid w:val="0032A553"/>
    <w:rsid w:val="00332C80"/>
    <w:rsid w:val="00334E27"/>
    <w:rsid w:val="00336372"/>
    <w:rsid w:val="0034059D"/>
    <w:rsid w:val="00341D74"/>
    <w:rsid w:val="00342B2F"/>
    <w:rsid w:val="00343B76"/>
    <w:rsid w:val="003459DF"/>
    <w:rsid w:val="0034756C"/>
    <w:rsid w:val="00347A34"/>
    <w:rsid w:val="003501C7"/>
    <w:rsid w:val="003509A2"/>
    <w:rsid w:val="0035357E"/>
    <w:rsid w:val="00353F15"/>
    <w:rsid w:val="003551D9"/>
    <w:rsid w:val="00355319"/>
    <w:rsid w:val="00355D8F"/>
    <w:rsid w:val="00355F8B"/>
    <w:rsid w:val="00356572"/>
    <w:rsid w:val="00356953"/>
    <w:rsid w:val="00357A25"/>
    <w:rsid w:val="00360731"/>
    <w:rsid w:val="00364F03"/>
    <w:rsid w:val="003664EB"/>
    <w:rsid w:val="00371C8A"/>
    <w:rsid w:val="0037231C"/>
    <w:rsid w:val="00373791"/>
    <w:rsid w:val="00374835"/>
    <w:rsid w:val="00376E6F"/>
    <w:rsid w:val="00385D2C"/>
    <w:rsid w:val="0039260E"/>
    <w:rsid w:val="00395989"/>
    <w:rsid w:val="00396011"/>
    <w:rsid w:val="00396280"/>
    <w:rsid w:val="00396DB5"/>
    <w:rsid w:val="003A1249"/>
    <w:rsid w:val="003A1661"/>
    <w:rsid w:val="003A4647"/>
    <w:rsid w:val="003A5C29"/>
    <w:rsid w:val="003B0DC7"/>
    <w:rsid w:val="003B33FB"/>
    <w:rsid w:val="003B400F"/>
    <w:rsid w:val="003B530D"/>
    <w:rsid w:val="003B659A"/>
    <w:rsid w:val="003C1576"/>
    <w:rsid w:val="003C1E85"/>
    <w:rsid w:val="003C3902"/>
    <w:rsid w:val="003C394B"/>
    <w:rsid w:val="003D0530"/>
    <w:rsid w:val="003D3F45"/>
    <w:rsid w:val="003D5CB8"/>
    <w:rsid w:val="003D6401"/>
    <w:rsid w:val="003E03D5"/>
    <w:rsid w:val="003E0D64"/>
    <w:rsid w:val="003E2BBD"/>
    <w:rsid w:val="003E39CD"/>
    <w:rsid w:val="003E520F"/>
    <w:rsid w:val="003E6C61"/>
    <w:rsid w:val="003E70AF"/>
    <w:rsid w:val="003F084E"/>
    <w:rsid w:val="003F1000"/>
    <w:rsid w:val="003F240A"/>
    <w:rsid w:val="003F26A1"/>
    <w:rsid w:val="003F37EE"/>
    <w:rsid w:val="003F47FD"/>
    <w:rsid w:val="003F4B0E"/>
    <w:rsid w:val="00402C43"/>
    <w:rsid w:val="0041254B"/>
    <w:rsid w:val="00412C70"/>
    <w:rsid w:val="0041403A"/>
    <w:rsid w:val="004147CD"/>
    <w:rsid w:val="00416290"/>
    <w:rsid w:val="004175B7"/>
    <w:rsid w:val="00421702"/>
    <w:rsid w:val="00421AF8"/>
    <w:rsid w:val="0042666D"/>
    <w:rsid w:val="00430270"/>
    <w:rsid w:val="00432BE9"/>
    <w:rsid w:val="004337A3"/>
    <w:rsid w:val="00434142"/>
    <w:rsid w:val="004356AE"/>
    <w:rsid w:val="00437071"/>
    <w:rsid w:val="00440A28"/>
    <w:rsid w:val="00442C02"/>
    <w:rsid w:val="0044409A"/>
    <w:rsid w:val="00446445"/>
    <w:rsid w:val="00452060"/>
    <w:rsid w:val="004523C7"/>
    <w:rsid w:val="0045298D"/>
    <w:rsid w:val="00454D77"/>
    <w:rsid w:val="00455E0A"/>
    <w:rsid w:val="00456C63"/>
    <w:rsid w:val="00461300"/>
    <w:rsid w:val="00461367"/>
    <w:rsid w:val="00461773"/>
    <w:rsid w:val="00463A3D"/>
    <w:rsid w:val="00463DB0"/>
    <w:rsid w:val="004702A6"/>
    <w:rsid w:val="00472066"/>
    <w:rsid w:val="00472193"/>
    <w:rsid w:val="0047374C"/>
    <w:rsid w:val="00473E11"/>
    <w:rsid w:val="00473F97"/>
    <w:rsid w:val="00475247"/>
    <w:rsid w:val="00476BCB"/>
    <w:rsid w:val="0048057D"/>
    <w:rsid w:val="00481FC3"/>
    <w:rsid w:val="0048219A"/>
    <w:rsid w:val="0048272A"/>
    <w:rsid w:val="00482AAC"/>
    <w:rsid w:val="004850D3"/>
    <w:rsid w:val="00486435"/>
    <w:rsid w:val="00486866"/>
    <w:rsid w:val="004877EB"/>
    <w:rsid w:val="00487C30"/>
    <w:rsid w:val="00491598"/>
    <w:rsid w:val="00491E6D"/>
    <w:rsid w:val="004935BA"/>
    <w:rsid w:val="00494610"/>
    <w:rsid w:val="004950EE"/>
    <w:rsid w:val="00495A11"/>
    <w:rsid w:val="00497BEA"/>
    <w:rsid w:val="004A1593"/>
    <w:rsid w:val="004A2273"/>
    <w:rsid w:val="004A239D"/>
    <w:rsid w:val="004A3A88"/>
    <w:rsid w:val="004A7464"/>
    <w:rsid w:val="004A7A57"/>
    <w:rsid w:val="004B0854"/>
    <w:rsid w:val="004B0D92"/>
    <w:rsid w:val="004B0F3E"/>
    <w:rsid w:val="004B1346"/>
    <w:rsid w:val="004B1FDA"/>
    <w:rsid w:val="004B210F"/>
    <w:rsid w:val="004B4628"/>
    <w:rsid w:val="004B4C38"/>
    <w:rsid w:val="004B5E81"/>
    <w:rsid w:val="004C0DBD"/>
    <w:rsid w:val="004C0DF6"/>
    <w:rsid w:val="004C7C08"/>
    <w:rsid w:val="004D0E80"/>
    <w:rsid w:val="004D0EAC"/>
    <w:rsid w:val="004E0666"/>
    <w:rsid w:val="004E183C"/>
    <w:rsid w:val="004E2AE3"/>
    <w:rsid w:val="004E2CB8"/>
    <w:rsid w:val="004E3157"/>
    <w:rsid w:val="004E3234"/>
    <w:rsid w:val="004E35F9"/>
    <w:rsid w:val="004E385D"/>
    <w:rsid w:val="004E485E"/>
    <w:rsid w:val="004E4DA9"/>
    <w:rsid w:val="004E4DF2"/>
    <w:rsid w:val="004E501F"/>
    <w:rsid w:val="004E6FC9"/>
    <w:rsid w:val="004F1D9E"/>
    <w:rsid w:val="004F62C5"/>
    <w:rsid w:val="004F7DE5"/>
    <w:rsid w:val="005007BD"/>
    <w:rsid w:val="00512743"/>
    <w:rsid w:val="00515D96"/>
    <w:rsid w:val="00517B84"/>
    <w:rsid w:val="005205C9"/>
    <w:rsid w:val="00522105"/>
    <w:rsid w:val="00522BF9"/>
    <w:rsid w:val="0052319F"/>
    <w:rsid w:val="005235EA"/>
    <w:rsid w:val="00523B7C"/>
    <w:rsid w:val="00525332"/>
    <w:rsid w:val="00525FFB"/>
    <w:rsid w:val="0052719A"/>
    <w:rsid w:val="005276A4"/>
    <w:rsid w:val="00535524"/>
    <w:rsid w:val="00540862"/>
    <w:rsid w:val="00542AD7"/>
    <w:rsid w:val="00543732"/>
    <w:rsid w:val="00543746"/>
    <w:rsid w:val="005447F0"/>
    <w:rsid w:val="00544E69"/>
    <w:rsid w:val="0054726E"/>
    <w:rsid w:val="00547822"/>
    <w:rsid w:val="00547AE4"/>
    <w:rsid w:val="00547F69"/>
    <w:rsid w:val="00551836"/>
    <w:rsid w:val="00552BF4"/>
    <w:rsid w:val="00552D48"/>
    <w:rsid w:val="00553070"/>
    <w:rsid w:val="005541E1"/>
    <w:rsid w:val="00555BCB"/>
    <w:rsid w:val="005565D8"/>
    <w:rsid w:val="00562019"/>
    <w:rsid w:val="00562207"/>
    <w:rsid w:val="00563426"/>
    <w:rsid w:val="00563590"/>
    <w:rsid w:val="00564B37"/>
    <w:rsid w:val="00570B70"/>
    <w:rsid w:val="005724B5"/>
    <w:rsid w:val="00572622"/>
    <w:rsid w:val="005730C6"/>
    <w:rsid w:val="005740EB"/>
    <w:rsid w:val="00574958"/>
    <w:rsid w:val="00576246"/>
    <w:rsid w:val="00576A5C"/>
    <w:rsid w:val="00577361"/>
    <w:rsid w:val="00580223"/>
    <w:rsid w:val="0058112E"/>
    <w:rsid w:val="00583556"/>
    <w:rsid w:val="00587177"/>
    <w:rsid w:val="0059052A"/>
    <w:rsid w:val="00591FCA"/>
    <w:rsid w:val="005934D9"/>
    <w:rsid w:val="00595F36"/>
    <w:rsid w:val="00596BD2"/>
    <w:rsid w:val="00596D01"/>
    <w:rsid w:val="00597600"/>
    <w:rsid w:val="005A3E94"/>
    <w:rsid w:val="005A5774"/>
    <w:rsid w:val="005A6A8C"/>
    <w:rsid w:val="005A7FE6"/>
    <w:rsid w:val="005B09FF"/>
    <w:rsid w:val="005B0CF5"/>
    <w:rsid w:val="005B42C8"/>
    <w:rsid w:val="005B44C6"/>
    <w:rsid w:val="005B468A"/>
    <w:rsid w:val="005B47A0"/>
    <w:rsid w:val="005B50D9"/>
    <w:rsid w:val="005B5EE7"/>
    <w:rsid w:val="005B6218"/>
    <w:rsid w:val="005C143C"/>
    <w:rsid w:val="005C164A"/>
    <w:rsid w:val="005C56DF"/>
    <w:rsid w:val="005C73C2"/>
    <w:rsid w:val="005C7CDD"/>
    <w:rsid w:val="005D0F34"/>
    <w:rsid w:val="005D2BA2"/>
    <w:rsid w:val="005D32ED"/>
    <w:rsid w:val="005D41CB"/>
    <w:rsid w:val="005D4922"/>
    <w:rsid w:val="005D7755"/>
    <w:rsid w:val="005E0EBE"/>
    <w:rsid w:val="005E2574"/>
    <w:rsid w:val="005E3A11"/>
    <w:rsid w:val="005E41D9"/>
    <w:rsid w:val="005E566B"/>
    <w:rsid w:val="005F0386"/>
    <w:rsid w:val="005F358E"/>
    <w:rsid w:val="005F3B1B"/>
    <w:rsid w:val="005F51A0"/>
    <w:rsid w:val="0060283D"/>
    <w:rsid w:val="00602F3C"/>
    <w:rsid w:val="00603B58"/>
    <w:rsid w:val="00604EC1"/>
    <w:rsid w:val="006109C4"/>
    <w:rsid w:val="00610D53"/>
    <w:rsid w:val="0061237D"/>
    <w:rsid w:val="0061304E"/>
    <w:rsid w:val="00613D6F"/>
    <w:rsid w:val="006222D2"/>
    <w:rsid w:val="00622A45"/>
    <w:rsid w:val="006253E9"/>
    <w:rsid w:val="006256DD"/>
    <w:rsid w:val="00627BED"/>
    <w:rsid w:val="006306CB"/>
    <w:rsid w:val="00631042"/>
    <w:rsid w:val="00631612"/>
    <w:rsid w:val="00632EA2"/>
    <w:rsid w:val="0063300D"/>
    <w:rsid w:val="0063789E"/>
    <w:rsid w:val="006404C6"/>
    <w:rsid w:val="00640D5F"/>
    <w:rsid w:val="0064714F"/>
    <w:rsid w:val="006477FC"/>
    <w:rsid w:val="00647BAB"/>
    <w:rsid w:val="00651960"/>
    <w:rsid w:val="006532B7"/>
    <w:rsid w:val="00660A67"/>
    <w:rsid w:val="006638E2"/>
    <w:rsid w:val="006646EA"/>
    <w:rsid w:val="00665B3A"/>
    <w:rsid w:val="00665C78"/>
    <w:rsid w:val="006678EA"/>
    <w:rsid w:val="00667CB6"/>
    <w:rsid w:val="00667FDF"/>
    <w:rsid w:val="006702EF"/>
    <w:rsid w:val="00673FB0"/>
    <w:rsid w:val="006767FC"/>
    <w:rsid w:val="00676B67"/>
    <w:rsid w:val="00680423"/>
    <w:rsid w:val="006830ED"/>
    <w:rsid w:val="00683403"/>
    <w:rsid w:val="00686B6C"/>
    <w:rsid w:val="00687195"/>
    <w:rsid w:val="00687B48"/>
    <w:rsid w:val="00694844"/>
    <w:rsid w:val="00694EDB"/>
    <w:rsid w:val="00696BAB"/>
    <w:rsid w:val="006A0CFF"/>
    <w:rsid w:val="006A1103"/>
    <w:rsid w:val="006A1EEE"/>
    <w:rsid w:val="006A3080"/>
    <w:rsid w:val="006A4CEA"/>
    <w:rsid w:val="006A5279"/>
    <w:rsid w:val="006A6490"/>
    <w:rsid w:val="006A701D"/>
    <w:rsid w:val="006A7F43"/>
    <w:rsid w:val="006B0101"/>
    <w:rsid w:val="006B1DFD"/>
    <w:rsid w:val="006B287D"/>
    <w:rsid w:val="006B4565"/>
    <w:rsid w:val="006C01BA"/>
    <w:rsid w:val="006C1C29"/>
    <w:rsid w:val="006C2FA1"/>
    <w:rsid w:val="006C515A"/>
    <w:rsid w:val="006C63C0"/>
    <w:rsid w:val="006C6A0C"/>
    <w:rsid w:val="006D1B06"/>
    <w:rsid w:val="006D2FD5"/>
    <w:rsid w:val="006D50A3"/>
    <w:rsid w:val="006D54ED"/>
    <w:rsid w:val="006D5F6F"/>
    <w:rsid w:val="006D6468"/>
    <w:rsid w:val="006D690A"/>
    <w:rsid w:val="006D6ABA"/>
    <w:rsid w:val="006E0913"/>
    <w:rsid w:val="006E0BFF"/>
    <w:rsid w:val="006E2A5E"/>
    <w:rsid w:val="006E5416"/>
    <w:rsid w:val="006E6AF9"/>
    <w:rsid w:val="006F2909"/>
    <w:rsid w:val="006F3368"/>
    <w:rsid w:val="006F63E1"/>
    <w:rsid w:val="0070035E"/>
    <w:rsid w:val="00702A3E"/>
    <w:rsid w:val="00702FBA"/>
    <w:rsid w:val="00704249"/>
    <w:rsid w:val="00704FA2"/>
    <w:rsid w:val="00705E62"/>
    <w:rsid w:val="00707468"/>
    <w:rsid w:val="0071075A"/>
    <w:rsid w:val="00711925"/>
    <w:rsid w:val="00712C8A"/>
    <w:rsid w:val="00714A9C"/>
    <w:rsid w:val="00715CA4"/>
    <w:rsid w:val="007171D9"/>
    <w:rsid w:val="00717213"/>
    <w:rsid w:val="00717A11"/>
    <w:rsid w:val="00721864"/>
    <w:rsid w:val="00722469"/>
    <w:rsid w:val="00723283"/>
    <w:rsid w:val="00723C8D"/>
    <w:rsid w:val="007266ED"/>
    <w:rsid w:val="007308F0"/>
    <w:rsid w:val="007323B4"/>
    <w:rsid w:val="00734F35"/>
    <w:rsid w:val="00741FE3"/>
    <w:rsid w:val="007424A3"/>
    <w:rsid w:val="00745EA3"/>
    <w:rsid w:val="00746AFE"/>
    <w:rsid w:val="00747477"/>
    <w:rsid w:val="007505DC"/>
    <w:rsid w:val="00753878"/>
    <w:rsid w:val="00755C4F"/>
    <w:rsid w:val="00757654"/>
    <w:rsid w:val="00757F74"/>
    <w:rsid w:val="00762544"/>
    <w:rsid w:val="007645ED"/>
    <w:rsid w:val="007646C5"/>
    <w:rsid w:val="00764F86"/>
    <w:rsid w:val="0076709F"/>
    <w:rsid w:val="0077023F"/>
    <w:rsid w:val="00770ECE"/>
    <w:rsid w:val="007729F9"/>
    <w:rsid w:val="00774A51"/>
    <w:rsid w:val="00775380"/>
    <w:rsid w:val="00775FCB"/>
    <w:rsid w:val="00776D2E"/>
    <w:rsid w:val="007772AD"/>
    <w:rsid w:val="007772B5"/>
    <w:rsid w:val="0078080F"/>
    <w:rsid w:val="00780E57"/>
    <w:rsid w:val="00781C94"/>
    <w:rsid w:val="00783C07"/>
    <w:rsid w:val="00784D9D"/>
    <w:rsid w:val="00785644"/>
    <w:rsid w:val="007878A5"/>
    <w:rsid w:val="00793377"/>
    <w:rsid w:val="00795F13"/>
    <w:rsid w:val="00796829"/>
    <w:rsid w:val="007A1268"/>
    <w:rsid w:val="007A3F28"/>
    <w:rsid w:val="007A5DD8"/>
    <w:rsid w:val="007A647E"/>
    <w:rsid w:val="007A68DF"/>
    <w:rsid w:val="007A74B0"/>
    <w:rsid w:val="007B0C16"/>
    <w:rsid w:val="007B1F86"/>
    <w:rsid w:val="007B212C"/>
    <w:rsid w:val="007B2429"/>
    <w:rsid w:val="007B2A35"/>
    <w:rsid w:val="007B2D88"/>
    <w:rsid w:val="007B52E6"/>
    <w:rsid w:val="007B5D72"/>
    <w:rsid w:val="007B6802"/>
    <w:rsid w:val="007C1487"/>
    <w:rsid w:val="007C34BB"/>
    <w:rsid w:val="007C459B"/>
    <w:rsid w:val="007C6423"/>
    <w:rsid w:val="007D08F4"/>
    <w:rsid w:val="007D113A"/>
    <w:rsid w:val="007D25AC"/>
    <w:rsid w:val="007D2723"/>
    <w:rsid w:val="007D5151"/>
    <w:rsid w:val="007D5815"/>
    <w:rsid w:val="007D6975"/>
    <w:rsid w:val="007D72ED"/>
    <w:rsid w:val="007D7D76"/>
    <w:rsid w:val="007E1213"/>
    <w:rsid w:val="007E3698"/>
    <w:rsid w:val="007E4486"/>
    <w:rsid w:val="007E5DB7"/>
    <w:rsid w:val="007E5E2A"/>
    <w:rsid w:val="007E6815"/>
    <w:rsid w:val="007E7526"/>
    <w:rsid w:val="007E7F8C"/>
    <w:rsid w:val="007F045E"/>
    <w:rsid w:val="007F2808"/>
    <w:rsid w:val="007F2B63"/>
    <w:rsid w:val="007F2BE9"/>
    <w:rsid w:val="007F3064"/>
    <w:rsid w:val="007F3FBD"/>
    <w:rsid w:val="007F5EA2"/>
    <w:rsid w:val="007F609B"/>
    <w:rsid w:val="007F7E77"/>
    <w:rsid w:val="00800885"/>
    <w:rsid w:val="00800CAE"/>
    <w:rsid w:val="00801396"/>
    <w:rsid w:val="008013DD"/>
    <w:rsid w:val="00802262"/>
    <w:rsid w:val="0080319C"/>
    <w:rsid w:val="0080435C"/>
    <w:rsid w:val="00804E26"/>
    <w:rsid w:val="00806A68"/>
    <w:rsid w:val="0080753F"/>
    <w:rsid w:val="0082142A"/>
    <w:rsid w:val="00821FD5"/>
    <w:rsid w:val="00830C7B"/>
    <w:rsid w:val="00831165"/>
    <w:rsid w:val="00833FFB"/>
    <w:rsid w:val="008346F4"/>
    <w:rsid w:val="00836906"/>
    <w:rsid w:val="00836CC5"/>
    <w:rsid w:val="00842198"/>
    <w:rsid w:val="00842639"/>
    <w:rsid w:val="00842682"/>
    <w:rsid w:val="00843EF7"/>
    <w:rsid w:val="008448F7"/>
    <w:rsid w:val="00844D97"/>
    <w:rsid w:val="00845793"/>
    <w:rsid w:val="00846F80"/>
    <w:rsid w:val="00851227"/>
    <w:rsid w:val="00852F8D"/>
    <w:rsid w:val="008540B8"/>
    <w:rsid w:val="0085420E"/>
    <w:rsid w:val="00854CB2"/>
    <w:rsid w:val="00855771"/>
    <w:rsid w:val="00855E03"/>
    <w:rsid w:val="008572B2"/>
    <w:rsid w:val="0085783B"/>
    <w:rsid w:val="00861729"/>
    <w:rsid w:val="00861BA5"/>
    <w:rsid w:val="00862576"/>
    <w:rsid w:val="00863C18"/>
    <w:rsid w:val="00863E11"/>
    <w:rsid w:val="00867C1D"/>
    <w:rsid w:val="00867E6A"/>
    <w:rsid w:val="00871954"/>
    <w:rsid w:val="0087240D"/>
    <w:rsid w:val="00873A29"/>
    <w:rsid w:val="00873F84"/>
    <w:rsid w:val="0087507C"/>
    <w:rsid w:val="00876B5E"/>
    <w:rsid w:val="00880C8B"/>
    <w:rsid w:val="00881695"/>
    <w:rsid w:val="00882115"/>
    <w:rsid w:val="0088348B"/>
    <w:rsid w:val="00883643"/>
    <w:rsid w:val="00883FB1"/>
    <w:rsid w:val="008912B8"/>
    <w:rsid w:val="008913D1"/>
    <w:rsid w:val="0089161C"/>
    <w:rsid w:val="00892206"/>
    <w:rsid w:val="008944C3"/>
    <w:rsid w:val="008954F3"/>
    <w:rsid w:val="00895D08"/>
    <w:rsid w:val="00895E8F"/>
    <w:rsid w:val="00895FE8"/>
    <w:rsid w:val="0089674D"/>
    <w:rsid w:val="00896DCF"/>
    <w:rsid w:val="00897A78"/>
    <w:rsid w:val="008A0838"/>
    <w:rsid w:val="008A109B"/>
    <w:rsid w:val="008A1A12"/>
    <w:rsid w:val="008A1D09"/>
    <w:rsid w:val="008A761C"/>
    <w:rsid w:val="008A7803"/>
    <w:rsid w:val="008A7CD8"/>
    <w:rsid w:val="008C00E5"/>
    <w:rsid w:val="008C13C0"/>
    <w:rsid w:val="008C4051"/>
    <w:rsid w:val="008D2FEB"/>
    <w:rsid w:val="008D3BDC"/>
    <w:rsid w:val="008D47F1"/>
    <w:rsid w:val="008D4BA9"/>
    <w:rsid w:val="008D658E"/>
    <w:rsid w:val="008E145A"/>
    <w:rsid w:val="008E20CB"/>
    <w:rsid w:val="008E4A41"/>
    <w:rsid w:val="008E59C3"/>
    <w:rsid w:val="008E6FDB"/>
    <w:rsid w:val="008F02EB"/>
    <w:rsid w:val="008F1298"/>
    <w:rsid w:val="008F1B38"/>
    <w:rsid w:val="008F2E0B"/>
    <w:rsid w:val="008F36EC"/>
    <w:rsid w:val="008F38EA"/>
    <w:rsid w:val="008F3942"/>
    <w:rsid w:val="008F3ABE"/>
    <w:rsid w:val="008F68A4"/>
    <w:rsid w:val="009006C1"/>
    <w:rsid w:val="00901299"/>
    <w:rsid w:val="00901C25"/>
    <w:rsid w:val="009036FA"/>
    <w:rsid w:val="00904855"/>
    <w:rsid w:val="00906B50"/>
    <w:rsid w:val="00906C12"/>
    <w:rsid w:val="00906FB2"/>
    <w:rsid w:val="009116DC"/>
    <w:rsid w:val="00911A74"/>
    <w:rsid w:val="00923DED"/>
    <w:rsid w:val="00924636"/>
    <w:rsid w:val="00925006"/>
    <w:rsid w:val="00930942"/>
    <w:rsid w:val="009314C8"/>
    <w:rsid w:val="00931712"/>
    <w:rsid w:val="009340FD"/>
    <w:rsid w:val="00936B63"/>
    <w:rsid w:val="00936C2A"/>
    <w:rsid w:val="009402D9"/>
    <w:rsid w:val="0094105F"/>
    <w:rsid w:val="0094208C"/>
    <w:rsid w:val="00945E28"/>
    <w:rsid w:val="00946883"/>
    <w:rsid w:val="00946F17"/>
    <w:rsid w:val="00950B63"/>
    <w:rsid w:val="00950DBF"/>
    <w:rsid w:val="00952591"/>
    <w:rsid w:val="00955321"/>
    <w:rsid w:val="0095574A"/>
    <w:rsid w:val="00957739"/>
    <w:rsid w:val="00961B68"/>
    <w:rsid w:val="0096228B"/>
    <w:rsid w:val="00964BC6"/>
    <w:rsid w:val="00966A85"/>
    <w:rsid w:val="0096773F"/>
    <w:rsid w:val="0096789B"/>
    <w:rsid w:val="00967EF9"/>
    <w:rsid w:val="0097154A"/>
    <w:rsid w:val="009749F0"/>
    <w:rsid w:val="00977647"/>
    <w:rsid w:val="00985345"/>
    <w:rsid w:val="009854E2"/>
    <w:rsid w:val="0098552A"/>
    <w:rsid w:val="00986F10"/>
    <w:rsid w:val="00990F07"/>
    <w:rsid w:val="0099400E"/>
    <w:rsid w:val="009A0608"/>
    <w:rsid w:val="009A2380"/>
    <w:rsid w:val="009A57B7"/>
    <w:rsid w:val="009A5AFD"/>
    <w:rsid w:val="009A5E76"/>
    <w:rsid w:val="009A6FC5"/>
    <w:rsid w:val="009A75B7"/>
    <w:rsid w:val="009A7877"/>
    <w:rsid w:val="009A7DB6"/>
    <w:rsid w:val="009B171E"/>
    <w:rsid w:val="009B2CE3"/>
    <w:rsid w:val="009B35DA"/>
    <w:rsid w:val="009B6176"/>
    <w:rsid w:val="009B70BB"/>
    <w:rsid w:val="009C2FF1"/>
    <w:rsid w:val="009C49F3"/>
    <w:rsid w:val="009C52A3"/>
    <w:rsid w:val="009C695D"/>
    <w:rsid w:val="009D3C85"/>
    <w:rsid w:val="009D6AEB"/>
    <w:rsid w:val="009E00AD"/>
    <w:rsid w:val="009E0D7C"/>
    <w:rsid w:val="009E363F"/>
    <w:rsid w:val="009E41B3"/>
    <w:rsid w:val="009E5B50"/>
    <w:rsid w:val="009E65CF"/>
    <w:rsid w:val="009F236F"/>
    <w:rsid w:val="009F3CE0"/>
    <w:rsid w:val="009F3EBE"/>
    <w:rsid w:val="009F4267"/>
    <w:rsid w:val="009F4A2E"/>
    <w:rsid w:val="009F4CBB"/>
    <w:rsid w:val="009F5D11"/>
    <w:rsid w:val="00A05C65"/>
    <w:rsid w:val="00A06AC2"/>
    <w:rsid w:val="00A10087"/>
    <w:rsid w:val="00A10F62"/>
    <w:rsid w:val="00A11066"/>
    <w:rsid w:val="00A11218"/>
    <w:rsid w:val="00A12091"/>
    <w:rsid w:val="00A12F56"/>
    <w:rsid w:val="00A133B7"/>
    <w:rsid w:val="00A167DB"/>
    <w:rsid w:val="00A2406E"/>
    <w:rsid w:val="00A274F0"/>
    <w:rsid w:val="00A31C97"/>
    <w:rsid w:val="00A31E1A"/>
    <w:rsid w:val="00A32050"/>
    <w:rsid w:val="00A34293"/>
    <w:rsid w:val="00A356A8"/>
    <w:rsid w:val="00A35B76"/>
    <w:rsid w:val="00A361F6"/>
    <w:rsid w:val="00A36737"/>
    <w:rsid w:val="00A46EAF"/>
    <w:rsid w:val="00A50FEF"/>
    <w:rsid w:val="00A51593"/>
    <w:rsid w:val="00A51B94"/>
    <w:rsid w:val="00A53A76"/>
    <w:rsid w:val="00A553D4"/>
    <w:rsid w:val="00A55BFB"/>
    <w:rsid w:val="00A5602B"/>
    <w:rsid w:val="00A563AD"/>
    <w:rsid w:val="00A625D7"/>
    <w:rsid w:val="00A637E4"/>
    <w:rsid w:val="00A6458C"/>
    <w:rsid w:val="00A64FA4"/>
    <w:rsid w:val="00A65922"/>
    <w:rsid w:val="00A7122A"/>
    <w:rsid w:val="00A7312D"/>
    <w:rsid w:val="00A75AE2"/>
    <w:rsid w:val="00A75D82"/>
    <w:rsid w:val="00A82677"/>
    <w:rsid w:val="00A83942"/>
    <w:rsid w:val="00A83C9A"/>
    <w:rsid w:val="00A85D11"/>
    <w:rsid w:val="00A86293"/>
    <w:rsid w:val="00A9428A"/>
    <w:rsid w:val="00AA0021"/>
    <w:rsid w:val="00AA1F64"/>
    <w:rsid w:val="00AA2562"/>
    <w:rsid w:val="00AA2B4A"/>
    <w:rsid w:val="00AA3C8D"/>
    <w:rsid w:val="00AA4B3D"/>
    <w:rsid w:val="00AA675E"/>
    <w:rsid w:val="00AA6BC2"/>
    <w:rsid w:val="00AB1951"/>
    <w:rsid w:val="00AB3956"/>
    <w:rsid w:val="00AB3CC4"/>
    <w:rsid w:val="00AB3E64"/>
    <w:rsid w:val="00AB4000"/>
    <w:rsid w:val="00AB4652"/>
    <w:rsid w:val="00AB591B"/>
    <w:rsid w:val="00AB6617"/>
    <w:rsid w:val="00AB6B24"/>
    <w:rsid w:val="00AB7203"/>
    <w:rsid w:val="00AC4057"/>
    <w:rsid w:val="00AC5807"/>
    <w:rsid w:val="00AC5CCF"/>
    <w:rsid w:val="00AC6E86"/>
    <w:rsid w:val="00AD1E53"/>
    <w:rsid w:val="00AD35EF"/>
    <w:rsid w:val="00AD5DFC"/>
    <w:rsid w:val="00AE3495"/>
    <w:rsid w:val="00AE353B"/>
    <w:rsid w:val="00AE38CF"/>
    <w:rsid w:val="00AE5B76"/>
    <w:rsid w:val="00AE67E5"/>
    <w:rsid w:val="00AE6900"/>
    <w:rsid w:val="00AF254C"/>
    <w:rsid w:val="00AF32C1"/>
    <w:rsid w:val="00AF5478"/>
    <w:rsid w:val="00AF6F99"/>
    <w:rsid w:val="00B002F2"/>
    <w:rsid w:val="00B00C0E"/>
    <w:rsid w:val="00B02491"/>
    <w:rsid w:val="00B0791A"/>
    <w:rsid w:val="00B15BE5"/>
    <w:rsid w:val="00B16A95"/>
    <w:rsid w:val="00B20CBC"/>
    <w:rsid w:val="00B21B07"/>
    <w:rsid w:val="00B2379E"/>
    <w:rsid w:val="00B24351"/>
    <w:rsid w:val="00B24460"/>
    <w:rsid w:val="00B25312"/>
    <w:rsid w:val="00B25E37"/>
    <w:rsid w:val="00B269C3"/>
    <w:rsid w:val="00B31486"/>
    <w:rsid w:val="00B31D4F"/>
    <w:rsid w:val="00B355E6"/>
    <w:rsid w:val="00B37242"/>
    <w:rsid w:val="00B4180C"/>
    <w:rsid w:val="00B42B9B"/>
    <w:rsid w:val="00B42FDE"/>
    <w:rsid w:val="00B43ADD"/>
    <w:rsid w:val="00B457A7"/>
    <w:rsid w:val="00B51B98"/>
    <w:rsid w:val="00B527E8"/>
    <w:rsid w:val="00B53606"/>
    <w:rsid w:val="00B53761"/>
    <w:rsid w:val="00B55008"/>
    <w:rsid w:val="00B5543D"/>
    <w:rsid w:val="00B5603F"/>
    <w:rsid w:val="00B61DBA"/>
    <w:rsid w:val="00B6283F"/>
    <w:rsid w:val="00B62DF0"/>
    <w:rsid w:val="00B63711"/>
    <w:rsid w:val="00B64B54"/>
    <w:rsid w:val="00B65B03"/>
    <w:rsid w:val="00B67115"/>
    <w:rsid w:val="00B714C4"/>
    <w:rsid w:val="00B72129"/>
    <w:rsid w:val="00B735D5"/>
    <w:rsid w:val="00B73E6B"/>
    <w:rsid w:val="00B749ED"/>
    <w:rsid w:val="00B77129"/>
    <w:rsid w:val="00B82BBC"/>
    <w:rsid w:val="00B83649"/>
    <w:rsid w:val="00B83CE2"/>
    <w:rsid w:val="00B83E61"/>
    <w:rsid w:val="00B83E78"/>
    <w:rsid w:val="00B85892"/>
    <w:rsid w:val="00B85C26"/>
    <w:rsid w:val="00B92BF0"/>
    <w:rsid w:val="00B937A3"/>
    <w:rsid w:val="00B94BB9"/>
    <w:rsid w:val="00B957C1"/>
    <w:rsid w:val="00B9606E"/>
    <w:rsid w:val="00BA08AA"/>
    <w:rsid w:val="00BA112E"/>
    <w:rsid w:val="00BA165E"/>
    <w:rsid w:val="00BA315E"/>
    <w:rsid w:val="00BA3808"/>
    <w:rsid w:val="00BA474C"/>
    <w:rsid w:val="00BA64EF"/>
    <w:rsid w:val="00BA73F2"/>
    <w:rsid w:val="00BA75B6"/>
    <w:rsid w:val="00BB122C"/>
    <w:rsid w:val="00BB27A1"/>
    <w:rsid w:val="00BB38D3"/>
    <w:rsid w:val="00BB48A7"/>
    <w:rsid w:val="00BB52B2"/>
    <w:rsid w:val="00BB53D1"/>
    <w:rsid w:val="00BB5A52"/>
    <w:rsid w:val="00BB6D9B"/>
    <w:rsid w:val="00BC10E5"/>
    <w:rsid w:val="00BC14A2"/>
    <w:rsid w:val="00BC1939"/>
    <w:rsid w:val="00BC23E2"/>
    <w:rsid w:val="00BC3A2F"/>
    <w:rsid w:val="00BC4DE4"/>
    <w:rsid w:val="00BC55A8"/>
    <w:rsid w:val="00BD11FA"/>
    <w:rsid w:val="00BD3E37"/>
    <w:rsid w:val="00BD6245"/>
    <w:rsid w:val="00BD72C0"/>
    <w:rsid w:val="00BE091B"/>
    <w:rsid w:val="00BE0E64"/>
    <w:rsid w:val="00BE18AB"/>
    <w:rsid w:val="00BE327E"/>
    <w:rsid w:val="00BE390D"/>
    <w:rsid w:val="00BE3D0F"/>
    <w:rsid w:val="00BE52BA"/>
    <w:rsid w:val="00BE73E3"/>
    <w:rsid w:val="00BF1E92"/>
    <w:rsid w:val="00BF4FC3"/>
    <w:rsid w:val="00BF5FF0"/>
    <w:rsid w:val="00BF6B21"/>
    <w:rsid w:val="00C00904"/>
    <w:rsid w:val="00C015FC"/>
    <w:rsid w:val="00C03C96"/>
    <w:rsid w:val="00C05FA4"/>
    <w:rsid w:val="00C11059"/>
    <w:rsid w:val="00C1360B"/>
    <w:rsid w:val="00C145C0"/>
    <w:rsid w:val="00C22D6B"/>
    <w:rsid w:val="00C2432A"/>
    <w:rsid w:val="00C30D4A"/>
    <w:rsid w:val="00C33118"/>
    <w:rsid w:val="00C33317"/>
    <w:rsid w:val="00C3346C"/>
    <w:rsid w:val="00C3436B"/>
    <w:rsid w:val="00C40FBA"/>
    <w:rsid w:val="00C50344"/>
    <w:rsid w:val="00C50D42"/>
    <w:rsid w:val="00C51F2B"/>
    <w:rsid w:val="00C52050"/>
    <w:rsid w:val="00C5402C"/>
    <w:rsid w:val="00C55665"/>
    <w:rsid w:val="00C565F4"/>
    <w:rsid w:val="00C56A2B"/>
    <w:rsid w:val="00C56A87"/>
    <w:rsid w:val="00C57B42"/>
    <w:rsid w:val="00C61003"/>
    <w:rsid w:val="00C61552"/>
    <w:rsid w:val="00C62C70"/>
    <w:rsid w:val="00C72857"/>
    <w:rsid w:val="00C734CA"/>
    <w:rsid w:val="00C80E0F"/>
    <w:rsid w:val="00C87043"/>
    <w:rsid w:val="00C8737B"/>
    <w:rsid w:val="00C911C2"/>
    <w:rsid w:val="00C91CD1"/>
    <w:rsid w:val="00C92FB0"/>
    <w:rsid w:val="00C94A44"/>
    <w:rsid w:val="00C9670D"/>
    <w:rsid w:val="00C96764"/>
    <w:rsid w:val="00C97F8C"/>
    <w:rsid w:val="00CA0E0C"/>
    <w:rsid w:val="00CA1D1A"/>
    <w:rsid w:val="00CA3874"/>
    <w:rsid w:val="00CA71CC"/>
    <w:rsid w:val="00CB2A50"/>
    <w:rsid w:val="00CB6A08"/>
    <w:rsid w:val="00CB75C3"/>
    <w:rsid w:val="00CC015D"/>
    <w:rsid w:val="00CC366D"/>
    <w:rsid w:val="00CC4582"/>
    <w:rsid w:val="00CC4CA2"/>
    <w:rsid w:val="00CC529D"/>
    <w:rsid w:val="00CC5BCD"/>
    <w:rsid w:val="00CC6303"/>
    <w:rsid w:val="00CC65B3"/>
    <w:rsid w:val="00CD2635"/>
    <w:rsid w:val="00CD49F5"/>
    <w:rsid w:val="00CD572D"/>
    <w:rsid w:val="00CD5C6D"/>
    <w:rsid w:val="00CD75DA"/>
    <w:rsid w:val="00CE11BF"/>
    <w:rsid w:val="00CE31F4"/>
    <w:rsid w:val="00CE3392"/>
    <w:rsid w:val="00CE6738"/>
    <w:rsid w:val="00CF1FE4"/>
    <w:rsid w:val="00CF29BE"/>
    <w:rsid w:val="00CF53EB"/>
    <w:rsid w:val="00CF727F"/>
    <w:rsid w:val="00D02AF2"/>
    <w:rsid w:val="00D034BA"/>
    <w:rsid w:val="00D03DFA"/>
    <w:rsid w:val="00D0584F"/>
    <w:rsid w:val="00D05FE6"/>
    <w:rsid w:val="00D06345"/>
    <w:rsid w:val="00D070E6"/>
    <w:rsid w:val="00D14550"/>
    <w:rsid w:val="00D14A33"/>
    <w:rsid w:val="00D162CB"/>
    <w:rsid w:val="00D2316B"/>
    <w:rsid w:val="00D26743"/>
    <w:rsid w:val="00D2775C"/>
    <w:rsid w:val="00D27DFD"/>
    <w:rsid w:val="00D30EA7"/>
    <w:rsid w:val="00D33BB2"/>
    <w:rsid w:val="00D33CA2"/>
    <w:rsid w:val="00D340F1"/>
    <w:rsid w:val="00D41298"/>
    <w:rsid w:val="00D414EB"/>
    <w:rsid w:val="00D44A70"/>
    <w:rsid w:val="00D473DF"/>
    <w:rsid w:val="00D53016"/>
    <w:rsid w:val="00D53753"/>
    <w:rsid w:val="00D552A5"/>
    <w:rsid w:val="00D57D56"/>
    <w:rsid w:val="00D60A4B"/>
    <w:rsid w:val="00D618E3"/>
    <w:rsid w:val="00D66C7B"/>
    <w:rsid w:val="00D70B4E"/>
    <w:rsid w:val="00D717F9"/>
    <w:rsid w:val="00D749AE"/>
    <w:rsid w:val="00D80175"/>
    <w:rsid w:val="00D808AE"/>
    <w:rsid w:val="00D80A3B"/>
    <w:rsid w:val="00D80F18"/>
    <w:rsid w:val="00D81348"/>
    <w:rsid w:val="00D81478"/>
    <w:rsid w:val="00D83854"/>
    <w:rsid w:val="00D83D47"/>
    <w:rsid w:val="00D85523"/>
    <w:rsid w:val="00D85AF6"/>
    <w:rsid w:val="00D86194"/>
    <w:rsid w:val="00D86F8A"/>
    <w:rsid w:val="00D91004"/>
    <w:rsid w:val="00D9209F"/>
    <w:rsid w:val="00D93CC4"/>
    <w:rsid w:val="00D96436"/>
    <w:rsid w:val="00DA040A"/>
    <w:rsid w:val="00DA1B6B"/>
    <w:rsid w:val="00DA2859"/>
    <w:rsid w:val="00DA56EC"/>
    <w:rsid w:val="00DA74F0"/>
    <w:rsid w:val="00DB0EB5"/>
    <w:rsid w:val="00DB1852"/>
    <w:rsid w:val="00DB2ED0"/>
    <w:rsid w:val="00DB36A3"/>
    <w:rsid w:val="00DB431B"/>
    <w:rsid w:val="00DB4A7B"/>
    <w:rsid w:val="00DB7ADC"/>
    <w:rsid w:val="00DC0E4E"/>
    <w:rsid w:val="00DC4B6D"/>
    <w:rsid w:val="00DC6C12"/>
    <w:rsid w:val="00DD1159"/>
    <w:rsid w:val="00DD401E"/>
    <w:rsid w:val="00DD5383"/>
    <w:rsid w:val="00DE0029"/>
    <w:rsid w:val="00DE081A"/>
    <w:rsid w:val="00DE0E90"/>
    <w:rsid w:val="00DE1393"/>
    <w:rsid w:val="00DE33E5"/>
    <w:rsid w:val="00DE36E1"/>
    <w:rsid w:val="00DE4222"/>
    <w:rsid w:val="00DE4EC7"/>
    <w:rsid w:val="00DE60B1"/>
    <w:rsid w:val="00DE6D45"/>
    <w:rsid w:val="00DF014E"/>
    <w:rsid w:val="00DF1616"/>
    <w:rsid w:val="00DF270A"/>
    <w:rsid w:val="00DF2EE1"/>
    <w:rsid w:val="00DF5642"/>
    <w:rsid w:val="00E0076C"/>
    <w:rsid w:val="00E05C4F"/>
    <w:rsid w:val="00E07878"/>
    <w:rsid w:val="00E119B0"/>
    <w:rsid w:val="00E140D0"/>
    <w:rsid w:val="00E15071"/>
    <w:rsid w:val="00E157DC"/>
    <w:rsid w:val="00E160AA"/>
    <w:rsid w:val="00E16FCC"/>
    <w:rsid w:val="00E20B2A"/>
    <w:rsid w:val="00E21A57"/>
    <w:rsid w:val="00E27365"/>
    <w:rsid w:val="00E31297"/>
    <w:rsid w:val="00E33AD6"/>
    <w:rsid w:val="00E355F3"/>
    <w:rsid w:val="00E35784"/>
    <w:rsid w:val="00E362E8"/>
    <w:rsid w:val="00E36427"/>
    <w:rsid w:val="00E417A1"/>
    <w:rsid w:val="00E4212F"/>
    <w:rsid w:val="00E429ED"/>
    <w:rsid w:val="00E43EE2"/>
    <w:rsid w:val="00E46959"/>
    <w:rsid w:val="00E50B26"/>
    <w:rsid w:val="00E50F69"/>
    <w:rsid w:val="00E510C7"/>
    <w:rsid w:val="00E52072"/>
    <w:rsid w:val="00E52DFE"/>
    <w:rsid w:val="00E5615B"/>
    <w:rsid w:val="00E564C4"/>
    <w:rsid w:val="00E56B4C"/>
    <w:rsid w:val="00E5707B"/>
    <w:rsid w:val="00E57631"/>
    <w:rsid w:val="00E6127D"/>
    <w:rsid w:val="00E61767"/>
    <w:rsid w:val="00E61E86"/>
    <w:rsid w:val="00E63153"/>
    <w:rsid w:val="00E67F29"/>
    <w:rsid w:val="00E70562"/>
    <w:rsid w:val="00E70EBA"/>
    <w:rsid w:val="00E7109D"/>
    <w:rsid w:val="00E7326F"/>
    <w:rsid w:val="00E73605"/>
    <w:rsid w:val="00E73A6C"/>
    <w:rsid w:val="00E7488F"/>
    <w:rsid w:val="00E77B65"/>
    <w:rsid w:val="00E80FE7"/>
    <w:rsid w:val="00E81D03"/>
    <w:rsid w:val="00E82779"/>
    <w:rsid w:val="00E84672"/>
    <w:rsid w:val="00E85609"/>
    <w:rsid w:val="00E862D9"/>
    <w:rsid w:val="00E866A7"/>
    <w:rsid w:val="00E86749"/>
    <w:rsid w:val="00E90ACC"/>
    <w:rsid w:val="00E90D94"/>
    <w:rsid w:val="00E91653"/>
    <w:rsid w:val="00E91F9C"/>
    <w:rsid w:val="00E91FF5"/>
    <w:rsid w:val="00E93B69"/>
    <w:rsid w:val="00E93F90"/>
    <w:rsid w:val="00E966C7"/>
    <w:rsid w:val="00E973BE"/>
    <w:rsid w:val="00EA0C91"/>
    <w:rsid w:val="00EA14EC"/>
    <w:rsid w:val="00EA25B8"/>
    <w:rsid w:val="00EB01EE"/>
    <w:rsid w:val="00EB021B"/>
    <w:rsid w:val="00EB02F2"/>
    <w:rsid w:val="00EB0701"/>
    <w:rsid w:val="00EB1186"/>
    <w:rsid w:val="00EB1B22"/>
    <w:rsid w:val="00EB6186"/>
    <w:rsid w:val="00EC13C7"/>
    <w:rsid w:val="00EC3516"/>
    <w:rsid w:val="00EC3983"/>
    <w:rsid w:val="00EC4D49"/>
    <w:rsid w:val="00EC5140"/>
    <w:rsid w:val="00EC57A4"/>
    <w:rsid w:val="00ED361B"/>
    <w:rsid w:val="00ED48DB"/>
    <w:rsid w:val="00ED537D"/>
    <w:rsid w:val="00ED6732"/>
    <w:rsid w:val="00EE11AE"/>
    <w:rsid w:val="00EE1C5B"/>
    <w:rsid w:val="00EE24BC"/>
    <w:rsid w:val="00EE26F5"/>
    <w:rsid w:val="00EE37A5"/>
    <w:rsid w:val="00EE3C60"/>
    <w:rsid w:val="00EE4612"/>
    <w:rsid w:val="00EF2C6C"/>
    <w:rsid w:val="00EF5BA0"/>
    <w:rsid w:val="00F006CC"/>
    <w:rsid w:val="00F0088D"/>
    <w:rsid w:val="00F00A82"/>
    <w:rsid w:val="00F06D05"/>
    <w:rsid w:val="00F0704F"/>
    <w:rsid w:val="00F10A0C"/>
    <w:rsid w:val="00F13503"/>
    <w:rsid w:val="00F14045"/>
    <w:rsid w:val="00F146F5"/>
    <w:rsid w:val="00F14B0B"/>
    <w:rsid w:val="00F20626"/>
    <w:rsid w:val="00F20DAD"/>
    <w:rsid w:val="00F218E0"/>
    <w:rsid w:val="00F224DB"/>
    <w:rsid w:val="00F22D86"/>
    <w:rsid w:val="00F309FB"/>
    <w:rsid w:val="00F3213F"/>
    <w:rsid w:val="00F36F66"/>
    <w:rsid w:val="00F371F6"/>
    <w:rsid w:val="00F37C55"/>
    <w:rsid w:val="00F4000A"/>
    <w:rsid w:val="00F41EEE"/>
    <w:rsid w:val="00F44345"/>
    <w:rsid w:val="00F44595"/>
    <w:rsid w:val="00F50429"/>
    <w:rsid w:val="00F525DE"/>
    <w:rsid w:val="00F53104"/>
    <w:rsid w:val="00F570FC"/>
    <w:rsid w:val="00F57121"/>
    <w:rsid w:val="00F57126"/>
    <w:rsid w:val="00F611DA"/>
    <w:rsid w:val="00F658F9"/>
    <w:rsid w:val="00F6648B"/>
    <w:rsid w:val="00F66BAE"/>
    <w:rsid w:val="00F67B9D"/>
    <w:rsid w:val="00F719F3"/>
    <w:rsid w:val="00F75474"/>
    <w:rsid w:val="00F7696B"/>
    <w:rsid w:val="00F77366"/>
    <w:rsid w:val="00F80805"/>
    <w:rsid w:val="00F813FD"/>
    <w:rsid w:val="00F81DE7"/>
    <w:rsid w:val="00F8258B"/>
    <w:rsid w:val="00F856DD"/>
    <w:rsid w:val="00F85BFF"/>
    <w:rsid w:val="00F873B4"/>
    <w:rsid w:val="00F91078"/>
    <w:rsid w:val="00F914E0"/>
    <w:rsid w:val="00F9156F"/>
    <w:rsid w:val="00F917C1"/>
    <w:rsid w:val="00F9272E"/>
    <w:rsid w:val="00F9301D"/>
    <w:rsid w:val="00F938A7"/>
    <w:rsid w:val="00F946A9"/>
    <w:rsid w:val="00F948A6"/>
    <w:rsid w:val="00F961F0"/>
    <w:rsid w:val="00FA0EED"/>
    <w:rsid w:val="00FA2F86"/>
    <w:rsid w:val="00FA369E"/>
    <w:rsid w:val="00FA542D"/>
    <w:rsid w:val="00FA5ED3"/>
    <w:rsid w:val="00FA5EEB"/>
    <w:rsid w:val="00FA6205"/>
    <w:rsid w:val="00FB23BC"/>
    <w:rsid w:val="00FB6622"/>
    <w:rsid w:val="00FB67AE"/>
    <w:rsid w:val="00FB6F06"/>
    <w:rsid w:val="00FB7484"/>
    <w:rsid w:val="00FB75AC"/>
    <w:rsid w:val="00FC1ABE"/>
    <w:rsid w:val="00FC3F3F"/>
    <w:rsid w:val="00FC4862"/>
    <w:rsid w:val="00FC6649"/>
    <w:rsid w:val="00FD06A4"/>
    <w:rsid w:val="00FD06EC"/>
    <w:rsid w:val="00FD12B3"/>
    <w:rsid w:val="00FD133D"/>
    <w:rsid w:val="00FD2F48"/>
    <w:rsid w:val="00FD35AA"/>
    <w:rsid w:val="00FD4653"/>
    <w:rsid w:val="00FD7CFB"/>
    <w:rsid w:val="00FD7F9A"/>
    <w:rsid w:val="00FD7FFE"/>
    <w:rsid w:val="00FE29E2"/>
    <w:rsid w:val="00FE2FA6"/>
    <w:rsid w:val="00FE431A"/>
    <w:rsid w:val="00FF4127"/>
    <w:rsid w:val="00FF5320"/>
    <w:rsid w:val="00FF56B4"/>
    <w:rsid w:val="00FF5E54"/>
    <w:rsid w:val="00FF60EC"/>
    <w:rsid w:val="01063575"/>
    <w:rsid w:val="01087A2D"/>
    <w:rsid w:val="012F162B"/>
    <w:rsid w:val="0150476F"/>
    <w:rsid w:val="0179A29F"/>
    <w:rsid w:val="018B9220"/>
    <w:rsid w:val="0194DF1D"/>
    <w:rsid w:val="01E9DDF1"/>
    <w:rsid w:val="0256E06F"/>
    <w:rsid w:val="025C4C4B"/>
    <w:rsid w:val="027670D1"/>
    <w:rsid w:val="03021B42"/>
    <w:rsid w:val="03EA3103"/>
    <w:rsid w:val="03EF2E9C"/>
    <w:rsid w:val="043B2F16"/>
    <w:rsid w:val="043D8B23"/>
    <w:rsid w:val="04704748"/>
    <w:rsid w:val="04744FC1"/>
    <w:rsid w:val="04BAA921"/>
    <w:rsid w:val="0534A627"/>
    <w:rsid w:val="053D855E"/>
    <w:rsid w:val="06185CCF"/>
    <w:rsid w:val="06219647"/>
    <w:rsid w:val="06332ECE"/>
    <w:rsid w:val="0682079D"/>
    <w:rsid w:val="078B334C"/>
    <w:rsid w:val="07D2D759"/>
    <w:rsid w:val="07F0BC6E"/>
    <w:rsid w:val="08090FAE"/>
    <w:rsid w:val="08C2E595"/>
    <w:rsid w:val="08FA0D5A"/>
    <w:rsid w:val="09471E32"/>
    <w:rsid w:val="09739A67"/>
    <w:rsid w:val="099D4A26"/>
    <w:rsid w:val="09C26A0E"/>
    <w:rsid w:val="09C27316"/>
    <w:rsid w:val="09CF3FD9"/>
    <w:rsid w:val="0A2BA226"/>
    <w:rsid w:val="0A2EA914"/>
    <w:rsid w:val="0A93A510"/>
    <w:rsid w:val="0AC6697B"/>
    <w:rsid w:val="0B54E9EA"/>
    <w:rsid w:val="0B9BFFBD"/>
    <w:rsid w:val="0BF8ABF1"/>
    <w:rsid w:val="0CBB8579"/>
    <w:rsid w:val="0CC2A0E9"/>
    <w:rsid w:val="0D15A6FA"/>
    <w:rsid w:val="0E3FA96B"/>
    <w:rsid w:val="0EC9BF96"/>
    <w:rsid w:val="0EF9D3EC"/>
    <w:rsid w:val="0F610426"/>
    <w:rsid w:val="0F64678E"/>
    <w:rsid w:val="0F6BB646"/>
    <w:rsid w:val="0FBD010A"/>
    <w:rsid w:val="110449ED"/>
    <w:rsid w:val="112486BA"/>
    <w:rsid w:val="113614E7"/>
    <w:rsid w:val="11E31AD4"/>
    <w:rsid w:val="11F54A52"/>
    <w:rsid w:val="12804C83"/>
    <w:rsid w:val="12D310AC"/>
    <w:rsid w:val="12F8545B"/>
    <w:rsid w:val="131CF05B"/>
    <w:rsid w:val="1364F78C"/>
    <w:rsid w:val="137D7083"/>
    <w:rsid w:val="13977659"/>
    <w:rsid w:val="13EFFFA4"/>
    <w:rsid w:val="13F00A5B"/>
    <w:rsid w:val="13FC5829"/>
    <w:rsid w:val="14092696"/>
    <w:rsid w:val="14466FFB"/>
    <w:rsid w:val="147A580A"/>
    <w:rsid w:val="14BBE067"/>
    <w:rsid w:val="14CC34AB"/>
    <w:rsid w:val="1511A99C"/>
    <w:rsid w:val="151443DE"/>
    <w:rsid w:val="152C9CCD"/>
    <w:rsid w:val="15469508"/>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335FDC"/>
    <w:rsid w:val="1D797D1C"/>
    <w:rsid w:val="1DEC7ADA"/>
    <w:rsid w:val="1DEE311B"/>
    <w:rsid w:val="1E29F501"/>
    <w:rsid w:val="1EBCAAAD"/>
    <w:rsid w:val="1EC64C79"/>
    <w:rsid w:val="1F3FDB9F"/>
    <w:rsid w:val="1F5E112B"/>
    <w:rsid w:val="1F8B7DEF"/>
    <w:rsid w:val="2049C0F2"/>
    <w:rsid w:val="205D3B38"/>
    <w:rsid w:val="206859B6"/>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80464C"/>
    <w:rsid w:val="24E87FAF"/>
    <w:rsid w:val="252300F4"/>
    <w:rsid w:val="2556E82F"/>
    <w:rsid w:val="255C3081"/>
    <w:rsid w:val="2577963E"/>
    <w:rsid w:val="257D7E61"/>
    <w:rsid w:val="25B14D1C"/>
    <w:rsid w:val="25BF1B06"/>
    <w:rsid w:val="25CCBA6E"/>
    <w:rsid w:val="263E0D75"/>
    <w:rsid w:val="265EBBFA"/>
    <w:rsid w:val="268CD47D"/>
    <w:rsid w:val="26A31412"/>
    <w:rsid w:val="26A3E900"/>
    <w:rsid w:val="26BBA98C"/>
    <w:rsid w:val="26FDAE94"/>
    <w:rsid w:val="272CB3C1"/>
    <w:rsid w:val="27DC8E35"/>
    <w:rsid w:val="2816F173"/>
    <w:rsid w:val="2874D237"/>
    <w:rsid w:val="288F1017"/>
    <w:rsid w:val="2900C54A"/>
    <w:rsid w:val="2970265A"/>
    <w:rsid w:val="29B1683E"/>
    <w:rsid w:val="2A33B6AC"/>
    <w:rsid w:val="2A496DB7"/>
    <w:rsid w:val="2AE139BB"/>
    <w:rsid w:val="2AECE575"/>
    <w:rsid w:val="2B27938B"/>
    <w:rsid w:val="2B3C4141"/>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306D8536"/>
    <w:rsid w:val="30E22E7D"/>
    <w:rsid w:val="3166FDE8"/>
    <w:rsid w:val="3168DB98"/>
    <w:rsid w:val="31713A35"/>
    <w:rsid w:val="317CEA4F"/>
    <w:rsid w:val="318120C4"/>
    <w:rsid w:val="31A486F4"/>
    <w:rsid w:val="31D6FE52"/>
    <w:rsid w:val="31DE99DC"/>
    <w:rsid w:val="31DF96D1"/>
    <w:rsid w:val="31E55379"/>
    <w:rsid w:val="31F254F0"/>
    <w:rsid w:val="322D097C"/>
    <w:rsid w:val="326B51ED"/>
    <w:rsid w:val="327465D3"/>
    <w:rsid w:val="32F160F0"/>
    <w:rsid w:val="331B0A3D"/>
    <w:rsid w:val="33938258"/>
    <w:rsid w:val="339FE1AC"/>
    <w:rsid w:val="33B0B6BD"/>
    <w:rsid w:val="33C3E176"/>
    <w:rsid w:val="346D6F8C"/>
    <w:rsid w:val="3498ADF4"/>
    <w:rsid w:val="35153716"/>
    <w:rsid w:val="3594478A"/>
    <w:rsid w:val="35EA136D"/>
    <w:rsid w:val="35F2F67E"/>
    <w:rsid w:val="361DA809"/>
    <w:rsid w:val="362D90F7"/>
    <w:rsid w:val="363204CC"/>
    <w:rsid w:val="3692D43B"/>
    <w:rsid w:val="3710D37D"/>
    <w:rsid w:val="3726B5CD"/>
    <w:rsid w:val="376C6C59"/>
    <w:rsid w:val="3789F92C"/>
    <w:rsid w:val="38308C13"/>
    <w:rsid w:val="38359477"/>
    <w:rsid w:val="38487D73"/>
    <w:rsid w:val="38734BE6"/>
    <w:rsid w:val="387DFC27"/>
    <w:rsid w:val="38AEDA36"/>
    <w:rsid w:val="38E30F60"/>
    <w:rsid w:val="38E863E2"/>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8879"/>
    <w:rsid w:val="3EDE33A7"/>
    <w:rsid w:val="3EE7D729"/>
    <w:rsid w:val="3EFECFF0"/>
    <w:rsid w:val="3FA7FC9A"/>
    <w:rsid w:val="3FF922DF"/>
    <w:rsid w:val="4061C06D"/>
    <w:rsid w:val="40898F7C"/>
    <w:rsid w:val="40D6E5C2"/>
    <w:rsid w:val="41154428"/>
    <w:rsid w:val="412665F5"/>
    <w:rsid w:val="41279FD4"/>
    <w:rsid w:val="4157552C"/>
    <w:rsid w:val="4180817A"/>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BEA1829"/>
    <w:rsid w:val="4C0F8EC6"/>
    <w:rsid w:val="4C441ABA"/>
    <w:rsid w:val="4C729A4E"/>
    <w:rsid w:val="4CA81462"/>
    <w:rsid w:val="4D0930E4"/>
    <w:rsid w:val="4D1BDAAC"/>
    <w:rsid w:val="4D6FF0BC"/>
    <w:rsid w:val="4D84887A"/>
    <w:rsid w:val="4E48F670"/>
    <w:rsid w:val="4E8C1F86"/>
    <w:rsid w:val="4E8DC3E2"/>
    <w:rsid w:val="4E94EB1A"/>
    <w:rsid w:val="4EAD197B"/>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2C2D0D"/>
    <w:rsid w:val="51A37481"/>
    <w:rsid w:val="51B632D5"/>
    <w:rsid w:val="5215C140"/>
    <w:rsid w:val="5231806A"/>
    <w:rsid w:val="525D8866"/>
    <w:rsid w:val="52F8023D"/>
    <w:rsid w:val="530D1348"/>
    <w:rsid w:val="5399E754"/>
    <w:rsid w:val="53CFD82B"/>
    <w:rsid w:val="53EB8021"/>
    <w:rsid w:val="543AB9DE"/>
    <w:rsid w:val="546271EF"/>
    <w:rsid w:val="549E7CF4"/>
    <w:rsid w:val="54C0BFEA"/>
    <w:rsid w:val="55084553"/>
    <w:rsid w:val="550FD613"/>
    <w:rsid w:val="55245693"/>
    <w:rsid w:val="55A5464F"/>
    <w:rsid w:val="561AE09A"/>
    <w:rsid w:val="56585D15"/>
    <w:rsid w:val="56622819"/>
    <w:rsid w:val="566697ED"/>
    <w:rsid w:val="5667D21F"/>
    <w:rsid w:val="568C61E1"/>
    <w:rsid w:val="569296E3"/>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A01FBC4"/>
    <w:rsid w:val="5A2FFDC0"/>
    <w:rsid w:val="5A4B2150"/>
    <w:rsid w:val="5A904C62"/>
    <w:rsid w:val="5AA39EC1"/>
    <w:rsid w:val="5B5A0769"/>
    <w:rsid w:val="5C196AE5"/>
    <w:rsid w:val="5C61FA22"/>
    <w:rsid w:val="5C6FE508"/>
    <w:rsid w:val="5CD1BF16"/>
    <w:rsid w:val="5D6A6C87"/>
    <w:rsid w:val="5DE33F8A"/>
    <w:rsid w:val="5DE3E972"/>
    <w:rsid w:val="5E1F1BD5"/>
    <w:rsid w:val="5E54EE63"/>
    <w:rsid w:val="5E76C978"/>
    <w:rsid w:val="5EB3C6C3"/>
    <w:rsid w:val="5EC3C158"/>
    <w:rsid w:val="5F055704"/>
    <w:rsid w:val="5F572696"/>
    <w:rsid w:val="5F5CE01A"/>
    <w:rsid w:val="5FC7ACB3"/>
    <w:rsid w:val="5FCD17EA"/>
    <w:rsid w:val="6094B1EB"/>
    <w:rsid w:val="60AFFF03"/>
    <w:rsid w:val="60E6FBAF"/>
    <w:rsid w:val="62845D5F"/>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F33720"/>
    <w:rsid w:val="678034D3"/>
    <w:rsid w:val="68093B55"/>
    <w:rsid w:val="681D4DCF"/>
    <w:rsid w:val="68645168"/>
    <w:rsid w:val="688E0B40"/>
    <w:rsid w:val="68959810"/>
    <w:rsid w:val="69205CCB"/>
    <w:rsid w:val="6929A108"/>
    <w:rsid w:val="692C18BB"/>
    <w:rsid w:val="6939B83F"/>
    <w:rsid w:val="696C1845"/>
    <w:rsid w:val="696E1247"/>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B7BB53"/>
    <w:rsid w:val="6C675B3A"/>
    <w:rsid w:val="6CBCEC18"/>
    <w:rsid w:val="6CC992EB"/>
    <w:rsid w:val="6D00CD4D"/>
    <w:rsid w:val="6D0A4796"/>
    <w:rsid w:val="6D4800A1"/>
    <w:rsid w:val="6D9E9AA1"/>
    <w:rsid w:val="6DB48648"/>
    <w:rsid w:val="6E1662A8"/>
    <w:rsid w:val="6E2BF25F"/>
    <w:rsid w:val="6ED0E7C5"/>
    <w:rsid w:val="6F43B2DA"/>
    <w:rsid w:val="6F803610"/>
    <w:rsid w:val="6F933ED6"/>
    <w:rsid w:val="6FC5E190"/>
    <w:rsid w:val="7002F348"/>
    <w:rsid w:val="70280E54"/>
    <w:rsid w:val="702F0BF4"/>
    <w:rsid w:val="704B322B"/>
    <w:rsid w:val="707DF129"/>
    <w:rsid w:val="716AF493"/>
    <w:rsid w:val="720FAABC"/>
    <w:rsid w:val="722A22DD"/>
    <w:rsid w:val="72723725"/>
    <w:rsid w:val="72A45446"/>
    <w:rsid w:val="7316D814"/>
    <w:rsid w:val="73196021"/>
    <w:rsid w:val="7347854F"/>
    <w:rsid w:val="73563EF8"/>
    <w:rsid w:val="73CC9E15"/>
    <w:rsid w:val="746EFFBD"/>
    <w:rsid w:val="74BCB0AC"/>
    <w:rsid w:val="752E6AF1"/>
    <w:rsid w:val="7541EDF6"/>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6BBE1E"/>
    <w:rsid w:val="77D3E841"/>
    <w:rsid w:val="787974ED"/>
    <w:rsid w:val="78BBD896"/>
    <w:rsid w:val="78CAAE62"/>
    <w:rsid w:val="79073701"/>
    <w:rsid w:val="793B455B"/>
    <w:rsid w:val="794AFB26"/>
    <w:rsid w:val="79C6C240"/>
    <w:rsid w:val="79D5C5DC"/>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CB983D1"/>
    <w:rsid w:val="7CD425ED"/>
    <w:rsid w:val="7CDA70E9"/>
    <w:rsid w:val="7CEBB621"/>
    <w:rsid w:val="7CFBBDD8"/>
    <w:rsid w:val="7D7A0756"/>
    <w:rsid w:val="7DFE2431"/>
    <w:rsid w:val="7E2E8D92"/>
    <w:rsid w:val="7E6BD5D9"/>
    <w:rsid w:val="7E728F32"/>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F906"/>
  <w14:defaultImageDpi w14:val="32767"/>
  <w15:chartTrackingRefBased/>
  <w15:docId w15:val="{1D200D11-6342-46FE-AAE7-E7D39C1B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us/our-organisation/strategy-2018-2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alaid.vic.gov.au/sites/www.legalaid.vic.gov.au/files/vla-corporate-plan-20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our-organisation/corporate-pl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le&#823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2" ma:contentTypeDescription="Create a new document." ma:contentTypeScope="" ma:versionID="002948fa9efb7937a0a64f984f44d7e9">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b0576d949ddaa184346a470b0d6907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4FCDF-C4EC-420D-A041-931E0F05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E9058-4716-4771-A971-317388B95B4D}">
  <ds:schemaRefs>
    <ds:schemaRef ds:uri="http://schemas.openxmlformats.org/officeDocument/2006/bibliography"/>
  </ds:schemaRefs>
</ds:datastoreItem>
</file>

<file path=customXml/itemProps4.xml><?xml version="1.0" encoding="utf-8"?>
<ds:datastoreItem xmlns:ds="http://schemas.openxmlformats.org/officeDocument/2006/customXml" ds:itemID="{1155BD34-4C78-4625-B136-09FD1AD3B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2019–20 quarter four report</vt:lpstr>
    </vt:vector>
  </TitlesOfParts>
  <Company>Victoria Legal Aid</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quarter four report</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0x01010034BBC6DB36EDF94C89C7B7A43F71F587</vt:lpwstr>
  </op:property>
  <op:property fmtid="{D5CDD505-2E9C-101B-9397-08002B2CF9AE}" pid="3" name="_MarkAsFinal">
    <vt:bool>true</vt:bool>
  </op:property>
</op:Properties>
</file>