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F6626" w14:textId="39B51CFB" w:rsidR="00E50B26" w:rsidRDefault="00627BED" w:rsidP="00E50B26">
      <w:pPr>
        <w:pStyle w:val="Heading1"/>
        <w:rPr>
          <w:sz w:val="24"/>
          <w:szCs w:val="24"/>
        </w:rPr>
      </w:pPr>
      <w:r>
        <w:t xml:space="preserve">Victoria Legal Aid </w:t>
      </w:r>
      <w:r w:rsidR="004175B7">
        <w:t>20</w:t>
      </w:r>
      <w:r w:rsidR="00214F4D">
        <w:t>20</w:t>
      </w:r>
      <w:r w:rsidR="004175B7">
        <w:t>–2</w:t>
      </w:r>
      <w:r w:rsidR="00214F4D">
        <w:t>1</w:t>
      </w:r>
      <w:r w:rsidR="004175B7">
        <w:t xml:space="preserve"> </w:t>
      </w:r>
      <w:r w:rsidR="79DAA64C">
        <w:t>Q</w:t>
      </w:r>
      <w:r w:rsidR="004175B7">
        <w:t xml:space="preserve">uarter </w:t>
      </w:r>
      <w:r w:rsidR="3E874B1C">
        <w:t>O</w:t>
      </w:r>
      <w:r w:rsidR="00214F4D">
        <w:t xml:space="preserve">ne </w:t>
      </w:r>
      <w:r w:rsidR="2FDC21A0">
        <w:t>R</w:t>
      </w:r>
      <w:r w:rsidR="004175B7">
        <w:t>eport</w:t>
      </w:r>
      <w:r w:rsidR="00544E69">
        <w:t xml:space="preserve"> </w:t>
      </w:r>
      <w:r>
        <w:br/>
      </w:r>
      <w:r w:rsidR="00544E69" w:rsidRPr="6B8ABD5E">
        <w:rPr>
          <w:sz w:val="24"/>
          <w:szCs w:val="24"/>
        </w:rPr>
        <w:t xml:space="preserve">1 </w:t>
      </w:r>
      <w:r w:rsidR="00214F4D" w:rsidRPr="6B8ABD5E">
        <w:rPr>
          <w:sz w:val="24"/>
          <w:szCs w:val="24"/>
        </w:rPr>
        <w:t>July</w:t>
      </w:r>
      <w:r w:rsidR="00544E69" w:rsidRPr="6B8ABD5E">
        <w:rPr>
          <w:sz w:val="24"/>
          <w:szCs w:val="24"/>
        </w:rPr>
        <w:t xml:space="preserve"> – </w:t>
      </w:r>
      <w:r w:rsidR="00214F4D" w:rsidRPr="6B8ABD5E">
        <w:rPr>
          <w:sz w:val="24"/>
          <w:szCs w:val="24"/>
        </w:rPr>
        <w:t>30 September</w:t>
      </w:r>
      <w:r w:rsidR="00544E69" w:rsidRPr="6B8ABD5E">
        <w:rPr>
          <w:sz w:val="24"/>
          <w:szCs w:val="24"/>
        </w:rPr>
        <w:t xml:space="preserve"> 20</w:t>
      </w:r>
      <w:r w:rsidR="00CA1D1A" w:rsidRPr="6B8ABD5E">
        <w:rPr>
          <w:sz w:val="24"/>
          <w:szCs w:val="24"/>
        </w:rPr>
        <w:t>20</w:t>
      </w:r>
    </w:p>
    <w:p w14:paraId="25FB6B02" w14:textId="089C953B" w:rsidR="00E84672" w:rsidRDefault="00BF1E92" w:rsidP="00E84672">
      <w:pPr>
        <w:pStyle w:val="Heading2"/>
      </w:pPr>
      <w:r>
        <w:t xml:space="preserve">Message from the </w:t>
      </w:r>
      <w:r w:rsidRPr="001F0CF5">
        <w:t>CEO</w:t>
      </w:r>
    </w:p>
    <w:p w14:paraId="717BFDA4" w14:textId="77777777" w:rsidR="001815CF" w:rsidRDefault="00C55CA2" w:rsidP="00C55CA2">
      <w:r>
        <w:t xml:space="preserve">In August 2020, the Victorian Government took new steps to enforce a stage four lockdown </w:t>
      </w:r>
      <w:proofErr w:type="gramStart"/>
      <w:r>
        <w:t>in an effort to</w:t>
      </w:r>
      <w:proofErr w:type="gramEnd"/>
      <w:r>
        <w:t xml:space="preserve"> curb Victoria’s second wave of COVID-19. The pandemic and its restrictions have had large impacts on the previously existing social and economic difficulties that many of our client’s face. This impact has been evident in the way our clients contact us and what they are contacting us about</w:t>
      </w:r>
      <w:r w:rsidR="001815CF">
        <w:t xml:space="preserve"> and we</w:t>
      </w:r>
      <w:r>
        <w:t xml:space="preserve"> are committed to ensuring the needs of our clients are met, especially during the pandemic. </w:t>
      </w:r>
    </w:p>
    <w:p w14:paraId="05FE337B" w14:textId="77CF945F" w:rsidR="00923CA6" w:rsidRDefault="00C55CA2" w:rsidP="00C55CA2">
      <w:r>
        <w:t>The impacts of COVID on</w:t>
      </w:r>
      <w:r w:rsidR="00923CA6">
        <w:t xml:space="preserve"> the</w:t>
      </w:r>
      <w:r>
        <w:t xml:space="preserve"> Victorian community have reinforced our Legal Help service’s role as an essential community service</w:t>
      </w:r>
      <w:r w:rsidR="00923CA6">
        <w:t>.</w:t>
      </w:r>
      <w:r w:rsidR="003B60D1" w:rsidRPr="003B60D1">
        <w:t xml:space="preserve"> </w:t>
      </w:r>
      <w:r w:rsidR="00923CA6">
        <w:t>We</w:t>
      </w:r>
      <w:r w:rsidR="003B60D1">
        <w:t xml:space="preserve"> have been able to use the COVID-19 funding we received at the end of the previous financial year to support this</w:t>
      </w:r>
      <w:r w:rsidR="00923CA6">
        <w:t xml:space="preserve"> role</w:t>
      </w:r>
      <w:r w:rsidR="003B60D1">
        <w:t xml:space="preserve"> by hiring additional Legal Help staff</w:t>
      </w:r>
      <w:r w:rsidR="00923CA6">
        <w:t>, as well as two additional Aboriginal Community Engagement officers in our Ballarat and Geelong offices.</w:t>
      </w:r>
      <w:r>
        <w:t xml:space="preserve"> </w:t>
      </w:r>
    </w:p>
    <w:p w14:paraId="0A23432F" w14:textId="79DAC0F4" w:rsidR="00C55CA2" w:rsidRPr="001815CF" w:rsidRDefault="00923CA6" w:rsidP="00C55CA2">
      <w:r>
        <w:t>Our Legal Help</w:t>
      </w:r>
      <w:r w:rsidR="00C55CA2">
        <w:t xml:space="preserve"> service experienced an increase in requests for information and advice, especially from people experiencing</w:t>
      </w:r>
      <w:r w:rsidR="00D72404">
        <w:t>,</w:t>
      </w:r>
      <w:r w:rsidR="00C55CA2">
        <w:t xml:space="preserve"> or at risk of</w:t>
      </w:r>
      <w:r w:rsidR="00D72404">
        <w:t>,</w:t>
      </w:r>
      <w:r w:rsidR="00C55CA2">
        <w:t xml:space="preserve"> family </w:t>
      </w:r>
      <w:r w:rsidR="001815CF">
        <w:t>violence. In</w:t>
      </w:r>
      <w:r w:rsidR="00C55CA2">
        <w:t xml:space="preserve"> response, </w:t>
      </w:r>
      <w:hyperlink r:id="rId11" w:history="1">
        <w:r w:rsidR="00C55CA2" w:rsidRPr="00A74543">
          <w:rPr>
            <w:rStyle w:val="Hyperlink"/>
          </w:rPr>
          <w:t>we set up priority family violence phone and webchat lines</w:t>
        </w:r>
      </w:hyperlink>
      <w:r w:rsidR="00C55CA2">
        <w:t xml:space="preserve"> to make it simpler for </w:t>
      </w:r>
      <w:r w:rsidR="00C55CA2" w:rsidRPr="00E16DE9">
        <w:t xml:space="preserve">people </w:t>
      </w:r>
      <w:r w:rsidR="00C55CA2">
        <w:t>to get as</w:t>
      </w:r>
      <w:r w:rsidR="00C55CA2" w:rsidRPr="00C55CA2">
        <w:rPr>
          <w:rFonts w:cs="Arial"/>
          <w:szCs w:val="22"/>
        </w:rPr>
        <w:t>sistance and</w:t>
      </w:r>
      <w:r w:rsidR="00C55CA2" w:rsidRPr="00183C63">
        <w:rPr>
          <w:rFonts w:cs="Arial"/>
          <w:szCs w:val="22"/>
          <w:lang w:val="en-US"/>
        </w:rPr>
        <w:t xml:space="preserve"> </w:t>
      </w:r>
      <w:r w:rsidR="00D72404">
        <w:rPr>
          <w:rFonts w:cs="Arial"/>
          <w:szCs w:val="22"/>
          <w:lang w:val="en-US"/>
        </w:rPr>
        <w:t xml:space="preserve">we </w:t>
      </w:r>
      <w:r w:rsidR="00C55CA2" w:rsidRPr="00183C63">
        <w:rPr>
          <w:rFonts w:cs="Arial"/>
          <w:szCs w:val="22"/>
          <w:lang w:val="en-US"/>
        </w:rPr>
        <w:t>are partnering with Women's Legal Service to provide support to women experiencing family violence</w:t>
      </w:r>
      <w:r w:rsidR="00C55CA2">
        <w:rPr>
          <w:rFonts w:ascii="Helvetica" w:hAnsi="Helvetica" w:cs="Segoe UI"/>
          <w:color w:val="333333"/>
          <w:sz w:val="21"/>
          <w:szCs w:val="21"/>
          <w:lang w:val="en-US"/>
        </w:rPr>
        <w:t>.</w:t>
      </w:r>
      <w:r w:rsidR="001815CF">
        <w:t xml:space="preserve"> </w:t>
      </w:r>
      <w:r w:rsidR="00C55CA2">
        <w:t>We are also experiencing a high number of people looking for information and advice on tenancy and employment issues</w:t>
      </w:r>
      <w:r w:rsidR="001815CF">
        <w:t xml:space="preserve">, </w:t>
      </w:r>
      <w:r w:rsidR="00C55CA2">
        <w:t>and our COVID-19 related pages remain</w:t>
      </w:r>
      <w:r w:rsidR="001815CF">
        <w:t xml:space="preserve"> </w:t>
      </w:r>
      <w:r w:rsidR="00C55CA2">
        <w:t xml:space="preserve">the most visited on our </w:t>
      </w:r>
      <w:r w:rsidR="00C55CA2" w:rsidRPr="00C55CA2">
        <w:rPr>
          <w:rFonts w:cs="Arial"/>
          <w:szCs w:val="22"/>
        </w:rPr>
        <w:t>website.</w:t>
      </w:r>
      <w:r w:rsidR="00C55CA2" w:rsidRPr="00183C63">
        <w:rPr>
          <w:rFonts w:cs="Arial"/>
          <w:szCs w:val="22"/>
          <w:lang w:val="en-US"/>
        </w:rPr>
        <w:t xml:space="preserve"> We will soon be launching a priority tenancy phone line and web</w:t>
      </w:r>
      <w:r w:rsidR="00D72404">
        <w:rPr>
          <w:rFonts w:cs="Arial"/>
          <w:szCs w:val="22"/>
          <w:lang w:val="en-US"/>
        </w:rPr>
        <w:t xml:space="preserve"> </w:t>
      </w:r>
      <w:r w:rsidR="00C55CA2" w:rsidRPr="00183C63">
        <w:rPr>
          <w:rFonts w:cs="Arial"/>
          <w:szCs w:val="22"/>
          <w:lang w:val="en-US"/>
        </w:rPr>
        <w:t xml:space="preserve">chat channel, and we are partnering with Tenants Victoria to assist with their intake and triage and </w:t>
      </w:r>
      <w:r w:rsidR="00D72404">
        <w:rPr>
          <w:rFonts w:cs="Arial"/>
          <w:szCs w:val="22"/>
          <w:lang w:val="en-US"/>
        </w:rPr>
        <w:t xml:space="preserve">to </w:t>
      </w:r>
      <w:r w:rsidR="00C55CA2" w:rsidRPr="00183C63">
        <w:rPr>
          <w:rFonts w:cs="Arial"/>
          <w:szCs w:val="22"/>
          <w:lang w:val="en-US"/>
        </w:rPr>
        <w:t xml:space="preserve">ensure consistent referrals. A similar initiative is also underway with </w:t>
      </w:r>
      <w:r w:rsidR="00D72404" w:rsidRPr="00183C63">
        <w:rPr>
          <w:rFonts w:cs="Arial"/>
          <w:szCs w:val="22"/>
          <w:lang w:val="en-US"/>
        </w:rPr>
        <w:t>JobWatch</w:t>
      </w:r>
      <w:r w:rsidR="00D72404">
        <w:rPr>
          <w:rFonts w:cs="Arial"/>
          <w:szCs w:val="22"/>
          <w:lang w:val="en-US"/>
        </w:rPr>
        <w:t>—</w:t>
      </w:r>
      <w:r w:rsidR="00C55CA2" w:rsidRPr="00183C63">
        <w:rPr>
          <w:rFonts w:cs="Arial"/>
          <w:szCs w:val="22"/>
          <w:lang w:val="en-US"/>
        </w:rPr>
        <w:t>the specialist employment law community legal centre</w:t>
      </w:r>
      <w:r w:rsidR="00D72404">
        <w:rPr>
          <w:rFonts w:cs="Arial"/>
          <w:szCs w:val="22"/>
          <w:lang w:val="en-US"/>
        </w:rPr>
        <w:t>—</w:t>
      </w:r>
      <w:r w:rsidR="00C55CA2" w:rsidRPr="00183C63">
        <w:rPr>
          <w:rFonts w:cs="Arial"/>
          <w:szCs w:val="22"/>
          <w:lang w:val="en-US"/>
        </w:rPr>
        <w:t>in response to employment related queries.</w:t>
      </w:r>
    </w:p>
    <w:p w14:paraId="05D5078B" w14:textId="08835A92" w:rsidR="00C55CA2" w:rsidRDefault="00C55CA2" w:rsidP="00C55CA2">
      <w:r>
        <w:t xml:space="preserve">When the courts adjourned </w:t>
      </w:r>
      <w:proofErr w:type="gramStart"/>
      <w:r>
        <w:t>the majority of</w:t>
      </w:r>
      <w:proofErr w:type="gramEnd"/>
      <w:r>
        <w:t xml:space="preserve"> non-urgent cases </w:t>
      </w:r>
      <w:r w:rsidR="001815CF">
        <w:t xml:space="preserve">in </w:t>
      </w:r>
      <w:r w:rsidR="005B6FBA">
        <w:t>March 2020,</w:t>
      </w:r>
      <w:r w:rsidR="001815CF">
        <w:t xml:space="preserve"> </w:t>
      </w:r>
      <w:r>
        <w:t xml:space="preserve">we </w:t>
      </w:r>
      <w:r w:rsidR="00F423AD">
        <w:t>sa</w:t>
      </w:r>
      <w:r w:rsidR="00923CA6">
        <w:t xml:space="preserve">w a large reduction in </w:t>
      </w:r>
      <w:r w:rsidR="001815CF">
        <w:t xml:space="preserve">a </w:t>
      </w:r>
      <w:r>
        <w:t xml:space="preserve">point of contact to some of our clients, </w:t>
      </w:r>
      <w:r w:rsidR="00D72404">
        <w:t>through reduced</w:t>
      </w:r>
      <w:r>
        <w:t xml:space="preserve"> in</w:t>
      </w:r>
      <w:r w:rsidR="00D72404">
        <w:t>-</w:t>
      </w:r>
      <w:r>
        <w:t>person duty lawyer service</w:t>
      </w:r>
      <w:r w:rsidR="00D72404">
        <w:t>s</w:t>
      </w:r>
      <w:r>
        <w:t>. Our duty lawyers play an essential role in access to justice, both in person and remotely</w:t>
      </w:r>
      <w:r w:rsidR="00923CA6">
        <w:t>, and the</w:t>
      </w:r>
      <w:r>
        <w:t xml:space="preserve"> ongoing requirements of social distancing have meant that the majority of court cases and tribunals</w:t>
      </w:r>
      <w:r w:rsidR="001815CF">
        <w:t xml:space="preserve"> that are going ahead</w:t>
      </w:r>
      <w:r>
        <w:t xml:space="preserve"> are heard virtually. We have been working with our justice system partners to ensure that potential clients can attend court both virtually and in person if this is required</w:t>
      </w:r>
      <w:r w:rsidR="00923CA6">
        <w:t>.</w:t>
      </w:r>
    </w:p>
    <w:p w14:paraId="5EDE64F7" w14:textId="31904FCE" w:rsidR="00923CA6" w:rsidRDefault="00923CA6" w:rsidP="001815CF">
      <w:pPr>
        <w:rPr>
          <w:rFonts w:eastAsia="Calibri" w:cs="Arial"/>
          <w:szCs w:val="22"/>
        </w:rPr>
      </w:pPr>
      <w:r>
        <w:t>The justice system</w:t>
      </w:r>
      <w:r w:rsidR="00F423AD">
        <w:t xml:space="preserve"> and VLA</w:t>
      </w:r>
      <w:r>
        <w:t xml:space="preserve"> continues to adapt to providing online services. We recently launched our </w:t>
      </w:r>
      <w:hyperlink r:id="rId12" w:history="1">
        <w:r w:rsidRPr="00757B9F">
          <w:rPr>
            <w:rStyle w:val="Hyperlink"/>
          </w:rPr>
          <w:t>Help Before Court</w:t>
        </w:r>
      </w:hyperlink>
      <w:r>
        <w:t xml:space="preserve"> tool, available on the </w:t>
      </w:r>
      <w:hyperlink r:id="rId13" w:history="1">
        <w:r w:rsidRPr="00646AF4">
          <w:rPr>
            <w:rStyle w:val="Hyperlink"/>
          </w:rPr>
          <w:t>Magistrates’ Court</w:t>
        </w:r>
      </w:hyperlink>
      <w:r>
        <w:t xml:space="preserve"> website, to help clients be better prepared before they go to court. We know that not all our clients can engage with online tools and are taking steps to ensure that our services are accessible over </w:t>
      </w:r>
      <w:proofErr w:type="gramStart"/>
      <w:r>
        <w:t>a number of</w:t>
      </w:r>
      <w:proofErr w:type="gramEnd"/>
      <w:r>
        <w:t xml:space="preserve"> platforms.</w:t>
      </w:r>
    </w:p>
    <w:p w14:paraId="588F0C14" w14:textId="6ACA89DA" w:rsidR="00C55CA2" w:rsidRPr="002372AE" w:rsidRDefault="00C55CA2" w:rsidP="00C55CA2">
      <w:pPr>
        <w:rPr>
          <w:b/>
          <w:bCs/>
          <w:lang w:eastAsia="en-AU"/>
        </w:rPr>
      </w:pPr>
      <w:r>
        <w:rPr>
          <w:lang w:eastAsia="en-AU"/>
        </w:rPr>
        <w:t xml:space="preserve">As well as changing the way we deliver our services </w:t>
      </w:r>
      <w:proofErr w:type="gramStart"/>
      <w:r>
        <w:rPr>
          <w:lang w:eastAsia="en-AU"/>
        </w:rPr>
        <w:t>in light of</w:t>
      </w:r>
      <w:proofErr w:type="gramEnd"/>
      <w:r>
        <w:rPr>
          <w:lang w:eastAsia="en-AU"/>
        </w:rPr>
        <w:t xml:space="preserve"> COVID-19 restrictions, we have also advocat</w:t>
      </w:r>
      <w:r w:rsidR="005B6FBA">
        <w:rPr>
          <w:lang w:eastAsia="en-AU"/>
        </w:rPr>
        <w:t>ed</w:t>
      </w:r>
      <w:r>
        <w:rPr>
          <w:lang w:eastAsia="en-AU"/>
        </w:rPr>
        <w:t xml:space="preserve"> on behalf of our clients. We have been providing regular feedback to the Department of Justice and Community Safety (</w:t>
      </w:r>
      <w:r>
        <w:t>DJCS</w:t>
      </w:r>
      <w:r>
        <w:rPr>
          <w:lang w:eastAsia="en-AU"/>
        </w:rPr>
        <w:t>) on the experiences of our lawyers and clients during COVID-19 restrictions. In quarter one 2020</w:t>
      </w:r>
      <w:r>
        <w:rPr>
          <w:lang w:eastAsia="en-AU"/>
        </w:rPr>
        <w:sym w:font="Symbol" w:char="F02D"/>
      </w:r>
      <w:r>
        <w:rPr>
          <w:lang w:eastAsia="en-AU"/>
        </w:rPr>
        <w:t>2</w:t>
      </w:r>
      <w:r w:rsidR="005B6FBA">
        <w:rPr>
          <w:lang w:eastAsia="en-AU"/>
        </w:rPr>
        <w:t xml:space="preserve">1, </w:t>
      </w:r>
      <w:r>
        <w:rPr>
          <w:lang w:eastAsia="en-AU"/>
        </w:rPr>
        <w:t xml:space="preserve">we also made submissions to the Victorian Government’s consultations on the first </w:t>
      </w:r>
      <w:hyperlink r:id="rId14" w:history="1">
        <w:r w:rsidRPr="00753D5C">
          <w:rPr>
            <w:rStyle w:val="Hyperlink"/>
            <w:lang w:eastAsia="en-AU"/>
          </w:rPr>
          <w:t>LGBTIQ Strategy</w:t>
        </w:r>
      </w:hyperlink>
      <w:r>
        <w:rPr>
          <w:lang w:eastAsia="en-AU"/>
        </w:rPr>
        <w:t xml:space="preserve">, the House Standing Committee on Social Policy and Legal Affairs </w:t>
      </w:r>
      <w:hyperlink r:id="rId15" w:anchor="20-july-sv" w:history="1">
        <w:r w:rsidRPr="00155591">
          <w:rPr>
            <w:rStyle w:val="Hyperlink"/>
            <w:lang w:eastAsia="en-AU"/>
          </w:rPr>
          <w:t>inquiry into family, domestic and sexual</w:t>
        </w:r>
      </w:hyperlink>
      <w:r>
        <w:rPr>
          <w:lang w:eastAsia="en-AU"/>
        </w:rPr>
        <w:t xml:space="preserve"> violence, and to the </w:t>
      </w:r>
      <w:hyperlink r:id="rId16" w:history="1">
        <w:r w:rsidRPr="00F846D2">
          <w:rPr>
            <w:rStyle w:val="Hyperlink"/>
            <w:lang w:eastAsia="en-AU"/>
          </w:rPr>
          <w:t>Family Violence Reform Implementation Monitor</w:t>
        </w:r>
        <w:r>
          <w:rPr>
            <w:rStyle w:val="Hyperlink"/>
            <w:lang w:eastAsia="en-AU"/>
          </w:rPr>
          <w:t>.</w:t>
        </w:r>
        <w:r w:rsidRPr="00F846D2">
          <w:rPr>
            <w:rStyle w:val="Hyperlink"/>
            <w:lang w:eastAsia="en-AU"/>
          </w:rPr>
          <w:t xml:space="preserve"> </w:t>
        </w:r>
      </w:hyperlink>
      <w:r>
        <w:rPr>
          <w:lang w:eastAsia="en-AU"/>
        </w:rPr>
        <w:t xml:space="preserve"> </w:t>
      </w:r>
    </w:p>
    <w:p w14:paraId="22246B96" w14:textId="77777777" w:rsidR="00923CA6" w:rsidRPr="001815CF" w:rsidRDefault="00923CA6" w:rsidP="001815CF">
      <w:pPr>
        <w:rPr>
          <w:lang w:eastAsia="en-AU"/>
        </w:rPr>
      </w:pPr>
    </w:p>
    <w:p w14:paraId="1C7CBEA9" w14:textId="4FB273DA" w:rsidR="00E43EE2" w:rsidRDefault="009E5C83" w:rsidP="00597600">
      <w:pPr>
        <w:pStyle w:val="Heading2"/>
      </w:pPr>
      <w:r>
        <w:lastRenderedPageBreak/>
        <w:t>Client Services</w:t>
      </w:r>
      <w:r w:rsidR="007F609B">
        <w:t xml:space="preserve"> </w:t>
      </w:r>
      <w:r w:rsidR="004175B7" w:rsidRPr="004175B7">
        <w:t xml:space="preserve"> </w:t>
      </w:r>
    </w:p>
    <w:p w14:paraId="0D99DC13" w14:textId="585140C6" w:rsidR="005F0386" w:rsidRDefault="005B6FBA" w:rsidP="00B53761">
      <w:pPr>
        <w:rPr>
          <w:lang w:eastAsia="en-AU"/>
        </w:rPr>
      </w:pPr>
      <w:r>
        <w:rPr>
          <w:lang w:eastAsia="en-AU"/>
        </w:rPr>
        <w:t>W</w:t>
      </w:r>
      <w:r w:rsidR="0080753F">
        <w:rPr>
          <w:lang w:eastAsia="en-AU"/>
        </w:rPr>
        <w:t xml:space="preserve">e are unable to provide service </w:t>
      </w:r>
      <w:r w:rsidR="00E973BE">
        <w:rPr>
          <w:lang w:eastAsia="en-AU"/>
        </w:rPr>
        <w:t xml:space="preserve">or financial </w:t>
      </w:r>
      <w:r w:rsidR="0080753F">
        <w:rPr>
          <w:lang w:eastAsia="en-AU"/>
        </w:rPr>
        <w:t>projections</w:t>
      </w:r>
      <w:r w:rsidR="00CE31F4">
        <w:rPr>
          <w:lang w:eastAsia="en-AU"/>
        </w:rPr>
        <w:t xml:space="preserve"> in this report</w:t>
      </w:r>
      <w:r w:rsidR="007B75EB">
        <w:rPr>
          <w:lang w:eastAsia="en-AU"/>
        </w:rPr>
        <w:t xml:space="preserve"> due to the delayed state budget</w:t>
      </w:r>
      <w:r w:rsidR="0045298D">
        <w:rPr>
          <w:lang w:eastAsia="en-AU"/>
        </w:rPr>
        <w:t xml:space="preserve">. </w:t>
      </w:r>
      <w:r w:rsidR="00BF37B8">
        <w:rPr>
          <w:lang w:eastAsia="en-AU"/>
        </w:rPr>
        <w:t xml:space="preserve">The state budget </w:t>
      </w:r>
      <w:r w:rsidR="0079266F">
        <w:rPr>
          <w:lang w:eastAsia="en-AU"/>
        </w:rPr>
        <w:t>wa</w:t>
      </w:r>
      <w:r w:rsidR="00BF37B8">
        <w:rPr>
          <w:lang w:eastAsia="en-AU"/>
        </w:rPr>
        <w:t xml:space="preserve">s announced </w:t>
      </w:r>
      <w:r w:rsidR="0079266F">
        <w:rPr>
          <w:lang w:eastAsia="en-AU"/>
        </w:rPr>
        <w:t>i</w:t>
      </w:r>
      <w:r w:rsidR="00BF37B8">
        <w:rPr>
          <w:lang w:eastAsia="en-AU"/>
        </w:rPr>
        <w:t xml:space="preserve">n </w:t>
      </w:r>
      <w:r w:rsidR="0079266F">
        <w:rPr>
          <w:lang w:eastAsia="en-AU"/>
        </w:rPr>
        <w:t xml:space="preserve">late </w:t>
      </w:r>
      <w:r w:rsidR="00BF37B8">
        <w:rPr>
          <w:lang w:eastAsia="en-AU"/>
        </w:rPr>
        <w:t>November</w:t>
      </w:r>
      <w:r w:rsidR="00B81DE1">
        <w:rPr>
          <w:lang w:eastAsia="en-AU"/>
        </w:rPr>
        <w:t xml:space="preserve"> 2020, and we</w:t>
      </w:r>
      <w:r w:rsidR="0045298D">
        <w:rPr>
          <w:szCs w:val="22"/>
        </w:rPr>
        <w:t xml:space="preserve"> will publish our budget and service projections </w:t>
      </w:r>
      <w:r w:rsidR="0079266F">
        <w:rPr>
          <w:szCs w:val="22"/>
        </w:rPr>
        <w:t>shortly</w:t>
      </w:r>
      <w:r w:rsidR="00511D69">
        <w:rPr>
          <w:szCs w:val="22"/>
        </w:rPr>
        <w:t>.</w:t>
      </w:r>
    </w:p>
    <w:p w14:paraId="3C21063F" w14:textId="6764E295"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34"/>
        <w:gridCol w:w="2588"/>
        <w:gridCol w:w="2954"/>
      </w:tblGrid>
      <w:tr w:rsidR="00880D4D" w:rsidRPr="000E7EED" w14:paraId="5105FACB" w14:textId="02280261" w:rsidTr="00C55CA2">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2250" w:type="pct"/>
            <w:shd w:val="clear" w:color="auto" w:fill="C3AFCC"/>
          </w:tcPr>
          <w:p w14:paraId="02AC0E7C" w14:textId="77777777" w:rsidR="00880D4D" w:rsidRPr="000E7EED" w:rsidRDefault="00880D4D"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1284" w:type="pct"/>
            <w:shd w:val="clear" w:color="auto" w:fill="C3AFCC"/>
          </w:tcPr>
          <w:p w14:paraId="1DB462B9" w14:textId="214DB914" w:rsidR="00880D4D" w:rsidRPr="000E7EED" w:rsidRDefault="00880D4D" w:rsidP="55245693">
            <w:pPr>
              <w:jc w:val="center"/>
              <w:rPr>
                <w:b/>
                <w:color w:val="000000" w:themeColor="text1"/>
              </w:rPr>
            </w:pPr>
            <w:r w:rsidRPr="55245693">
              <w:rPr>
                <w:b/>
                <w:color w:val="000000" w:themeColor="text1"/>
              </w:rPr>
              <w:t>Q</w:t>
            </w:r>
            <w:r>
              <w:rPr>
                <w:b/>
                <w:color w:val="000000" w:themeColor="text1"/>
              </w:rPr>
              <w:t>1</w:t>
            </w:r>
          </w:p>
          <w:p w14:paraId="2C3C051D" w14:textId="03976F51" w:rsidR="00880D4D" w:rsidRPr="000E7EED" w:rsidRDefault="00880D4D" w:rsidP="0039260E">
            <w:pPr>
              <w:jc w:val="center"/>
              <w:rPr>
                <w:color w:val="000000" w:themeColor="text1"/>
              </w:rPr>
            </w:pPr>
            <w:r w:rsidRPr="000E7EED">
              <w:rPr>
                <w:b/>
                <w:color w:val="000000" w:themeColor="text1"/>
              </w:rPr>
              <w:t>20</w:t>
            </w:r>
            <w:r>
              <w:rPr>
                <w:b/>
                <w:color w:val="000000" w:themeColor="text1"/>
              </w:rPr>
              <w:t>19-20</w:t>
            </w:r>
          </w:p>
        </w:tc>
        <w:tc>
          <w:tcPr>
            <w:cnfStyle w:val="000010000000" w:firstRow="0" w:lastRow="0" w:firstColumn="0" w:lastColumn="0" w:oddVBand="1" w:evenVBand="0" w:oddHBand="0" w:evenHBand="0" w:firstRowFirstColumn="0" w:firstRowLastColumn="0" w:lastRowFirstColumn="0" w:lastRowLastColumn="0"/>
            <w:tcW w:w="1466" w:type="pct"/>
            <w:shd w:val="clear" w:color="auto" w:fill="C3AFCC"/>
          </w:tcPr>
          <w:p w14:paraId="47FD7D32" w14:textId="7D0E5DB4" w:rsidR="00880D4D" w:rsidRDefault="00880D4D" w:rsidP="55245693">
            <w:pPr>
              <w:jc w:val="center"/>
              <w:rPr>
                <w:b/>
                <w:color w:val="000000" w:themeColor="text1"/>
              </w:rPr>
            </w:pPr>
            <w:r w:rsidRPr="55245693">
              <w:rPr>
                <w:b/>
                <w:color w:val="000000" w:themeColor="text1"/>
              </w:rPr>
              <w:t>Q</w:t>
            </w:r>
            <w:r>
              <w:rPr>
                <w:b/>
                <w:color w:val="000000" w:themeColor="text1"/>
              </w:rPr>
              <w:t>1</w:t>
            </w:r>
          </w:p>
          <w:p w14:paraId="62B8B011" w14:textId="08AB0819" w:rsidR="00880D4D" w:rsidRPr="00A76427" w:rsidRDefault="00880D4D" w:rsidP="0039260E">
            <w:pPr>
              <w:jc w:val="center"/>
              <w:rPr>
                <w:b/>
                <w:color w:val="000000" w:themeColor="text1"/>
              </w:rPr>
            </w:pPr>
            <w:r w:rsidRPr="000E7EED">
              <w:rPr>
                <w:b/>
                <w:color w:val="000000" w:themeColor="text1"/>
              </w:rPr>
              <w:t>20</w:t>
            </w:r>
            <w:r>
              <w:rPr>
                <w:b/>
                <w:color w:val="000000" w:themeColor="text1"/>
              </w:rPr>
              <w:t>20-21</w:t>
            </w:r>
          </w:p>
        </w:tc>
      </w:tr>
      <w:tr w:rsidR="00880D4D" w:rsidRPr="000E7EED" w14:paraId="712E240F" w14:textId="781C6912" w:rsidTr="00C55CA2">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2250" w:type="pct"/>
          </w:tcPr>
          <w:p w14:paraId="6D73261E" w14:textId="77777777" w:rsidR="00880D4D" w:rsidRPr="000E7EED" w:rsidRDefault="00880D4D"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1284" w:type="pct"/>
          </w:tcPr>
          <w:p w14:paraId="758A4E12" w14:textId="3D976270" w:rsidR="00880D4D" w:rsidRPr="000E7EED" w:rsidRDefault="00880D4D" w:rsidP="0039260E">
            <w:pPr>
              <w:jc w:val="right"/>
              <w:rPr>
                <w:color w:val="000000" w:themeColor="text1"/>
              </w:rPr>
            </w:pPr>
            <w:r>
              <w:rPr>
                <w:color w:val="000000" w:themeColor="text1"/>
              </w:rPr>
              <w:t>34,351</w:t>
            </w:r>
          </w:p>
        </w:tc>
        <w:tc>
          <w:tcPr>
            <w:cnfStyle w:val="000010000000" w:firstRow="0" w:lastRow="0" w:firstColumn="0" w:lastColumn="0" w:oddVBand="1" w:evenVBand="0" w:oddHBand="0" w:evenHBand="0" w:firstRowFirstColumn="0" w:firstRowLastColumn="0" w:lastRowFirstColumn="0" w:lastRowLastColumn="0"/>
            <w:tcW w:w="1466" w:type="pct"/>
            <w:shd w:val="clear" w:color="auto" w:fill="D9D9D9" w:themeFill="background1" w:themeFillShade="D9"/>
          </w:tcPr>
          <w:p w14:paraId="5C50A8F1" w14:textId="64E72E27" w:rsidR="00880D4D" w:rsidRPr="0021615C" w:rsidRDefault="00880D4D" w:rsidP="0039260E">
            <w:pPr>
              <w:jc w:val="right"/>
            </w:pPr>
            <w:r>
              <w:t>22,466</w:t>
            </w:r>
          </w:p>
        </w:tc>
      </w:tr>
    </w:tbl>
    <w:bookmarkEnd w:id="0"/>
    <w:p w14:paraId="04191641" w14:textId="27F107CB" w:rsidR="00881695" w:rsidRDefault="00881695" w:rsidP="002A7FC0">
      <w:pPr>
        <w:spacing w:before="120"/>
      </w:pPr>
      <w:r w:rsidRPr="005235D4">
        <w:t>The</w:t>
      </w:r>
      <w:r>
        <w:t>re was</w:t>
      </w:r>
      <w:r w:rsidRPr="005235D4">
        <w:t xml:space="preserve"> </w:t>
      </w:r>
      <w:r w:rsidR="00AF254C">
        <w:t>a</w:t>
      </w:r>
      <w:r w:rsidR="00D528BA">
        <w:t xml:space="preserve"> 34.6 </w:t>
      </w:r>
      <w:r w:rsidR="00DC5F2E">
        <w:t>per cen</w:t>
      </w:r>
      <w:r w:rsidR="00D528BA">
        <w:t>t decrease</w:t>
      </w:r>
      <w:r w:rsidR="00DC5F2E">
        <w:t xml:space="preserve"> </w:t>
      </w:r>
      <w:r>
        <w:t xml:space="preserve">in </w:t>
      </w:r>
      <w:r w:rsidR="00AF254C">
        <w:t xml:space="preserve">the </w:t>
      </w:r>
      <w:r w:rsidRPr="005235D4">
        <w:t xml:space="preserve">number of unique clients in </w:t>
      </w:r>
      <w:r w:rsidR="00DC5F2E">
        <w:t>quarter one 2020</w:t>
      </w:r>
      <w:r w:rsidR="001D1BDD">
        <w:t>–</w:t>
      </w:r>
      <w:r w:rsidR="00DC5F2E">
        <w:t>21 compared to quarter one in</w:t>
      </w:r>
      <w:r w:rsidR="00B122BF">
        <w:t xml:space="preserve"> 2</w:t>
      </w:r>
      <w:r w:rsidRPr="005235D4">
        <w:t>019</w:t>
      </w:r>
      <w:r>
        <w:t>–</w:t>
      </w:r>
      <w:r w:rsidRPr="005235D4">
        <w:t>20</w:t>
      </w:r>
      <w:r>
        <w:t xml:space="preserve"> (Table 1.1)</w:t>
      </w:r>
      <w:r w:rsidR="00DC5F2E">
        <w:t>.</w:t>
      </w:r>
      <w:r>
        <w:t xml:space="preserve"> </w:t>
      </w:r>
      <w:r w:rsidR="00DC5F2E">
        <w:t xml:space="preserve">This </w:t>
      </w:r>
      <w:r w:rsidR="00414B89">
        <w:t>decrease</w:t>
      </w:r>
      <w:r w:rsidR="00D13A90">
        <w:t xml:space="preserve"> </w:t>
      </w:r>
      <w:r>
        <w:t xml:space="preserve">was mainly </w:t>
      </w:r>
      <w:r w:rsidR="00E85699">
        <w:t xml:space="preserve">due to </w:t>
      </w:r>
      <w:r>
        <w:t xml:space="preserve">COVID-19 </w:t>
      </w:r>
      <w:r w:rsidRPr="005235D4">
        <w:t>service changes</w:t>
      </w:r>
      <w:r>
        <w:t xml:space="preserve"> </w:t>
      </w:r>
      <w:r w:rsidR="00263AC9">
        <w:t xml:space="preserve">to the </w:t>
      </w:r>
      <w:r w:rsidRPr="005235D4">
        <w:t>justice</w:t>
      </w:r>
      <w:r>
        <w:t xml:space="preserve"> system</w:t>
      </w:r>
      <w:r w:rsidR="0034037D">
        <w:t xml:space="preserve">, which continue to </w:t>
      </w:r>
      <w:r w:rsidR="0048605D">
        <w:t>impact</w:t>
      </w:r>
      <w:r w:rsidR="00E82C7F">
        <w:t xml:space="preserve"> on</w:t>
      </w:r>
      <w:r w:rsidR="0048605D">
        <w:t xml:space="preserve"> the number of duty lawyer services we are deliver</w:t>
      </w:r>
      <w:r w:rsidR="00C27358">
        <w:t>ing</w:t>
      </w:r>
      <w:r w:rsidR="0048605D">
        <w:t>.</w:t>
      </w:r>
      <w:r w:rsidR="00962CBC">
        <w:t xml:space="preserve"> </w:t>
      </w:r>
      <w:r w:rsidR="00A57F78">
        <w:t xml:space="preserve">Assistance at </w:t>
      </w:r>
      <w:r w:rsidR="006F5102">
        <w:t>court is</w:t>
      </w:r>
      <w:r w:rsidR="0060234B">
        <w:t xml:space="preserve"> </w:t>
      </w:r>
      <w:r w:rsidR="008C0DFB">
        <w:t>whe</w:t>
      </w:r>
      <w:r w:rsidR="00B66871">
        <w:t>re</w:t>
      </w:r>
      <w:r w:rsidR="008C0DFB">
        <w:t xml:space="preserve"> a </w:t>
      </w:r>
      <w:r w:rsidR="004C6480">
        <w:t xml:space="preserve">large proportion of our clients </w:t>
      </w:r>
      <w:proofErr w:type="gramStart"/>
      <w:r w:rsidR="006D217B">
        <w:t>come into contact with</w:t>
      </w:r>
      <w:proofErr w:type="gramEnd"/>
      <w:r w:rsidR="006D217B">
        <w:t xml:space="preserve"> VLA for the first time. Whil</w:t>
      </w:r>
      <w:r w:rsidR="00715C9D">
        <w:t>e</w:t>
      </w:r>
      <w:r w:rsidR="006D217B">
        <w:t xml:space="preserve"> there</w:t>
      </w:r>
      <w:r w:rsidR="001D4FDD">
        <w:t xml:space="preserve"> continue</w:t>
      </w:r>
      <w:r w:rsidR="00D21C96">
        <w:t>s</w:t>
      </w:r>
      <w:r w:rsidR="001D4FDD">
        <w:t xml:space="preserve"> to be a lower number of hearings</w:t>
      </w:r>
      <w:r w:rsidR="00B228CD">
        <w:t xml:space="preserve"> being hel</w:t>
      </w:r>
      <w:r w:rsidR="00F01DEC">
        <w:t>d</w:t>
      </w:r>
      <w:r w:rsidR="00B228CD">
        <w:t xml:space="preserve"> by the </w:t>
      </w:r>
      <w:r w:rsidR="008C2F98">
        <w:t>courts,</w:t>
      </w:r>
      <w:r w:rsidR="00F01DEC">
        <w:t xml:space="preserve"> we anticipate that unique client numbers </w:t>
      </w:r>
      <w:r w:rsidR="008C2F98">
        <w:t>will remain below previous years.</w:t>
      </w:r>
      <w:r w:rsidR="006D217B">
        <w:t xml:space="preserve"> </w:t>
      </w:r>
      <w:r w:rsidR="0048605D">
        <w:t xml:space="preserve"> </w:t>
      </w:r>
    </w:p>
    <w:p w14:paraId="71C1B22F" w14:textId="3C1DFF6F" w:rsidR="00E43EE2" w:rsidRDefault="007C1487" w:rsidP="00E43EE2">
      <w:pPr>
        <w:pStyle w:val="Tableheader"/>
      </w:pPr>
      <w:bookmarkStart w:id="1" w:name="_Hlk52886498"/>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49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69"/>
        <w:gridCol w:w="2002"/>
        <w:gridCol w:w="2002"/>
        <w:gridCol w:w="2322"/>
      </w:tblGrid>
      <w:tr w:rsidR="00880D4D" w:rsidRPr="000E7EED" w14:paraId="610BF466" w14:textId="390A14BD" w:rsidTr="00C55CA2">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441" w:type="dxa"/>
            <w:shd w:val="clear" w:color="auto" w:fill="C4B0CC"/>
          </w:tcPr>
          <w:p w14:paraId="685BCF7D" w14:textId="306AA6B1" w:rsidR="00880D4D" w:rsidRPr="000E7EED" w:rsidRDefault="00880D4D" w:rsidP="0039260E">
            <w:pPr>
              <w:rPr>
                <w:color w:val="000000" w:themeColor="text1"/>
              </w:rPr>
            </w:pPr>
            <w:bookmarkStart w:id="2"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369" w:type="dxa"/>
            <w:shd w:val="clear" w:color="auto" w:fill="C3AFCC"/>
          </w:tcPr>
          <w:p w14:paraId="7CEF1135" w14:textId="57655427" w:rsidR="00880D4D" w:rsidRPr="55245693" w:rsidRDefault="00880D4D" w:rsidP="55245693">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1369" w:type="dxa"/>
            <w:shd w:val="clear" w:color="auto" w:fill="C3AFCC"/>
          </w:tcPr>
          <w:p w14:paraId="2533E8EB" w14:textId="3DB5A7B1" w:rsidR="00880D4D" w:rsidRPr="000E7EED" w:rsidRDefault="00880D4D" w:rsidP="55245693">
            <w:pPr>
              <w:jc w:val="center"/>
              <w:rPr>
                <w:b/>
                <w:color w:val="000000" w:themeColor="text1"/>
              </w:rPr>
            </w:pPr>
            <w:r w:rsidRPr="55245693">
              <w:rPr>
                <w:b/>
                <w:color w:val="000000" w:themeColor="text1"/>
              </w:rPr>
              <w:t>Q</w:t>
            </w:r>
            <w:r>
              <w:rPr>
                <w:b/>
                <w:color w:val="000000" w:themeColor="text1"/>
              </w:rPr>
              <w:t>1</w:t>
            </w:r>
          </w:p>
          <w:p w14:paraId="537B5889" w14:textId="506196D5" w:rsidR="00880D4D" w:rsidRPr="000E7EED" w:rsidRDefault="00880D4D" w:rsidP="0039260E">
            <w:pPr>
              <w:jc w:val="center"/>
              <w:rPr>
                <w:color w:val="000000" w:themeColor="text1"/>
              </w:rPr>
            </w:pPr>
            <w:r w:rsidRPr="000E7EED">
              <w:rPr>
                <w:b/>
                <w:color w:val="000000" w:themeColor="text1"/>
              </w:rPr>
              <w:t>20</w:t>
            </w:r>
            <w:r>
              <w:rPr>
                <w:b/>
                <w:color w:val="000000" w:themeColor="text1"/>
              </w:rPr>
              <w:t>19-20</w:t>
            </w:r>
          </w:p>
        </w:tc>
        <w:tc>
          <w:tcPr>
            <w:cnfStyle w:val="000001000000" w:firstRow="0" w:lastRow="0" w:firstColumn="0" w:lastColumn="0" w:oddVBand="0" w:evenVBand="1" w:oddHBand="0" w:evenHBand="0" w:firstRowFirstColumn="0" w:firstRowLastColumn="0" w:lastRowFirstColumn="0" w:lastRowLastColumn="0"/>
            <w:tcW w:w="1588" w:type="dxa"/>
            <w:shd w:val="clear" w:color="auto" w:fill="C3AFCC"/>
          </w:tcPr>
          <w:p w14:paraId="471B57D4" w14:textId="20BA14DD" w:rsidR="00880D4D" w:rsidRDefault="00880D4D" w:rsidP="55245693">
            <w:pPr>
              <w:jc w:val="center"/>
              <w:rPr>
                <w:b/>
                <w:color w:val="000000" w:themeColor="text1"/>
              </w:rPr>
            </w:pPr>
            <w:r w:rsidRPr="55245693">
              <w:rPr>
                <w:b/>
                <w:color w:val="000000" w:themeColor="text1"/>
              </w:rPr>
              <w:t>Q</w:t>
            </w:r>
            <w:r>
              <w:rPr>
                <w:b/>
                <w:color w:val="000000" w:themeColor="text1"/>
              </w:rPr>
              <w:t>1</w:t>
            </w:r>
          </w:p>
          <w:p w14:paraId="7F054B76" w14:textId="6F464F03" w:rsidR="00880D4D" w:rsidRPr="00A76427" w:rsidRDefault="00880D4D" w:rsidP="0039260E">
            <w:pPr>
              <w:jc w:val="center"/>
              <w:rPr>
                <w:b/>
                <w:color w:val="000000" w:themeColor="text1"/>
              </w:rPr>
            </w:pPr>
            <w:r w:rsidRPr="000E7EED">
              <w:rPr>
                <w:b/>
                <w:color w:val="000000" w:themeColor="text1"/>
              </w:rPr>
              <w:t>20</w:t>
            </w:r>
            <w:r>
              <w:rPr>
                <w:b/>
                <w:color w:val="000000" w:themeColor="text1"/>
              </w:rPr>
              <w:t>20-21</w:t>
            </w:r>
          </w:p>
        </w:tc>
      </w:tr>
      <w:tr w:rsidR="00880D4D" w:rsidRPr="000E7EED" w14:paraId="673A80E6" w14:textId="299D20D5" w:rsidTr="00C55CA2">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441" w:type="dxa"/>
            <w:vMerge w:val="restart"/>
          </w:tcPr>
          <w:p w14:paraId="22ABC519" w14:textId="103D0FC9" w:rsidR="00880D4D" w:rsidRPr="001F0CF5" w:rsidRDefault="00880D4D" w:rsidP="00E4220A">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1369" w:type="dxa"/>
          </w:tcPr>
          <w:p w14:paraId="50E1615B" w14:textId="185CA98D" w:rsidR="00880D4D" w:rsidRPr="000E7EED" w:rsidRDefault="00880D4D" w:rsidP="00E4220A">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369" w:type="dxa"/>
          </w:tcPr>
          <w:p w14:paraId="32B513F8" w14:textId="4479EA97" w:rsidR="00880D4D" w:rsidRPr="000E7EED" w:rsidRDefault="00880D4D" w:rsidP="00E4220A">
            <w:pPr>
              <w:jc w:val="right"/>
              <w:rPr>
                <w:color w:val="000000" w:themeColor="text1"/>
              </w:rPr>
            </w:pPr>
            <w:r>
              <w:rPr>
                <w:color w:val="000000" w:themeColor="text1"/>
              </w:rPr>
              <w:t>40,623</w:t>
            </w:r>
          </w:p>
        </w:tc>
        <w:tc>
          <w:tcPr>
            <w:cnfStyle w:val="000001000000" w:firstRow="0" w:lastRow="0" w:firstColumn="0" w:lastColumn="0" w:oddVBand="0" w:evenVBand="1" w:oddHBand="0" w:evenHBand="0" w:firstRowFirstColumn="0" w:firstRowLastColumn="0" w:lastRowFirstColumn="0" w:lastRowLastColumn="0"/>
            <w:tcW w:w="1588" w:type="dxa"/>
            <w:shd w:val="clear" w:color="auto" w:fill="D9D9D9" w:themeFill="background1" w:themeFillShade="D9"/>
          </w:tcPr>
          <w:p w14:paraId="12828136" w14:textId="691C0158" w:rsidR="00880D4D" w:rsidRPr="0021615C" w:rsidRDefault="00880D4D" w:rsidP="00E4220A">
            <w:pPr>
              <w:jc w:val="right"/>
            </w:pPr>
            <w:r>
              <w:t>38,457</w:t>
            </w:r>
          </w:p>
        </w:tc>
      </w:tr>
      <w:tr w:rsidR="00880D4D" w:rsidRPr="000E7EED" w14:paraId="1B8D8858" w14:textId="77777777" w:rsidTr="00C55CA2">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441" w:type="dxa"/>
            <w:vMerge/>
          </w:tcPr>
          <w:p w14:paraId="6FE97750" w14:textId="77777777" w:rsidR="00880D4D" w:rsidRPr="001F0CF5" w:rsidRDefault="00880D4D" w:rsidP="005D269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369" w:type="dxa"/>
            <w:tcBorders>
              <w:top w:val="single" w:sz="4" w:space="0" w:color="7F7F7F" w:themeColor="text1" w:themeTint="80"/>
            </w:tcBorders>
          </w:tcPr>
          <w:p w14:paraId="6A9325D5" w14:textId="17639081" w:rsidR="00880D4D" w:rsidRPr="000E7EED" w:rsidRDefault="00880D4D" w:rsidP="005D269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369" w:type="dxa"/>
          </w:tcPr>
          <w:p w14:paraId="2A1F3A44" w14:textId="483DDFDE" w:rsidR="00880D4D" w:rsidRPr="000E7EED" w:rsidRDefault="00880D4D" w:rsidP="005D2691">
            <w:pPr>
              <w:jc w:val="right"/>
              <w:rPr>
                <w:color w:val="000000" w:themeColor="text1"/>
              </w:rPr>
            </w:pPr>
            <w:r>
              <w:rPr>
                <w:color w:val="000000" w:themeColor="text1"/>
              </w:rPr>
              <w:t>6,082</w:t>
            </w:r>
          </w:p>
        </w:tc>
        <w:tc>
          <w:tcPr>
            <w:cnfStyle w:val="000001000000" w:firstRow="0" w:lastRow="0" w:firstColumn="0" w:lastColumn="0" w:oddVBand="0" w:evenVBand="1" w:oddHBand="0" w:evenHBand="0" w:firstRowFirstColumn="0" w:firstRowLastColumn="0" w:lastRowFirstColumn="0" w:lastRowLastColumn="0"/>
            <w:tcW w:w="1588" w:type="dxa"/>
            <w:shd w:val="clear" w:color="auto" w:fill="D9D9D9" w:themeFill="background1" w:themeFillShade="D9"/>
          </w:tcPr>
          <w:p w14:paraId="0B0B0D09" w14:textId="1AB709DE" w:rsidR="00880D4D" w:rsidRPr="0021615C" w:rsidRDefault="00880D4D" w:rsidP="005D2691">
            <w:pPr>
              <w:jc w:val="right"/>
            </w:pPr>
            <w:r>
              <w:t>12,274</w:t>
            </w:r>
          </w:p>
        </w:tc>
      </w:tr>
      <w:tr w:rsidR="00880D4D" w:rsidRPr="000E7EED" w14:paraId="63EA8C9D" w14:textId="0A3FF582" w:rsidTr="00C55CA2">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441" w:type="dxa"/>
            <w:vMerge w:val="restart"/>
          </w:tcPr>
          <w:p w14:paraId="343F4B5B" w14:textId="11A27AD7" w:rsidR="00880D4D" w:rsidRPr="001F0CF5" w:rsidRDefault="00880D4D" w:rsidP="00E4220A">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369" w:type="dxa"/>
          </w:tcPr>
          <w:p w14:paraId="2AA551BD" w14:textId="762B83B8" w:rsidR="00880D4D" w:rsidRPr="000E7EED" w:rsidRDefault="00880D4D" w:rsidP="005D2691">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369" w:type="dxa"/>
          </w:tcPr>
          <w:p w14:paraId="7B3AC051" w14:textId="3512F2C3" w:rsidR="00880D4D" w:rsidRPr="000E7EED" w:rsidRDefault="00880D4D" w:rsidP="00E4220A">
            <w:pPr>
              <w:jc w:val="right"/>
              <w:rPr>
                <w:color w:val="000000" w:themeColor="text1"/>
              </w:rPr>
            </w:pPr>
            <w:r>
              <w:rPr>
                <w:color w:val="000000" w:themeColor="text1"/>
              </w:rPr>
              <w:t>25,080</w:t>
            </w:r>
          </w:p>
        </w:tc>
        <w:tc>
          <w:tcPr>
            <w:cnfStyle w:val="000001000000" w:firstRow="0" w:lastRow="0" w:firstColumn="0" w:lastColumn="0" w:oddVBand="0" w:evenVBand="1" w:oddHBand="0" w:evenHBand="0" w:firstRowFirstColumn="0" w:firstRowLastColumn="0" w:lastRowFirstColumn="0" w:lastRowLastColumn="0"/>
            <w:tcW w:w="1588" w:type="dxa"/>
            <w:shd w:val="clear" w:color="auto" w:fill="D9D9D9" w:themeFill="background1" w:themeFillShade="D9"/>
          </w:tcPr>
          <w:p w14:paraId="0C7F4A16" w14:textId="38AF0545" w:rsidR="00880D4D" w:rsidRPr="0021615C" w:rsidRDefault="00880D4D" w:rsidP="00E4220A">
            <w:pPr>
              <w:jc w:val="right"/>
            </w:pPr>
            <w:r>
              <w:t>19,082</w:t>
            </w:r>
          </w:p>
        </w:tc>
      </w:tr>
      <w:tr w:rsidR="00880D4D" w:rsidRPr="000E7EED" w14:paraId="7DCD8807" w14:textId="77777777" w:rsidTr="00C55CA2">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441" w:type="dxa"/>
            <w:vMerge/>
          </w:tcPr>
          <w:p w14:paraId="58C5451E" w14:textId="77777777" w:rsidR="00880D4D" w:rsidRDefault="00880D4D" w:rsidP="005D269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369" w:type="dxa"/>
            <w:tcBorders>
              <w:top w:val="single" w:sz="4" w:space="0" w:color="7F7F7F" w:themeColor="text1" w:themeTint="80"/>
            </w:tcBorders>
          </w:tcPr>
          <w:p w14:paraId="22F965B2" w14:textId="769783D4" w:rsidR="00880D4D" w:rsidRPr="000E7EED" w:rsidRDefault="00880D4D" w:rsidP="005D269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369" w:type="dxa"/>
          </w:tcPr>
          <w:p w14:paraId="54BF1051" w14:textId="263B952C" w:rsidR="00880D4D" w:rsidRPr="000E7EED" w:rsidRDefault="00880D4D" w:rsidP="005D2691">
            <w:pPr>
              <w:jc w:val="right"/>
              <w:rPr>
                <w:color w:val="000000" w:themeColor="text1"/>
              </w:rPr>
            </w:pPr>
            <w:r>
              <w:rPr>
                <w:color w:val="000000" w:themeColor="text1"/>
              </w:rPr>
              <w:t>5,277</w:t>
            </w:r>
          </w:p>
        </w:tc>
        <w:tc>
          <w:tcPr>
            <w:cnfStyle w:val="000001000000" w:firstRow="0" w:lastRow="0" w:firstColumn="0" w:lastColumn="0" w:oddVBand="0" w:evenVBand="1" w:oddHBand="0" w:evenHBand="0" w:firstRowFirstColumn="0" w:firstRowLastColumn="0" w:lastRowFirstColumn="0" w:lastRowLastColumn="0"/>
            <w:tcW w:w="1588" w:type="dxa"/>
            <w:shd w:val="clear" w:color="auto" w:fill="D9D9D9" w:themeFill="background1" w:themeFillShade="D9"/>
          </w:tcPr>
          <w:p w14:paraId="40E1C52C" w14:textId="06D82514" w:rsidR="00880D4D" w:rsidRPr="0021615C" w:rsidRDefault="00880D4D" w:rsidP="005D2691">
            <w:pPr>
              <w:jc w:val="right"/>
            </w:pPr>
            <w:r>
              <w:t>11,287</w:t>
            </w:r>
          </w:p>
        </w:tc>
      </w:tr>
      <w:tr w:rsidR="00880D4D" w:rsidRPr="000E7EED" w14:paraId="2DB82DC5" w14:textId="77777777" w:rsidTr="00C55CA2">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441" w:type="dxa"/>
            <w:vMerge w:val="restart"/>
          </w:tcPr>
          <w:p w14:paraId="0E9E1F91" w14:textId="214F4D9E" w:rsidR="00880D4D" w:rsidRDefault="00880D4D" w:rsidP="00010B80">
            <w:pPr>
              <w:rPr>
                <w:color w:val="000000" w:themeColor="text1"/>
              </w:rPr>
            </w:pPr>
            <w:r>
              <w:rPr>
                <w:color w:val="000000" w:themeColor="text1"/>
              </w:rPr>
              <w:t>Average se</w:t>
            </w:r>
            <w:r w:rsidR="00C55CA2">
              <w:rPr>
                <w:color w:val="000000" w:themeColor="text1"/>
              </w:rPr>
              <w:t xml:space="preserve">rvice </w:t>
            </w:r>
            <w:r>
              <w:rPr>
                <w:color w:val="000000" w:themeColor="text1"/>
              </w:rPr>
              <w:t>duration (minutes)</w:t>
            </w:r>
          </w:p>
        </w:tc>
        <w:tc>
          <w:tcPr>
            <w:cnfStyle w:val="000001000000" w:firstRow="0" w:lastRow="0" w:firstColumn="0" w:lastColumn="0" w:oddVBand="0" w:evenVBand="1" w:oddHBand="0" w:evenHBand="0" w:firstRowFirstColumn="0" w:firstRowLastColumn="0" w:lastRowFirstColumn="0" w:lastRowLastColumn="0"/>
            <w:tcW w:w="1369" w:type="dxa"/>
          </w:tcPr>
          <w:p w14:paraId="632DC39D" w14:textId="21780358" w:rsidR="00880D4D" w:rsidRDefault="00880D4D" w:rsidP="00010B80">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369" w:type="dxa"/>
          </w:tcPr>
          <w:p w14:paraId="6DB658F9" w14:textId="3066B118" w:rsidR="00880D4D" w:rsidRPr="000E7EED" w:rsidRDefault="00880D4D" w:rsidP="00010B80">
            <w:pPr>
              <w:jc w:val="right"/>
              <w:rPr>
                <w:color w:val="000000" w:themeColor="text1"/>
              </w:rPr>
            </w:pPr>
            <w:r>
              <w:rPr>
                <w:color w:val="000000" w:themeColor="text1"/>
              </w:rPr>
              <w:t>18:42</w:t>
            </w:r>
          </w:p>
        </w:tc>
        <w:tc>
          <w:tcPr>
            <w:cnfStyle w:val="000001000000" w:firstRow="0" w:lastRow="0" w:firstColumn="0" w:lastColumn="0" w:oddVBand="0" w:evenVBand="1" w:oddHBand="0" w:evenHBand="0" w:firstRowFirstColumn="0" w:firstRowLastColumn="0" w:lastRowFirstColumn="0" w:lastRowLastColumn="0"/>
            <w:tcW w:w="1588" w:type="dxa"/>
            <w:shd w:val="clear" w:color="auto" w:fill="D9D9D9" w:themeFill="background1" w:themeFillShade="D9"/>
          </w:tcPr>
          <w:p w14:paraId="07802CF1" w14:textId="37151D0A" w:rsidR="00880D4D" w:rsidRPr="0021615C" w:rsidRDefault="00880D4D" w:rsidP="00010B80">
            <w:pPr>
              <w:jc w:val="right"/>
            </w:pPr>
            <w:r>
              <w:t>24:43</w:t>
            </w:r>
          </w:p>
        </w:tc>
      </w:tr>
      <w:tr w:rsidR="00880D4D" w:rsidRPr="000E7EED" w14:paraId="209E56A2" w14:textId="77777777" w:rsidTr="00C55CA2">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2441" w:type="dxa"/>
            <w:vMerge/>
          </w:tcPr>
          <w:p w14:paraId="38B78A0B" w14:textId="77777777" w:rsidR="00880D4D" w:rsidRDefault="00880D4D" w:rsidP="00010B80">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369" w:type="dxa"/>
            <w:tcBorders>
              <w:top w:val="single" w:sz="4" w:space="0" w:color="7F7F7F" w:themeColor="text1" w:themeTint="80"/>
            </w:tcBorders>
          </w:tcPr>
          <w:p w14:paraId="743799BD" w14:textId="14250B3B" w:rsidR="00880D4D" w:rsidRDefault="00880D4D" w:rsidP="00010B80">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369" w:type="dxa"/>
          </w:tcPr>
          <w:p w14:paraId="1411EE62" w14:textId="67E67726" w:rsidR="00880D4D" w:rsidRPr="000E7EED" w:rsidRDefault="00880D4D" w:rsidP="00010B80">
            <w:pPr>
              <w:jc w:val="right"/>
              <w:rPr>
                <w:color w:val="000000" w:themeColor="text1"/>
              </w:rPr>
            </w:pPr>
            <w:r>
              <w:rPr>
                <w:color w:val="000000" w:themeColor="text1"/>
              </w:rPr>
              <w:t>9:10</w:t>
            </w:r>
          </w:p>
        </w:tc>
        <w:tc>
          <w:tcPr>
            <w:cnfStyle w:val="000001000000" w:firstRow="0" w:lastRow="0" w:firstColumn="0" w:lastColumn="0" w:oddVBand="0" w:evenVBand="1" w:oddHBand="0" w:evenHBand="0" w:firstRowFirstColumn="0" w:firstRowLastColumn="0" w:lastRowFirstColumn="0" w:lastRowLastColumn="0"/>
            <w:tcW w:w="1588" w:type="dxa"/>
            <w:shd w:val="clear" w:color="auto" w:fill="D9D9D9" w:themeFill="background1" w:themeFillShade="D9"/>
          </w:tcPr>
          <w:p w14:paraId="0EF2EFDC" w14:textId="6F2E41BF" w:rsidR="00880D4D" w:rsidRPr="0021615C" w:rsidRDefault="00880D4D" w:rsidP="00010B80">
            <w:pPr>
              <w:jc w:val="right"/>
            </w:pPr>
            <w:r>
              <w:t>9:39</w:t>
            </w:r>
          </w:p>
        </w:tc>
      </w:tr>
      <w:tr w:rsidR="00880D4D" w:rsidRPr="000E7EED" w14:paraId="112AFC33" w14:textId="6F0F86AA" w:rsidTr="00C55CA2">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2441" w:type="dxa"/>
            <w:vMerge w:val="restart"/>
          </w:tcPr>
          <w:p w14:paraId="38A206ED" w14:textId="01700AAF" w:rsidR="00880D4D" w:rsidRDefault="00880D4D" w:rsidP="00140CB0">
            <w:pPr>
              <w:rPr>
                <w:color w:val="000000" w:themeColor="text1"/>
              </w:rPr>
            </w:pPr>
            <w:r>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1369" w:type="dxa"/>
          </w:tcPr>
          <w:p w14:paraId="6CC37F27" w14:textId="737CFCC8" w:rsidR="00880D4D" w:rsidRPr="000E7EED" w:rsidRDefault="00880D4D" w:rsidP="00140CB0">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369" w:type="dxa"/>
          </w:tcPr>
          <w:p w14:paraId="3AF08BCA" w14:textId="1488BB6D" w:rsidR="00880D4D" w:rsidRPr="000E7EED" w:rsidRDefault="00880D4D" w:rsidP="00140CB0">
            <w:pPr>
              <w:jc w:val="right"/>
              <w:rPr>
                <w:color w:val="000000" w:themeColor="text1"/>
              </w:rPr>
            </w:pPr>
            <w:r>
              <w:rPr>
                <w:color w:val="000000" w:themeColor="text1"/>
              </w:rPr>
              <w:t>14:54</w:t>
            </w:r>
          </w:p>
        </w:tc>
        <w:tc>
          <w:tcPr>
            <w:cnfStyle w:val="000001000000" w:firstRow="0" w:lastRow="0" w:firstColumn="0" w:lastColumn="0" w:oddVBand="0" w:evenVBand="1" w:oddHBand="0" w:evenHBand="0" w:firstRowFirstColumn="0" w:firstRowLastColumn="0" w:lastRowFirstColumn="0" w:lastRowLastColumn="0"/>
            <w:tcW w:w="1588" w:type="dxa"/>
            <w:shd w:val="clear" w:color="auto" w:fill="D9D9D9" w:themeFill="background1" w:themeFillShade="D9"/>
          </w:tcPr>
          <w:p w14:paraId="6F85C887" w14:textId="5C8AF24D" w:rsidR="00880D4D" w:rsidRPr="0021615C" w:rsidRDefault="00880D4D" w:rsidP="00140CB0">
            <w:pPr>
              <w:jc w:val="right"/>
            </w:pPr>
            <w:r>
              <w:t>20:36</w:t>
            </w:r>
          </w:p>
        </w:tc>
      </w:tr>
      <w:tr w:rsidR="00880D4D" w:rsidRPr="000E7EED" w14:paraId="2A9DBF16" w14:textId="77777777" w:rsidTr="00C55CA2">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2441" w:type="dxa"/>
            <w:vMerge/>
          </w:tcPr>
          <w:p w14:paraId="00649C6C" w14:textId="77777777" w:rsidR="00880D4D" w:rsidRDefault="00880D4D" w:rsidP="00D66354">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369" w:type="dxa"/>
            <w:tcBorders>
              <w:top w:val="single" w:sz="4" w:space="0" w:color="7F7F7F" w:themeColor="text1" w:themeTint="80"/>
            </w:tcBorders>
          </w:tcPr>
          <w:p w14:paraId="2ED19B00" w14:textId="4C9EF9F0" w:rsidR="00880D4D" w:rsidRPr="000E7EED" w:rsidRDefault="00880D4D" w:rsidP="00D66354">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369" w:type="dxa"/>
          </w:tcPr>
          <w:p w14:paraId="3A341895" w14:textId="733742C4" w:rsidR="00880D4D" w:rsidRPr="000E7EED" w:rsidRDefault="00880D4D" w:rsidP="00D66354">
            <w:pPr>
              <w:jc w:val="right"/>
              <w:rPr>
                <w:color w:val="000000" w:themeColor="text1"/>
              </w:rPr>
            </w:pPr>
            <w:r>
              <w:rPr>
                <w:color w:val="000000" w:themeColor="text1"/>
              </w:rPr>
              <w:t>0:14</w:t>
            </w:r>
          </w:p>
        </w:tc>
        <w:tc>
          <w:tcPr>
            <w:cnfStyle w:val="000001000000" w:firstRow="0" w:lastRow="0" w:firstColumn="0" w:lastColumn="0" w:oddVBand="0" w:evenVBand="1" w:oddHBand="0" w:evenHBand="0" w:firstRowFirstColumn="0" w:firstRowLastColumn="0" w:lastRowFirstColumn="0" w:lastRowLastColumn="0"/>
            <w:tcW w:w="1588" w:type="dxa"/>
            <w:shd w:val="clear" w:color="auto" w:fill="D9D9D9" w:themeFill="background1" w:themeFillShade="D9"/>
          </w:tcPr>
          <w:p w14:paraId="7B9FDC39" w14:textId="2A095822" w:rsidR="00880D4D" w:rsidRPr="0021615C" w:rsidRDefault="00880D4D" w:rsidP="00D66354">
            <w:pPr>
              <w:jc w:val="right"/>
            </w:pPr>
            <w:r>
              <w:t>0:28</w:t>
            </w:r>
          </w:p>
        </w:tc>
      </w:tr>
    </w:tbl>
    <w:bookmarkEnd w:id="1"/>
    <w:bookmarkEnd w:id="2"/>
    <w:p w14:paraId="3AFBC4BF" w14:textId="6B1547B6" w:rsidR="00EC4B7C" w:rsidRPr="00EC4B7C" w:rsidRDefault="00A61AC1" w:rsidP="00EC4B7C">
      <w:pPr>
        <w:spacing w:before="120"/>
        <w:textAlignment w:val="baseline"/>
        <w:rPr>
          <w:rFonts w:ascii="Calibri" w:hAnsi="Calibri" w:cs="Calibri"/>
          <w:color w:val="000000"/>
          <w:szCs w:val="22"/>
          <w:lang w:eastAsia="en-GB"/>
        </w:rPr>
      </w:pPr>
      <w:r>
        <w:rPr>
          <w:szCs w:val="22"/>
        </w:rPr>
        <w:t xml:space="preserve">Legal Help is the main provider of information and advice sessions at VLA. </w:t>
      </w:r>
      <w:r w:rsidR="00F423AD">
        <w:rPr>
          <w:szCs w:val="22"/>
        </w:rPr>
        <w:t xml:space="preserve">During COVID -19 we have seen an increase in demand for our Legal Help service and have opened new targeted phonelines and web chats for specific legal issues, such as family violence, so that clients can access information and advice as quickly as possible. </w:t>
      </w:r>
      <w:r w:rsidR="00E56E62" w:rsidRPr="00EC4B7C">
        <w:rPr>
          <w:rFonts w:cs="Arial"/>
          <w:color w:val="000000"/>
          <w:szCs w:val="22"/>
          <w:lang w:eastAsia="en-GB"/>
        </w:rPr>
        <w:t>The use of web chat has more than doubled since 2019</w:t>
      </w:r>
      <w:r w:rsidR="001D1BDD">
        <w:rPr>
          <w:rFonts w:cs="Arial"/>
          <w:color w:val="000000"/>
          <w:szCs w:val="22"/>
          <w:lang w:eastAsia="en-GB"/>
        </w:rPr>
        <w:t>–2</w:t>
      </w:r>
      <w:r w:rsidR="00C15842">
        <w:rPr>
          <w:rFonts w:cs="Arial"/>
          <w:color w:val="000000"/>
          <w:szCs w:val="22"/>
          <w:lang w:eastAsia="en-GB"/>
        </w:rPr>
        <w:t>0</w:t>
      </w:r>
      <w:r w:rsidR="00E56E62" w:rsidRPr="00EC4B7C">
        <w:rPr>
          <w:rFonts w:cs="Arial"/>
          <w:color w:val="000000"/>
          <w:szCs w:val="22"/>
          <w:lang w:eastAsia="en-GB"/>
        </w:rPr>
        <w:t>, increasing by 101.8 per cent</w:t>
      </w:r>
      <w:r w:rsidR="00880D4D">
        <w:rPr>
          <w:rFonts w:cs="Arial"/>
          <w:color w:val="000000"/>
          <w:szCs w:val="22"/>
          <w:lang w:eastAsia="en-GB"/>
        </w:rPr>
        <w:t>.</w:t>
      </w:r>
      <w:r w:rsidR="00E56E62" w:rsidRPr="00EC4B7C">
        <w:rPr>
          <w:rFonts w:cs="Arial"/>
          <w:color w:val="000000"/>
          <w:szCs w:val="22"/>
          <w:lang w:eastAsia="en-GB"/>
        </w:rPr>
        <w:t> </w:t>
      </w:r>
      <w:r w:rsidR="00EC4B7C" w:rsidRPr="00EC4B7C">
        <w:rPr>
          <w:rFonts w:cs="Arial"/>
          <w:color w:val="000000"/>
          <w:szCs w:val="22"/>
          <w:lang w:eastAsia="en-GB"/>
        </w:rPr>
        <w:t>In quarter one 2019</w:t>
      </w:r>
      <w:r w:rsidR="00C15842">
        <w:rPr>
          <w:rFonts w:cs="Arial"/>
          <w:color w:val="000000"/>
          <w:szCs w:val="22"/>
          <w:lang w:eastAsia="en-GB"/>
        </w:rPr>
        <w:t>–</w:t>
      </w:r>
      <w:r w:rsidR="00EC4B7C" w:rsidRPr="00EC4B7C">
        <w:rPr>
          <w:rFonts w:cs="Arial"/>
          <w:color w:val="000000"/>
          <w:szCs w:val="22"/>
          <w:lang w:eastAsia="en-GB"/>
        </w:rPr>
        <w:t xml:space="preserve">20 only 13 per cent of those requests </w:t>
      </w:r>
      <w:r w:rsidR="00F423AD">
        <w:rPr>
          <w:rFonts w:cs="Arial"/>
          <w:color w:val="000000"/>
          <w:szCs w:val="22"/>
          <w:lang w:eastAsia="en-GB"/>
        </w:rPr>
        <w:t xml:space="preserve">for assistance to Legal </w:t>
      </w:r>
      <w:r w:rsidR="00F423AD">
        <w:rPr>
          <w:rFonts w:cs="Arial"/>
          <w:color w:val="000000"/>
          <w:szCs w:val="22"/>
          <w:lang w:eastAsia="en-GB"/>
        </w:rPr>
        <w:lastRenderedPageBreak/>
        <w:t xml:space="preserve">Help </w:t>
      </w:r>
      <w:r w:rsidR="00EC4B7C" w:rsidRPr="00EC4B7C">
        <w:rPr>
          <w:rFonts w:cs="Arial"/>
          <w:color w:val="000000"/>
          <w:szCs w:val="22"/>
          <w:lang w:eastAsia="en-GB"/>
        </w:rPr>
        <w:t>were made via web chat.</w:t>
      </w:r>
      <w:r w:rsidR="000A20E1">
        <w:rPr>
          <w:rFonts w:cs="Arial"/>
          <w:color w:val="000000"/>
          <w:szCs w:val="22"/>
          <w:lang w:eastAsia="en-GB"/>
        </w:rPr>
        <w:t xml:space="preserve"> </w:t>
      </w:r>
      <w:r w:rsidR="00654EC2">
        <w:rPr>
          <w:rFonts w:cs="Arial"/>
          <w:color w:val="000000"/>
          <w:szCs w:val="22"/>
          <w:lang w:eastAsia="en-GB"/>
        </w:rPr>
        <w:t>I</w:t>
      </w:r>
      <w:r w:rsidR="00EC4B7C" w:rsidRPr="00EC4B7C">
        <w:rPr>
          <w:rFonts w:cs="Arial"/>
          <w:color w:val="000000"/>
          <w:szCs w:val="22"/>
          <w:lang w:eastAsia="en-GB"/>
        </w:rPr>
        <w:t>n quarter one 2020</w:t>
      </w:r>
      <w:r w:rsidR="00A25AC5">
        <w:rPr>
          <w:rFonts w:cs="Arial"/>
          <w:color w:val="000000"/>
          <w:szCs w:val="22"/>
          <w:lang w:eastAsia="en-GB"/>
        </w:rPr>
        <w:t>–</w:t>
      </w:r>
      <w:r w:rsidR="00EC4B7C" w:rsidRPr="00EC4B7C">
        <w:rPr>
          <w:rFonts w:cs="Arial"/>
          <w:color w:val="000000"/>
          <w:szCs w:val="22"/>
          <w:lang w:eastAsia="en-GB"/>
        </w:rPr>
        <w:t>21</w:t>
      </w:r>
      <w:r w:rsidR="00D72404">
        <w:rPr>
          <w:rFonts w:cs="Arial"/>
          <w:color w:val="000000"/>
          <w:szCs w:val="22"/>
          <w:lang w:eastAsia="en-GB"/>
        </w:rPr>
        <w:t>,</w:t>
      </w:r>
      <w:r w:rsidR="00EC4B7C" w:rsidRPr="00EC4B7C">
        <w:rPr>
          <w:rFonts w:cs="Arial"/>
          <w:color w:val="000000"/>
          <w:szCs w:val="22"/>
          <w:lang w:eastAsia="en-GB"/>
        </w:rPr>
        <w:t xml:space="preserve"> 24 per cent of those requests were made via web chat. </w:t>
      </w:r>
    </w:p>
    <w:p w14:paraId="67B7AFC5" w14:textId="4F6DBF0B" w:rsidR="00EC4B7C" w:rsidRDefault="00EC4B7C" w:rsidP="00EC4B7C">
      <w:pPr>
        <w:textAlignment w:val="baseline"/>
        <w:rPr>
          <w:rFonts w:cs="Arial"/>
          <w:color w:val="000000"/>
          <w:szCs w:val="22"/>
          <w:lang w:eastAsia="en-GB"/>
        </w:rPr>
      </w:pPr>
      <w:r w:rsidRPr="00EC4B7C">
        <w:rPr>
          <w:rFonts w:cs="Arial"/>
          <w:color w:val="000000"/>
          <w:szCs w:val="22"/>
          <w:lang w:eastAsia="en-GB"/>
        </w:rPr>
        <w:t>As average se</w:t>
      </w:r>
      <w:r w:rsidR="00C55CA2">
        <w:rPr>
          <w:rFonts w:cs="Arial"/>
          <w:color w:val="000000"/>
          <w:szCs w:val="22"/>
          <w:lang w:eastAsia="en-GB"/>
        </w:rPr>
        <w:t>rvice</w:t>
      </w:r>
      <w:r w:rsidRPr="00EC4B7C">
        <w:rPr>
          <w:rFonts w:cs="Arial"/>
          <w:color w:val="000000"/>
          <w:szCs w:val="22"/>
          <w:lang w:eastAsia="en-GB"/>
        </w:rPr>
        <w:t xml:space="preserve"> duration and wait time</w:t>
      </w:r>
      <w:r w:rsidR="00457523">
        <w:rPr>
          <w:rFonts w:cs="Arial"/>
          <w:color w:val="000000"/>
          <w:szCs w:val="22"/>
          <w:lang w:eastAsia="en-GB"/>
        </w:rPr>
        <w:t>s</w:t>
      </w:r>
      <w:r w:rsidRPr="00EC4B7C">
        <w:rPr>
          <w:rFonts w:cs="Arial"/>
          <w:color w:val="000000"/>
          <w:szCs w:val="22"/>
          <w:lang w:eastAsia="en-GB"/>
        </w:rPr>
        <w:t xml:space="preserve"> continue to </w:t>
      </w:r>
      <w:r w:rsidR="00457523">
        <w:rPr>
          <w:rFonts w:cs="Arial"/>
          <w:color w:val="000000"/>
          <w:szCs w:val="22"/>
          <w:lang w:eastAsia="en-GB"/>
        </w:rPr>
        <w:t>rise</w:t>
      </w:r>
      <w:r w:rsidRPr="00EC4B7C">
        <w:rPr>
          <w:rFonts w:cs="Arial"/>
          <w:color w:val="000000"/>
          <w:szCs w:val="22"/>
          <w:lang w:eastAsia="en-GB"/>
        </w:rPr>
        <w:t xml:space="preserve"> for our phoneline service</w:t>
      </w:r>
      <w:r w:rsidR="00D51194">
        <w:rPr>
          <w:rFonts w:cs="Arial"/>
          <w:color w:val="000000"/>
          <w:szCs w:val="22"/>
          <w:lang w:eastAsia="en-GB"/>
        </w:rPr>
        <w:t>,</w:t>
      </w:r>
      <w:r w:rsidRPr="00EC4B7C">
        <w:rPr>
          <w:rFonts w:cs="Arial"/>
          <w:color w:val="000000"/>
          <w:szCs w:val="22"/>
          <w:lang w:eastAsia="en-GB"/>
        </w:rPr>
        <w:t xml:space="preserve"> due to the complexity of information and advice being </w:t>
      </w:r>
      <w:r w:rsidR="00FF422B">
        <w:rPr>
          <w:rFonts w:cs="Arial"/>
          <w:color w:val="000000"/>
          <w:szCs w:val="22"/>
          <w:lang w:eastAsia="en-GB"/>
        </w:rPr>
        <w:t>sought by our clients</w:t>
      </w:r>
      <w:r w:rsidR="008954AA">
        <w:rPr>
          <w:rFonts w:cs="Arial"/>
          <w:color w:val="000000"/>
          <w:szCs w:val="22"/>
          <w:lang w:eastAsia="en-GB"/>
        </w:rPr>
        <w:t xml:space="preserve"> </w:t>
      </w:r>
      <w:r w:rsidR="00D51194">
        <w:rPr>
          <w:rFonts w:cs="Arial"/>
          <w:color w:val="000000"/>
          <w:szCs w:val="22"/>
          <w:lang w:eastAsia="en-GB"/>
        </w:rPr>
        <w:t xml:space="preserve">and </w:t>
      </w:r>
      <w:r w:rsidR="007942DC">
        <w:rPr>
          <w:rFonts w:cs="Arial"/>
          <w:color w:val="000000"/>
          <w:szCs w:val="22"/>
          <w:lang w:eastAsia="en-GB"/>
        </w:rPr>
        <w:t>the impacts of COVID-19 on our clients and staff,</w:t>
      </w:r>
      <w:r w:rsidRPr="00EC4B7C">
        <w:rPr>
          <w:rFonts w:cs="Arial"/>
          <w:color w:val="000000"/>
          <w:szCs w:val="22"/>
          <w:lang w:eastAsia="en-GB"/>
        </w:rPr>
        <w:t xml:space="preserve"> web chat has allowed us to deliver a consistent number of Legal Help sessions in quarter one 2020</w:t>
      </w:r>
      <w:r w:rsidR="008954AA">
        <w:rPr>
          <w:rFonts w:cs="Arial"/>
          <w:color w:val="000000"/>
          <w:szCs w:val="22"/>
          <w:lang w:eastAsia="en-GB"/>
        </w:rPr>
        <w:t>–</w:t>
      </w:r>
      <w:r w:rsidRPr="00EC4B7C">
        <w:rPr>
          <w:rFonts w:cs="Arial"/>
          <w:color w:val="000000"/>
          <w:szCs w:val="22"/>
          <w:lang w:eastAsia="en-GB"/>
        </w:rPr>
        <w:t xml:space="preserve">21 (30,369) as </w:t>
      </w:r>
      <w:r w:rsidR="00A61AC1">
        <w:rPr>
          <w:rFonts w:cs="Arial"/>
          <w:color w:val="000000"/>
          <w:szCs w:val="22"/>
          <w:lang w:eastAsia="en-GB"/>
        </w:rPr>
        <w:t xml:space="preserve">in </w:t>
      </w:r>
      <w:r w:rsidRPr="00EC4B7C">
        <w:rPr>
          <w:rFonts w:cs="Arial"/>
          <w:color w:val="000000"/>
          <w:szCs w:val="22"/>
          <w:lang w:eastAsia="en-GB"/>
        </w:rPr>
        <w:t>2019-20 (30,357).</w:t>
      </w:r>
      <w:r w:rsidR="00C55CA2">
        <w:rPr>
          <w:rFonts w:cs="Arial"/>
          <w:color w:val="000000"/>
          <w:szCs w:val="22"/>
          <w:lang w:eastAsia="en-GB"/>
        </w:rPr>
        <w:t xml:space="preserve"> Multiple information and/or advice sessions can be delivered in a single phoneline or web chat service.</w:t>
      </w:r>
      <w:r w:rsidRPr="00EC4B7C">
        <w:rPr>
          <w:rFonts w:cs="Arial"/>
          <w:color w:val="000000"/>
          <w:szCs w:val="22"/>
          <w:lang w:eastAsia="en-GB"/>
        </w:rPr>
        <w:t xml:space="preserve">   </w:t>
      </w:r>
    </w:p>
    <w:p w14:paraId="4046DE0A" w14:textId="31D7B1E0" w:rsidR="00F423AD" w:rsidRPr="001815CF" w:rsidRDefault="00F423AD" w:rsidP="001815CF">
      <w:pPr>
        <w:pStyle w:val="Tableheader"/>
        <w:spacing w:before="120"/>
        <w:rPr>
          <w:b w:val="0"/>
          <w:bCs w:val="0"/>
          <w:sz w:val="22"/>
          <w:szCs w:val="22"/>
        </w:rPr>
      </w:pPr>
      <w:r>
        <w:rPr>
          <w:b w:val="0"/>
          <w:bCs w:val="0"/>
          <w:sz w:val="22"/>
          <w:szCs w:val="22"/>
        </w:rPr>
        <w:t>Whilst web chat has allowed us to mitigate a reduction in services delivered whilst our operating hours have varied due to COVID-19, compared to quarter one 2019</w:t>
      </w:r>
      <w:r>
        <w:rPr>
          <w:b w:val="0"/>
          <w:bCs w:val="0"/>
          <w:sz w:val="22"/>
          <w:szCs w:val="22"/>
        </w:rPr>
        <w:sym w:font="Symbol" w:char="F02D"/>
      </w:r>
      <w:r>
        <w:rPr>
          <w:b w:val="0"/>
          <w:bCs w:val="0"/>
          <w:sz w:val="22"/>
          <w:szCs w:val="22"/>
        </w:rPr>
        <w:t>20 there has been a 11.9 per cent decrease in the number of information sessions delivered, and a 8.4 per cent decrease in advice sessions (Table 1.3). Demand for our Legal Help services has increased (Table 1.2) and we are not currently able to meet this increased demand</w:t>
      </w:r>
      <w:r w:rsidR="00260EDC">
        <w:rPr>
          <w:b w:val="0"/>
          <w:bCs w:val="0"/>
          <w:sz w:val="22"/>
          <w:szCs w:val="22"/>
        </w:rPr>
        <w:t>.</w:t>
      </w:r>
    </w:p>
    <w:p w14:paraId="548B2E87" w14:textId="27205ACD" w:rsidR="008F1B38" w:rsidRDefault="007C1487" w:rsidP="00E43EE2">
      <w:pPr>
        <w:pStyle w:val="Tableheader"/>
      </w:pPr>
      <w:r>
        <w:t xml:space="preserve">Table 1.3 </w:t>
      </w:r>
      <w:r w:rsidR="00495A11" w:rsidRPr="00495A11">
        <w:t>Early Intervention and Preventative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59"/>
        <w:gridCol w:w="2555"/>
        <w:gridCol w:w="2962"/>
      </w:tblGrid>
      <w:tr w:rsidR="00880D4D" w14:paraId="4E36734E" w14:textId="65CB131B" w:rsidTr="00C55CA2">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2262" w:type="pct"/>
            <w:shd w:val="clear" w:color="auto" w:fill="C4B0CC"/>
          </w:tcPr>
          <w:p w14:paraId="69A5DE08" w14:textId="77777777" w:rsidR="00880D4D" w:rsidRPr="00495A11" w:rsidRDefault="00880D4D" w:rsidP="00B15BE5">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1268" w:type="pct"/>
            <w:shd w:val="clear" w:color="auto" w:fill="C4B0CC"/>
          </w:tcPr>
          <w:p w14:paraId="21709836" w14:textId="1A169107" w:rsidR="00880D4D" w:rsidRPr="000E7EED" w:rsidRDefault="00880D4D" w:rsidP="00B15BE5">
            <w:pPr>
              <w:jc w:val="center"/>
              <w:rPr>
                <w:b/>
                <w:color w:val="000000" w:themeColor="text1"/>
              </w:rPr>
            </w:pPr>
            <w:r w:rsidRPr="55245693">
              <w:rPr>
                <w:b/>
                <w:color w:val="000000" w:themeColor="text1"/>
              </w:rPr>
              <w:t>Q</w:t>
            </w:r>
            <w:r>
              <w:rPr>
                <w:b/>
                <w:color w:val="000000" w:themeColor="text1"/>
              </w:rPr>
              <w:t>1</w:t>
            </w:r>
          </w:p>
          <w:p w14:paraId="1B43C195" w14:textId="65C1B80D" w:rsidR="00880D4D" w:rsidRPr="00495A11" w:rsidRDefault="00880D4D" w:rsidP="00B15BE5">
            <w:pPr>
              <w:jc w:val="center"/>
              <w:rPr>
                <w:b/>
                <w:color w:val="000000" w:themeColor="text1"/>
              </w:rPr>
            </w:pPr>
            <w:r w:rsidRPr="000E7EED">
              <w:rPr>
                <w:b/>
                <w:color w:val="000000" w:themeColor="text1"/>
              </w:rPr>
              <w:t>20</w:t>
            </w:r>
            <w:r>
              <w:rPr>
                <w:b/>
                <w:color w:val="000000" w:themeColor="text1"/>
              </w:rPr>
              <w:t>19-20</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C4B0CC"/>
          </w:tcPr>
          <w:p w14:paraId="5970D48B" w14:textId="383B7D0B" w:rsidR="00880D4D" w:rsidRDefault="00880D4D" w:rsidP="00B15BE5">
            <w:pPr>
              <w:jc w:val="center"/>
              <w:rPr>
                <w:b/>
                <w:color w:val="000000" w:themeColor="text1"/>
              </w:rPr>
            </w:pPr>
            <w:r w:rsidRPr="55245693">
              <w:rPr>
                <w:b/>
                <w:color w:val="000000" w:themeColor="text1"/>
              </w:rPr>
              <w:t>Q</w:t>
            </w:r>
            <w:r>
              <w:rPr>
                <w:b/>
                <w:color w:val="000000" w:themeColor="text1"/>
              </w:rPr>
              <w:t>1</w:t>
            </w:r>
          </w:p>
          <w:p w14:paraId="1AE9CE31" w14:textId="53A55B79" w:rsidR="00880D4D" w:rsidRPr="00495A11" w:rsidRDefault="00880D4D" w:rsidP="00B15BE5">
            <w:pPr>
              <w:jc w:val="center"/>
              <w:rPr>
                <w:b/>
                <w:color w:val="000000" w:themeColor="text1"/>
              </w:rPr>
            </w:pPr>
            <w:r w:rsidRPr="000E7EED">
              <w:rPr>
                <w:b/>
                <w:color w:val="000000" w:themeColor="text1"/>
              </w:rPr>
              <w:t>20</w:t>
            </w:r>
            <w:r>
              <w:rPr>
                <w:b/>
                <w:color w:val="000000" w:themeColor="text1"/>
              </w:rPr>
              <w:t>20-21</w:t>
            </w:r>
          </w:p>
        </w:tc>
      </w:tr>
      <w:tr w:rsidR="00880D4D" w:rsidRPr="0021615C" w14:paraId="17F5CA1B" w14:textId="248167B6" w:rsidTr="00C55CA2">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2262" w:type="pct"/>
          </w:tcPr>
          <w:p w14:paraId="19F24B7C" w14:textId="49986B26" w:rsidR="00880D4D" w:rsidRPr="000E7EED" w:rsidRDefault="00880D4D" w:rsidP="00495A11">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1268" w:type="pct"/>
          </w:tcPr>
          <w:p w14:paraId="7F4686D8" w14:textId="56A47F13" w:rsidR="00880D4D" w:rsidRPr="000E7EED" w:rsidRDefault="00880D4D" w:rsidP="00495A11">
            <w:pPr>
              <w:jc w:val="right"/>
              <w:rPr>
                <w:color w:val="000000" w:themeColor="text1"/>
              </w:rPr>
            </w:pPr>
            <w:r>
              <w:rPr>
                <w:color w:val="000000" w:themeColor="text1"/>
              </w:rPr>
              <w:t>29,741</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D9D9D9" w:themeFill="background1" w:themeFillShade="D9"/>
          </w:tcPr>
          <w:p w14:paraId="30C32A25" w14:textId="2C0F1276" w:rsidR="00880D4D" w:rsidRPr="0021615C" w:rsidRDefault="00880D4D" w:rsidP="00495A11">
            <w:pPr>
              <w:jc w:val="right"/>
            </w:pPr>
            <w:r>
              <w:t>26,200</w:t>
            </w:r>
          </w:p>
        </w:tc>
      </w:tr>
      <w:tr w:rsidR="00880D4D" w14:paraId="63D578F8" w14:textId="02422A66" w:rsidTr="00C55CA2">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262" w:type="pct"/>
          </w:tcPr>
          <w:p w14:paraId="3941F306" w14:textId="4F191B1A" w:rsidR="00880D4D" w:rsidRPr="000E7EED" w:rsidRDefault="00880D4D" w:rsidP="00495A11">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1268" w:type="pct"/>
          </w:tcPr>
          <w:p w14:paraId="321509DE" w14:textId="0CBC4A7B" w:rsidR="00880D4D" w:rsidRPr="000E7EED" w:rsidRDefault="00880D4D" w:rsidP="00495A11">
            <w:pPr>
              <w:jc w:val="right"/>
              <w:rPr>
                <w:color w:val="000000" w:themeColor="text1"/>
              </w:rPr>
            </w:pPr>
            <w:r>
              <w:rPr>
                <w:color w:val="000000" w:themeColor="text1"/>
              </w:rPr>
              <w:t>9,231</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D9D9D9" w:themeFill="background1" w:themeFillShade="D9"/>
          </w:tcPr>
          <w:p w14:paraId="62B478A5" w14:textId="044014BF" w:rsidR="00880D4D" w:rsidRPr="000E7EED" w:rsidRDefault="00880D4D" w:rsidP="00495A11">
            <w:pPr>
              <w:jc w:val="right"/>
              <w:rPr>
                <w:color w:val="000000" w:themeColor="text1"/>
              </w:rPr>
            </w:pPr>
            <w:r>
              <w:rPr>
                <w:color w:val="000000" w:themeColor="text1"/>
              </w:rPr>
              <w:t>8,453</w:t>
            </w:r>
          </w:p>
        </w:tc>
      </w:tr>
      <w:tr w:rsidR="00880D4D" w14:paraId="790DC25B" w14:textId="77777777" w:rsidTr="00C55CA2">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262" w:type="pct"/>
          </w:tcPr>
          <w:p w14:paraId="365FE2D7" w14:textId="2D962CC6" w:rsidR="00880D4D" w:rsidRDefault="00880D4D" w:rsidP="00495A11">
            <w:pPr>
              <w:rPr>
                <w:color w:val="000000" w:themeColor="text1"/>
              </w:rPr>
            </w:pPr>
            <w:r>
              <w:rPr>
                <w:color w:val="000000" w:themeColor="text1"/>
              </w:rPr>
              <w:t>Minor work sessions</w:t>
            </w:r>
          </w:p>
        </w:tc>
        <w:tc>
          <w:tcPr>
            <w:cnfStyle w:val="000001000000" w:firstRow="0" w:lastRow="0" w:firstColumn="0" w:lastColumn="0" w:oddVBand="0" w:evenVBand="1" w:oddHBand="0" w:evenHBand="0" w:firstRowFirstColumn="0" w:firstRowLastColumn="0" w:lastRowFirstColumn="0" w:lastRowLastColumn="0"/>
            <w:tcW w:w="1268" w:type="pct"/>
          </w:tcPr>
          <w:p w14:paraId="178E310B" w14:textId="4D514541" w:rsidR="00880D4D" w:rsidRDefault="00880D4D" w:rsidP="00495A11">
            <w:pPr>
              <w:jc w:val="right"/>
              <w:rPr>
                <w:color w:val="000000" w:themeColor="text1"/>
              </w:rPr>
            </w:pPr>
            <w:r>
              <w:rPr>
                <w:color w:val="000000" w:themeColor="text1"/>
              </w:rPr>
              <w:t>1,253</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D9D9D9" w:themeFill="background1" w:themeFillShade="D9"/>
          </w:tcPr>
          <w:p w14:paraId="44FC2BCB" w14:textId="3F8454E8" w:rsidR="00880D4D" w:rsidRDefault="00880D4D" w:rsidP="00495A11">
            <w:pPr>
              <w:jc w:val="right"/>
              <w:rPr>
                <w:color w:val="000000" w:themeColor="text1"/>
              </w:rPr>
            </w:pPr>
            <w:r>
              <w:rPr>
                <w:color w:val="000000" w:themeColor="text1"/>
              </w:rPr>
              <w:t>441</w:t>
            </w:r>
          </w:p>
        </w:tc>
      </w:tr>
      <w:tr w:rsidR="00880D4D" w14:paraId="6E8F7A5D" w14:textId="77777777" w:rsidTr="00C55CA2">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262" w:type="pct"/>
          </w:tcPr>
          <w:p w14:paraId="6522BC66" w14:textId="09E8A605" w:rsidR="00880D4D" w:rsidRDefault="00880D4D" w:rsidP="00667FB6">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1268" w:type="pct"/>
          </w:tcPr>
          <w:p w14:paraId="00A2751E" w14:textId="3E000023" w:rsidR="00880D4D" w:rsidRDefault="00880D4D" w:rsidP="00667FB6">
            <w:pPr>
              <w:jc w:val="right"/>
              <w:rPr>
                <w:color w:val="000000" w:themeColor="text1"/>
              </w:rPr>
            </w:pPr>
            <w:r>
              <w:rPr>
                <w:color w:val="000000" w:themeColor="text1"/>
              </w:rPr>
              <w:t>108</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D9D9D9" w:themeFill="background1" w:themeFillShade="D9"/>
          </w:tcPr>
          <w:p w14:paraId="7373AE20" w14:textId="01B3D815" w:rsidR="00880D4D" w:rsidRDefault="00880D4D" w:rsidP="00667FB6">
            <w:pPr>
              <w:jc w:val="right"/>
              <w:rPr>
                <w:color w:val="000000" w:themeColor="text1"/>
              </w:rPr>
            </w:pPr>
            <w:r>
              <w:rPr>
                <w:color w:val="000000" w:themeColor="text1"/>
              </w:rPr>
              <w:t>36</w:t>
            </w:r>
          </w:p>
        </w:tc>
      </w:tr>
      <w:tr w:rsidR="00880D4D" w14:paraId="517976DD" w14:textId="77777777" w:rsidTr="00C55CA2">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262" w:type="pct"/>
          </w:tcPr>
          <w:p w14:paraId="6E9B5491" w14:textId="77777777" w:rsidR="00880D4D" w:rsidRPr="000E7EED" w:rsidRDefault="00880D4D" w:rsidP="00FB3255">
            <w:pPr>
              <w:rPr>
                <w:color w:val="000000" w:themeColor="text1"/>
              </w:rPr>
            </w:pPr>
            <w:r>
              <w:rPr>
                <w:color w:val="000000" w:themeColor="text1"/>
              </w:rPr>
              <w:t>W</w:t>
            </w:r>
            <w:r w:rsidRPr="000E7EED">
              <w:rPr>
                <w:color w:val="000000" w:themeColor="text1"/>
              </w:rPr>
              <w:t>ebsite</w:t>
            </w:r>
            <w:r>
              <w:rPr>
                <w:color w:val="000000" w:themeColor="text1"/>
              </w:rPr>
              <w:t xml:space="preserve"> sessions</w:t>
            </w:r>
          </w:p>
        </w:tc>
        <w:tc>
          <w:tcPr>
            <w:cnfStyle w:val="000001000000" w:firstRow="0" w:lastRow="0" w:firstColumn="0" w:lastColumn="0" w:oddVBand="0" w:evenVBand="1" w:oddHBand="0" w:evenHBand="0" w:firstRowFirstColumn="0" w:firstRowLastColumn="0" w:lastRowFirstColumn="0" w:lastRowLastColumn="0"/>
            <w:tcW w:w="1268" w:type="pct"/>
          </w:tcPr>
          <w:p w14:paraId="58083224" w14:textId="34540156" w:rsidR="00880D4D" w:rsidRPr="000E7EED" w:rsidRDefault="00880D4D" w:rsidP="00FB3255">
            <w:pPr>
              <w:jc w:val="right"/>
              <w:rPr>
                <w:color w:val="000000" w:themeColor="text1"/>
              </w:rPr>
            </w:pPr>
            <w:r>
              <w:rPr>
                <w:color w:val="000000" w:themeColor="text1"/>
              </w:rPr>
              <w:t>681,856</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D9D9D9" w:themeFill="background1" w:themeFillShade="D9"/>
          </w:tcPr>
          <w:p w14:paraId="4D786578" w14:textId="66ADBDA8" w:rsidR="00880D4D" w:rsidRPr="000E7EED" w:rsidRDefault="00880D4D" w:rsidP="00FB3255">
            <w:pPr>
              <w:jc w:val="right"/>
              <w:rPr>
                <w:color w:val="000000" w:themeColor="text1"/>
              </w:rPr>
            </w:pPr>
            <w:r>
              <w:rPr>
                <w:color w:val="000000" w:themeColor="text1"/>
              </w:rPr>
              <w:t>791,021</w:t>
            </w:r>
          </w:p>
        </w:tc>
      </w:tr>
    </w:tbl>
    <w:p w14:paraId="45BDACDF" w14:textId="77777777" w:rsidR="00F423AD" w:rsidRDefault="00F423AD" w:rsidP="00844BD8">
      <w:pPr>
        <w:pStyle w:val="Tableheader"/>
        <w:spacing w:before="0"/>
        <w:rPr>
          <w:b w:val="0"/>
          <w:bCs w:val="0"/>
          <w:sz w:val="22"/>
          <w:szCs w:val="22"/>
        </w:rPr>
      </w:pPr>
    </w:p>
    <w:p w14:paraId="2122FE06" w14:textId="4D04A1BD" w:rsidR="00126421" w:rsidRDefault="00183C63" w:rsidP="00844BD8">
      <w:pPr>
        <w:pStyle w:val="Tableheader"/>
        <w:spacing w:before="0"/>
        <w:rPr>
          <w:b w:val="0"/>
          <w:bCs w:val="0"/>
          <w:sz w:val="22"/>
          <w:szCs w:val="22"/>
        </w:rPr>
      </w:pPr>
      <w:r>
        <w:rPr>
          <w:b w:val="0"/>
          <w:bCs w:val="0"/>
          <w:sz w:val="22"/>
          <w:szCs w:val="22"/>
        </w:rPr>
        <w:t xml:space="preserve">Whilst web chat has been able to mitigate a decrease in the number of information sessions delivered, advice sessions </w:t>
      </w:r>
      <w:r w:rsidR="000F122E">
        <w:rPr>
          <w:b w:val="0"/>
          <w:bCs w:val="0"/>
          <w:sz w:val="22"/>
          <w:szCs w:val="22"/>
        </w:rPr>
        <w:t xml:space="preserve">can only be delivered by a VLA lawyer over the </w:t>
      </w:r>
      <w:r w:rsidR="00A611A0">
        <w:rPr>
          <w:b w:val="0"/>
          <w:bCs w:val="0"/>
          <w:sz w:val="22"/>
          <w:szCs w:val="22"/>
        </w:rPr>
        <w:t>phone</w:t>
      </w:r>
      <w:r>
        <w:rPr>
          <w:b w:val="0"/>
          <w:bCs w:val="0"/>
          <w:sz w:val="22"/>
          <w:szCs w:val="22"/>
        </w:rPr>
        <w:t xml:space="preserve"> and take longer to deliver than an information session</w:t>
      </w:r>
      <w:r w:rsidR="008570B8">
        <w:rPr>
          <w:b w:val="0"/>
          <w:bCs w:val="0"/>
          <w:sz w:val="22"/>
          <w:szCs w:val="22"/>
        </w:rPr>
        <w:t xml:space="preserve">. </w:t>
      </w:r>
      <w:r w:rsidR="00C1763E">
        <w:rPr>
          <w:b w:val="0"/>
          <w:bCs w:val="0"/>
          <w:sz w:val="22"/>
          <w:szCs w:val="22"/>
        </w:rPr>
        <w:t xml:space="preserve">Although </w:t>
      </w:r>
      <w:r>
        <w:rPr>
          <w:b w:val="0"/>
          <w:bCs w:val="0"/>
          <w:sz w:val="22"/>
          <w:szCs w:val="22"/>
        </w:rPr>
        <w:t>fewer</w:t>
      </w:r>
      <w:r w:rsidR="00C1763E">
        <w:rPr>
          <w:b w:val="0"/>
          <w:bCs w:val="0"/>
          <w:sz w:val="22"/>
          <w:szCs w:val="22"/>
        </w:rPr>
        <w:t xml:space="preserve"> advice sessions</w:t>
      </w:r>
      <w:r>
        <w:rPr>
          <w:b w:val="0"/>
          <w:bCs w:val="0"/>
          <w:sz w:val="22"/>
          <w:szCs w:val="22"/>
        </w:rPr>
        <w:t xml:space="preserve"> were</w:t>
      </w:r>
      <w:r w:rsidR="00C1763E">
        <w:rPr>
          <w:b w:val="0"/>
          <w:bCs w:val="0"/>
          <w:sz w:val="22"/>
          <w:szCs w:val="22"/>
        </w:rPr>
        <w:t xml:space="preserve"> delivered </w:t>
      </w:r>
      <w:r>
        <w:rPr>
          <w:b w:val="0"/>
          <w:bCs w:val="0"/>
          <w:sz w:val="22"/>
          <w:szCs w:val="22"/>
        </w:rPr>
        <w:t>compared to</w:t>
      </w:r>
      <w:r w:rsidR="003B60D1">
        <w:rPr>
          <w:b w:val="0"/>
          <w:bCs w:val="0"/>
          <w:sz w:val="22"/>
          <w:szCs w:val="22"/>
        </w:rPr>
        <w:t xml:space="preserve"> </w:t>
      </w:r>
      <w:r w:rsidR="00C1763E">
        <w:rPr>
          <w:b w:val="0"/>
          <w:bCs w:val="0"/>
          <w:sz w:val="22"/>
          <w:szCs w:val="22"/>
        </w:rPr>
        <w:t>2019</w:t>
      </w:r>
      <w:r w:rsidR="00937739">
        <w:rPr>
          <w:b w:val="0"/>
          <w:bCs w:val="0"/>
          <w:sz w:val="22"/>
          <w:szCs w:val="22"/>
        </w:rPr>
        <w:sym w:font="Symbol" w:char="F02D"/>
      </w:r>
      <w:r w:rsidR="00C1763E">
        <w:rPr>
          <w:b w:val="0"/>
          <w:bCs w:val="0"/>
          <w:sz w:val="22"/>
          <w:szCs w:val="22"/>
        </w:rPr>
        <w:t>20</w:t>
      </w:r>
      <w:r w:rsidR="007E454A">
        <w:rPr>
          <w:b w:val="0"/>
          <w:bCs w:val="0"/>
          <w:sz w:val="22"/>
          <w:szCs w:val="22"/>
        </w:rPr>
        <w:t xml:space="preserve"> (Table 1.3)</w:t>
      </w:r>
      <w:r w:rsidR="00C1763E">
        <w:rPr>
          <w:b w:val="0"/>
          <w:bCs w:val="0"/>
          <w:sz w:val="22"/>
          <w:szCs w:val="22"/>
        </w:rPr>
        <w:t xml:space="preserve">, </w:t>
      </w:r>
      <w:r w:rsidR="00591ECC">
        <w:rPr>
          <w:b w:val="0"/>
          <w:bCs w:val="0"/>
          <w:sz w:val="22"/>
          <w:szCs w:val="22"/>
        </w:rPr>
        <w:t>these sessions are proportionately taking up more time on the phoneline</w:t>
      </w:r>
      <w:r w:rsidR="00347C6E">
        <w:rPr>
          <w:b w:val="0"/>
          <w:bCs w:val="0"/>
          <w:sz w:val="22"/>
          <w:szCs w:val="22"/>
        </w:rPr>
        <w:t>.</w:t>
      </w:r>
      <w:r w:rsidR="00591ECC">
        <w:rPr>
          <w:b w:val="0"/>
          <w:bCs w:val="0"/>
          <w:sz w:val="22"/>
          <w:szCs w:val="22"/>
        </w:rPr>
        <w:t xml:space="preserve"> </w:t>
      </w:r>
      <w:r w:rsidR="009B353A">
        <w:rPr>
          <w:b w:val="0"/>
          <w:bCs w:val="0"/>
          <w:sz w:val="22"/>
          <w:szCs w:val="22"/>
        </w:rPr>
        <w:t>In addition,</w:t>
      </w:r>
      <w:r w:rsidR="007E454A">
        <w:rPr>
          <w:b w:val="0"/>
          <w:bCs w:val="0"/>
          <w:sz w:val="22"/>
          <w:szCs w:val="22"/>
        </w:rPr>
        <w:t xml:space="preserve"> the information sessions that the phoneline receives tend to be more complex than those delivered by web chat. This increasing complexity contributes to the longer average s</w:t>
      </w:r>
      <w:r>
        <w:rPr>
          <w:b w:val="0"/>
          <w:bCs w:val="0"/>
          <w:sz w:val="22"/>
          <w:szCs w:val="22"/>
        </w:rPr>
        <w:t>ervice</w:t>
      </w:r>
      <w:r w:rsidR="007E454A">
        <w:rPr>
          <w:b w:val="0"/>
          <w:bCs w:val="0"/>
          <w:sz w:val="22"/>
          <w:szCs w:val="22"/>
        </w:rPr>
        <w:t xml:space="preserve"> duration for the phone line and </w:t>
      </w:r>
      <w:r w:rsidR="00592B1E">
        <w:rPr>
          <w:b w:val="0"/>
          <w:bCs w:val="0"/>
          <w:sz w:val="22"/>
          <w:szCs w:val="22"/>
        </w:rPr>
        <w:t>ha</w:t>
      </w:r>
      <w:r w:rsidR="00347C6E">
        <w:rPr>
          <w:b w:val="0"/>
          <w:bCs w:val="0"/>
          <w:sz w:val="22"/>
          <w:szCs w:val="22"/>
        </w:rPr>
        <w:t>s</w:t>
      </w:r>
      <w:r w:rsidR="00592B1E">
        <w:rPr>
          <w:b w:val="0"/>
          <w:bCs w:val="0"/>
          <w:sz w:val="22"/>
          <w:szCs w:val="22"/>
        </w:rPr>
        <w:t xml:space="preserve"> meant that staff are </w:t>
      </w:r>
      <w:r w:rsidR="001023C8">
        <w:rPr>
          <w:b w:val="0"/>
          <w:bCs w:val="0"/>
          <w:sz w:val="22"/>
          <w:szCs w:val="22"/>
        </w:rPr>
        <w:t xml:space="preserve">less available to answer </w:t>
      </w:r>
      <w:r w:rsidR="00130C44">
        <w:rPr>
          <w:b w:val="0"/>
          <w:bCs w:val="0"/>
          <w:sz w:val="22"/>
          <w:szCs w:val="22"/>
        </w:rPr>
        <w:t>other calls</w:t>
      </w:r>
      <w:r w:rsidR="0009511F">
        <w:rPr>
          <w:b w:val="0"/>
          <w:bCs w:val="0"/>
          <w:sz w:val="22"/>
          <w:szCs w:val="22"/>
        </w:rPr>
        <w:t>, reducing our overall capacity to deliver advice and information sessions.</w:t>
      </w:r>
      <w:r w:rsidR="00592B1E">
        <w:rPr>
          <w:b w:val="0"/>
          <w:bCs w:val="0"/>
          <w:sz w:val="22"/>
          <w:szCs w:val="22"/>
        </w:rPr>
        <w:t xml:space="preserve"> </w:t>
      </w:r>
    </w:p>
    <w:p w14:paraId="27D90AB5" w14:textId="4828FDB8" w:rsidR="008E5945" w:rsidRPr="00E67F29" w:rsidRDefault="0009511F" w:rsidP="005A5774">
      <w:pPr>
        <w:pStyle w:val="Tableheader"/>
        <w:rPr>
          <w:b w:val="0"/>
          <w:bCs w:val="0"/>
          <w:i/>
          <w:iCs/>
          <w:sz w:val="22"/>
          <w:szCs w:val="22"/>
        </w:rPr>
      </w:pPr>
      <w:r>
        <w:rPr>
          <w:b w:val="0"/>
          <w:bCs w:val="0"/>
          <w:sz w:val="22"/>
          <w:szCs w:val="22"/>
        </w:rPr>
        <w:t xml:space="preserve">VLA provides in person </w:t>
      </w:r>
      <w:r w:rsidR="008E5945">
        <w:rPr>
          <w:b w:val="0"/>
          <w:bCs w:val="0"/>
          <w:sz w:val="22"/>
          <w:szCs w:val="22"/>
        </w:rPr>
        <w:t>Community Legal Education</w:t>
      </w:r>
      <w:r w:rsidR="0009711B">
        <w:rPr>
          <w:b w:val="0"/>
          <w:bCs w:val="0"/>
          <w:sz w:val="22"/>
          <w:szCs w:val="22"/>
        </w:rPr>
        <w:t xml:space="preserve"> (CLE)</w:t>
      </w:r>
      <w:r w:rsidR="008E5945">
        <w:rPr>
          <w:b w:val="0"/>
          <w:bCs w:val="0"/>
          <w:sz w:val="22"/>
          <w:szCs w:val="22"/>
        </w:rPr>
        <w:t xml:space="preserve"> </w:t>
      </w:r>
      <w:r w:rsidR="004E1300">
        <w:rPr>
          <w:b w:val="0"/>
          <w:bCs w:val="0"/>
          <w:sz w:val="22"/>
          <w:szCs w:val="22"/>
        </w:rPr>
        <w:t xml:space="preserve">to targeted cohorts of our clients and the community. These Education sessions </w:t>
      </w:r>
      <w:r w:rsidR="00695B03">
        <w:rPr>
          <w:b w:val="0"/>
          <w:bCs w:val="0"/>
          <w:sz w:val="22"/>
          <w:szCs w:val="22"/>
        </w:rPr>
        <w:t xml:space="preserve">help deliver tailored information to help educate the community both on the law and the </w:t>
      </w:r>
      <w:r w:rsidR="003E51EA">
        <w:rPr>
          <w:b w:val="0"/>
          <w:bCs w:val="0"/>
          <w:sz w:val="22"/>
          <w:szCs w:val="22"/>
        </w:rPr>
        <w:t xml:space="preserve">justice system. COVID-19 has meant that we </w:t>
      </w:r>
      <w:r w:rsidR="008400B5">
        <w:rPr>
          <w:b w:val="0"/>
          <w:bCs w:val="0"/>
          <w:sz w:val="22"/>
          <w:szCs w:val="22"/>
        </w:rPr>
        <w:t xml:space="preserve">have not been </w:t>
      </w:r>
      <w:r w:rsidR="00260EDC">
        <w:rPr>
          <w:b w:val="0"/>
          <w:bCs w:val="0"/>
          <w:sz w:val="22"/>
          <w:szCs w:val="22"/>
        </w:rPr>
        <w:t>able</w:t>
      </w:r>
      <w:r w:rsidR="008400B5">
        <w:rPr>
          <w:b w:val="0"/>
          <w:bCs w:val="0"/>
          <w:sz w:val="22"/>
          <w:szCs w:val="22"/>
        </w:rPr>
        <w:t xml:space="preserve"> to</w:t>
      </w:r>
      <w:r w:rsidR="003E51EA">
        <w:rPr>
          <w:b w:val="0"/>
          <w:bCs w:val="0"/>
          <w:sz w:val="22"/>
          <w:szCs w:val="22"/>
        </w:rPr>
        <w:t xml:space="preserve"> deliver these</w:t>
      </w:r>
      <w:r w:rsidR="00695B03">
        <w:rPr>
          <w:b w:val="0"/>
          <w:bCs w:val="0"/>
          <w:sz w:val="22"/>
          <w:szCs w:val="22"/>
        </w:rPr>
        <w:t xml:space="preserve"> </w:t>
      </w:r>
      <w:r w:rsidR="003E51EA">
        <w:rPr>
          <w:b w:val="0"/>
          <w:bCs w:val="0"/>
          <w:sz w:val="22"/>
          <w:szCs w:val="22"/>
        </w:rPr>
        <w:t>sessions</w:t>
      </w:r>
      <w:r w:rsidR="008400B5">
        <w:rPr>
          <w:b w:val="0"/>
          <w:bCs w:val="0"/>
          <w:sz w:val="22"/>
          <w:szCs w:val="22"/>
        </w:rPr>
        <w:t xml:space="preserve"> in person</w:t>
      </w:r>
      <w:r w:rsidR="00191722">
        <w:rPr>
          <w:b w:val="0"/>
          <w:bCs w:val="0"/>
          <w:sz w:val="22"/>
          <w:szCs w:val="22"/>
        </w:rPr>
        <w:t xml:space="preserve"> and have seen a </w:t>
      </w:r>
      <w:r w:rsidR="0005014C">
        <w:rPr>
          <w:b w:val="0"/>
          <w:bCs w:val="0"/>
          <w:sz w:val="22"/>
          <w:szCs w:val="22"/>
        </w:rPr>
        <w:t>66.7 per cent decrease in sessions delivered since 2019</w:t>
      </w:r>
      <w:r w:rsidR="00C15842">
        <w:rPr>
          <w:b w:val="0"/>
          <w:bCs w:val="0"/>
          <w:sz w:val="22"/>
          <w:szCs w:val="22"/>
        </w:rPr>
        <w:t>–</w:t>
      </w:r>
      <w:r w:rsidR="0005014C">
        <w:rPr>
          <w:b w:val="0"/>
          <w:bCs w:val="0"/>
          <w:sz w:val="22"/>
          <w:szCs w:val="22"/>
        </w:rPr>
        <w:t>20</w:t>
      </w:r>
      <w:r w:rsidR="008400B5">
        <w:rPr>
          <w:b w:val="0"/>
          <w:bCs w:val="0"/>
          <w:sz w:val="22"/>
          <w:szCs w:val="22"/>
        </w:rPr>
        <w:t>.</w:t>
      </w:r>
      <w:r w:rsidR="00B74DAC">
        <w:rPr>
          <w:b w:val="0"/>
          <w:bCs w:val="0"/>
          <w:sz w:val="22"/>
          <w:szCs w:val="22"/>
        </w:rPr>
        <w:t xml:space="preserve"> We have shifted to</w:t>
      </w:r>
      <w:r w:rsidR="004E779F">
        <w:rPr>
          <w:b w:val="0"/>
          <w:bCs w:val="0"/>
          <w:sz w:val="22"/>
          <w:szCs w:val="22"/>
        </w:rPr>
        <w:t xml:space="preserve"> delivering CLE</w:t>
      </w:r>
      <w:r w:rsidR="00B74DAC">
        <w:rPr>
          <w:b w:val="0"/>
          <w:bCs w:val="0"/>
          <w:sz w:val="22"/>
          <w:szCs w:val="22"/>
        </w:rPr>
        <w:t xml:space="preserve"> </w:t>
      </w:r>
      <w:r w:rsidR="004E779F">
        <w:rPr>
          <w:b w:val="0"/>
          <w:bCs w:val="0"/>
          <w:sz w:val="22"/>
          <w:szCs w:val="22"/>
        </w:rPr>
        <w:t xml:space="preserve">on </w:t>
      </w:r>
      <w:r w:rsidR="00B74DAC">
        <w:rPr>
          <w:b w:val="0"/>
          <w:bCs w:val="0"/>
          <w:sz w:val="22"/>
          <w:szCs w:val="22"/>
        </w:rPr>
        <w:t>online</w:t>
      </w:r>
      <w:r w:rsidR="004E779F">
        <w:rPr>
          <w:b w:val="0"/>
          <w:bCs w:val="0"/>
          <w:sz w:val="22"/>
          <w:szCs w:val="22"/>
        </w:rPr>
        <w:t xml:space="preserve"> platforms</w:t>
      </w:r>
      <w:r w:rsidR="00394BFD">
        <w:rPr>
          <w:b w:val="0"/>
          <w:bCs w:val="0"/>
          <w:sz w:val="22"/>
          <w:szCs w:val="22"/>
        </w:rPr>
        <w:t xml:space="preserve"> with positive results so far</w:t>
      </w:r>
      <w:r w:rsidR="00C55CA2">
        <w:rPr>
          <w:b w:val="0"/>
          <w:bCs w:val="0"/>
          <w:sz w:val="22"/>
          <w:szCs w:val="22"/>
        </w:rPr>
        <w:t>.</w:t>
      </w:r>
    </w:p>
    <w:p w14:paraId="2A1F0837" w14:textId="6F33715C" w:rsidR="00495A11" w:rsidRPr="00E46959" w:rsidRDefault="007C1487" w:rsidP="00523B7C">
      <w:pPr>
        <w:rPr>
          <w:b/>
          <w:bCs/>
        </w:rPr>
      </w:pPr>
      <w:r w:rsidRPr="00E46959">
        <w:rPr>
          <w:b/>
          <w:bCs/>
        </w:rPr>
        <w:t xml:space="preserve">Table 1.4 </w:t>
      </w:r>
      <w:r w:rsidR="00B84476">
        <w:rPr>
          <w:b/>
          <w:bCs/>
        </w:rPr>
        <w:t>Court assistance</w:t>
      </w:r>
      <w:r w:rsidRPr="00E46959">
        <w:rPr>
          <w:b/>
          <w:bCs/>
        </w:rPr>
        <w:t xml:space="preser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559"/>
        <w:gridCol w:w="2555"/>
        <w:gridCol w:w="2962"/>
      </w:tblGrid>
      <w:tr w:rsidR="00880D4D" w14:paraId="052E6F62" w14:textId="5735B623" w:rsidTr="00C55CA2">
        <w:trPr>
          <w:cnfStyle w:val="100000000000" w:firstRow="1" w:lastRow="0" w:firstColumn="0" w:lastColumn="0" w:oddVBand="0" w:evenVBand="0" w:oddHBand="0"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262" w:type="pct"/>
            <w:shd w:val="clear" w:color="auto" w:fill="C4B0CC"/>
          </w:tcPr>
          <w:p w14:paraId="038AE825" w14:textId="06782A99" w:rsidR="00880D4D" w:rsidRPr="00495A11" w:rsidRDefault="00880D4D" w:rsidP="008A4971">
            <w:pPr>
              <w:rPr>
                <w:b/>
                <w:bCs w:val="0"/>
                <w:color w:val="000000" w:themeColor="text1"/>
              </w:rPr>
            </w:pPr>
            <w:r>
              <w:rPr>
                <w:b/>
                <w:bCs w:val="0"/>
                <w:color w:val="000000" w:themeColor="text1"/>
              </w:rPr>
              <w:t>Court assistance</w:t>
            </w:r>
            <w:r w:rsidRPr="00495A11">
              <w:rPr>
                <w:b/>
                <w:bCs w:val="0"/>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1268" w:type="pct"/>
            <w:shd w:val="clear" w:color="auto" w:fill="C4B0CC"/>
          </w:tcPr>
          <w:p w14:paraId="3389D204" w14:textId="77777777" w:rsidR="00880D4D" w:rsidRPr="000E7EED" w:rsidRDefault="00880D4D" w:rsidP="008A4971">
            <w:pPr>
              <w:jc w:val="center"/>
              <w:rPr>
                <w:b/>
                <w:color w:val="000000" w:themeColor="text1"/>
              </w:rPr>
            </w:pPr>
            <w:r w:rsidRPr="55245693">
              <w:rPr>
                <w:b/>
                <w:color w:val="000000" w:themeColor="text1"/>
              </w:rPr>
              <w:t>Q</w:t>
            </w:r>
            <w:r>
              <w:rPr>
                <w:b/>
                <w:color w:val="000000" w:themeColor="text1"/>
              </w:rPr>
              <w:t>1</w:t>
            </w:r>
          </w:p>
          <w:p w14:paraId="02F895D5" w14:textId="494AB19A" w:rsidR="00880D4D" w:rsidRPr="000E7EED" w:rsidRDefault="00880D4D" w:rsidP="008A4971">
            <w:pPr>
              <w:jc w:val="center"/>
              <w:rPr>
                <w:color w:val="000000" w:themeColor="text1"/>
              </w:rPr>
            </w:pPr>
            <w:r w:rsidRPr="000E7EED">
              <w:rPr>
                <w:b/>
                <w:color w:val="000000" w:themeColor="text1"/>
              </w:rPr>
              <w:t>20</w:t>
            </w:r>
            <w:r>
              <w:rPr>
                <w:b/>
                <w:color w:val="000000" w:themeColor="text1"/>
              </w:rPr>
              <w:t>19-20</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C4B0CC"/>
          </w:tcPr>
          <w:p w14:paraId="0E5004D2" w14:textId="77777777" w:rsidR="00880D4D" w:rsidRDefault="00880D4D" w:rsidP="008A4971">
            <w:pPr>
              <w:jc w:val="center"/>
              <w:rPr>
                <w:b/>
                <w:color w:val="000000" w:themeColor="text1"/>
              </w:rPr>
            </w:pPr>
            <w:r w:rsidRPr="55245693">
              <w:rPr>
                <w:b/>
                <w:color w:val="000000" w:themeColor="text1"/>
              </w:rPr>
              <w:t>Q</w:t>
            </w:r>
            <w:r>
              <w:rPr>
                <w:b/>
                <w:color w:val="000000" w:themeColor="text1"/>
              </w:rPr>
              <w:t>1</w:t>
            </w:r>
          </w:p>
          <w:p w14:paraId="1FA34AA2" w14:textId="2ED5A66F" w:rsidR="00880D4D" w:rsidRPr="000E7EED" w:rsidRDefault="00880D4D" w:rsidP="008A4971">
            <w:pPr>
              <w:jc w:val="center"/>
              <w:rPr>
                <w:color w:val="000000" w:themeColor="text1"/>
              </w:rPr>
            </w:pPr>
            <w:r w:rsidRPr="000E7EED">
              <w:rPr>
                <w:b/>
                <w:color w:val="000000" w:themeColor="text1"/>
              </w:rPr>
              <w:t>20</w:t>
            </w:r>
            <w:r>
              <w:rPr>
                <w:b/>
                <w:color w:val="000000" w:themeColor="text1"/>
              </w:rPr>
              <w:t>20-21</w:t>
            </w:r>
          </w:p>
        </w:tc>
      </w:tr>
      <w:tr w:rsidR="00880D4D" w14:paraId="3C3FE80A" w14:textId="1E73DF32" w:rsidTr="00C55CA2">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262" w:type="pct"/>
          </w:tcPr>
          <w:p w14:paraId="6173B22E" w14:textId="77777777" w:rsidR="00880D4D" w:rsidRDefault="00880D4D" w:rsidP="00D83854">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1268" w:type="pct"/>
          </w:tcPr>
          <w:p w14:paraId="2E8775AA" w14:textId="738F52D2" w:rsidR="00880D4D" w:rsidRPr="000E7EED" w:rsidRDefault="00880D4D" w:rsidP="00D83854">
            <w:pPr>
              <w:jc w:val="right"/>
              <w:rPr>
                <w:color w:val="000000" w:themeColor="text1"/>
              </w:rPr>
            </w:pPr>
            <w:r>
              <w:rPr>
                <w:color w:val="000000" w:themeColor="text1"/>
              </w:rPr>
              <w:t>24,349</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D9D9D9" w:themeFill="background1" w:themeFillShade="D9"/>
          </w:tcPr>
          <w:p w14:paraId="7AAB1F72" w14:textId="5042DC79" w:rsidR="00880D4D" w:rsidRPr="000E7EED" w:rsidRDefault="00880D4D" w:rsidP="00D83854">
            <w:pPr>
              <w:jc w:val="right"/>
              <w:rPr>
                <w:color w:val="000000" w:themeColor="text1"/>
              </w:rPr>
            </w:pPr>
            <w:r>
              <w:rPr>
                <w:color w:val="000000" w:themeColor="text1"/>
              </w:rPr>
              <w:t>8,170</w:t>
            </w:r>
          </w:p>
        </w:tc>
      </w:tr>
      <w:tr w:rsidR="00880D4D" w14:paraId="44E57F19" w14:textId="0E5C910E" w:rsidTr="00C55CA2">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262" w:type="pct"/>
          </w:tcPr>
          <w:p w14:paraId="7AB592EF" w14:textId="77777777" w:rsidR="00880D4D" w:rsidRDefault="00880D4D" w:rsidP="00D83854">
            <w:pPr>
              <w:rPr>
                <w:color w:val="000000" w:themeColor="text1"/>
              </w:rPr>
            </w:pPr>
            <w:r>
              <w:rPr>
                <w:color w:val="000000" w:themeColor="text1"/>
              </w:rPr>
              <w:lastRenderedPageBreak/>
              <w:t>Grants of Legal Assistance</w:t>
            </w:r>
          </w:p>
        </w:tc>
        <w:tc>
          <w:tcPr>
            <w:cnfStyle w:val="000001000000" w:firstRow="0" w:lastRow="0" w:firstColumn="0" w:lastColumn="0" w:oddVBand="0" w:evenVBand="1" w:oddHBand="0" w:evenHBand="0" w:firstRowFirstColumn="0" w:firstRowLastColumn="0" w:lastRowFirstColumn="0" w:lastRowLastColumn="0"/>
            <w:tcW w:w="1268" w:type="pct"/>
          </w:tcPr>
          <w:p w14:paraId="22D2C9B8" w14:textId="2EE1C3F1" w:rsidR="00880D4D" w:rsidRPr="000E7EED" w:rsidRDefault="00880D4D" w:rsidP="00D83854">
            <w:pPr>
              <w:jc w:val="right"/>
              <w:rPr>
                <w:color w:val="000000" w:themeColor="text1"/>
              </w:rPr>
            </w:pPr>
            <w:r>
              <w:rPr>
                <w:color w:val="000000" w:themeColor="text1"/>
              </w:rPr>
              <w:t>11,895</w:t>
            </w:r>
          </w:p>
        </w:tc>
        <w:tc>
          <w:tcPr>
            <w:cnfStyle w:val="000010000000" w:firstRow="0" w:lastRow="0" w:firstColumn="0" w:lastColumn="0" w:oddVBand="1" w:evenVBand="0" w:oddHBand="0" w:evenHBand="0" w:firstRowFirstColumn="0" w:firstRowLastColumn="0" w:lastRowFirstColumn="0" w:lastRowLastColumn="0"/>
            <w:tcW w:w="1471" w:type="pct"/>
            <w:shd w:val="clear" w:color="auto" w:fill="D9D9D9" w:themeFill="background1" w:themeFillShade="D9"/>
          </w:tcPr>
          <w:p w14:paraId="64C623A0" w14:textId="1506A1BF" w:rsidR="00880D4D" w:rsidRPr="000E7EED" w:rsidRDefault="00880D4D" w:rsidP="00D83854">
            <w:pPr>
              <w:jc w:val="right"/>
              <w:rPr>
                <w:color w:val="000000" w:themeColor="text1"/>
              </w:rPr>
            </w:pPr>
            <w:r>
              <w:rPr>
                <w:color w:val="000000" w:themeColor="text1"/>
              </w:rPr>
              <w:t>9,562</w:t>
            </w:r>
          </w:p>
        </w:tc>
      </w:tr>
    </w:tbl>
    <w:p w14:paraId="09752C48" w14:textId="3264ACE6" w:rsidR="00CD1669" w:rsidRPr="006D2FD5" w:rsidRDefault="00F74D7B" w:rsidP="00712F1E">
      <w:pPr>
        <w:spacing w:before="120"/>
        <w:rPr>
          <w:lang w:eastAsia="en-AU"/>
        </w:rPr>
      </w:pPr>
      <w:r>
        <w:rPr>
          <w:lang w:eastAsia="en-AU"/>
        </w:rPr>
        <w:t>Dut</w:t>
      </w:r>
      <w:r w:rsidR="00482964">
        <w:rPr>
          <w:lang w:eastAsia="en-AU"/>
        </w:rPr>
        <w:t>y</w:t>
      </w:r>
      <w:r>
        <w:rPr>
          <w:lang w:eastAsia="en-AU"/>
        </w:rPr>
        <w:t xml:space="preserve"> Lawyer services </w:t>
      </w:r>
      <w:r w:rsidR="00482964">
        <w:rPr>
          <w:lang w:eastAsia="en-AU"/>
        </w:rPr>
        <w:t>are significantly below quarter one 2019</w:t>
      </w:r>
      <w:r w:rsidR="00CF3026">
        <w:rPr>
          <w:lang w:eastAsia="en-AU"/>
        </w:rPr>
        <w:t>–</w:t>
      </w:r>
      <w:r w:rsidR="00482964">
        <w:rPr>
          <w:lang w:eastAsia="en-AU"/>
        </w:rPr>
        <w:t xml:space="preserve">20, with a </w:t>
      </w:r>
      <w:r w:rsidR="007E19FF">
        <w:rPr>
          <w:lang w:eastAsia="en-AU"/>
        </w:rPr>
        <w:t>66.5 per cent decrease in the number of services delivered in quarter one 2020</w:t>
      </w:r>
      <w:r w:rsidR="00CF3026">
        <w:rPr>
          <w:lang w:eastAsia="en-AU"/>
        </w:rPr>
        <w:t>–</w:t>
      </w:r>
      <w:r w:rsidR="007E19FF">
        <w:rPr>
          <w:lang w:eastAsia="en-AU"/>
        </w:rPr>
        <w:t>21.</w:t>
      </w:r>
      <w:r w:rsidR="009D1CF7">
        <w:rPr>
          <w:lang w:eastAsia="en-AU"/>
        </w:rPr>
        <w:t xml:space="preserve"> </w:t>
      </w:r>
      <w:r w:rsidR="008737D6">
        <w:rPr>
          <w:lang w:eastAsia="en-AU"/>
        </w:rPr>
        <w:t xml:space="preserve">The </w:t>
      </w:r>
      <w:r w:rsidR="00F51931">
        <w:rPr>
          <w:lang w:eastAsia="en-AU"/>
        </w:rPr>
        <w:t>c</w:t>
      </w:r>
      <w:r w:rsidR="008737D6">
        <w:rPr>
          <w:lang w:eastAsia="en-AU"/>
        </w:rPr>
        <w:t xml:space="preserve">ourts </w:t>
      </w:r>
      <w:r w:rsidR="000A41F2">
        <w:rPr>
          <w:lang w:eastAsia="en-AU"/>
        </w:rPr>
        <w:t xml:space="preserve">are still running at a reduced capacity and delivering </w:t>
      </w:r>
      <w:r w:rsidR="008C6582">
        <w:rPr>
          <w:lang w:eastAsia="en-AU"/>
        </w:rPr>
        <w:t xml:space="preserve">most of their services online. As </w:t>
      </w:r>
      <w:r w:rsidR="00F51931">
        <w:rPr>
          <w:lang w:eastAsia="en-AU"/>
        </w:rPr>
        <w:t>c</w:t>
      </w:r>
      <w:r w:rsidR="008C6582">
        <w:rPr>
          <w:lang w:eastAsia="en-AU"/>
        </w:rPr>
        <w:t>ourts adjust their practices to hear more cases</w:t>
      </w:r>
      <w:r w:rsidR="00CD1669">
        <w:rPr>
          <w:lang w:eastAsia="en-AU"/>
        </w:rPr>
        <w:t xml:space="preserve"> and address the cases that were adjourned, we anticipate that duty lawyer services will rise in future quarters.</w:t>
      </w:r>
      <w:r w:rsidR="0023599B">
        <w:rPr>
          <w:lang w:eastAsia="en-AU"/>
        </w:rPr>
        <w:t xml:space="preserve"> </w:t>
      </w:r>
      <w:r w:rsidR="00CD1669">
        <w:rPr>
          <w:lang w:eastAsia="en-AU"/>
        </w:rPr>
        <w:t>Similarly</w:t>
      </w:r>
      <w:r w:rsidR="0023599B">
        <w:rPr>
          <w:lang w:eastAsia="en-AU"/>
        </w:rPr>
        <w:t xml:space="preserve">, although we continue to process and approve the grants of aid that we receive, reduced court listings mean that we are receiving fewer requests for grants of </w:t>
      </w:r>
      <w:r w:rsidR="00F51931">
        <w:rPr>
          <w:lang w:eastAsia="en-AU"/>
        </w:rPr>
        <w:t>l</w:t>
      </w:r>
      <w:r w:rsidR="0023599B">
        <w:rPr>
          <w:lang w:eastAsia="en-AU"/>
        </w:rPr>
        <w:t xml:space="preserve">egal </w:t>
      </w:r>
      <w:r w:rsidR="00F51931">
        <w:rPr>
          <w:lang w:eastAsia="en-AU"/>
        </w:rPr>
        <w:t>a</w:t>
      </w:r>
      <w:r w:rsidR="0023599B">
        <w:rPr>
          <w:lang w:eastAsia="en-AU"/>
        </w:rPr>
        <w:t>ssistance</w:t>
      </w:r>
      <w:r w:rsidR="00F51931">
        <w:rPr>
          <w:lang w:eastAsia="en-AU"/>
        </w:rPr>
        <w:t>,</w:t>
      </w:r>
      <w:r w:rsidR="000F2125">
        <w:rPr>
          <w:lang w:eastAsia="en-AU"/>
        </w:rPr>
        <w:t xml:space="preserve"> accounting for the 19.6 per cent drop in </w:t>
      </w:r>
      <w:r w:rsidR="00F51931">
        <w:rPr>
          <w:lang w:eastAsia="en-AU"/>
        </w:rPr>
        <w:t>g</w:t>
      </w:r>
      <w:r w:rsidR="000F2125">
        <w:rPr>
          <w:lang w:eastAsia="en-AU"/>
        </w:rPr>
        <w:t>rants compared to quarter one 2019</w:t>
      </w:r>
      <w:r w:rsidR="00CF3026">
        <w:rPr>
          <w:lang w:eastAsia="en-AU"/>
        </w:rPr>
        <w:t>–</w:t>
      </w:r>
      <w:r w:rsidR="000F2125">
        <w:rPr>
          <w:lang w:eastAsia="en-AU"/>
        </w:rPr>
        <w:t>20</w:t>
      </w:r>
      <w:r w:rsidR="0023599B">
        <w:rPr>
          <w:lang w:eastAsia="en-AU"/>
        </w:rPr>
        <w:t>.</w:t>
      </w:r>
    </w:p>
    <w:p w14:paraId="31BC32D4" w14:textId="415BA9B6" w:rsidR="004175B7" w:rsidRPr="004175B7" w:rsidRDefault="004175B7" w:rsidP="004175B7">
      <w:pPr>
        <w:pStyle w:val="Heading2"/>
      </w:pPr>
      <w:r>
        <w:t>Outlook for</w:t>
      </w:r>
      <w:r w:rsidR="00E91FF5">
        <w:t xml:space="preserve"> 20</w:t>
      </w:r>
      <w:r w:rsidR="00454D77">
        <w:t>20</w:t>
      </w:r>
      <w:r w:rsidR="00E91FF5">
        <w:t>–2</w:t>
      </w:r>
      <w:r w:rsidR="00454D77">
        <w:t>1</w:t>
      </w:r>
      <w:r w:rsidR="007F609B">
        <w:t xml:space="preserve"> </w:t>
      </w:r>
    </w:p>
    <w:p w14:paraId="7011998B" w14:textId="106A119D" w:rsidR="0087445C" w:rsidRDefault="0087445C" w:rsidP="0087445C">
      <w:r>
        <w:t xml:space="preserve">As Victoria gets closer to reaching COVID normal, the courts will be open but will be required to have a </w:t>
      </w:r>
      <w:hyperlink r:id="rId17" w:history="1">
        <w:r w:rsidRPr="00260EDC">
          <w:rPr>
            <w:rStyle w:val="Hyperlink"/>
          </w:rPr>
          <w:t>COVID</w:t>
        </w:r>
        <w:r w:rsidR="00021B97" w:rsidRPr="00260EDC">
          <w:rPr>
            <w:rStyle w:val="Hyperlink"/>
          </w:rPr>
          <w:t>-</w:t>
        </w:r>
        <w:r w:rsidRPr="00260EDC">
          <w:rPr>
            <w:rStyle w:val="Hyperlink"/>
          </w:rPr>
          <w:t>Safe Plan</w:t>
        </w:r>
      </w:hyperlink>
      <w:r>
        <w:t>. Remote hearings will still be required where possible to ensure that physical distancing practices can be used for any in person attendance at courts and tribunals. We will continue to support the delivery of both remote and in person court services.</w:t>
      </w:r>
    </w:p>
    <w:p w14:paraId="63AA2E53" w14:textId="679A5E39" w:rsidR="004B0FA9" w:rsidRPr="001815CF" w:rsidRDefault="004B0FA9" w:rsidP="004B0FA9">
      <w:pPr>
        <w:rPr>
          <w:rFonts w:cs="Arial"/>
          <w:szCs w:val="22"/>
        </w:rPr>
      </w:pPr>
      <w:r>
        <w:t>Adjourned court hearings at Magistrates’ Courts are beginning to resume across regional Victoria in October</w:t>
      </w:r>
      <w:r w:rsidR="003C10AA">
        <w:t xml:space="preserve"> 2020</w:t>
      </w:r>
      <w:r>
        <w:t xml:space="preserve"> and in metropolitan Melbourne in November</w:t>
      </w:r>
      <w:r w:rsidR="003C10AA">
        <w:t xml:space="preserve"> 2020</w:t>
      </w:r>
      <w:r>
        <w:t>. A limited number of Melbourne-based criminal jury trials are also planned to resume in the County and Supreme Courts, circumstances permitting, from Mid-November</w:t>
      </w:r>
      <w:r w:rsidR="003C10AA">
        <w:t xml:space="preserve"> 2020</w:t>
      </w:r>
      <w:r>
        <w:t xml:space="preserve">. There is a significant backlog of cases, </w:t>
      </w:r>
      <w:r w:rsidR="00F77566">
        <w:t>and additional</w:t>
      </w:r>
      <w:r>
        <w:t xml:space="preserve"> new </w:t>
      </w:r>
      <w:r w:rsidR="009B6CEA">
        <w:t>initiations</w:t>
      </w:r>
      <w:r>
        <w:t xml:space="preserve">, and we will continue to work with our justice system partners to ensure that our clients </w:t>
      </w:r>
      <w:r w:rsidR="009B6CEA">
        <w:t>can access all our services</w:t>
      </w:r>
      <w:r w:rsidR="00F77566">
        <w:t xml:space="preserve"> to support them at court.</w:t>
      </w:r>
      <w:r>
        <w:t xml:space="preserve"> </w:t>
      </w:r>
      <w:r w:rsidR="00E124B5">
        <w:t xml:space="preserve">We are also preparing for a potential increase in services as the courts begin to address the backlog. </w:t>
      </w:r>
      <w:r w:rsidR="00E124B5" w:rsidRPr="001815CF">
        <w:rPr>
          <w:rFonts w:cs="Arial"/>
          <w:szCs w:val="22"/>
          <w:lang w:val="en-US"/>
        </w:rPr>
        <w:t>This includes close consultation with courts, our sector partners, and panel practitioners</w:t>
      </w:r>
      <w:r w:rsidR="00E124B5">
        <w:rPr>
          <w:rFonts w:cs="Arial"/>
          <w:szCs w:val="22"/>
          <w:lang w:val="en-US"/>
        </w:rPr>
        <w:t xml:space="preserve"> and</w:t>
      </w:r>
      <w:r w:rsidR="00E124B5" w:rsidRPr="001815CF">
        <w:rPr>
          <w:rFonts w:cs="Arial"/>
          <w:szCs w:val="22"/>
          <w:lang w:val="en-US"/>
        </w:rPr>
        <w:t xml:space="preserve"> considering new ways of working with </w:t>
      </w:r>
      <w:r w:rsidR="00E124B5">
        <w:rPr>
          <w:rFonts w:cs="Arial"/>
          <w:szCs w:val="22"/>
          <w:lang w:val="en-US"/>
        </w:rPr>
        <w:t xml:space="preserve">our </w:t>
      </w:r>
      <w:r w:rsidR="00E124B5" w:rsidRPr="001815CF">
        <w:rPr>
          <w:rFonts w:cs="Arial"/>
          <w:szCs w:val="22"/>
          <w:lang w:val="en-US"/>
        </w:rPr>
        <w:t>partners to get the work done within our financial resources.</w:t>
      </w:r>
    </w:p>
    <w:p w14:paraId="0E6D4AC5" w14:textId="0564F0AA" w:rsidR="00E5157C" w:rsidRDefault="0087445C" w:rsidP="00BB6A74">
      <w:r>
        <w:t>W</w:t>
      </w:r>
      <w:r w:rsidR="00E5157C">
        <w:t xml:space="preserve">e will </w:t>
      </w:r>
      <w:r>
        <w:t xml:space="preserve">also </w:t>
      </w:r>
      <w:r w:rsidR="00E5157C">
        <w:t>carefully consider the COVID</w:t>
      </w:r>
      <w:r w:rsidR="00021B97">
        <w:t>-</w:t>
      </w:r>
      <w:r w:rsidR="00E5157C">
        <w:t>safe changes we will make to our</w:t>
      </w:r>
      <w:r>
        <w:t xml:space="preserve"> own</w:t>
      </w:r>
      <w:r w:rsidR="00E5157C">
        <w:t xml:space="preserve"> services as they become available in</w:t>
      </w:r>
      <w:r>
        <w:t xml:space="preserve"> </w:t>
      </w:r>
      <w:r w:rsidR="00E5157C">
        <w:t xml:space="preserve">person across regional and metro Melbourne. We are putting plans in place to ensure that our staff, </w:t>
      </w:r>
      <w:proofErr w:type="gramStart"/>
      <w:r w:rsidR="00E5157C">
        <w:t>clients</w:t>
      </w:r>
      <w:proofErr w:type="gramEnd"/>
      <w:r w:rsidR="00E5157C">
        <w:t xml:space="preserve"> and communities remain safe as we work towards COVID normal. </w:t>
      </w:r>
    </w:p>
    <w:p w14:paraId="0AB82CC8" w14:textId="40156F6E" w:rsidR="009B03DC" w:rsidRDefault="009B03DC" w:rsidP="00871954">
      <w:pPr>
        <w:spacing w:after="0" w:line="240" w:lineRule="auto"/>
      </w:pPr>
    </w:p>
    <w:p w14:paraId="33E7F2BD" w14:textId="65044B3F" w:rsidR="000464B3" w:rsidRDefault="000464B3" w:rsidP="00871954">
      <w:pPr>
        <w:spacing w:after="0" w:line="240" w:lineRule="auto"/>
      </w:pPr>
      <w:r>
        <w:br w:type="page"/>
      </w:r>
    </w:p>
    <w:p w14:paraId="6EB8CCDC" w14:textId="2FB97417" w:rsidR="004175B7" w:rsidRDefault="004175B7" w:rsidP="004175B7">
      <w:pPr>
        <w:pStyle w:val="Heading2"/>
      </w:pPr>
      <w:r w:rsidRPr="004175B7">
        <w:lastRenderedPageBreak/>
        <w:t xml:space="preserve">Financial </w:t>
      </w:r>
      <w:r w:rsidR="00B03011">
        <w:t>S</w:t>
      </w:r>
      <w:r w:rsidRPr="004175B7">
        <w:t>ummary</w:t>
      </w:r>
    </w:p>
    <w:p w14:paraId="781EE29A" w14:textId="5C35CF6B" w:rsidR="00685F12" w:rsidRDefault="00810938" w:rsidP="00D5488A">
      <w:pPr>
        <w:rPr>
          <w:lang w:eastAsia="en-AU"/>
        </w:rPr>
      </w:pPr>
      <w:r>
        <w:rPr>
          <w:lang w:eastAsia="en-AU"/>
        </w:rPr>
        <w:t xml:space="preserve">Our operating position in quarter one </w:t>
      </w:r>
      <w:r w:rsidR="00834B59">
        <w:rPr>
          <w:lang w:eastAsia="en-AU"/>
        </w:rPr>
        <w:t xml:space="preserve">was </w:t>
      </w:r>
      <w:r w:rsidR="00685F12">
        <w:rPr>
          <w:lang w:eastAsia="en-AU"/>
        </w:rPr>
        <w:t>a modest surplus of $</w:t>
      </w:r>
      <w:r w:rsidR="00184398">
        <w:rPr>
          <w:lang w:eastAsia="en-AU"/>
        </w:rPr>
        <w:t>0.66 million</w:t>
      </w:r>
      <w:r w:rsidR="00685F12">
        <w:rPr>
          <w:lang w:eastAsia="en-AU"/>
        </w:rPr>
        <w:t>, primarily resulting from the impact of COVID-19 on our operations.</w:t>
      </w:r>
      <w:r w:rsidR="00C629E0">
        <w:rPr>
          <w:lang w:eastAsia="en-AU"/>
        </w:rPr>
        <w:t xml:space="preserve"> </w:t>
      </w:r>
      <w:r w:rsidR="00685F12">
        <w:rPr>
          <w:lang w:eastAsia="en-AU"/>
        </w:rPr>
        <w:t>Our revenue has been impacted due to a $10 million reduction in funding from the Public Purpose Fund in 2020</w:t>
      </w:r>
      <w:r w:rsidR="00CF3026">
        <w:rPr>
          <w:lang w:eastAsia="en-AU"/>
        </w:rPr>
        <w:t>–</w:t>
      </w:r>
      <w:r w:rsidR="00685F12">
        <w:rPr>
          <w:lang w:eastAsia="en-AU"/>
        </w:rPr>
        <w:t>21. This is due to interest cuts over the last 12 months</w:t>
      </w:r>
      <w:r w:rsidR="001704A6">
        <w:rPr>
          <w:lang w:eastAsia="en-AU"/>
        </w:rPr>
        <w:t>,</w:t>
      </w:r>
      <w:r w:rsidR="00685F12">
        <w:rPr>
          <w:lang w:eastAsia="en-AU"/>
        </w:rPr>
        <w:t xml:space="preserve"> which has reduced the revenue available for distribution to </w:t>
      </w:r>
      <w:proofErr w:type="gramStart"/>
      <w:r w:rsidR="00685F12">
        <w:rPr>
          <w:lang w:eastAsia="en-AU"/>
        </w:rPr>
        <w:t>a number of</w:t>
      </w:r>
      <w:proofErr w:type="gramEnd"/>
      <w:r w:rsidR="00685F12">
        <w:rPr>
          <w:lang w:eastAsia="en-AU"/>
        </w:rPr>
        <w:t xml:space="preserve"> agencies including VLA.</w:t>
      </w:r>
    </w:p>
    <w:p w14:paraId="53E81A5E" w14:textId="0C715DE9" w:rsidR="00685F12" w:rsidRDefault="00D578C1" w:rsidP="00D5488A">
      <w:pPr>
        <w:rPr>
          <w:lang w:eastAsia="en-AU"/>
        </w:rPr>
      </w:pPr>
      <w:r>
        <w:rPr>
          <w:lang w:eastAsia="en-AU"/>
        </w:rPr>
        <w:t xml:space="preserve">Case related expenditure, our largest expenditure, </w:t>
      </w:r>
      <w:r w:rsidR="00685F12">
        <w:rPr>
          <w:lang w:eastAsia="en-AU"/>
        </w:rPr>
        <w:t>was $23 million</w:t>
      </w:r>
      <w:r w:rsidR="00BD5A3C">
        <w:rPr>
          <w:lang w:eastAsia="en-AU"/>
        </w:rPr>
        <w:t>. This is a</w:t>
      </w:r>
      <w:r w:rsidR="00685F12">
        <w:rPr>
          <w:lang w:eastAsia="en-AU"/>
        </w:rPr>
        <w:t xml:space="preserve"> significant reduction from the same period last year due to the continued impacts of COVID-19 on court operations. This reduction is primarily a deferral of expenditure </w:t>
      </w:r>
      <w:r w:rsidR="00341964">
        <w:rPr>
          <w:lang w:eastAsia="en-AU"/>
        </w:rPr>
        <w:t xml:space="preserve">and is </w:t>
      </w:r>
      <w:r w:rsidR="00685F12">
        <w:rPr>
          <w:lang w:eastAsia="en-AU"/>
        </w:rPr>
        <w:t>subject to the approach taken with the courts to address the backlog of cases. W</w:t>
      </w:r>
      <w:r w:rsidR="00C629E0">
        <w:rPr>
          <w:lang w:eastAsia="en-AU"/>
        </w:rPr>
        <w:t xml:space="preserve">e anticipate </w:t>
      </w:r>
      <w:r w:rsidR="00F3076A">
        <w:rPr>
          <w:lang w:eastAsia="en-AU"/>
        </w:rPr>
        <w:t>that case</w:t>
      </w:r>
      <w:r w:rsidR="001704A6">
        <w:rPr>
          <w:lang w:eastAsia="en-AU"/>
        </w:rPr>
        <w:t>-</w:t>
      </w:r>
      <w:r w:rsidR="00F3076A">
        <w:rPr>
          <w:lang w:eastAsia="en-AU"/>
        </w:rPr>
        <w:t>related expenditure will increase</w:t>
      </w:r>
      <w:r w:rsidR="00F834EF">
        <w:rPr>
          <w:lang w:eastAsia="en-AU"/>
        </w:rPr>
        <w:t xml:space="preserve"> if and</w:t>
      </w:r>
      <w:r w:rsidR="00F3076A">
        <w:rPr>
          <w:lang w:eastAsia="en-AU"/>
        </w:rPr>
        <w:t xml:space="preserve"> as</w:t>
      </w:r>
      <w:r w:rsidR="00685F12">
        <w:rPr>
          <w:lang w:eastAsia="en-AU"/>
        </w:rPr>
        <w:t xml:space="preserve"> COVID-19 restrictions ease and courts increase activity.</w:t>
      </w:r>
    </w:p>
    <w:p w14:paraId="0A485BB2" w14:textId="038A3BCB" w:rsidR="00685F12" w:rsidRDefault="00685F12" w:rsidP="00D5488A">
      <w:pPr>
        <w:rPr>
          <w:lang w:eastAsia="en-AU"/>
        </w:rPr>
      </w:pPr>
      <w:r>
        <w:rPr>
          <w:lang w:eastAsia="en-AU"/>
        </w:rPr>
        <w:t xml:space="preserve">Our response to COVID-19 and </w:t>
      </w:r>
      <w:r w:rsidR="003A660A">
        <w:rPr>
          <w:lang w:eastAsia="en-AU"/>
        </w:rPr>
        <w:t xml:space="preserve">the summer </w:t>
      </w:r>
      <w:r>
        <w:rPr>
          <w:lang w:eastAsia="en-AU"/>
        </w:rPr>
        <w:t>bushfire</w:t>
      </w:r>
      <w:r w:rsidR="003A660A">
        <w:rPr>
          <w:lang w:eastAsia="en-AU"/>
        </w:rPr>
        <w:t>s</w:t>
      </w:r>
      <w:r>
        <w:rPr>
          <w:lang w:eastAsia="en-AU"/>
        </w:rPr>
        <w:t xml:space="preserve"> has progressed well in the quarter, with expenditure of $2.7 million funded through </w:t>
      </w:r>
      <w:r w:rsidR="003A660A">
        <w:rPr>
          <w:lang w:eastAsia="en-AU"/>
        </w:rPr>
        <w:t xml:space="preserve">the </w:t>
      </w:r>
      <w:r>
        <w:rPr>
          <w:lang w:eastAsia="en-AU"/>
        </w:rPr>
        <w:t>revenues received in the prior</w:t>
      </w:r>
      <w:r w:rsidR="003A660A">
        <w:rPr>
          <w:lang w:eastAsia="en-AU"/>
        </w:rPr>
        <w:t xml:space="preserve"> </w:t>
      </w:r>
      <w:r w:rsidR="00654575">
        <w:rPr>
          <w:lang w:eastAsia="en-AU"/>
        </w:rPr>
        <w:t>financial</w:t>
      </w:r>
      <w:r>
        <w:rPr>
          <w:lang w:eastAsia="en-AU"/>
        </w:rPr>
        <w:t xml:space="preserve"> year. This expenditure places us in a good position to continue to meet the needs of our staff and clients in this difficult environment.</w:t>
      </w:r>
    </w:p>
    <w:p w14:paraId="36A986B4" w14:textId="68E9C5FF" w:rsidR="00685F12" w:rsidRDefault="00685F12" w:rsidP="00D5488A">
      <w:pPr>
        <w:rPr>
          <w:lang w:eastAsia="en-AU"/>
        </w:rPr>
      </w:pPr>
      <w:r>
        <w:rPr>
          <w:lang w:eastAsia="en-AU"/>
        </w:rPr>
        <w:t xml:space="preserve">Our financial future remains challenging and as we reach </w:t>
      </w:r>
      <w:r w:rsidR="001704A6">
        <w:rPr>
          <w:lang w:eastAsia="en-AU"/>
        </w:rPr>
        <w:t>‘</w:t>
      </w:r>
      <w:r>
        <w:rPr>
          <w:lang w:eastAsia="en-AU"/>
        </w:rPr>
        <w:t>COVID</w:t>
      </w:r>
      <w:r w:rsidR="001704A6">
        <w:rPr>
          <w:lang w:eastAsia="en-AU"/>
        </w:rPr>
        <w:t xml:space="preserve"> </w:t>
      </w:r>
      <w:r>
        <w:rPr>
          <w:lang w:eastAsia="en-AU"/>
        </w:rPr>
        <w:t>normal</w:t>
      </w:r>
      <w:r w:rsidR="001704A6">
        <w:rPr>
          <w:lang w:eastAsia="en-AU"/>
        </w:rPr>
        <w:t>’</w:t>
      </w:r>
      <w:r>
        <w:rPr>
          <w:lang w:eastAsia="en-AU"/>
        </w:rPr>
        <w:t xml:space="preserve"> we expect demand to continue to grow faster than funding as well as dealing with the financial impacts of deferred case expenditure in future years. While we are working with </w:t>
      </w:r>
      <w:r w:rsidR="001704A6">
        <w:rPr>
          <w:lang w:eastAsia="en-AU"/>
        </w:rPr>
        <w:t xml:space="preserve">government </w:t>
      </w:r>
      <w:r>
        <w:rPr>
          <w:lang w:eastAsia="en-AU"/>
        </w:rPr>
        <w:t>to determine sustainable funding solutions, if additional funding in future years is not provided then we must start implementing the delayed saving measures to be financially sustainable. These savings measures, developed in consultation with key stakeholders, will significantly impact the service levels we will be able to provide the Victorian community in the future.</w:t>
      </w:r>
    </w:p>
    <w:p w14:paraId="4A7B2738" w14:textId="18424234" w:rsidR="008B68D9" w:rsidRDefault="00685F12" w:rsidP="008B68D9">
      <w:pPr>
        <w:rPr>
          <w:rStyle w:val="Heading3Char"/>
          <w:b w:val="0"/>
          <w:bCs w:val="0"/>
        </w:rPr>
      </w:pPr>
      <w:r>
        <w:t>The financial project</w:t>
      </w:r>
      <w:r w:rsidR="005B6FBA">
        <w:t>ion</w:t>
      </w:r>
      <w:r>
        <w:t>s for the rest of 2020</w:t>
      </w:r>
      <w:r w:rsidR="00CF3026">
        <w:t>–</w:t>
      </w:r>
      <w:r>
        <w:t xml:space="preserve">21 </w:t>
      </w:r>
      <w:r w:rsidR="005B6FBA">
        <w:t>depend</w:t>
      </w:r>
      <w:r>
        <w:t xml:space="preserve"> on the outcomes of the State Budget, which will be incorporated into the next quarterly </w:t>
      </w:r>
      <w:bookmarkStart w:id="3" w:name="_Hlk33006424"/>
      <w:bookmarkStart w:id="4" w:name="_Hlk25835001"/>
      <w:r w:rsidR="00351328">
        <w:t>report.</w:t>
      </w:r>
      <w:r w:rsidR="00351328" w:rsidRPr="004175B7">
        <w:rPr>
          <w:rStyle w:val="Heading3Char"/>
          <w:b w:val="0"/>
          <w:bCs w:val="0"/>
        </w:rPr>
        <w:t xml:space="preserve"> </w:t>
      </w:r>
    </w:p>
    <w:p w14:paraId="5C7A41B4" w14:textId="28D9E6E2" w:rsidR="004175B7" w:rsidRPr="004175B7" w:rsidRDefault="00351328" w:rsidP="004175B7">
      <w:pPr>
        <w:pStyle w:val="Heading3"/>
      </w:pPr>
      <w:r w:rsidRPr="004175B7">
        <w:rPr>
          <w:rStyle w:val="Heading3Char"/>
          <w:b/>
          <w:bCs/>
        </w:rPr>
        <w:t>Total</w:t>
      </w:r>
      <w:r w:rsidR="004175B7" w:rsidRPr="004175B7">
        <w:rPr>
          <w:rStyle w:val="Heading3Char"/>
          <w:b/>
          <w:bCs/>
        </w:rPr>
        <w:t xml:space="preserve"> revenue breakdown</w:t>
      </w:r>
      <w:r w:rsidR="007F609B">
        <w:rPr>
          <w:rStyle w:val="Heading3Char"/>
          <w:b/>
          <w:bCs/>
        </w:rPr>
        <w:t xml:space="preserve"> </w:t>
      </w:r>
      <w:r w:rsidR="00A6458C" w:rsidRPr="004175B7">
        <w:rPr>
          <w:rStyle w:val="Heading3Char"/>
          <w:b/>
          <w:bCs/>
        </w:rPr>
        <w:t>(</w:t>
      </w:r>
      <w:r w:rsidR="004175B7" w:rsidRPr="004175B7">
        <w:rPr>
          <w:rStyle w:val="Heading3Char"/>
          <w:b/>
          <w:bCs/>
        </w:rPr>
        <w:t>$’000</w:t>
      </w:r>
      <w:r w:rsidR="004175B7" w:rsidRPr="004175B7">
        <w:t>)</w:t>
      </w:r>
      <w:r w:rsidR="007F609B">
        <w:t xml:space="preserve"> </w:t>
      </w:r>
    </w:p>
    <w:tbl>
      <w:tblPr>
        <w:tblStyle w:val="PlainTable2"/>
        <w:tblW w:w="4146" w:type="pct"/>
        <w:tblBorders>
          <w:bottom w:val="none" w:sz="0" w:space="0" w:color="auto"/>
          <w:insideH w:val="none" w:sz="0" w:space="0" w:color="auto"/>
        </w:tblBorders>
        <w:tblLook w:val="0620" w:firstRow="1" w:lastRow="0" w:firstColumn="0" w:lastColumn="0" w:noHBand="1" w:noVBand="1"/>
      </w:tblPr>
      <w:tblGrid>
        <w:gridCol w:w="4396"/>
        <w:gridCol w:w="2405"/>
        <w:gridCol w:w="1562"/>
      </w:tblGrid>
      <w:tr w:rsidR="00880D4D" w:rsidRPr="000E7EED" w14:paraId="1C659569" w14:textId="77777777" w:rsidTr="00C55CA2">
        <w:trPr>
          <w:cnfStyle w:val="100000000000" w:firstRow="1" w:lastRow="0" w:firstColumn="0" w:lastColumn="0" w:oddVBand="0" w:evenVBand="0" w:oddHBand="0" w:evenHBand="0" w:firstRowFirstColumn="0" w:firstRowLastColumn="0" w:lastRowFirstColumn="0" w:lastRowLastColumn="0"/>
        </w:trPr>
        <w:tc>
          <w:tcPr>
            <w:tcW w:w="2628" w:type="pct"/>
            <w:tcBorders>
              <w:top w:val="single" w:sz="4" w:space="0" w:color="auto"/>
              <w:bottom w:val="single" w:sz="4" w:space="0" w:color="auto"/>
            </w:tcBorders>
            <w:shd w:val="clear" w:color="auto" w:fill="C3AFCC"/>
          </w:tcPr>
          <w:p w14:paraId="59377134" w14:textId="77777777" w:rsidR="00880D4D" w:rsidRPr="000E7EED" w:rsidRDefault="00880D4D" w:rsidP="0039260E">
            <w:pPr>
              <w:rPr>
                <w:b/>
                <w:color w:val="000000" w:themeColor="text1"/>
              </w:rPr>
            </w:pPr>
            <w:bookmarkStart w:id="5" w:name="_Hlk10632113"/>
            <w:bookmarkEnd w:id="3"/>
            <w:r w:rsidRPr="000E7EED">
              <w:rPr>
                <w:b/>
                <w:color w:val="000000" w:themeColor="text1"/>
              </w:rPr>
              <w:t>Revenue</w:t>
            </w:r>
          </w:p>
        </w:tc>
        <w:tc>
          <w:tcPr>
            <w:tcW w:w="1438" w:type="pct"/>
            <w:tcBorders>
              <w:top w:val="single" w:sz="4" w:space="0" w:color="auto"/>
              <w:bottom w:val="single" w:sz="4" w:space="0" w:color="auto"/>
            </w:tcBorders>
            <w:shd w:val="clear" w:color="auto" w:fill="C3AFCC"/>
          </w:tcPr>
          <w:p w14:paraId="3EFEB76D" w14:textId="4CA42DA4" w:rsidR="00880D4D" w:rsidRPr="000E7EED" w:rsidRDefault="00880D4D" w:rsidP="003F26A1">
            <w:pPr>
              <w:ind w:left="-536"/>
              <w:jc w:val="right"/>
              <w:rPr>
                <w:b/>
                <w:color w:val="000000" w:themeColor="text1"/>
              </w:rPr>
            </w:pPr>
            <w:r>
              <w:rPr>
                <w:b/>
                <w:color w:val="000000" w:themeColor="text1"/>
              </w:rPr>
              <w:t>Q1 2019-20</w:t>
            </w:r>
          </w:p>
        </w:tc>
        <w:tc>
          <w:tcPr>
            <w:tcW w:w="934" w:type="pct"/>
            <w:tcBorders>
              <w:top w:val="single" w:sz="4" w:space="0" w:color="auto"/>
              <w:bottom w:val="single" w:sz="4" w:space="0" w:color="auto"/>
            </w:tcBorders>
            <w:shd w:val="clear" w:color="auto" w:fill="C3AFCC"/>
          </w:tcPr>
          <w:p w14:paraId="4CCF9AC7" w14:textId="307711CE" w:rsidR="00880D4D" w:rsidRPr="000E7EED" w:rsidRDefault="00880D4D" w:rsidP="0039260E">
            <w:pPr>
              <w:jc w:val="right"/>
              <w:rPr>
                <w:b/>
                <w:color w:val="000000" w:themeColor="text1"/>
              </w:rPr>
            </w:pPr>
            <w:r w:rsidRPr="000E7EED">
              <w:rPr>
                <w:b/>
                <w:color w:val="000000" w:themeColor="text1"/>
              </w:rPr>
              <w:t>Q</w:t>
            </w:r>
            <w:r>
              <w:rPr>
                <w:b/>
                <w:color w:val="000000" w:themeColor="text1"/>
              </w:rPr>
              <w:t>1 2020-21</w:t>
            </w:r>
          </w:p>
        </w:tc>
      </w:tr>
      <w:tr w:rsidR="00880D4D" w:rsidRPr="000E7EED" w14:paraId="01E48904" w14:textId="77777777" w:rsidTr="00C55CA2">
        <w:tc>
          <w:tcPr>
            <w:tcW w:w="2628" w:type="pct"/>
            <w:tcBorders>
              <w:top w:val="single" w:sz="4" w:space="0" w:color="auto"/>
              <w:bottom w:val="single" w:sz="4" w:space="0" w:color="auto"/>
            </w:tcBorders>
          </w:tcPr>
          <w:p w14:paraId="0021B005" w14:textId="77777777" w:rsidR="00880D4D" w:rsidRPr="000E7EED" w:rsidRDefault="00880D4D" w:rsidP="00B24351">
            <w:pPr>
              <w:rPr>
                <w:color w:val="000000" w:themeColor="text1"/>
              </w:rPr>
            </w:pPr>
            <w:r w:rsidRPr="000E7EED">
              <w:rPr>
                <w:color w:val="000000" w:themeColor="text1"/>
              </w:rPr>
              <w:t>Commonwealth – grants</w:t>
            </w:r>
          </w:p>
        </w:tc>
        <w:tc>
          <w:tcPr>
            <w:tcW w:w="1438" w:type="pct"/>
            <w:tcBorders>
              <w:top w:val="single" w:sz="4" w:space="0" w:color="auto"/>
              <w:bottom w:val="single" w:sz="4" w:space="0" w:color="auto"/>
            </w:tcBorders>
          </w:tcPr>
          <w:p w14:paraId="276A5F3F" w14:textId="6635CE72" w:rsidR="00880D4D" w:rsidRPr="008E424E" w:rsidRDefault="00880D4D" w:rsidP="00B24351">
            <w:pPr>
              <w:jc w:val="right"/>
            </w:pPr>
            <w:r>
              <w:t>16,103</w:t>
            </w:r>
          </w:p>
        </w:tc>
        <w:tc>
          <w:tcPr>
            <w:tcW w:w="934" w:type="pct"/>
            <w:tcBorders>
              <w:top w:val="single" w:sz="4" w:space="0" w:color="auto"/>
              <w:bottom w:val="single" w:sz="4" w:space="0" w:color="auto"/>
            </w:tcBorders>
            <w:shd w:val="clear" w:color="auto" w:fill="D9D9D9" w:themeFill="background1" w:themeFillShade="D9"/>
          </w:tcPr>
          <w:p w14:paraId="36D4CCE7" w14:textId="63D17376" w:rsidR="00880D4D" w:rsidRPr="008E424E" w:rsidRDefault="00880D4D" w:rsidP="00B24351">
            <w:pPr>
              <w:jc w:val="right"/>
            </w:pPr>
            <w:r>
              <w:t>17,884</w:t>
            </w:r>
          </w:p>
        </w:tc>
      </w:tr>
      <w:tr w:rsidR="00880D4D" w:rsidRPr="000E7EED" w14:paraId="63873906" w14:textId="77777777" w:rsidTr="00C55CA2">
        <w:tc>
          <w:tcPr>
            <w:tcW w:w="2628" w:type="pct"/>
            <w:tcBorders>
              <w:top w:val="single" w:sz="4" w:space="0" w:color="auto"/>
              <w:bottom w:val="single" w:sz="4" w:space="0" w:color="auto"/>
            </w:tcBorders>
          </w:tcPr>
          <w:p w14:paraId="218159F5" w14:textId="226857F3" w:rsidR="00880D4D" w:rsidRPr="000E7EED" w:rsidRDefault="00880D4D" w:rsidP="00B24351">
            <w:pPr>
              <w:rPr>
                <w:color w:val="000000" w:themeColor="text1"/>
              </w:rPr>
            </w:pPr>
            <w:r>
              <w:rPr>
                <w:color w:val="000000" w:themeColor="text1"/>
              </w:rPr>
              <w:t>ECCCF income</w:t>
            </w:r>
          </w:p>
        </w:tc>
        <w:tc>
          <w:tcPr>
            <w:tcW w:w="1438" w:type="pct"/>
            <w:tcBorders>
              <w:top w:val="single" w:sz="4" w:space="0" w:color="auto"/>
              <w:bottom w:val="single" w:sz="4" w:space="0" w:color="auto"/>
            </w:tcBorders>
          </w:tcPr>
          <w:p w14:paraId="7A64DCB3" w14:textId="24C41ABB" w:rsidR="00880D4D" w:rsidRDefault="00880D4D" w:rsidP="00B24351">
            <w:pPr>
              <w:jc w:val="right"/>
            </w:pPr>
            <w:r>
              <w:t>674</w:t>
            </w:r>
          </w:p>
        </w:tc>
        <w:tc>
          <w:tcPr>
            <w:tcW w:w="934" w:type="pct"/>
            <w:tcBorders>
              <w:top w:val="single" w:sz="4" w:space="0" w:color="auto"/>
              <w:bottom w:val="single" w:sz="4" w:space="0" w:color="auto"/>
            </w:tcBorders>
            <w:shd w:val="clear" w:color="auto" w:fill="D9D9D9" w:themeFill="background1" w:themeFillShade="D9"/>
          </w:tcPr>
          <w:p w14:paraId="0A73B0EC" w14:textId="75477458" w:rsidR="00880D4D" w:rsidRDefault="00880D4D" w:rsidP="00B24351">
            <w:pPr>
              <w:jc w:val="right"/>
            </w:pPr>
            <w:r>
              <w:t>0</w:t>
            </w:r>
          </w:p>
        </w:tc>
      </w:tr>
      <w:tr w:rsidR="00880D4D" w:rsidRPr="000E7EED" w14:paraId="0A69F6B4" w14:textId="77777777" w:rsidTr="00C55CA2">
        <w:tc>
          <w:tcPr>
            <w:tcW w:w="2628" w:type="pct"/>
            <w:tcBorders>
              <w:top w:val="single" w:sz="4" w:space="0" w:color="auto"/>
              <w:bottom w:val="single" w:sz="4" w:space="0" w:color="auto"/>
            </w:tcBorders>
          </w:tcPr>
          <w:p w14:paraId="3768FF6C" w14:textId="77777777" w:rsidR="00880D4D" w:rsidRPr="000E7EED" w:rsidRDefault="00880D4D" w:rsidP="00B24351">
            <w:pPr>
              <w:rPr>
                <w:b/>
                <w:color w:val="000000" w:themeColor="text1"/>
              </w:rPr>
            </w:pPr>
            <w:r w:rsidRPr="000E7EED">
              <w:rPr>
                <w:color w:val="000000" w:themeColor="text1"/>
              </w:rPr>
              <w:t>State – grants</w:t>
            </w:r>
          </w:p>
        </w:tc>
        <w:tc>
          <w:tcPr>
            <w:tcW w:w="1438" w:type="pct"/>
            <w:tcBorders>
              <w:top w:val="single" w:sz="4" w:space="0" w:color="auto"/>
              <w:bottom w:val="single" w:sz="4" w:space="0" w:color="auto"/>
            </w:tcBorders>
          </w:tcPr>
          <w:p w14:paraId="521BA914" w14:textId="6C1C6188" w:rsidR="00880D4D" w:rsidRPr="008E424E" w:rsidRDefault="00880D4D" w:rsidP="00B24351">
            <w:pPr>
              <w:jc w:val="right"/>
            </w:pPr>
            <w:r>
              <w:t>36,904</w:t>
            </w:r>
          </w:p>
        </w:tc>
        <w:tc>
          <w:tcPr>
            <w:tcW w:w="934" w:type="pct"/>
            <w:tcBorders>
              <w:top w:val="single" w:sz="4" w:space="0" w:color="auto"/>
              <w:bottom w:val="single" w:sz="4" w:space="0" w:color="auto"/>
            </w:tcBorders>
            <w:shd w:val="clear" w:color="auto" w:fill="D9D9D9" w:themeFill="background1" w:themeFillShade="D9"/>
          </w:tcPr>
          <w:p w14:paraId="0A3242C1" w14:textId="148F651D" w:rsidR="00880D4D" w:rsidRPr="008E424E" w:rsidRDefault="00880D4D" w:rsidP="00B24351">
            <w:pPr>
              <w:jc w:val="right"/>
            </w:pPr>
            <w:r>
              <w:t>34,629</w:t>
            </w:r>
          </w:p>
        </w:tc>
      </w:tr>
      <w:tr w:rsidR="00880D4D" w:rsidRPr="000E7EED" w14:paraId="1FBF8D6C" w14:textId="77777777" w:rsidTr="00C55CA2">
        <w:tc>
          <w:tcPr>
            <w:tcW w:w="2628" w:type="pct"/>
            <w:tcBorders>
              <w:top w:val="single" w:sz="4" w:space="0" w:color="auto"/>
              <w:bottom w:val="single" w:sz="4" w:space="0" w:color="auto"/>
            </w:tcBorders>
          </w:tcPr>
          <w:p w14:paraId="1E2A089F" w14:textId="77777777" w:rsidR="00880D4D" w:rsidRPr="000E7EED" w:rsidRDefault="00880D4D" w:rsidP="00B24351">
            <w:pPr>
              <w:rPr>
                <w:b/>
                <w:color w:val="000000" w:themeColor="text1"/>
              </w:rPr>
            </w:pPr>
            <w:r w:rsidRPr="000E7EED">
              <w:rPr>
                <w:color w:val="000000" w:themeColor="text1"/>
              </w:rPr>
              <w:t>Public Purpose Fund</w:t>
            </w:r>
          </w:p>
        </w:tc>
        <w:tc>
          <w:tcPr>
            <w:tcW w:w="1438" w:type="pct"/>
            <w:tcBorders>
              <w:top w:val="single" w:sz="4" w:space="0" w:color="auto"/>
              <w:bottom w:val="single" w:sz="4" w:space="0" w:color="auto"/>
            </w:tcBorders>
          </w:tcPr>
          <w:p w14:paraId="4D9987B3" w14:textId="4F255C58" w:rsidR="00880D4D" w:rsidRPr="008E424E" w:rsidRDefault="00880D4D" w:rsidP="00B24351">
            <w:pPr>
              <w:jc w:val="right"/>
            </w:pPr>
            <w:r>
              <w:t>7,884</w:t>
            </w:r>
          </w:p>
        </w:tc>
        <w:tc>
          <w:tcPr>
            <w:tcW w:w="934" w:type="pct"/>
            <w:tcBorders>
              <w:top w:val="single" w:sz="4" w:space="0" w:color="auto"/>
              <w:bottom w:val="single" w:sz="4" w:space="0" w:color="auto"/>
            </w:tcBorders>
            <w:shd w:val="clear" w:color="auto" w:fill="D9D9D9" w:themeFill="background1" w:themeFillShade="D9"/>
          </w:tcPr>
          <w:p w14:paraId="15F7CE9C" w14:textId="00D83998" w:rsidR="00880D4D" w:rsidRPr="008E424E" w:rsidRDefault="00880D4D" w:rsidP="00B24351">
            <w:pPr>
              <w:jc w:val="right"/>
            </w:pPr>
            <w:r>
              <w:t>5,385</w:t>
            </w:r>
          </w:p>
        </w:tc>
      </w:tr>
      <w:tr w:rsidR="00880D4D" w:rsidRPr="000E7EED" w14:paraId="078C4944" w14:textId="77777777" w:rsidTr="00C55CA2">
        <w:tc>
          <w:tcPr>
            <w:tcW w:w="2628" w:type="pct"/>
            <w:tcBorders>
              <w:top w:val="single" w:sz="4" w:space="0" w:color="auto"/>
              <w:bottom w:val="single" w:sz="4" w:space="0" w:color="auto"/>
            </w:tcBorders>
          </w:tcPr>
          <w:p w14:paraId="12A13989" w14:textId="77777777" w:rsidR="00880D4D" w:rsidRPr="000E7EED" w:rsidRDefault="00880D4D" w:rsidP="00B24351">
            <w:pPr>
              <w:rPr>
                <w:b/>
                <w:color w:val="000000" w:themeColor="text1"/>
              </w:rPr>
            </w:pPr>
            <w:r w:rsidRPr="000E7EED">
              <w:rPr>
                <w:color w:val="000000" w:themeColor="text1"/>
              </w:rPr>
              <w:t>Case revenue</w:t>
            </w:r>
          </w:p>
        </w:tc>
        <w:tc>
          <w:tcPr>
            <w:tcW w:w="1438" w:type="pct"/>
            <w:tcBorders>
              <w:top w:val="single" w:sz="4" w:space="0" w:color="auto"/>
              <w:bottom w:val="single" w:sz="4" w:space="0" w:color="auto"/>
            </w:tcBorders>
          </w:tcPr>
          <w:p w14:paraId="4E28F351" w14:textId="2C124316" w:rsidR="00880D4D" w:rsidRPr="008E424E" w:rsidRDefault="00880D4D" w:rsidP="00B24351">
            <w:pPr>
              <w:jc w:val="right"/>
            </w:pPr>
            <w:r>
              <w:t>1,506</w:t>
            </w:r>
          </w:p>
        </w:tc>
        <w:tc>
          <w:tcPr>
            <w:tcW w:w="934" w:type="pct"/>
            <w:tcBorders>
              <w:top w:val="single" w:sz="4" w:space="0" w:color="auto"/>
              <w:bottom w:val="single" w:sz="4" w:space="0" w:color="auto"/>
            </w:tcBorders>
            <w:shd w:val="clear" w:color="auto" w:fill="D9D9D9" w:themeFill="background1" w:themeFillShade="D9"/>
          </w:tcPr>
          <w:p w14:paraId="140B4D42" w14:textId="5E95E8AC" w:rsidR="00880D4D" w:rsidRPr="008E424E" w:rsidRDefault="00880D4D" w:rsidP="00B24351">
            <w:pPr>
              <w:jc w:val="right"/>
            </w:pPr>
            <w:r>
              <w:t>1,127</w:t>
            </w:r>
          </w:p>
        </w:tc>
      </w:tr>
      <w:tr w:rsidR="00880D4D" w:rsidRPr="000E7EED" w14:paraId="3D1AE2EE" w14:textId="77777777" w:rsidTr="00C55CA2">
        <w:tc>
          <w:tcPr>
            <w:tcW w:w="2628" w:type="pct"/>
            <w:tcBorders>
              <w:top w:val="single" w:sz="4" w:space="0" w:color="auto"/>
              <w:bottom w:val="single" w:sz="4" w:space="0" w:color="auto"/>
            </w:tcBorders>
          </w:tcPr>
          <w:p w14:paraId="2BE35A7F" w14:textId="77777777" w:rsidR="00880D4D" w:rsidRPr="000E7EED" w:rsidRDefault="00880D4D" w:rsidP="00B24351">
            <w:pPr>
              <w:rPr>
                <w:b/>
                <w:color w:val="000000" w:themeColor="text1"/>
              </w:rPr>
            </w:pPr>
            <w:r w:rsidRPr="000E7EED">
              <w:rPr>
                <w:color w:val="000000" w:themeColor="text1"/>
              </w:rPr>
              <w:t>Other income</w:t>
            </w:r>
          </w:p>
        </w:tc>
        <w:tc>
          <w:tcPr>
            <w:tcW w:w="1438" w:type="pct"/>
            <w:tcBorders>
              <w:top w:val="single" w:sz="4" w:space="0" w:color="auto"/>
              <w:bottom w:val="single" w:sz="4" w:space="0" w:color="auto"/>
            </w:tcBorders>
          </w:tcPr>
          <w:p w14:paraId="4C1374BB" w14:textId="4C19BC33" w:rsidR="00880D4D" w:rsidRPr="008E424E" w:rsidRDefault="00880D4D" w:rsidP="002800C6">
            <w:pPr>
              <w:jc w:val="right"/>
            </w:pPr>
            <w:r>
              <w:t>265</w:t>
            </w:r>
          </w:p>
        </w:tc>
        <w:tc>
          <w:tcPr>
            <w:tcW w:w="934" w:type="pct"/>
            <w:tcBorders>
              <w:top w:val="single" w:sz="4" w:space="0" w:color="auto"/>
              <w:bottom w:val="single" w:sz="4" w:space="0" w:color="auto"/>
            </w:tcBorders>
            <w:shd w:val="clear" w:color="auto" w:fill="D9D9D9" w:themeFill="background1" w:themeFillShade="D9"/>
          </w:tcPr>
          <w:p w14:paraId="2172056C" w14:textId="6FDA0856" w:rsidR="00880D4D" w:rsidRPr="008E424E" w:rsidRDefault="00880D4D" w:rsidP="00F85389">
            <w:pPr>
              <w:jc w:val="right"/>
            </w:pPr>
            <w:r>
              <w:t>99</w:t>
            </w:r>
          </w:p>
        </w:tc>
      </w:tr>
      <w:tr w:rsidR="00880D4D" w:rsidRPr="000E7EED" w14:paraId="6EB9D4A0" w14:textId="77777777" w:rsidTr="00C55CA2">
        <w:tc>
          <w:tcPr>
            <w:tcW w:w="2628" w:type="pct"/>
            <w:tcBorders>
              <w:top w:val="single" w:sz="4" w:space="0" w:color="auto"/>
              <w:bottom w:val="single" w:sz="4" w:space="0" w:color="auto"/>
            </w:tcBorders>
            <w:shd w:val="clear" w:color="auto" w:fill="D9D9D9" w:themeFill="background1" w:themeFillShade="D9"/>
          </w:tcPr>
          <w:p w14:paraId="4B808F9D" w14:textId="77777777" w:rsidR="00880D4D" w:rsidRPr="00B136D3" w:rsidRDefault="00880D4D" w:rsidP="00B24351">
            <w:pPr>
              <w:rPr>
                <w:b/>
                <w:color w:val="000000" w:themeColor="text1"/>
              </w:rPr>
            </w:pPr>
            <w:r w:rsidRPr="00B136D3">
              <w:rPr>
                <w:b/>
                <w:color w:val="000000" w:themeColor="text1"/>
              </w:rPr>
              <w:t>Operating revenu</w:t>
            </w:r>
            <w:r>
              <w:rPr>
                <w:b/>
                <w:color w:val="000000" w:themeColor="text1"/>
              </w:rPr>
              <w:t>e</w:t>
            </w:r>
          </w:p>
        </w:tc>
        <w:tc>
          <w:tcPr>
            <w:tcW w:w="1438" w:type="pct"/>
            <w:tcBorders>
              <w:top w:val="single" w:sz="4" w:space="0" w:color="auto"/>
              <w:bottom w:val="single" w:sz="4" w:space="0" w:color="auto"/>
            </w:tcBorders>
            <w:shd w:val="clear" w:color="auto" w:fill="D9D9D9" w:themeFill="background1" w:themeFillShade="D9"/>
          </w:tcPr>
          <w:p w14:paraId="1E125AFF" w14:textId="643C9693" w:rsidR="00880D4D" w:rsidRPr="00B136D3" w:rsidRDefault="00880D4D" w:rsidP="00B24351">
            <w:pPr>
              <w:jc w:val="right"/>
              <w:rPr>
                <w:b/>
                <w:bCs/>
              </w:rPr>
            </w:pPr>
            <w:r>
              <w:rPr>
                <w:b/>
                <w:bCs/>
              </w:rPr>
              <w:t>63,336</w:t>
            </w:r>
          </w:p>
        </w:tc>
        <w:tc>
          <w:tcPr>
            <w:tcW w:w="934" w:type="pct"/>
            <w:tcBorders>
              <w:top w:val="single" w:sz="4" w:space="0" w:color="auto"/>
              <w:bottom w:val="single" w:sz="4" w:space="0" w:color="auto"/>
            </w:tcBorders>
            <w:shd w:val="clear" w:color="auto" w:fill="D9D9D9" w:themeFill="background1" w:themeFillShade="D9"/>
          </w:tcPr>
          <w:p w14:paraId="41399DC3" w14:textId="6B740C05" w:rsidR="00880D4D" w:rsidRPr="00B136D3" w:rsidRDefault="00880D4D" w:rsidP="00B24351">
            <w:pPr>
              <w:jc w:val="right"/>
              <w:rPr>
                <w:b/>
                <w:bCs/>
              </w:rPr>
            </w:pPr>
            <w:r>
              <w:rPr>
                <w:b/>
                <w:bCs/>
              </w:rPr>
              <w:t>59,124</w:t>
            </w:r>
          </w:p>
        </w:tc>
      </w:tr>
      <w:tr w:rsidR="00880D4D" w:rsidRPr="000E7EED" w14:paraId="177430AB" w14:textId="77777777" w:rsidTr="00C55CA2">
        <w:tc>
          <w:tcPr>
            <w:tcW w:w="2628" w:type="pct"/>
            <w:tcBorders>
              <w:top w:val="single" w:sz="4" w:space="0" w:color="auto"/>
              <w:bottom w:val="single" w:sz="4" w:space="0" w:color="auto"/>
            </w:tcBorders>
          </w:tcPr>
          <w:p w14:paraId="6A1EEF7D" w14:textId="77777777" w:rsidR="00880D4D" w:rsidRPr="000E7EED" w:rsidRDefault="00880D4D" w:rsidP="00B24351">
            <w:pPr>
              <w:rPr>
                <w:color w:val="000000" w:themeColor="text1"/>
              </w:rPr>
            </w:pPr>
            <w:r>
              <w:rPr>
                <w:color w:val="000000" w:themeColor="text1"/>
              </w:rPr>
              <w:t>Digital Legal Aid income</w:t>
            </w:r>
          </w:p>
        </w:tc>
        <w:tc>
          <w:tcPr>
            <w:tcW w:w="1438" w:type="pct"/>
            <w:tcBorders>
              <w:top w:val="single" w:sz="4" w:space="0" w:color="auto"/>
              <w:bottom w:val="single" w:sz="4" w:space="0" w:color="auto"/>
            </w:tcBorders>
          </w:tcPr>
          <w:p w14:paraId="3FD687DF" w14:textId="2D8447EA" w:rsidR="00880D4D" w:rsidRPr="008E424E" w:rsidRDefault="00880D4D" w:rsidP="00B24351">
            <w:pPr>
              <w:jc w:val="right"/>
            </w:pPr>
            <w:r>
              <w:t>1,167</w:t>
            </w:r>
          </w:p>
        </w:tc>
        <w:tc>
          <w:tcPr>
            <w:tcW w:w="934" w:type="pct"/>
            <w:tcBorders>
              <w:top w:val="single" w:sz="4" w:space="0" w:color="auto"/>
              <w:bottom w:val="single" w:sz="4" w:space="0" w:color="auto"/>
            </w:tcBorders>
            <w:shd w:val="clear" w:color="auto" w:fill="D9D9D9" w:themeFill="background1" w:themeFillShade="D9"/>
          </w:tcPr>
          <w:p w14:paraId="24273A59" w14:textId="111C1BC6" w:rsidR="00880D4D" w:rsidRPr="008E424E" w:rsidRDefault="00880D4D" w:rsidP="00B24351">
            <w:pPr>
              <w:jc w:val="right"/>
            </w:pPr>
            <w:r>
              <w:t>875</w:t>
            </w:r>
          </w:p>
        </w:tc>
      </w:tr>
      <w:tr w:rsidR="00880D4D" w:rsidRPr="000E7EED" w14:paraId="7F598A7D" w14:textId="77777777" w:rsidTr="00C55CA2">
        <w:tc>
          <w:tcPr>
            <w:tcW w:w="2628" w:type="pct"/>
            <w:tcBorders>
              <w:top w:val="single" w:sz="4" w:space="0" w:color="auto"/>
              <w:bottom w:val="single" w:sz="4" w:space="0" w:color="auto"/>
            </w:tcBorders>
            <w:shd w:val="clear" w:color="auto" w:fill="auto"/>
          </w:tcPr>
          <w:p w14:paraId="5FCFAD86" w14:textId="7DA10FB8" w:rsidR="00880D4D" w:rsidRPr="00463A3D" w:rsidRDefault="00880D4D" w:rsidP="00B24351">
            <w:pPr>
              <w:rPr>
                <w:bCs/>
                <w:color w:val="000000" w:themeColor="text1"/>
              </w:rPr>
            </w:pPr>
            <w:r>
              <w:rPr>
                <w:bCs/>
                <w:color w:val="000000" w:themeColor="text1"/>
              </w:rPr>
              <w:t>COVID and Bushfire Emergency</w:t>
            </w:r>
          </w:p>
        </w:tc>
        <w:tc>
          <w:tcPr>
            <w:tcW w:w="1438" w:type="pct"/>
            <w:tcBorders>
              <w:top w:val="single" w:sz="4" w:space="0" w:color="auto"/>
              <w:bottom w:val="single" w:sz="4" w:space="0" w:color="auto"/>
            </w:tcBorders>
            <w:shd w:val="clear" w:color="auto" w:fill="auto"/>
          </w:tcPr>
          <w:p w14:paraId="3D40E364" w14:textId="46C7A06B" w:rsidR="00880D4D" w:rsidRPr="00B457A7" w:rsidRDefault="00880D4D" w:rsidP="00B24351">
            <w:pPr>
              <w:jc w:val="right"/>
            </w:pPr>
            <w:r>
              <w:t>0</w:t>
            </w:r>
          </w:p>
        </w:tc>
        <w:tc>
          <w:tcPr>
            <w:tcW w:w="934" w:type="pct"/>
            <w:tcBorders>
              <w:top w:val="single" w:sz="4" w:space="0" w:color="auto"/>
              <w:bottom w:val="single" w:sz="4" w:space="0" w:color="auto"/>
            </w:tcBorders>
            <w:shd w:val="clear" w:color="auto" w:fill="D9D9D9" w:themeFill="background1" w:themeFillShade="D9"/>
          </w:tcPr>
          <w:p w14:paraId="7D605AE0" w14:textId="5C0A3E0F" w:rsidR="00880D4D" w:rsidRPr="00B457A7" w:rsidRDefault="00880D4D" w:rsidP="00B24351">
            <w:pPr>
              <w:jc w:val="right"/>
            </w:pPr>
            <w:r>
              <w:t>2,646</w:t>
            </w:r>
          </w:p>
        </w:tc>
      </w:tr>
      <w:tr w:rsidR="00880D4D" w:rsidRPr="000E7EED" w14:paraId="1D93C896" w14:textId="77777777" w:rsidTr="00C55CA2">
        <w:tc>
          <w:tcPr>
            <w:tcW w:w="2628" w:type="pct"/>
            <w:tcBorders>
              <w:top w:val="single" w:sz="4" w:space="0" w:color="auto"/>
              <w:bottom w:val="single" w:sz="4" w:space="0" w:color="auto"/>
            </w:tcBorders>
            <w:shd w:val="clear" w:color="auto" w:fill="D9D9D9" w:themeFill="background1" w:themeFillShade="D9"/>
          </w:tcPr>
          <w:p w14:paraId="5F7BC2D9" w14:textId="77777777" w:rsidR="00880D4D" w:rsidRPr="000E7EED" w:rsidRDefault="00880D4D" w:rsidP="00B24351">
            <w:pPr>
              <w:rPr>
                <w:b/>
                <w:color w:val="000000" w:themeColor="text1"/>
              </w:rPr>
            </w:pPr>
            <w:r w:rsidRPr="000E7EED">
              <w:rPr>
                <w:b/>
                <w:color w:val="000000" w:themeColor="text1"/>
              </w:rPr>
              <w:t>Total revenue</w:t>
            </w:r>
          </w:p>
        </w:tc>
        <w:tc>
          <w:tcPr>
            <w:tcW w:w="1438" w:type="pct"/>
            <w:tcBorders>
              <w:top w:val="single" w:sz="4" w:space="0" w:color="auto"/>
              <w:bottom w:val="single" w:sz="4" w:space="0" w:color="auto"/>
            </w:tcBorders>
            <w:shd w:val="clear" w:color="auto" w:fill="D9D9D9" w:themeFill="background1" w:themeFillShade="D9"/>
          </w:tcPr>
          <w:p w14:paraId="29EED78C" w14:textId="21DB0B49" w:rsidR="00880D4D" w:rsidRPr="008E424E" w:rsidRDefault="00880D4D" w:rsidP="00B24351">
            <w:pPr>
              <w:jc w:val="right"/>
              <w:rPr>
                <w:b/>
                <w:bCs/>
              </w:rPr>
            </w:pPr>
          </w:p>
        </w:tc>
        <w:tc>
          <w:tcPr>
            <w:tcW w:w="934" w:type="pct"/>
            <w:tcBorders>
              <w:top w:val="single" w:sz="4" w:space="0" w:color="auto"/>
              <w:bottom w:val="single" w:sz="4" w:space="0" w:color="auto"/>
            </w:tcBorders>
            <w:shd w:val="clear" w:color="auto" w:fill="D9D9D9" w:themeFill="background1" w:themeFillShade="D9"/>
          </w:tcPr>
          <w:p w14:paraId="4ACFF219" w14:textId="57966EB3" w:rsidR="00880D4D" w:rsidRPr="00B457A7" w:rsidRDefault="00880D4D" w:rsidP="00B24351">
            <w:pPr>
              <w:jc w:val="right"/>
              <w:rPr>
                <w:b/>
                <w:bCs/>
              </w:rPr>
            </w:pPr>
            <w:r>
              <w:rPr>
                <w:b/>
                <w:bCs/>
              </w:rPr>
              <w:t>62,645</w:t>
            </w:r>
          </w:p>
        </w:tc>
      </w:tr>
    </w:tbl>
    <w:p w14:paraId="4982F0A4" w14:textId="77777777" w:rsidR="004175B7" w:rsidRPr="000E7EED" w:rsidRDefault="004175B7" w:rsidP="004175B7">
      <w:pPr>
        <w:pStyle w:val="Heading3"/>
      </w:pPr>
      <w:bookmarkStart w:id="6" w:name="_Hlk33006441"/>
      <w:r w:rsidRPr="000E7EED">
        <w:lastRenderedPageBreak/>
        <w:t>Total expenditure breakdown</w:t>
      </w:r>
      <w:r>
        <w:t xml:space="preserve"> </w:t>
      </w:r>
      <w:r w:rsidRPr="00A64A96">
        <w:t>($,000)</w:t>
      </w:r>
    </w:p>
    <w:tbl>
      <w:tblPr>
        <w:tblStyle w:val="PlainTable2"/>
        <w:tblW w:w="4146" w:type="pct"/>
        <w:tblBorders>
          <w:bottom w:val="none" w:sz="0" w:space="0" w:color="auto"/>
          <w:insideH w:val="none" w:sz="0" w:space="0" w:color="auto"/>
        </w:tblBorders>
        <w:tblLook w:val="0620" w:firstRow="1" w:lastRow="0" w:firstColumn="0" w:lastColumn="0" w:noHBand="1" w:noVBand="1"/>
      </w:tblPr>
      <w:tblGrid>
        <w:gridCol w:w="4395"/>
        <w:gridCol w:w="2357"/>
        <w:gridCol w:w="1611"/>
      </w:tblGrid>
      <w:tr w:rsidR="00880D4D" w:rsidRPr="000E7EED" w14:paraId="1A26A49B" w14:textId="77777777" w:rsidTr="00C55CA2">
        <w:trPr>
          <w:cnfStyle w:val="100000000000" w:firstRow="1" w:lastRow="0" w:firstColumn="0" w:lastColumn="0" w:oddVBand="0" w:evenVBand="0" w:oddHBand="0" w:evenHBand="0" w:firstRowFirstColumn="0" w:firstRowLastColumn="0" w:lastRowFirstColumn="0" w:lastRowLastColumn="0"/>
        </w:trPr>
        <w:tc>
          <w:tcPr>
            <w:tcW w:w="2628" w:type="pct"/>
            <w:tcBorders>
              <w:top w:val="single" w:sz="4" w:space="0" w:color="auto"/>
              <w:bottom w:val="single" w:sz="4" w:space="0" w:color="auto"/>
            </w:tcBorders>
            <w:shd w:val="clear" w:color="auto" w:fill="C3AFCC"/>
          </w:tcPr>
          <w:p w14:paraId="3F56AEBA" w14:textId="77777777" w:rsidR="00880D4D" w:rsidRPr="000E7EED" w:rsidRDefault="00880D4D" w:rsidP="00457AA5">
            <w:pPr>
              <w:rPr>
                <w:b/>
                <w:color w:val="000000" w:themeColor="text1"/>
              </w:rPr>
            </w:pPr>
            <w:bookmarkStart w:id="7" w:name="_Hlk33006456"/>
            <w:bookmarkEnd w:id="6"/>
            <w:r w:rsidRPr="000E7EED">
              <w:rPr>
                <w:b/>
                <w:color w:val="000000" w:themeColor="text1"/>
              </w:rPr>
              <w:t>Expenditure</w:t>
            </w:r>
          </w:p>
        </w:tc>
        <w:tc>
          <w:tcPr>
            <w:tcW w:w="1409" w:type="pct"/>
            <w:tcBorders>
              <w:top w:val="single" w:sz="4" w:space="0" w:color="auto"/>
              <w:bottom w:val="single" w:sz="4" w:space="0" w:color="auto"/>
            </w:tcBorders>
            <w:shd w:val="clear" w:color="auto" w:fill="C3AFCC"/>
          </w:tcPr>
          <w:p w14:paraId="7B79E5AA" w14:textId="5B3FA17D" w:rsidR="00880D4D" w:rsidRPr="000E7EED" w:rsidRDefault="00880D4D" w:rsidP="00457AA5">
            <w:pPr>
              <w:jc w:val="right"/>
              <w:rPr>
                <w:b/>
                <w:color w:val="000000" w:themeColor="text1"/>
              </w:rPr>
            </w:pPr>
            <w:r>
              <w:rPr>
                <w:b/>
                <w:color w:val="000000" w:themeColor="text1"/>
              </w:rPr>
              <w:t>Q1 2019-20</w:t>
            </w:r>
          </w:p>
        </w:tc>
        <w:tc>
          <w:tcPr>
            <w:tcW w:w="964" w:type="pct"/>
            <w:tcBorders>
              <w:top w:val="single" w:sz="4" w:space="0" w:color="auto"/>
              <w:bottom w:val="single" w:sz="4" w:space="0" w:color="auto"/>
            </w:tcBorders>
            <w:shd w:val="clear" w:color="auto" w:fill="C3AFCC"/>
          </w:tcPr>
          <w:p w14:paraId="0E6CB1A2" w14:textId="6637939F" w:rsidR="00880D4D" w:rsidRPr="000E7EED" w:rsidRDefault="00880D4D" w:rsidP="00457AA5">
            <w:pPr>
              <w:jc w:val="right"/>
              <w:rPr>
                <w:b/>
                <w:color w:val="000000" w:themeColor="text1"/>
              </w:rPr>
            </w:pPr>
            <w:r w:rsidRPr="000E7EED">
              <w:rPr>
                <w:b/>
                <w:color w:val="000000" w:themeColor="text1"/>
              </w:rPr>
              <w:t>Q</w:t>
            </w:r>
            <w:r>
              <w:rPr>
                <w:b/>
                <w:color w:val="000000" w:themeColor="text1"/>
              </w:rPr>
              <w:t>1 2020-21</w:t>
            </w:r>
          </w:p>
        </w:tc>
      </w:tr>
      <w:tr w:rsidR="00880D4D" w:rsidRPr="000E7EED" w14:paraId="0355756B" w14:textId="77777777" w:rsidTr="00C55CA2">
        <w:tc>
          <w:tcPr>
            <w:tcW w:w="2628" w:type="pct"/>
            <w:tcBorders>
              <w:top w:val="single" w:sz="4" w:space="0" w:color="auto"/>
              <w:bottom w:val="single" w:sz="4" w:space="0" w:color="auto"/>
            </w:tcBorders>
          </w:tcPr>
          <w:p w14:paraId="57857B1D" w14:textId="7F8E3E51" w:rsidR="00880D4D" w:rsidRPr="000E7EED" w:rsidRDefault="00880D4D" w:rsidP="00457AA5">
            <w:pPr>
              <w:rPr>
                <w:color w:val="000000" w:themeColor="text1"/>
              </w:rPr>
            </w:pPr>
            <w:r w:rsidRPr="000E7EED">
              <w:rPr>
                <w:color w:val="000000" w:themeColor="text1"/>
              </w:rPr>
              <w:t>Case expenditure</w:t>
            </w:r>
            <w:r>
              <w:rPr>
                <w:color w:val="000000" w:themeColor="text1"/>
              </w:rPr>
              <w:t xml:space="preserve"> (including ECCCF)</w:t>
            </w:r>
          </w:p>
        </w:tc>
        <w:tc>
          <w:tcPr>
            <w:tcW w:w="1409" w:type="pct"/>
            <w:tcBorders>
              <w:top w:val="single" w:sz="4" w:space="0" w:color="auto"/>
              <w:bottom w:val="single" w:sz="4" w:space="0" w:color="auto"/>
            </w:tcBorders>
          </w:tcPr>
          <w:p w14:paraId="36D0F934" w14:textId="2B8D997E" w:rsidR="00880D4D" w:rsidRPr="008E424E" w:rsidRDefault="00880D4D" w:rsidP="00457AA5">
            <w:pPr>
              <w:jc w:val="right"/>
            </w:pPr>
            <w:r>
              <w:t>27,532</w:t>
            </w:r>
          </w:p>
        </w:tc>
        <w:tc>
          <w:tcPr>
            <w:tcW w:w="964" w:type="pct"/>
            <w:tcBorders>
              <w:top w:val="single" w:sz="4" w:space="0" w:color="auto"/>
              <w:bottom w:val="single" w:sz="4" w:space="0" w:color="auto"/>
            </w:tcBorders>
            <w:shd w:val="clear" w:color="auto" w:fill="D9D9D9" w:themeFill="background1" w:themeFillShade="D9"/>
          </w:tcPr>
          <w:p w14:paraId="09F5086D" w14:textId="7A309602" w:rsidR="00880D4D" w:rsidRPr="008E424E" w:rsidRDefault="00880D4D" w:rsidP="00457AA5">
            <w:pPr>
              <w:jc w:val="right"/>
            </w:pPr>
            <w:r>
              <w:t>23,007</w:t>
            </w:r>
          </w:p>
        </w:tc>
      </w:tr>
      <w:tr w:rsidR="00880D4D" w:rsidRPr="000E7EED" w14:paraId="7181F757" w14:textId="77777777" w:rsidTr="00C55CA2">
        <w:tc>
          <w:tcPr>
            <w:tcW w:w="2628" w:type="pct"/>
            <w:tcBorders>
              <w:top w:val="single" w:sz="4" w:space="0" w:color="auto"/>
              <w:bottom w:val="single" w:sz="4" w:space="0" w:color="auto"/>
            </w:tcBorders>
          </w:tcPr>
          <w:p w14:paraId="00863735" w14:textId="77777777" w:rsidR="00880D4D" w:rsidRPr="000E7EED" w:rsidRDefault="00880D4D" w:rsidP="00F91078">
            <w:pPr>
              <w:rPr>
                <w:b/>
                <w:color w:val="000000" w:themeColor="text1"/>
              </w:rPr>
            </w:pPr>
            <w:r w:rsidRPr="000E7EED">
              <w:rPr>
                <w:color w:val="000000" w:themeColor="text1"/>
              </w:rPr>
              <w:t>Community legal centre payments</w:t>
            </w:r>
          </w:p>
        </w:tc>
        <w:tc>
          <w:tcPr>
            <w:tcW w:w="1409" w:type="pct"/>
            <w:tcBorders>
              <w:top w:val="single" w:sz="4" w:space="0" w:color="auto"/>
              <w:bottom w:val="single" w:sz="4" w:space="0" w:color="auto"/>
            </w:tcBorders>
          </w:tcPr>
          <w:p w14:paraId="38009B9C" w14:textId="45328B22" w:rsidR="00880D4D" w:rsidRPr="008E424E" w:rsidRDefault="00880D4D" w:rsidP="00F91078">
            <w:pPr>
              <w:jc w:val="right"/>
            </w:pPr>
            <w:r>
              <w:t>8,263</w:t>
            </w:r>
          </w:p>
        </w:tc>
        <w:tc>
          <w:tcPr>
            <w:tcW w:w="964" w:type="pct"/>
            <w:tcBorders>
              <w:top w:val="single" w:sz="4" w:space="0" w:color="auto"/>
              <w:bottom w:val="single" w:sz="4" w:space="0" w:color="auto"/>
            </w:tcBorders>
            <w:shd w:val="clear" w:color="auto" w:fill="D9D9D9" w:themeFill="background1" w:themeFillShade="D9"/>
          </w:tcPr>
          <w:p w14:paraId="0A5E81B9" w14:textId="48C1DF06" w:rsidR="00880D4D" w:rsidRPr="008E424E" w:rsidRDefault="00880D4D" w:rsidP="00F91078">
            <w:pPr>
              <w:jc w:val="right"/>
            </w:pPr>
            <w:r>
              <w:t>10,305</w:t>
            </w:r>
          </w:p>
        </w:tc>
      </w:tr>
      <w:tr w:rsidR="00880D4D" w:rsidRPr="000E7EED" w14:paraId="14088745" w14:textId="77777777" w:rsidTr="00C55CA2">
        <w:tc>
          <w:tcPr>
            <w:tcW w:w="2628" w:type="pct"/>
            <w:tcBorders>
              <w:top w:val="single" w:sz="4" w:space="0" w:color="auto"/>
              <w:bottom w:val="single" w:sz="4" w:space="0" w:color="auto"/>
            </w:tcBorders>
          </w:tcPr>
          <w:p w14:paraId="21FAB84C" w14:textId="77777777" w:rsidR="00880D4D" w:rsidRPr="000E7EED" w:rsidRDefault="00880D4D" w:rsidP="00F91078">
            <w:pPr>
              <w:rPr>
                <w:b/>
                <w:color w:val="000000" w:themeColor="text1"/>
              </w:rPr>
            </w:pPr>
            <w:r w:rsidRPr="000E7EED">
              <w:rPr>
                <w:color w:val="000000" w:themeColor="text1"/>
              </w:rPr>
              <w:t>Staff costs</w:t>
            </w:r>
          </w:p>
        </w:tc>
        <w:tc>
          <w:tcPr>
            <w:tcW w:w="1409" w:type="pct"/>
            <w:tcBorders>
              <w:top w:val="single" w:sz="4" w:space="0" w:color="auto"/>
              <w:bottom w:val="single" w:sz="4" w:space="0" w:color="auto"/>
            </w:tcBorders>
          </w:tcPr>
          <w:p w14:paraId="2A7D0078" w14:textId="2E5754B0" w:rsidR="00880D4D" w:rsidRPr="008E424E" w:rsidRDefault="00880D4D" w:rsidP="00F91078">
            <w:pPr>
              <w:jc w:val="right"/>
            </w:pPr>
            <w:r>
              <w:t>20,163</w:t>
            </w:r>
          </w:p>
        </w:tc>
        <w:tc>
          <w:tcPr>
            <w:tcW w:w="964" w:type="pct"/>
            <w:tcBorders>
              <w:top w:val="single" w:sz="4" w:space="0" w:color="auto"/>
              <w:bottom w:val="single" w:sz="4" w:space="0" w:color="auto"/>
            </w:tcBorders>
            <w:shd w:val="clear" w:color="auto" w:fill="D9D9D9" w:themeFill="background1" w:themeFillShade="D9"/>
          </w:tcPr>
          <w:p w14:paraId="1887D2AA" w14:textId="24E0F63E" w:rsidR="00880D4D" w:rsidRPr="008E424E" w:rsidRDefault="00880D4D" w:rsidP="00F91078">
            <w:pPr>
              <w:jc w:val="right"/>
            </w:pPr>
            <w:r>
              <w:t>20,822</w:t>
            </w:r>
          </w:p>
        </w:tc>
      </w:tr>
      <w:tr w:rsidR="00880D4D" w:rsidRPr="000E7EED" w14:paraId="166EC63C" w14:textId="77777777" w:rsidTr="00C55CA2">
        <w:tc>
          <w:tcPr>
            <w:tcW w:w="2628" w:type="pct"/>
            <w:tcBorders>
              <w:top w:val="single" w:sz="4" w:space="0" w:color="auto"/>
              <w:bottom w:val="single" w:sz="4" w:space="0" w:color="auto"/>
            </w:tcBorders>
          </w:tcPr>
          <w:p w14:paraId="263A16AB" w14:textId="77777777" w:rsidR="00880D4D" w:rsidRPr="000E7EED" w:rsidRDefault="00880D4D" w:rsidP="00F91078">
            <w:pPr>
              <w:rPr>
                <w:b/>
                <w:color w:val="000000" w:themeColor="text1"/>
              </w:rPr>
            </w:pPr>
            <w:r w:rsidRPr="000E7EED">
              <w:rPr>
                <w:color w:val="000000" w:themeColor="text1"/>
              </w:rPr>
              <w:t>Administration</w:t>
            </w:r>
          </w:p>
        </w:tc>
        <w:tc>
          <w:tcPr>
            <w:tcW w:w="1409" w:type="pct"/>
            <w:tcBorders>
              <w:top w:val="single" w:sz="4" w:space="0" w:color="auto"/>
              <w:bottom w:val="single" w:sz="4" w:space="0" w:color="auto"/>
            </w:tcBorders>
          </w:tcPr>
          <w:p w14:paraId="1D84653B" w14:textId="5D8E2649" w:rsidR="00880D4D" w:rsidRPr="008E424E" w:rsidRDefault="00880D4D" w:rsidP="00F91078">
            <w:pPr>
              <w:jc w:val="right"/>
            </w:pPr>
            <w:r>
              <w:t>4,938</w:t>
            </w:r>
          </w:p>
        </w:tc>
        <w:tc>
          <w:tcPr>
            <w:tcW w:w="964" w:type="pct"/>
            <w:tcBorders>
              <w:top w:val="single" w:sz="4" w:space="0" w:color="auto"/>
              <w:bottom w:val="single" w:sz="4" w:space="0" w:color="auto"/>
            </w:tcBorders>
            <w:shd w:val="clear" w:color="auto" w:fill="D9D9D9" w:themeFill="background1" w:themeFillShade="D9"/>
          </w:tcPr>
          <w:p w14:paraId="7B2C4A5E" w14:textId="6C423CC9" w:rsidR="00880D4D" w:rsidRPr="008E424E" w:rsidRDefault="00880D4D" w:rsidP="00F91078">
            <w:pPr>
              <w:jc w:val="right"/>
            </w:pPr>
            <w:r>
              <w:t>4,280</w:t>
            </w:r>
          </w:p>
        </w:tc>
      </w:tr>
      <w:tr w:rsidR="00880D4D" w:rsidRPr="000E7EED" w14:paraId="47E68247" w14:textId="77777777" w:rsidTr="00C55CA2">
        <w:tc>
          <w:tcPr>
            <w:tcW w:w="2628" w:type="pct"/>
            <w:tcBorders>
              <w:top w:val="single" w:sz="4" w:space="0" w:color="auto"/>
              <w:bottom w:val="single" w:sz="4" w:space="0" w:color="auto"/>
            </w:tcBorders>
          </w:tcPr>
          <w:p w14:paraId="32B79EE6" w14:textId="77777777" w:rsidR="00880D4D" w:rsidRPr="000E7EED" w:rsidRDefault="00880D4D" w:rsidP="00F91078">
            <w:pPr>
              <w:rPr>
                <w:b/>
                <w:color w:val="000000" w:themeColor="text1"/>
              </w:rPr>
            </w:pPr>
            <w:r w:rsidRPr="000E7EED">
              <w:rPr>
                <w:color w:val="000000" w:themeColor="text1"/>
              </w:rPr>
              <w:t>Projects</w:t>
            </w:r>
          </w:p>
        </w:tc>
        <w:tc>
          <w:tcPr>
            <w:tcW w:w="1409" w:type="pct"/>
            <w:tcBorders>
              <w:top w:val="single" w:sz="4" w:space="0" w:color="auto"/>
              <w:bottom w:val="single" w:sz="4" w:space="0" w:color="auto"/>
            </w:tcBorders>
          </w:tcPr>
          <w:p w14:paraId="4957B2BF" w14:textId="3B0BB71A" w:rsidR="00880D4D" w:rsidRPr="008E424E" w:rsidRDefault="00880D4D" w:rsidP="004E0CCB">
            <w:pPr>
              <w:jc w:val="right"/>
            </w:pPr>
            <w:r>
              <w:t>17</w:t>
            </w:r>
          </w:p>
        </w:tc>
        <w:tc>
          <w:tcPr>
            <w:tcW w:w="964" w:type="pct"/>
            <w:tcBorders>
              <w:top w:val="single" w:sz="4" w:space="0" w:color="auto"/>
              <w:bottom w:val="single" w:sz="4" w:space="0" w:color="auto"/>
            </w:tcBorders>
            <w:shd w:val="clear" w:color="auto" w:fill="D9D9D9" w:themeFill="background1" w:themeFillShade="D9"/>
          </w:tcPr>
          <w:p w14:paraId="44713762" w14:textId="4422E8E6" w:rsidR="00880D4D" w:rsidRPr="008E424E" w:rsidRDefault="00880D4D" w:rsidP="00F91078">
            <w:pPr>
              <w:jc w:val="right"/>
            </w:pPr>
            <w:r>
              <w:t>0</w:t>
            </w:r>
          </w:p>
        </w:tc>
      </w:tr>
      <w:tr w:rsidR="00880D4D" w:rsidRPr="000E7EED" w14:paraId="50872415" w14:textId="77777777" w:rsidTr="00C55CA2">
        <w:tc>
          <w:tcPr>
            <w:tcW w:w="2628" w:type="pct"/>
            <w:tcBorders>
              <w:top w:val="single" w:sz="4" w:space="0" w:color="auto"/>
              <w:bottom w:val="single" w:sz="4" w:space="0" w:color="auto"/>
            </w:tcBorders>
            <w:shd w:val="clear" w:color="auto" w:fill="D9D9D9" w:themeFill="background1" w:themeFillShade="D9"/>
          </w:tcPr>
          <w:p w14:paraId="7120B54E" w14:textId="6D03CC5D" w:rsidR="00880D4D" w:rsidRPr="000E7EED" w:rsidRDefault="00880D4D" w:rsidP="00F91078">
            <w:pPr>
              <w:rPr>
                <w:b/>
                <w:color w:val="000000" w:themeColor="text1"/>
              </w:rPr>
            </w:pPr>
            <w:r w:rsidRPr="000E7EED">
              <w:rPr>
                <w:b/>
                <w:color w:val="000000" w:themeColor="text1"/>
              </w:rPr>
              <w:t>Total expenditure</w:t>
            </w:r>
            <w:r>
              <w:rPr>
                <w:b/>
                <w:color w:val="000000" w:themeColor="text1"/>
              </w:rPr>
              <w:t xml:space="preserve"> (Excluding COVID and Bushfire)</w:t>
            </w:r>
          </w:p>
        </w:tc>
        <w:tc>
          <w:tcPr>
            <w:tcW w:w="1409" w:type="pct"/>
            <w:tcBorders>
              <w:top w:val="single" w:sz="4" w:space="0" w:color="auto"/>
              <w:bottom w:val="single" w:sz="4" w:space="0" w:color="auto"/>
            </w:tcBorders>
            <w:shd w:val="clear" w:color="auto" w:fill="D9D9D9" w:themeFill="background1" w:themeFillShade="D9"/>
          </w:tcPr>
          <w:p w14:paraId="0ED87789" w14:textId="572B402D" w:rsidR="00880D4D" w:rsidRPr="00894561" w:rsidRDefault="00880D4D" w:rsidP="00F91078">
            <w:pPr>
              <w:jc w:val="right"/>
              <w:rPr>
                <w:b/>
                <w:bCs/>
              </w:rPr>
            </w:pPr>
            <w:r>
              <w:rPr>
                <w:b/>
                <w:bCs/>
              </w:rPr>
              <w:t>60,913</w:t>
            </w:r>
          </w:p>
        </w:tc>
        <w:tc>
          <w:tcPr>
            <w:tcW w:w="964" w:type="pct"/>
            <w:tcBorders>
              <w:top w:val="single" w:sz="4" w:space="0" w:color="auto"/>
              <w:bottom w:val="single" w:sz="4" w:space="0" w:color="auto"/>
            </w:tcBorders>
            <w:shd w:val="clear" w:color="auto" w:fill="D9D9D9" w:themeFill="background1" w:themeFillShade="D9"/>
          </w:tcPr>
          <w:p w14:paraId="216E8289" w14:textId="6009448B" w:rsidR="00880D4D" w:rsidRPr="00894561" w:rsidRDefault="00880D4D" w:rsidP="00F91078">
            <w:pPr>
              <w:jc w:val="right"/>
              <w:rPr>
                <w:b/>
                <w:bCs/>
              </w:rPr>
            </w:pPr>
            <w:r>
              <w:rPr>
                <w:b/>
                <w:bCs/>
              </w:rPr>
              <w:t>58,414</w:t>
            </w:r>
          </w:p>
        </w:tc>
      </w:tr>
      <w:tr w:rsidR="00880D4D" w:rsidRPr="000E7EED" w14:paraId="07F54B9E" w14:textId="77777777" w:rsidTr="00C55CA2">
        <w:tc>
          <w:tcPr>
            <w:tcW w:w="2628" w:type="pct"/>
            <w:tcBorders>
              <w:top w:val="single" w:sz="4" w:space="0" w:color="auto"/>
              <w:bottom w:val="single" w:sz="4" w:space="0" w:color="auto"/>
            </w:tcBorders>
            <w:shd w:val="clear" w:color="auto" w:fill="auto"/>
          </w:tcPr>
          <w:p w14:paraId="3C82F621" w14:textId="5485D3C7" w:rsidR="00880D4D" w:rsidRDefault="00880D4D" w:rsidP="00B13EF6">
            <w:pPr>
              <w:rPr>
                <w:bCs/>
                <w:color w:val="000000" w:themeColor="text1"/>
              </w:rPr>
            </w:pPr>
            <w:r>
              <w:rPr>
                <w:bCs/>
                <w:color w:val="000000" w:themeColor="text1"/>
              </w:rPr>
              <w:t>Depreciation and Revaluation</w:t>
            </w:r>
          </w:p>
        </w:tc>
        <w:tc>
          <w:tcPr>
            <w:tcW w:w="1409" w:type="pct"/>
            <w:tcBorders>
              <w:top w:val="single" w:sz="4" w:space="0" w:color="auto"/>
              <w:bottom w:val="single" w:sz="4" w:space="0" w:color="auto"/>
            </w:tcBorders>
            <w:shd w:val="clear" w:color="auto" w:fill="auto"/>
          </w:tcPr>
          <w:p w14:paraId="072936CB" w14:textId="15CD711E" w:rsidR="00880D4D" w:rsidRPr="00B13EF6" w:rsidRDefault="00880D4D" w:rsidP="00B13EF6">
            <w:pPr>
              <w:jc w:val="right"/>
            </w:pPr>
            <w:r>
              <w:t>479</w:t>
            </w:r>
          </w:p>
        </w:tc>
        <w:tc>
          <w:tcPr>
            <w:tcW w:w="964" w:type="pct"/>
            <w:tcBorders>
              <w:top w:val="single" w:sz="4" w:space="0" w:color="auto"/>
              <w:bottom w:val="single" w:sz="4" w:space="0" w:color="auto"/>
            </w:tcBorders>
            <w:shd w:val="clear" w:color="auto" w:fill="D9D9D9" w:themeFill="background1" w:themeFillShade="D9"/>
          </w:tcPr>
          <w:p w14:paraId="5327C550" w14:textId="1E0C4053" w:rsidR="00880D4D" w:rsidRPr="000A1E6F" w:rsidRDefault="00880D4D" w:rsidP="00B13EF6">
            <w:pPr>
              <w:jc w:val="right"/>
            </w:pPr>
            <w:r w:rsidRPr="000A1E6F">
              <w:t>581</w:t>
            </w:r>
          </w:p>
        </w:tc>
      </w:tr>
      <w:tr w:rsidR="00880D4D" w:rsidRPr="000E7EED" w14:paraId="29F32F94" w14:textId="77777777" w:rsidTr="00C55CA2">
        <w:tc>
          <w:tcPr>
            <w:tcW w:w="2628" w:type="pct"/>
            <w:tcBorders>
              <w:top w:val="single" w:sz="4" w:space="0" w:color="auto"/>
              <w:bottom w:val="single" w:sz="4" w:space="0" w:color="auto"/>
            </w:tcBorders>
            <w:shd w:val="clear" w:color="auto" w:fill="auto"/>
          </w:tcPr>
          <w:p w14:paraId="4657D5CD" w14:textId="45029BFD" w:rsidR="00880D4D" w:rsidRDefault="00880D4D" w:rsidP="00B13EF6">
            <w:pPr>
              <w:rPr>
                <w:bCs/>
                <w:color w:val="000000" w:themeColor="text1"/>
              </w:rPr>
            </w:pPr>
            <w:r>
              <w:rPr>
                <w:bCs/>
                <w:color w:val="000000" w:themeColor="text1"/>
              </w:rPr>
              <w:t>Digital Legal Aid</w:t>
            </w:r>
          </w:p>
        </w:tc>
        <w:tc>
          <w:tcPr>
            <w:tcW w:w="1409" w:type="pct"/>
            <w:tcBorders>
              <w:top w:val="single" w:sz="4" w:space="0" w:color="auto"/>
              <w:bottom w:val="single" w:sz="4" w:space="0" w:color="auto"/>
            </w:tcBorders>
            <w:shd w:val="clear" w:color="auto" w:fill="auto"/>
          </w:tcPr>
          <w:p w14:paraId="32B1F1D0" w14:textId="773BB056" w:rsidR="00880D4D" w:rsidRPr="00B13EF6" w:rsidRDefault="00880D4D" w:rsidP="00B13EF6">
            <w:pPr>
              <w:jc w:val="right"/>
            </w:pPr>
            <w:r>
              <w:t>190</w:t>
            </w:r>
          </w:p>
        </w:tc>
        <w:tc>
          <w:tcPr>
            <w:tcW w:w="964" w:type="pct"/>
            <w:tcBorders>
              <w:top w:val="single" w:sz="4" w:space="0" w:color="auto"/>
              <w:bottom w:val="single" w:sz="4" w:space="0" w:color="auto"/>
            </w:tcBorders>
            <w:shd w:val="clear" w:color="auto" w:fill="D9D9D9" w:themeFill="background1" w:themeFillShade="D9"/>
          </w:tcPr>
          <w:p w14:paraId="6F969851" w14:textId="43A12901" w:rsidR="00880D4D" w:rsidRPr="000A1E6F" w:rsidRDefault="00880D4D" w:rsidP="00B13EF6">
            <w:pPr>
              <w:jc w:val="right"/>
            </w:pPr>
            <w:r w:rsidRPr="000A1E6F">
              <w:t>279</w:t>
            </w:r>
          </w:p>
        </w:tc>
      </w:tr>
      <w:tr w:rsidR="00880D4D" w:rsidRPr="000E7EED" w14:paraId="130AFAC1" w14:textId="77777777" w:rsidTr="00C55CA2">
        <w:tc>
          <w:tcPr>
            <w:tcW w:w="2628" w:type="pct"/>
            <w:tcBorders>
              <w:top w:val="single" w:sz="4" w:space="0" w:color="auto"/>
              <w:bottom w:val="single" w:sz="4" w:space="0" w:color="auto"/>
            </w:tcBorders>
            <w:shd w:val="clear" w:color="auto" w:fill="auto"/>
          </w:tcPr>
          <w:p w14:paraId="5D4D3298" w14:textId="06502188" w:rsidR="00880D4D" w:rsidRPr="00E5707B" w:rsidRDefault="00880D4D" w:rsidP="00F91078">
            <w:pPr>
              <w:rPr>
                <w:b/>
                <w:color w:val="000000" w:themeColor="text1"/>
              </w:rPr>
            </w:pPr>
            <w:r>
              <w:rPr>
                <w:bCs/>
                <w:color w:val="000000" w:themeColor="text1"/>
              </w:rPr>
              <w:t>COVID and Bushfire Emergency</w:t>
            </w:r>
          </w:p>
        </w:tc>
        <w:tc>
          <w:tcPr>
            <w:tcW w:w="1409" w:type="pct"/>
            <w:tcBorders>
              <w:top w:val="single" w:sz="4" w:space="0" w:color="auto"/>
              <w:bottom w:val="single" w:sz="4" w:space="0" w:color="auto"/>
            </w:tcBorders>
            <w:shd w:val="clear" w:color="auto" w:fill="auto"/>
          </w:tcPr>
          <w:p w14:paraId="759ACDAD" w14:textId="47E8C582" w:rsidR="00880D4D" w:rsidRPr="00B13EF6" w:rsidRDefault="00880D4D" w:rsidP="00F91078">
            <w:pPr>
              <w:jc w:val="right"/>
            </w:pPr>
            <w:r>
              <w:t>0</w:t>
            </w:r>
          </w:p>
        </w:tc>
        <w:tc>
          <w:tcPr>
            <w:tcW w:w="964" w:type="pct"/>
            <w:tcBorders>
              <w:top w:val="single" w:sz="4" w:space="0" w:color="auto"/>
              <w:bottom w:val="single" w:sz="4" w:space="0" w:color="auto"/>
            </w:tcBorders>
            <w:shd w:val="clear" w:color="auto" w:fill="D9D9D9" w:themeFill="background1" w:themeFillShade="D9"/>
          </w:tcPr>
          <w:p w14:paraId="4ED16B98" w14:textId="6A41CC90" w:rsidR="00880D4D" w:rsidRPr="000A1E6F" w:rsidRDefault="00880D4D" w:rsidP="00F91078">
            <w:pPr>
              <w:jc w:val="right"/>
            </w:pPr>
            <w:r w:rsidRPr="000A1E6F">
              <w:t>2,712</w:t>
            </w:r>
          </w:p>
        </w:tc>
      </w:tr>
      <w:tr w:rsidR="00880D4D" w:rsidRPr="000E7EED" w14:paraId="1CE8541B" w14:textId="77777777" w:rsidTr="00C55CA2">
        <w:tc>
          <w:tcPr>
            <w:tcW w:w="2628" w:type="pct"/>
            <w:tcBorders>
              <w:top w:val="single" w:sz="4" w:space="0" w:color="auto"/>
              <w:bottom w:val="single" w:sz="4" w:space="0" w:color="auto"/>
            </w:tcBorders>
            <w:shd w:val="clear" w:color="auto" w:fill="D9D9D9" w:themeFill="background1" w:themeFillShade="D9"/>
          </w:tcPr>
          <w:p w14:paraId="18FB2D06" w14:textId="1EACFAC2" w:rsidR="00880D4D" w:rsidRPr="00E5707B" w:rsidRDefault="00880D4D" w:rsidP="00F91078">
            <w:pPr>
              <w:rPr>
                <w:b/>
                <w:color w:val="000000" w:themeColor="text1"/>
              </w:rPr>
            </w:pPr>
            <w:r w:rsidRPr="00E5707B">
              <w:rPr>
                <w:b/>
                <w:color w:val="000000" w:themeColor="text1"/>
              </w:rPr>
              <w:t>Total Expenditure</w:t>
            </w:r>
          </w:p>
        </w:tc>
        <w:tc>
          <w:tcPr>
            <w:tcW w:w="1409" w:type="pct"/>
            <w:tcBorders>
              <w:top w:val="single" w:sz="4" w:space="0" w:color="auto"/>
              <w:bottom w:val="single" w:sz="4" w:space="0" w:color="auto"/>
            </w:tcBorders>
            <w:shd w:val="clear" w:color="auto" w:fill="D9D9D9" w:themeFill="background1" w:themeFillShade="D9"/>
          </w:tcPr>
          <w:p w14:paraId="76FB0562" w14:textId="1161003B" w:rsidR="00880D4D" w:rsidRPr="00C97F8C" w:rsidRDefault="00880D4D" w:rsidP="00F91078">
            <w:pPr>
              <w:jc w:val="right"/>
              <w:rPr>
                <w:b/>
                <w:bCs/>
              </w:rPr>
            </w:pPr>
            <w:r>
              <w:rPr>
                <w:b/>
                <w:bCs/>
              </w:rPr>
              <w:t>61,582</w:t>
            </w:r>
          </w:p>
        </w:tc>
        <w:tc>
          <w:tcPr>
            <w:tcW w:w="964" w:type="pct"/>
            <w:tcBorders>
              <w:top w:val="single" w:sz="4" w:space="0" w:color="auto"/>
              <w:bottom w:val="single" w:sz="4" w:space="0" w:color="auto"/>
            </w:tcBorders>
            <w:shd w:val="clear" w:color="auto" w:fill="D9D9D9" w:themeFill="background1" w:themeFillShade="D9"/>
          </w:tcPr>
          <w:p w14:paraId="170A8860" w14:textId="3245E159" w:rsidR="00880D4D" w:rsidRPr="00C97F8C" w:rsidRDefault="00880D4D" w:rsidP="00F91078">
            <w:pPr>
              <w:jc w:val="right"/>
              <w:rPr>
                <w:b/>
                <w:bCs/>
              </w:rPr>
            </w:pPr>
            <w:r>
              <w:rPr>
                <w:b/>
                <w:bCs/>
              </w:rPr>
              <w:t>61,986</w:t>
            </w:r>
          </w:p>
        </w:tc>
      </w:tr>
      <w:bookmarkEnd w:id="4"/>
      <w:bookmarkEnd w:id="5"/>
      <w:bookmarkEnd w:id="7"/>
    </w:tbl>
    <w:p w14:paraId="7AEF38E3" w14:textId="70CF0D8B" w:rsidR="00461300" w:rsidRPr="00123404" w:rsidRDefault="00461300" w:rsidP="00123404">
      <w:pPr>
        <w:spacing w:after="160" w:line="259" w:lineRule="auto"/>
        <w:rPr>
          <w:rFonts w:cs="Arial"/>
          <w:b/>
          <w:color w:val="000000" w:themeColor="text1"/>
          <w:sz w:val="28"/>
          <w:szCs w:val="28"/>
          <w:lang w:eastAsia="en-AU"/>
        </w:rPr>
      </w:pPr>
    </w:p>
    <w:sectPr w:rsidR="00461300" w:rsidRPr="00123404" w:rsidSect="0039260E">
      <w:headerReference w:type="even" r:id="rId18"/>
      <w:headerReference w:type="default" r:id="rId19"/>
      <w:footerReference w:type="even" r:id="rId20"/>
      <w:footerReference w:type="default" r:id="rId21"/>
      <w:headerReference w:type="first" r:id="rId22"/>
      <w:footerReference w:type="first" r:id="rId23"/>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FE388" w14:textId="77777777" w:rsidR="00C871A4" w:rsidRDefault="00C871A4">
      <w:pPr>
        <w:spacing w:after="0" w:line="240" w:lineRule="auto"/>
      </w:pPr>
      <w:r>
        <w:separator/>
      </w:r>
    </w:p>
  </w:endnote>
  <w:endnote w:type="continuationSeparator" w:id="0">
    <w:p w14:paraId="617143A2" w14:textId="77777777" w:rsidR="00C871A4" w:rsidRDefault="00C871A4">
      <w:pPr>
        <w:spacing w:after="0" w:line="240" w:lineRule="auto"/>
      </w:pPr>
      <w:r>
        <w:continuationSeparator/>
      </w:r>
    </w:p>
  </w:endnote>
  <w:endnote w:type="continuationNotice" w:id="1">
    <w:p w14:paraId="1B188CD3" w14:textId="77777777" w:rsidR="00C871A4" w:rsidRDefault="00C871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D937DD"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1E94C3"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A9814" w14:textId="77777777" w:rsidR="00C871A4" w:rsidRDefault="00C871A4">
      <w:pPr>
        <w:spacing w:after="0" w:line="240" w:lineRule="auto"/>
      </w:pPr>
      <w:r>
        <w:separator/>
      </w:r>
    </w:p>
  </w:footnote>
  <w:footnote w:type="continuationSeparator" w:id="0">
    <w:p w14:paraId="332E870C" w14:textId="77777777" w:rsidR="00C871A4" w:rsidRDefault="00C871A4">
      <w:pPr>
        <w:spacing w:after="0" w:line="240" w:lineRule="auto"/>
      </w:pPr>
      <w:r>
        <w:continuationSeparator/>
      </w:r>
    </w:p>
  </w:footnote>
  <w:footnote w:type="continuationNotice" w:id="1">
    <w:p w14:paraId="5ECA9CDC" w14:textId="77777777" w:rsidR="00C871A4" w:rsidRDefault="00C871A4">
      <w:pPr>
        <w:spacing w:after="0" w:line="240" w:lineRule="auto"/>
      </w:pPr>
    </w:p>
  </w:footnote>
  <w:footnote w:id="2">
    <w:p w14:paraId="393D1CF4" w14:textId="77777777" w:rsidR="00880D4D" w:rsidRDefault="00880D4D"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57EE" w14:textId="77777777" w:rsidR="0095574A" w:rsidRPr="006A6FC6" w:rsidRDefault="0095574A" w:rsidP="0039260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7E2765" w14:textId="14E04ECF" w:rsidR="0095574A" w:rsidRPr="00B42FDE" w:rsidRDefault="0095574A" w:rsidP="00B42FDE">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BF13"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r>
      <w:rPr>
        <w:rFonts w:ascii="Arial Bold" w:hAnsi="Arial Bold" w:cs="Arial"/>
        <w:b/>
        <w:color w:val="B1005D"/>
        <w:sz w:val="18"/>
        <w:szCs w:val="18"/>
      </w:rPr>
      <w:t xml:space="preserve">2019–2020 quarter three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3DE2" w14:textId="77777777" w:rsidR="0095574A" w:rsidRPr="00833658" w:rsidRDefault="0095574A" w:rsidP="0039260E">
    <w:pPr>
      <w:pStyle w:val="VLAProgram"/>
      <w:pBdr>
        <w:bottom w:val="none" w:sz="0" w:space="0" w:color="auto"/>
      </w:pBdr>
      <w:rPr>
        <w:color w:val="FFFFFF" w:themeColor="background1"/>
      </w:rPr>
    </w:pPr>
    <w:r>
      <w:rPr>
        <w:noProof/>
        <w:lang w:val="en-US"/>
      </w:rPr>
      <w:drawing>
        <wp:anchor distT="0" distB="0" distL="114300" distR="114300" simplePos="0" relativeHeight="251658243"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6"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hybridMultilevel"/>
    <w:tmpl w:val="F2728C18"/>
    <w:lvl w:ilvl="0" w:tplc="5B6A8ECC">
      <w:start w:val="1"/>
      <w:numFmt w:val="decimal"/>
      <w:pStyle w:val="Appendix"/>
      <w:suff w:val="nothing"/>
      <w:lvlText w:val="Appendix %1 - "/>
      <w:lvlJc w:val="left"/>
      <w:pPr>
        <w:ind w:left="720" w:hanging="720"/>
      </w:pPr>
      <w:rPr>
        <w:rFonts w:ascii="Arial" w:hAnsi="Arial" w:hint="default"/>
        <w:b/>
        <w:i w:val="0"/>
      </w:rPr>
    </w:lvl>
    <w:lvl w:ilvl="1" w:tplc="9F002F82">
      <w:start w:val="1"/>
      <w:numFmt w:val="decimal"/>
      <w:lvlText w:val="%1.%2"/>
      <w:lvlJc w:val="left"/>
      <w:pPr>
        <w:tabs>
          <w:tab w:val="num" w:pos="576"/>
        </w:tabs>
        <w:ind w:left="576" w:hanging="576"/>
      </w:pPr>
      <w:rPr>
        <w:rFonts w:hint="default"/>
      </w:rPr>
    </w:lvl>
    <w:lvl w:ilvl="2" w:tplc="045EED92">
      <w:start w:val="1"/>
      <w:numFmt w:val="decimal"/>
      <w:lvlText w:val="%1.%2.%3"/>
      <w:lvlJc w:val="left"/>
      <w:pPr>
        <w:tabs>
          <w:tab w:val="num" w:pos="720"/>
        </w:tabs>
        <w:ind w:left="720" w:hanging="720"/>
      </w:pPr>
      <w:rPr>
        <w:rFonts w:hint="default"/>
      </w:rPr>
    </w:lvl>
    <w:lvl w:ilvl="3" w:tplc="A208BA10">
      <w:start w:val="1"/>
      <w:numFmt w:val="decimal"/>
      <w:lvlText w:val="%1.%2.%3.%4"/>
      <w:lvlJc w:val="left"/>
      <w:pPr>
        <w:tabs>
          <w:tab w:val="num" w:pos="864"/>
        </w:tabs>
        <w:ind w:left="864" w:hanging="864"/>
      </w:pPr>
      <w:rPr>
        <w:rFonts w:hint="default"/>
      </w:rPr>
    </w:lvl>
    <w:lvl w:ilvl="4" w:tplc="818AEA94">
      <w:start w:val="1"/>
      <w:numFmt w:val="decimal"/>
      <w:lvlText w:val="%1.%2.%3.%4.%5"/>
      <w:lvlJc w:val="left"/>
      <w:pPr>
        <w:tabs>
          <w:tab w:val="num" w:pos="1008"/>
        </w:tabs>
        <w:ind w:left="1008" w:hanging="1008"/>
      </w:pPr>
      <w:rPr>
        <w:rFonts w:hint="default"/>
      </w:rPr>
    </w:lvl>
    <w:lvl w:ilvl="5" w:tplc="D93C597A">
      <w:start w:val="1"/>
      <w:numFmt w:val="decimal"/>
      <w:lvlText w:val="%1.%2.%3.%4.%5.%6"/>
      <w:lvlJc w:val="left"/>
      <w:pPr>
        <w:tabs>
          <w:tab w:val="num" w:pos="1152"/>
        </w:tabs>
        <w:ind w:left="1152" w:hanging="1152"/>
      </w:pPr>
      <w:rPr>
        <w:rFonts w:hint="default"/>
      </w:rPr>
    </w:lvl>
    <w:lvl w:ilvl="6" w:tplc="0584D476">
      <w:start w:val="1"/>
      <w:numFmt w:val="decimal"/>
      <w:lvlText w:val="%1.%2.%3.%4.%5.%6.%7"/>
      <w:lvlJc w:val="left"/>
      <w:pPr>
        <w:tabs>
          <w:tab w:val="num" w:pos="1296"/>
        </w:tabs>
        <w:ind w:left="1296" w:hanging="1296"/>
      </w:pPr>
      <w:rPr>
        <w:rFonts w:hint="default"/>
      </w:rPr>
    </w:lvl>
    <w:lvl w:ilvl="7" w:tplc="5514365E">
      <w:start w:val="1"/>
      <w:numFmt w:val="decimal"/>
      <w:lvlText w:val="%1.%2.%3.%4.%5.%6.%7.%8"/>
      <w:lvlJc w:val="left"/>
      <w:pPr>
        <w:tabs>
          <w:tab w:val="num" w:pos="1440"/>
        </w:tabs>
        <w:ind w:left="1440" w:hanging="1440"/>
      </w:pPr>
      <w:rPr>
        <w:rFonts w:hint="default"/>
      </w:rPr>
    </w:lvl>
    <w:lvl w:ilvl="8" w:tplc="09AE9FE0">
      <w:start w:val="1"/>
      <w:numFmt w:val="decimal"/>
      <w:lvlText w:val="%1.%2.%3.%4.%5.%6.%7.%8.%9"/>
      <w:lvlJc w:val="left"/>
      <w:pPr>
        <w:tabs>
          <w:tab w:val="num" w:pos="1584"/>
        </w:tabs>
        <w:ind w:left="1584" w:hanging="1584"/>
      </w:pPr>
      <w:rPr>
        <w:rFonts w:hint="default"/>
      </w:rPr>
    </w:lvl>
  </w:abstractNum>
  <w:abstractNum w:abstractNumId="19"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9"/>
  </w:num>
  <w:num w:numId="4">
    <w:abstractNumId w:val="11"/>
  </w:num>
  <w:num w:numId="5">
    <w:abstractNumId w:val="7"/>
  </w:num>
  <w:num w:numId="6">
    <w:abstractNumId w:val="22"/>
  </w:num>
  <w:num w:numId="7">
    <w:abstractNumId w:val="6"/>
  </w:num>
  <w:num w:numId="8">
    <w:abstractNumId w:val="22"/>
  </w:num>
  <w:num w:numId="9">
    <w:abstractNumId w:val="5"/>
  </w:num>
  <w:num w:numId="10">
    <w:abstractNumId w:val="4"/>
  </w:num>
  <w:num w:numId="11">
    <w:abstractNumId w:val="4"/>
  </w:num>
  <w:num w:numId="12">
    <w:abstractNumId w:val="8"/>
  </w:num>
  <w:num w:numId="13">
    <w:abstractNumId w:val="8"/>
  </w:num>
  <w:num w:numId="14">
    <w:abstractNumId w:val="3"/>
  </w:num>
  <w:num w:numId="15">
    <w:abstractNumId w:val="3"/>
  </w:num>
  <w:num w:numId="16">
    <w:abstractNumId w:val="2"/>
  </w:num>
  <w:num w:numId="17">
    <w:abstractNumId w:val="2"/>
  </w:num>
  <w:num w:numId="18">
    <w:abstractNumId w:val="1"/>
  </w:num>
  <w:num w:numId="19">
    <w:abstractNumId w:val="1"/>
  </w:num>
  <w:num w:numId="20">
    <w:abstractNumId w:val="0"/>
  </w:num>
  <w:num w:numId="21">
    <w:abstractNumId w:val="0"/>
  </w:num>
  <w:num w:numId="22">
    <w:abstractNumId w:val="20"/>
  </w:num>
  <w:num w:numId="23">
    <w:abstractNumId w:val="20"/>
  </w:num>
  <w:num w:numId="24">
    <w:abstractNumId w:val="12"/>
  </w:num>
  <w:num w:numId="25">
    <w:abstractNumId w:val="25"/>
  </w:num>
  <w:num w:numId="26">
    <w:abstractNumId w:val="17"/>
  </w:num>
  <w:num w:numId="27">
    <w:abstractNumId w:val="21"/>
  </w:num>
  <w:num w:numId="28">
    <w:abstractNumId w:val="26"/>
  </w:num>
  <w:num w:numId="29">
    <w:abstractNumId w:val="19"/>
  </w:num>
  <w:num w:numId="30">
    <w:abstractNumId w:val="10"/>
  </w:num>
  <w:num w:numId="31">
    <w:abstractNumId w:val="15"/>
  </w:num>
  <w:num w:numId="32">
    <w:abstractNumId w:val="24"/>
  </w:num>
  <w:num w:numId="33">
    <w:abstractNumId w:val="13"/>
  </w:num>
  <w:num w:numId="34">
    <w:abstractNumId w:val="16"/>
  </w:num>
  <w:num w:numId="35">
    <w:abstractNumId w:val="2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7"/>
    <w:rsid w:val="0000020D"/>
    <w:rsid w:val="00000BAF"/>
    <w:rsid w:val="00001AA9"/>
    <w:rsid w:val="000027B7"/>
    <w:rsid w:val="000036A6"/>
    <w:rsid w:val="0000378A"/>
    <w:rsid w:val="000038D1"/>
    <w:rsid w:val="00004CE9"/>
    <w:rsid w:val="00004D17"/>
    <w:rsid w:val="00004F3D"/>
    <w:rsid w:val="000055D7"/>
    <w:rsid w:val="00005D79"/>
    <w:rsid w:val="00006274"/>
    <w:rsid w:val="000063FE"/>
    <w:rsid w:val="00006CCF"/>
    <w:rsid w:val="00007FD6"/>
    <w:rsid w:val="00010B52"/>
    <w:rsid w:val="00010B80"/>
    <w:rsid w:val="000141D8"/>
    <w:rsid w:val="0001721A"/>
    <w:rsid w:val="00017518"/>
    <w:rsid w:val="000175F6"/>
    <w:rsid w:val="00017EC1"/>
    <w:rsid w:val="00020994"/>
    <w:rsid w:val="00021293"/>
    <w:rsid w:val="00021B97"/>
    <w:rsid w:val="0002304F"/>
    <w:rsid w:val="00023379"/>
    <w:rsid w:val="000236FD"/>
    <w:rsid w:val="00023F89"/>
    <w:rsid w:val="00024FD4"/>
    <w:rsid w:val="00025EB0"/>
    <w:rsid w:val="0002736E"/>
    <w:rsid w:val="00027BEB"/>
    <w:rsid w:val="00033B72"/>
    <w:rsid w:val="00034264"/>
    <w:rsid w:val="0003486A"/>
    <w:rsid w:val="00036024"/>
    <w:rsid w:val="000401FE"/>
    <w:rsid w:val="000410CD"/>
    <w:rsid w:val="00043D3D"/>
    <w:rsid w:val="00045B31"/>
    <w:rsid w:val="00045D7C"/>
    <w:rsid w:val="000464B3"/>
    <w:rsid w:val="00046677"/>
    <w:rsid w:val="0005014C"/>
    <w:rsid w:val="00050188"/>
    <w:rsid w:val="00050C7A"/>
    <w:rsid w:val="00053FE2"/>
    <w:rsid w:val="00055CFB"/>
    <w:rsid w:val="00055DBF"/>
    <w:rsid w:val="0005677C"/>
    <w:rsid w:val="00056A93"/>
    <w:rsid w:val="00056E86"/>
    <w:rsid w:val="0006012E"/>
    <w:rsid w:val="000604A2"/>
    <w:rsid w:val="000605FF"/>
    <w:rsid w:val="00060C67"/>
    <w:rsid w:val="000631DD"/>
    <w:rsid w:val="00063EF9"/>
    <w:rsid w:val="00065A6F"/>
    <w:rsid w:val="000660BF"/>
    <w:rsid w:val="000672A7"/>
    <w:rsid w:val="000679DF"/>
    <w:rsid w:val="00067EE4"/>
    <w:rsid w:val="00070A47"/>
    <w:rsid w:val="000731E7"/>
    <w:rsid w:val="00073503"/>
    <w:rsid w:val="000776A9"/>
    <w:rsid w:val="00081319"/>
    <w:rsid w:val="0008244C"/>
    <w:rsid w:val="00082BB4"/>
    <w:rsid w:val="00082E40"/>
    <w:rsid w:val="00083758"/>
    <w:rsid w:val="00084405"/>
    <w:rsid w:val="00086744"/>
    <w:rsid w:val="00087B2F"/>
    <w:rsid w:val="0009039D"/>
    <w:rsid w:val="0009511F"/>
    <w:rsid w:val="00096D8A"/>
    <w:rsid w:val="0009711B"/>
    <w:rsid w:val="000A020B"/>
    <w:rsid w:val="000A0339"/>
    <w:rsid w:val="000A0349"/>
    <w:rsid w:val="000A0A68"/>
    <w:rsid w:val="000A1E6F"/>
    <w:rsid w:val="000A2081"/>
    <w:rsid w:val="000A20E1"/>
    <w:rsid w:val="000A25B1"/>
    <w:rsid w:val="000A28EE"/>
    <w:rsid w:val="000A2FBE"/>
    <w:rsid w:val="000A3C2D"/>
    <w:rsid w:val="000A3DA5"/>
    <w:rsid w:val="000A41F2"/>
    <w:rsid w:val="000A4EA9"/>
    <w:rsid w:val="000A5781"/>
    <w:rsid w:val="000A5DB4"/>
    <w:rsid w:val="000A68E1"/>
    <w:rsid w:val="000A6EDC"/>
    <w:rsid w:val="000A7E07"/>
    <w:rsid w:val="000B1465"/>
    <w:rsid w:val="000B185D"/>
    <w:rsid w:val="000B1E78"/>
    <w:rsid w:val="000B20DD"/>
    <w:rsid w:val="000B2F09"/>
    <w:rsid w:val="000B2F2F"/>
    <w:rsid w:val="000B40B7"/>
    <w:rsid w:val="000B6313"/>
    <w:rsid w:val="000B6A75"/>
    <w:rsid w:val="000C08C0"/>
    <w:rsid w:val="000C14B8"/>
    <w:rsid w:val="000C19D5"/>
    <w:rsid w:val="000C59E6"/>
    <w:rsid w:val="000C5E2B"/>
    <w:rsid w:val="000C7FB4"/>
    <w:rsid w:val="000D1243"/>
    <w:rsid w:val="000D32DA"/>
    <w:rsid w:val="000D469D"/>
    <w:rsid w:val="000D6156"/>
    <w:rsid w:val="000D61AB"/>
    <w:rsid w:val="000D64E6"/>
    <w:rsid w:val="000D73DB"/>
    <w:rsid w:val="000E065B"/>
    <w:rsid w:val="000E0EF9"/>
    <w:rsid w:val="000E11BA"/>
    <w:rsid w:val="000E169E"/>
    <w:rsid w:val="000E2347"/>
    <w:rsid w:val="000E3D37"/>
    <w:rsid w:val="000E4249"/>
    <w:rsid w:val="000E5121"/>
    <w:rsid w:val="000E6B10"/>
    <w:rsid w:val="000E76E4"/>
    <w:rsid w:val="000E7883"/>
    <w:rsid w:val="000E79DC"/>
    <w:rsid w:val="000F0145"/>
    <w:rsid w:val="000F07A7"/>
    <w:rsid w:val="000F122E"/>
    <w:rsid w:val="000F1368"/>
    <w:rsid w:val="000F2125"/>
    <w:rsid w:val="000F2939"/>
    <w:rsid w:val="000F3295"/>
    <w:rsid w:val="000F45D3"/>
    <w:rsid w:val="000F4900"/>
    <w:rsid w:val="000F7D49"/>
    <w:rsid w:val="000F7F7C"/>
    <w:rsid w:val="00100BB7"/>
    <w:rsid w:val="0010110A"/>
    <w:rsid w:val="001023C8"/>
    <w:rsid w:val="0010438C"/>
    <w:rsid w:val="001072B0"/>
    <w:rsid w:val="00111862"/>
    <w:rsid w:val="00112C54"/>
    <w:rsid w:val="00112CA5"/>
    <w:rsid w:val="001177BE"/>
    <w:rsid w:val="001202C1"/>
    <w:rsid w:val="00120D4C"/>
    <w:rsid w:val="00123404"/>
    <w:rsid w:val="00123514"/>
    <w:rsid w:val="00125593"/>
    <w:rsid w:val="00126421"/>
    <w:rsid w:val="00130C44"/>
    <w:rsid w:val="00135929"/>
    <w:rsid w:val="00135A8A"/>
    <w:rsid w:val="00135AFA"/>
    <w:rsid w:val="00140CB0"/>
    <w:rsid w:val="00142198"/>
    <w:rsid w:val="001428BB"/>
    <w:rsid w:val="0014474C"/>
    <w:rsid w:val="001450F0"/>
    <w:rsid w:val="001465E4"/>
    <w:rsid w:val="00146657"/>
    <w:rsid w:val="0015159B"/>
    <w:rsid w:val="0015174B"/>
    <w:rsid w:val="0015181C"/>
    <w:rsid w:val="00151834"/>
    <w:rsid w:val="0015466E"/>
    <w:rsid w:val="00155264"/>
    <w:rsid w:val="00155591"/>
    <w:rsid w:val="00155A08"/>
    <w:rsid w:val="001575EE"/>
    <w:rsid w:val="00157C3D"/>
    <w:rsid w:val="0016044B"/>
    <w:rsid w:val="0016078D"/>
    <w:rsid w:val="001616E6"/>
    <w:rsid w:val="00162471"/>
    <w:rsid w:val="001624FD"/>
    <w:rsid w:val="00163488"/>
    <w:rsid w:val="001634DE"/>
    <w:rsid w:val="00163592"/>
    <w:rsid w:val="00163C00"/>
    <w:rsid w:val="001658A2"/>
    <w:rsid w:val="00166EBD"/>
    <w:rsid w:val="00166FF4"/>
    <w:rsid w:val="00167103"/>
    <w:rsid w:val="001677FB"/>
    <w:rsid w:val="001704A6"/>
    <w:rsid w:val="00171921"/>
    <w:rsid w:val="00171F24"/>
    <w:rsid w:val="001728AA"/>
    <w:rsid w:val="001741E5"/>
    <w:rsid w:val="00174E39"/>
    <w:rsid w:val="00175277"/>
    <w:rsid w:val="001770F6"/>
    <w:rsid w:val="00177331"/>
    <w:rsid w:val="00177814"/>
    <w:rsid w:val="0017798A"/>
    <w:rsid w:val="00177CA1"/>
    <w:rsid w:val="00181099"/>
    <w:rsid w:val="0018149D"/>
    <w:rsid w:val="001815CF"/>
    <w:rsid w:val="00182EF2"/>
    <w:rsid w:val="00183C63"/>
    <w:rsid w:val="00184398"/>
    <w:rsid w:val="00185425"/>
    <w:rsid w:val="00190038"/>
    <w:rsid w:val="00190A92"/>
    <w:rsid w:val="00191722"/>
    <w:rsid w:val="00192F61"/>
    <w:rsid w:val="00195BEA"/>
    <w:rsid w:val="00196F8E"/>
    <w:rsid w:val="001A0D32"/>
    <w:rsid w:val="001A1DBD"/>
    <w:rsid w:val="001A27AB"/>
    <w:rsid w:val="001A7527"/>
    <w:rsid w:val="001A76F6"/>
    <w:rsid w:val="001B0812"/>
    <w:rsid w:val="001B0F4B"/>
    <w:rsid w:val="001B1CE3"/>
    <w:rsid w:val="001B2B1F"/>
    <w:rsid w:val="001B3FB6"/>
    <w:rsid w:val="001B6034"/>
    <w:rsid w:val="001B71AC"/>
    <w:rsid w:val="001B724E"/>
    <w:rsid w:val="001B7F0E"/>
    <w:rsid w:val="001C13AF"/>
    <w:rsid w:val="001C1875"/>
    <w:rsid w:val="001C28ED"/>
    <w:rsid w:val="001C37F7"/>
    <w:rsid w:val="001C3838"/>
    <w:rsid w:val="001C7169"/>
    <w:rsid w:val="001C78D4"/>
    <w:rsid w:val="001C7CB5"/>
    <w:rsid w:val="001D0FA7"/>
    <w:rsid w:val="001D18F4"/>
    <w:rsid w:val="001D1BDD"/>
    <w:rsid w:val="001D277E"/>
    <w:rsid w:val="001D42FF"/>
    <w:rsid w:val="001D4FDD"/>
    <w:rsid w:val="001E1907"/>
    <w:rsid w:val="001E1C65"/>
    <w:rsid w:val="001E1EB8"/>
    <w:rsid w:val="001E2009"/>
    <w:rsid w:val="001E3A98"/>
    <w:rsid w:val="001E4157"/>
    <w:rsid w:val="001E5773"/>
    <w:rsid w:val="001E705F"/>
    <w:rsid w:val="001E7B75"/>
    <w:rsid w:val="001F0CF5"/>
    <w:rsid w:val="001F1CD9"/>
    <w:rsid w:val="001F30AB"/>
    <w:rsid w:val="001F3E36"/>
    <w:rsid w:val="001F44EE"/>
    <w:rsid w:val="001F5011"/>
    <w:rsid w:val="001F5598"/>
    <w:rsid w:val="001F73D2"/>
    <w:rsid w:val="002002A6"/>
    <w:rsid w:val="00200366"/>
    <w:rsid w:val="00200CDD"/>
    <w:rsid w:val="00200FEB"/>
    <w:rsid w:val="002024CA"/>
    <w:rsid w:val="0020340C"/>
    <w:rsid w:val="002044B7"/>
    <w:rsid w:val="00204ABA"/>
    <w:rsid w:val="00204CCE"/>
    <w:rsid w:val="00205D8F"/>
    <w:rsid w:val="00206DFC"/>
    <w:rsid w:val="00207A64"/>
    <w:rsid w:val="00207C62"/>
    <w:rsid w:val="002101E6"/>
    <w:rsid w:val="00212C25"/>
    <w:rsid w:val="00213A3C"/>
    <w:rsid w:val="002141AC"/>
    <w:rsid w:val="002143D0"/>
    <w:rsid w:val="002143DC"/>
    <w:rsid w:val="00214F4D"/>
    <w:rsid w:val="00215D0D"/>
    <w:rsid w:val="00217775"/>
    <w:rsid w:val="00220889"/>
    <w:rsid w:val="0022503C"/>
    <w:rsid w:val="002253CE"/>
    <w:rsid w:val="00225EEA"/>
    <w:rsid w:val="002310BB"/>
    <w:rsid w:val="00231769"/>
    <w:rsid w:val="00231AA1"/>
    <w:rsid w:val="00232748"/>
    <w:rsid w:val="00232963"/>
    <w:rsid w:val="00233C99"/>
    <w:rsid w:val="00235197"/>
    <w:rsid w:val="002351A0"/>
    <w:rsid w:val="00235822"/>
    <w:rsid w:val="0023599B"/>
    <w:rsid w:val="002362DC"/>
    <w:rsid w:val="00236475"/>
    <w:rsid w:val="002372AE"/>
    <w:rsid w:val="00237B26"/>
    <w:rsid w:val="00241319"/>
    <w:rsid w:val="002434EF"/>
    <w:rsid w:val="002439F5"/>
    <w:rsid w:val="00244E32"/>
    <w:rsid w:val="00245207"/>
    <w:rsid w:val="00246649"/>
    <w:rsid w:val="00246DAF"/>
    <w:rsid w:val="002513FF"/>
    <w:rsid w:val="00251FD0"/>
    <w:rsid w:val="002538F1"/>
    <w:rsid w:val="00253DED"/>
    <w:rsid w:val="00255BCF"/>
    <w:rsid w:val="002571EE"/>
    <w:rsid w:val="00257CAE"/>
    <w:rsid w:val="00260EDC"/>
    <w:rsid w:val="0026169E"/>
    <w:rsid w:val="00261836"/>
    <w:rsid w:val="00263AC9"/>
    <w:rsid w:val="0027091D"/>
    <w:rsid w:val="0027473D"/>
    <w:rsid w:val="00276463"/>
    <w:rsid w:val="002800C6"/>
    <w:rsid w:val="00283968"/>
    <w:rsid w:val="0028479C"/>
    <w:rsid w:val="00287D90"/>
    <w:rsid w:val="00291025"/>
    <w:rsid w:val="002915FB"/>
    <w:rsid w:val="00291777"/>
    <w:rsid w:val="00293955"/>
    <w:rsid w:val="00294D79"/>
    <w:rsid w:val="002A4595"/>
    <w:rsid w:val="002A4D73"/>
    <w:rsid w:val="002A713F"/>
    <w:rsid w:val="002A7FC0"/>
    <w:rsid w:val="002B0B94"/>
    <w:rsid w:val="002B0DCB"/>
    <w:rsid w:val="002B1A23"/>
    <w:rsid w:val="002B4CD2"/>
    <w:rsid w:val="002B4DE8"/>
    <w:rsid w:val="002B575F"/>
    <w:rsid w:val="002B5877"/>
    <w:rsid w:val="002B59EC"/>
    <w:rsid w:val="002B63DF"/>
    <w:rsid w:val="002B7915"/>
    <w:rsid w:val="002B7D3F"/>
    <w:rsid w:val="002C0C17"/>
    <w:rsid w:val="002C1325"/>
    <w:rsid w:val="002C1C38"/>
    <w:rsid w:val="002C3253"/>
    <w:rsid w:val="002C3387"/>
    <w:rsid w:val="002C3623"/>
    <w:rsid w:val="002C3F7D"/>
    <w:rsid w:val="002C4C15"/>
    <w:rsid w:val="002C4EF6"/>
    <w:rsid w:val="002C5A71"/>
    <w:rsid w:val="002C60D8"/>
    <w:rsid w:val="002C7FCF"/>
    <w:rsid w:val="002D1206"/>
    <w:rsid w:val="002D1528"/>
    <w:rsid w:val="002D1A7F"/>
    <w:rsid w:val="002D2718"/>
    <w:rsid w:val="002D29D0"/>
    <w:rsid w:val="002D32FD"/>
    <w:rsid w:val="002D3848"/>
    <w:rsid w:val="002D5177"/>
    <w:rsid w:val="002D7D1A"/>
    <w:rsid w:val="002E042D"/>
    <w:rsid w:val="002E2F1D"/>
    <w:rsid w:val="002E3ECB"/>
    <w:rsid w:val="002E47E3"/>
    <w:rsid w:val="002E54E1"/>
    <w:rsid w:val="002E65E7"/>
    <w:rsid w:val="002E6C79"/>
    <w:rsid w:val="002E73F7"/>
    <w:rsid w:val="002F09CB"/>
    <w:rsid w:val="002F1296"/>
    <w:rsid w:val="002F1BF5"/>
    <w:rsid w:val="002F2D0D"/>
    <w:rsid w:val="002F2EE9"/>
    <w:rsid w:val="002F5880"/>
    <w:rsid w:val="002F6F44"/>
    <w:rsid w:val="00300639"/>
    <w:rsid w:val="0030160F"/>
    <w:rsid w:val="0030167A"/>
    <w:rsid w:val="003020FD"/>
    <w:rsid w:val="00304024"/>
    <w:rsid w:val="0030444E"/>
    <w:rsid w:val="00305DA2"/>
    <w:rsid w:val="003076A1"/>
    <w:rsid w:val="00310C74"/>
    <w:rsid w:val="0031392C"/>
    <w:rsid w:val="0031443C"/>
    <w:rsid w:val="0031670E"/>
    <w:rsid w:val="00316A23"/>
    <w:rsid w:val="00316C23"/>
    <w:rsid w:val="0032193B"/>
    <w:rsid w:val="00321E12"/>
    <w:rsid w:val="00322A9C"/>
    <w:rsid w:val="00323AF3"/>
    <w:rsid w:val="0032480C"/>
    <w:rsid w:val="00324C66"/>
    <w:rsid w:val="00324F76"/>
    <w:rsid w:val="00325290"/>
    <w:rsid w:val="003252CE"/>
    <w:rsid w:val="00326DF4"/>
    <w:rsid w:val="00327F07"/>
    <w:rsid w:val="0032A553"/>
    <w:rsid w:val="00330C70"/>
    <w:rsid w:val="00332C80"/>
    <w:rsid w:val="00334883"/>
    <w:rsid w:val="00334E27"/>
    <w:rsid w:val="0033630B"/>
    <w:rsid w:val="00336372"/>
    <w:rsid w:val="0034037D"/>
    <w:rsid w:val="0034059D"/>
    <w:rsid w:val="00341964"/>
    <w:rsid w:val="00341D74"/>
    <w:rsid w:val="00342B2F"/>
    <w:rsid w:val="00343B76"/>
    <w:rsid w:val="003459DF"/>
    <w:rsid w:val="0034666E"/>
    <w:rsid w:val="0034756C"/>
    <w:rsid w:val="00347A34"/>
    <w:rsid w:val="00347C6E"/>
    <w:rsid w:val="003501C7"/>
    <w:rsid w:val="003509A2"/>
    <w:rsid w:val="00351328"/>
    <w:rsid w:val="0035357E"/>
    <w:rsid w:val="00353F15"/>
    <w:rsid w:val="003551D9"/>
    <w:rsid w:val="00355319"/>
    <w:rsid w:val="00355D8F"/>
    <w:rsid w:val="00355F8B"/>
    <w:rsid w:val="00356572"/>
    <w:rsid w:val="00356953"/>
    <w:rsid w:val="00357A25"/>
    <w:rsid w:val="00360731"/>
    <w:rsid w:val="00360981"/>
    <w:rsid w:val="0036202F"/>
    <w:rsid w:val="00363062"/>
    <w:rsid w:val="00364F03"/>
    <w:rsid w:val="003657F9"/>
    <w:rsid w:val="003664EB"/>
    <w:rsid w:val="00367925"/>
    <w:rsid w:val="0037087D"/>
    <w:rsid w:val="00370E8E"/>
    <w:rsid w:val="00371C8A"/>
    <w:rsid w:val="0037231C"/>
    <w:rsid w:val="00373791"/>
    <w:rsid w:val="00374835"/>
    <w:rsid w:val="00376E6F"/>
    <w:rsid w:val="00385D2C"/>
    <w:rsid w:val="0039260E"/>
    <w:rsid w:val="00393CD9"/>
    <w:rsid w:val="00394BFD"/>
    <w:rsid w:val="00395989"/>
    <w:rsid w:val="00396011"/>
    <w:rsid w:val="00396280"/>
    <w:rsid w:val="00396DB5"/>
    <w:rsid w:val="003A003E"/>
    <w:rsid w:val="003A05AC"/>
    <w:rsid w:val="003A1249"/>
    <w:rsid w:val="003A1661"/>
    <w:rsid w:val="003A4647"/>
    <w:rsid w:val="003A4813"/>
    <w:rsid w:val="003A5C29"/>
    <w:rsid w:val="003A660A"/>
    <w:rsid w:val="003B0DC7"/>
    <w:rsid w:val="003B33FB"/>
    <w:rsid w:val="003B344F"/>
    <w:rsid w:val="003B400F"/>
    <w:rsid w:val="003B530D"/>
    <w:rsid w:val="003B60D1"/>
    <w:rsid w:val="003B659A"/>
    <w:rsid w:val="003B7E9B"/>
    <w:rsid w:val="003C10AA"/>
    <w:rsid w:val="003C1576"/>
    <w:rsid w:val="003C1C21"/>
    <w:rsid w:val="003C1E85"/>
    <w:rsid w:val="003C3902"/>
    <w:rsid w:val="003C394B"/>
    <w:rsid w:val="003D0530"/>
    <w:rsid w:val="003D1743"/>
    <w:rsid w:val="003D3F45"/>
    <w:rsid w:val="003D5CB8"/>
    <w:rsid w:val="003D6401"/>
    <w:rsid w:val="003D73C1"/>
    <w:rsid w:val="003E03D5"/>
    <w:rsid w:val="003E05D6"/>
    <w:rsid w:val="003E0D64"/>
    <w:rsid w:val="003E2BBD"/>
    <w:rsid w:val="003E39CD"/>
    <w:rsid w:val="003E4004"/>
    <w:rsid w:val="003E4AB2"/>
    <w:rsid w:val="003E51EA"/>
    <w:rsid w:val="003E520F"/>
    <w:rsid w:val="003E6C61"/>
    <w:rsid w:val="003E70AF"/>
    <w:rsid w:val="003F084E"/>
    <w:rsid w:val="003F1000"/>
    <w:rsid w:val="003F240A"/>
    <w:rsid w:val="003F26A1"/>
    <w:rsid w:val="003F37EE"/>
    <w:rsid w:val="003F47FD"/>
    <w:rsid w:val="003F4B0E"/>
    <w:rsid w:val="00402C43"/>
    <w:rsid w:val="00403947"/>
    <w:rsid w:val="0041254B"/>
    <w:rsid w:val="00412C70"/>
    <w:rsid w:val="0041403A"/>
    <w:rsid w:val="004147CD"/>
    <w:rsid w:val="00414B89"/>
    <w:rsid w:val="00416290"/>
    <w:rsid w:val="00416C00"/>
    <w:rsid w:val="00416C26"/>
    <w:rsid w:val="004175B7"/>
    <w:rsid w:val="00421702"/>
    <w:rsid w:val="00421AF8"/>
    <w:rsid w:val="00423762"/>
    <w:rsid w:val="004257D8"/>
    <w:rsid w:val="0042666D"/>
    <w:rsid w:val="00430270"/>
    <w:rsid w:val="00432BE9"/>
    <w:rsid w:val="004337A3"/>
    <w:rsid w:val="00434142"/>
    <w:rsid w:val="004356AE"/>
    <w:rsid w:val="00436C5F"/>
    <w:rsid w:val="00437071"/>
    <w:rsid w:val="00440A28"/>
    <w:rsid w:val="00442C02"/>
    <w:rsid w:val="0044409A"/>
    <w:rsid w:val="0044616F"/>
    <w:rsid w:val="00446445"/>
    <w:rsid w:val="00450A59"/>
    <w:rsid w:val="00450B0F"/>
    <w:rsid w:val="00452060"/>
    <w:rsid w:val="004523C7"/>
    <w:rsid w:val="0045298D"/>
    <w:rsid w:val="00454D77"/>
    <w:rsid w:val="00455E0A"/>
    <w:rsid w:val="00456C63"/>
    <w:rsid w:val="00457523"/>
    <w:rsid w:val="00457AA5"/>
    <w:rsid w:val="00461300"/>
    <w:rsid w:val="00461367"/>
    <w:rsid w:val="00461773"/>
    <w:rsid w:val="00463A3D"/>
    <w:rsid w:val="00463DB0"/>
    <w:rsid w:val="00466119"/>
    <w:rsid w:val="00466393"/>
    <w:rsid w:val="004702A6"/>
    <w:rsid w:val="00471EB1"/>
    <w:rsid w:val="00472066"/>
    <w:rsid w:val="00472193"/>
    <w:rsid w:val="0047374C"/>
    <w:rsid w:val="00473E11"/>
    <w:rsid w:val="00473F45"/>
    <w:rsid w:val="00473F97"/>
    <w:rsid w:val="00475247"/>
    <w:rsid w:val="00476BCB"/>
    <w:rsid w:val="0048057D"/>
    <w:rsid w:val="00481FC3"/>
    <w:rsid w:val="0048219A"/>
    <w:rsid w:val="0048272A"/>
    <w:rsid w:val="00482964"/>
    <w:rsid w:val="00482AAC"/>
    <w:rsid w:val="004850D3"/>
    <w:rsid w:val="0048605D"/>
    <w:rsid w:val="00486435"/>
    <w:rsid w:val="00486866"/>
    <w:rsid w:val="004877EB"/>
    <w:rsid w:val="00487C30"/>
    <w:rsid w:val="00490D52"/>
    <w:rsid w:val="00490DE6"/>
    <w:rsid w:val="00491598"/>
    <w:rsid w:val="00491E6D"/>
    <w:rsid w:val="004935BA"/>
    <w:rsid w:val="00494610"/>
    <w:rsid w:val="00494884"/>
    <w:rsid w:val="004950EE"/>
    <w:rsid w:val="00495517"/>
    <w:rsid w:val="00495A11"/>
    <w:rsid w:val="00497571"/>
    <w:rsid w:val="00497BEA"/>
    <w:rsid w:val="00497FF5"/>
    <w:rsid w:val="004A004C"/>
    <w:rsid w:val="004A04EB"/>
    <w:rsid w:val="004A1593"/>
    <w:rsid w:val="004A2273"/>
    <w:rsid w:val="004A239D"/>
    <w:rsid w:val="004A3A88"/>
    <w:rsid w:val="004A49BE"/>
    <w:rsid w:val="004A7464"/>
    <w:rsid w:val="004A7A57"/>
    <w:rsid w:val="004B0854"/>
    <w:rsid w:val="004B0D92"/>
    <w:rsid w:val="004B0F3E"/>
    <w:rsid w:val="004B0FA9"/>
    <w:rsid w:val="004B1346"/>
    <w:rsid w:val="004B1FDA"/>
    <w:rsid w:val="004B210F"/>
    <w:rsid w:val="004B4628"/>
    <w:rsid w:val="004B4C38"/>
    <w:rsid w:val="004B5E81"/>
    <w:rsid w:val="004B5FFD"/>
    <w:rsid w:val="004B6243"/>
    <w:rsid w:val="004C0DBD"/>
    <w:rsid w:val="004C0DF6"/>
    <w:rsid w:val="004C4EE8"/>
    <w:rsid w:val="004C5114"/>
    <w:rsid w:val="004C6480"/>
    <w:rsid w:val="004C7C08"/>
    <w:rsid w:val="004D0E80"/>
    <w:rsid w:val="004D0EAC"/>
    <w:rsid w:val="004D3373"/>
    <w:rsid w:val="004E01A9"/>
    <w:rsid w:val="004E0666"/>
    <w:rsid w:val="004E0CCB"/>
    <w:rsid w:val="004E1300"/>
    <w:rsid w:val="004E183C"/>
    <w:rsid w:val="004E2AE3"/>
    <w:rsid w:val="004E2CB8"/>
    <w:rsid w:val="004E2D0A"/>
    <w:rsid w:val="004E2FFB"/>
    <w:rsid w:val="004E3157"/>
    <w:rsid w:val="004E3234"/>
    <w:rsid w:val="004E35F9"/>
    <w:rsid w:val="004E385D"/>
    <w:rsid w:val="004E485E"/>
    <w:rsid w:val="004E4DA9"/>
    <w:rsid w:val="004E4DF2"/>
    <w:rsid w:val="004E501F"/>
    <w:rsid w:val="004E6FC9"/>
    <w:rsid w:val="004E779F"/>
    <w:rsid w:val="004F16F6"/>
    <w:rsid w:val="004F1D9E"/>
    <w:rsid w:val="004F2C60"/>
    <w:rsid w:val="004F62C5"/>
    <w:rsid w:val="004F7DE5"/>
    <w:rsid w:val="005007BD"/>
    <w:rsid w:val="00503320"/>
    <w:rsid w:val="00506EC4"/>
    <w:rsid w:val="00511D69"/>
    <w:rsid w:val="00512743"/>
    <w:rsid w:val="00515D96"/>
    <w:rsid w:val="00517B84"/>
    <w:rsid w:val="005205C9"/>
    <w:rsid w:val="00522105"/>
    <w:rsid w:val="00522BF9"/>
    <w:rsid w:val="0052319F"/>
    <w:rsid w:val="005235EA"/>
    <w:rsid w:val="00523B7C"/>
    <w:rsid w:val="005247C8"/>
    <w:rsid w:val="00525332"/>
    <w:rsid w:val="00525FFB"/>
    <w:rsid w:val="0052719A"/>
    <w:rsid w:val="005276A4"/>
    <w:rsid w:val="00527918"/>
    <w:rsid w:val="00530665"/>
    <w:rsid w:val="00535524"/>
    <w:rsid w:val="00536214"/>
    <w:rsid w:val="00540862"/>
    <w:rsid w:val="00542AD7"/>
    <w:rsid w:val="00542C0A"/>
    <w:rsid w:val="00543732"/>
    <w:rsid w:val="00543746"/>
    <w:rsid w:val="005447F0"/>
    <w:rsid w:val="00544E69"/>
    <w:rsid w:val="0054726E"/>
    <w:rsid w:val="00547822"/>
    <w:rsid w:val="00547AE4"/>
    <w:rsid w:val="00547AF0"/>
    <w:rsid w:val="00547F69"/>
    <w:rsid w:val="00551836"/>
    <w:rsid w:val="00552BF4"/>
    <w:rsid w:val="00552D48"/>
    <w:rsid w:val="00553070"/>
    <w:rsid w:val="005541E1"/>
    <w:rsid w:val="00555BCB"/>
    <w:rsid w:val="005565D8"/>
    <w:rsid w:val="00562019"/>
    <w:rsid w:val="00562207"/>
    <w:rsid w:val="00563426"/>
    <w:rsid w:val="00563590"/>
    <w:rsid w:val="00564B37"/>
    <w:rsid w:val="00565159"/>
    <w:rsid w:val="00565D82"/>
    <w:rsid w:val="00566E73"/>
    <w:rsid w:val="00570B70"/>
    <w:rsid w:val="005724B5"/>
    <w:rsid w:val="00572622"/>
    <w:rsid w:val="005730C6"/>
    <w:rsid w:val="005740EB"/>
    <w:rsid w:val="00574958"/>
    <w:rsid w:val="00576246"/>
    <w:rsid w:val="00576A5C"/>
    <w:rsid w:val="00577361"/>
    <w:rsid w:val="00580223"/>
    <w:rsid w:val="0058112E"/>
    <w:rsid w:val="00583556"/>
    <w:rsid w:val="00587177"/>
    <w:rsid w:val="0059052A"/>
    <w:rsid w:val="0059100F"/>
    <w:rsid w:val="00591ECC"/>
    <w:rsid w:val="00591FCA"/>
    <w:rsid w:val="00592B1E"/>
    <w:rsid w:val="005934D9"/>
    <w:rsid w:val="00595F36"/>
    <w:rsid w:val="00596166"/>
    <w:rsid w:val="005961A3"/>
    <w:rsid w:val="00596BD2"/>
    <w:rsid w:val="00596D01"/>
    <w:rsid w:val="00597600"/>
    <w:rsid w:val="005A016D"/>
    <w:rsid w:val="005A2DDE"/>
    <w:rsid w:val="005A3E94"/>
    <w:rsid w:val="005A5774"/>
    <w:rsid w:val="005A5E23"/>
    <w:rsid w:val="005A6A8C"/>
    <w:rsid w:val="005A7FE6"/>
    <w:rsid w:val="005B09FF"/>
    <w:rsid w:val="005B0CF5"/>
    <w:rsid w:val="005B42C8"/>
    <w:rsid w:val="005B44C6"/>
    <w:rsid w:val="005B468A"/>
    <w:rsid w:val="005B47A0"/>
    <w:rsid w:val="005B50D9"/>
    <w:rsid w:val="005B5EE7"/>
    <w:rsid w:val="005B6218"/>
    <w:rsid w:val="005B6FBA"/>
    <w:rsid w:val="005C1248"/>
    <w:rsid w:val="005C143C"/>
    <w:rsid w:val="005C164A"/>
    <w:rsid w:val="005C56DF"/>
    <w:rsid w:val="005C6E39"/>
    <w:rsid w:val="005C73C2"/>
    <w:rsid w:val="005C7CDD"/>
    <w:rsid w:val="005D0F34"/>
    <w:rsid w:val="005D2691"/>
    <w:rsid w:val="005D2BA2"/>
    <w:rsid w:val="005D2CB0"/>
    <w:rsid w:val="005D32ED"/>
    <w:rsid w:val="005D41CB"/>
    <w:rsid w:val="005D4922"/>
    <w:rsid w:val="005D7755"/>
    <w:rsid w:val="005E0A41"/>
    <w:rsid w:val="005E0EBE"/>
    <w:rsid w:val="005E179E"/>
    <w:rsid w:val="005E2574"/>
    <w:rsid w:val="005E3A11"/>
    <w:rsid w:val="005E41D9"/>
    <w:rsid w:val="005E566B"/>
    <w:rsid w:val="005E6284"/>
    <w:rsid w:val="005F0386"/>
    <w:rsid w:val="005F358E"/>
    <w:rsid w:val="005F3B1B"/>
    <w:rsid w:val="005F51A0"/>
    <w:rsid w:val="0060234B"/>
    <w:rsid w:val="0060283D"/>
    <w:rsid w:val="00602F3C"/>
    <w:rsid w:val="00603B58"/>
    <w:rsid w:val="00604EC1"/>
    <w:rsid w:val="00606C71"/>
    <w:rsid w:val="006109C4"/>
    <w:rsid w:val="00610D53"/>
    <w:rsid w:val="0061237D"/>
    <w:rsid w:val="00612CE2"/>
    <w:rsid w:val="0061304E"/>
    <w:rsid w:val="00613D6F"/>
    <w:rsid w:val="006157E5"/>
    <w:rsid w:val="006204A6"/>
    <w:rsid w:val="006222D2"/>
    <w:rsid w:val="00622A45"/>
    <w:rsid w:val="006253E9"/>
    <w:rsid w:val="006256DD"/>
    <w:rsid w:val="00627BED"/>
    <w:rsid w:val="006306CB"/>
    <w:rsid w:val="00631042"/>
    <w:rsid w:val="00631612"/>
    <w:rsid w:val="00632EA2"/>
    <w:rsid w:val="0063300D"/>
    <w:rsid w:val="006338B1"/>
    <w:rsid w:val="00636C14"/>
    <w:rsid w:val="0063789E"/>
    <w:rsid w:val="006404C6"/>
    <w:rsid w:val="00640D5F"/>
    <w:rsid w:val="00644D5F"/>
    <w:rsid w:val="00646AF4"/>
    <w:rsid w:val="0064714F"/>
    <w:rsid w:val="006472AA"/>
    <w:rsid w:val="006477FC"/>
    <w:rsid w:val="00647BAB"/>
    <w:rsid w:val="00651960"/>
    <w:rsid w:val="006532B7"/>
    <w:rsid w:val="00654575"/>
    <w:rsid w:val="00654EC2"/>
    <w:rsid w:val="00656A30"/>
    <w:rsid w:val="00657170"/>
    <w:rsid w:val="00657456"/>
    <w:rsid w:val="00660A67"/>
    <w:rsid w:val="006638E2"/>
    <w:rsid w:val="006646EA"/>
    <w:rsid w:val="00665B3A"/>
    <w:rsid w:val="00665C78"/>
    <w:rsid w:val="006663E8"/>
    <w:rsid w:val="00666887"/>
    <w:rsid w:val="006678EA"/>
    <w:rsid w:val="00667CB6"/>
    <w:rsid w:val="00667FB6"/>
    <w:rsid w:val="00667FDF"/>
    <w:rsid w:val="006702EF"/>
    <w:rsid w:val="00673FB0"/>
    <w:rsid w:val="006767FC"/>
    <w:rsid w:val="00676B67"/>
    <w:rsid w:val="00680423"/>
    <w:rsid w:val="006830ED"/>
    <w:rsid w:val="00683403"/>
    <w:rsid w:val="00685F12"/>
    <w:rsid w:val="00686B6C"/>
    <w:rsid w:val="00687195"/>
    <w:rsid w:val="00687B48"/>
    <w:rsid w:val="006915AB"/>
    <w:rsid w:val="00693917"/>
    <w:rsid w:val="00694844"/>
    <w:rsid w:val="00694EDB"/>
    <w:rsid w:val="00695B03"/>
    <w:rsid w:val="00696BAB"/>
    <w:rsid w:val="006A0CFF"/>
    <w:rsid w:val="006A1103"/>
    <w:rsid w:val="006A1EEE"/>
    <w:rsid w:val="006A3080"/>
    <w:rsid w:val="006A39F8"/>
    <w:rsid w:val="006A4CEA"/>
    <w:rsid w:val="006A5279"/>
    <w:rsid w:val="006A6490"/>
    <w:rsid w:val="006A701D"/>
    <w:rsid w:val="006A7F43"/>
    <w:rsid w:val="006B0101"/>
    <w:rsid w:val="006B1DFD"/>
    <w:rsid w:val="006B287D"/>
    <w:rsid w:val="006B29F7"/>
    <w:rsid w:val="006B4565"/>
    <w:rsid w:val="006C01BA"/>
    <w:rsid w:val="006C09E2"/>
    <w:rsid w:val="006C1C29"/>
    <w:rsid w:val="006C2FA1"/>
    <w:rsid w:val="006C497C"/>
    <w:rsid w:val="006C515A"/>
    <w:rsid w:val="006C63C0"/>
    <w:rsid w:val="006C6A0C"/>
    <w:rsid w:val="006D1B06"/>
    <w:rsid w:val="006D217B"/>
    <w:rsid w:val="006D2FD5"/>
    <w:rsid w:val="006D3BE8"/>
    <w:rsid w:val="006D50A3"/>
    <w:rsid w:val="006D54ED"/>
    <w:rsid w:val="006D5E15"/>
    <w:rsid w:val="006D5F6F"/>
    <w:rsid w:val="006D6468"/>
    <w:rsid w:val="006D690A"/>
    <w:rsid w:val="006D6ABA"/>
    <w:rsid w:val="006E0913"/>
    <w:rsid w:val="006E0929"/>
    <w:rsid w:val="006E0BFF"/>
    <w:rsid w:val="006E2A5E"/>
    <w:rsid w:val="006E5416"/>
    <w:rsid w:val="006E64D0"/>
    <w:rsid w:val="006E6AF9"/>
    <w:rsid w:val="006E77F8"/>
    <w:rsid w:val="006F099B"/>
    <w:rsid w:val="006F2909"/>
    <w:rsid w:val="006F3368"/>
    <w:rsid w:val="006F5102"/>
    <w:rsid w:val="006F5159"/>
    <w:rsid w:val="006F63E1"/>
    <w:rsid w:val="0070035E"/>
    <w:rsid w:val="00700ABD"/>
    <w:rsid w:val="00702A3E"/>
    <w:rsid w:val="00702FBA"/>
    <w:rsid w:val="00704249"/>
    <w:rsid w:val="00704FA2"/>
    <w:rsid w:val="00705E62"/>
    <w:rsid w:val="00707468"/>
    <w:rsid w:val="0071075A"/>
    <w:rsid w:val="00710C6F"/>
    <w:rsid w:val="00711094"/>
    <w:rsid w:val="00711925"/>
    <w:rsid w:val="007125C9"/>
    <w:rsid w:val="00712C8A"/>
    <w:rsid w:val="00712F1E"/>
    <w:rsid w:val="00714A9C"/>
    <w:rsid w:val="00715C9D"/>
    <w:rsid w:val="00715CA4"/>
    <w:rsid w:val="007171D9"/>
    <w:rsid w:val="00717213"/>
    <w:rsid w:val="00717A11"/>
    <w:rsid w:val="00721864"/>
    <w:rsid w:val="00722469"/>
    <w:rsid w:val="00723283"/>
    <w:rsid w:val="007237D6"/>
    <w:rsid w:val="00723C8D"/>
    <w:rsid w:val="007266ED"/>
    <w:rsid w:val="007308F0"/>
    <w:rsid w:val="007323B4"/>
    <w:rsid w:val="00732589"/>
    <w:rsid w:val="00732DC3"/>
    <w:rsid w:val="007334BA"/>
    <w:rsid w:val="007334BB"/>
    <w:rsid w:val="00734F35"/>
    <w:rsid w:val="007362F5"/>
    <w:rsid w:val="00741167"/>
    <w:rsid w:val="00741FE3"/>
    <w:rsid w:val="007424A3"/>
    <w:rsid w:val="00745EA3"/>
    <w:rsid w:val="00746AFE"/>
    <w:rsid w:val="00747477"/>
    <w:rsid w:val="007505DC"/>
    <w:rsid w:val="0075283E"/>
    <w:rsid w:val="00753878"/>
    <w:rsid w:val="00753D5C"/>
    <w:rsid w:val="00755C4F"/>
    <w:rsid w:val="00756101"/>
    <w:rsid w:val="00757654"/>
    <w:rsid w:val="00757B9F"/>
    <w:rsid w:val="00757F74"/>
    <w:rsid w:val="00762544"/>
    <w:rsid w:val="007626A0"/>
    <w:rsid w:val="007645ED"/>
    <w:rsid w:val="007646C5"/>
    <w:rsid w:val="00764C66"/>
    <w:rsid w:val="00764F86"/>
    <w:rsid w:val="0076709F"/>
    <w:rsid w:val="00767A97"/>
    <w:rsid w:val="0077023F"/>
    <w:rsid w:val="00770ECE"/>
    <w:rsid w:val="007729F9"/>
    <w:rsid w:val="00774A51"/>
    <w:rsid w:val="00775380"/>
    <w:rsid w:val="00775FCB"/>
    <w:rsid w:val="00776D2E"/>
    <w:rsid w:val="007772AD"/>
    <w:rsid w:val="007772B5"/>
    <w:rsid w:val="0078080F"/>
    <w:rsid w:val="00780E57"/>
    <w:rsid w:val="00781C94"/>
    <w:rsid w:val="00783C07"/>
    <w:rsid w:val="00784D9D"/>
    <w:rsid w:val="00785644"/>
    <w:rsid w:val="007878A5"/>
    <w:rsid w:val="0079266F"/>
    <w:rsid w:val="00793377"/>
    <w:rsid w:val="00793CFB"/>
    <w:rsid w:val="007942DC"/>
    <w:rsid w:val="00795F13"/>
    <w:rsid w:val="00796829"/>
    <w:rsid w:val="007A1268"/>
    <w:rsid w:val="007A3036"/>
    <w:rsid w:val="007A35DB"/>
    <w:rsid w:val="007A3F28"/>
    <w:rsid w:val="007A5DD8"/>
    <w:rsid w:val="007A647E"/>
    <w:rsid w:val="007A68DF"/>
    <w:rsid w:val="007A700E"/>
    <w:rsid w:val="007A74B0"/>
    <w:rsid w:val="007B0C16"/>
    <w:rsid w:val="007B1F86"/>
    <w:rsid w:val="007B212C"/>
    <w:rsid w:val="007B2429"/>
    <w:rsid w:val="007B2A35"/>
    <w:rsid w:val="007B2D88"/>
    <w:rsid w:val="007B52E6"/>
    <w:rsid w:val="007B5D72"/>
    <w:rsid w:val="007B6802"/>
    <w:rsid w:val="007B7571"/>
    <w:rsid w:val="007B75EB"/>
    <w:rsid w:val="007C1487"/>
    <w:rsid w:val="007C34BB"/>
    <w:rsid w:val="007C459B"/>
    <w:rsid w:val="007C6423"/>
    <w:rsid w:val="007C67D7"/>
    <w:rsid w:val="007D08F4"/>
    <w:rsid w:val="007D113A"/>
    <w:rsid w:val="007D25AC"/>
    <w:rsid w:val="007D2723"/>
    <w:rsid w:val="007D5151"/>
    <w:rsid w:val="007D54C8"/>
    <w:rsid w:val="007D5815"/>
    <w:rsid w:val="007D5A52"/>
    <w:rsid w:val="007D6975"/>
    <w:rsid w:val="007D72ED"/>
    <w:rsid w:val="007D7D76"/>
    <w:rsid w:val="007E010B"/>
    <w:rsid w:val="007E1213"/>
    <w:rsid w:val="007E19FF"/>
    <w:rsid w:val="007E3698"/>
    <w:rsid w:val="007E4486"/>
    <w:rsid w:val="007E454A"/>
    <w:rsid w:val="007E5505"/>
    <w:rsid w:val="007E5DB7"/>
    <w:rsid w:val="007E5E2A"/>
    <w:rsid w:val="007E6815"/>
    <w:rsid w:val="007E6CD5"/>
    <w:rsid w:val="007E7526"/>
    <w:rsid w:val="007E7F8C"/>
    <w:rsid w:val="007F045E"/>
    <w:rsid w:val="007F2808"/>
    <w:rsid w:val="007F2B63"/>
    <w:rsid w:val="007F2BE9"/>
    <w:rsid w:val="007F3064"/>
    <w:rsid w:val="007F33FD"/>
    <w:rsid w:val="007F3FBD"/>
    <w:rsid w:val="007F5EA2"/>
    <w:rsid w:val="007F609B"/>
    <w:rsid w:val="007F72B8"/>
    <w:rsid w:val="007F7E77"/>
    <w:rsid w:val="00800885"/>
    <w:rsid w:val="00800CAE"/>
    <w:rsid w:val="00801396"/>
    <w:rsid w:val="008013DD"/>
    <w:rsid w:val="00802262"/>
    <w:rsid w:val="0080319C"/>
    <w:rsid w:val="0080435C"/>
    <w:rsid w:val="00804E26"/>
    <w:rsid w:val="00806A68"/>
    <w:rsid w:val="0080753F"/>
    <w:rsid w:val="00810938"/>
    <w:rsid w:val="0082079D"/>
    <w:rsid w:val="008209E9"/>
    <w:rsid w:val="0082142A"/>
    <w:rsid w:val="00821FD5"/>
    <w:rsid w:val="00827E5E"/>
    <w:rsid w:val="00830051"/>
    <w:rsid w:val="00830C7B"/>
    <w:rsid w:val="00831165"/>
    <w:rsid w:val="008325D0"/>
    <w:rsid w:val="00833FFB"/>
    <w:rsid w:val="0083442E"/>
    <w:rsid w:val="008346F4"/>
    <w:rsid w:val="00834B59"/>
    <w:rsid w:val="00836906"/>
    <w:rsid w:val="00836CC5"/>
    <w:rsid w:val="008400B5"/>
    <w:rsid w:val="00842198"/>
    <w:rsid w:val="00842639"/>
    <w:rsid w:val="00842682"/>
    <w:rsid w:val="00843EF7"/>
    <w:rsid w:val="008448F7"/>
    <w:rsid w:val="00844B56"/>
    <w:rsid w:val="00844BD8"/>
    <w:rsid w:val="00844D97"/>
    <w:rsid w:val="00845793"/>
    <w:rsid w:val="008463CC"/>
    <w:rsid w:val="0084671A"/>
    <w:rsid w:val="0084696D"/>
    <w:rsid w:val="00846F80"/>
    <w:rsid w:val="008502C8"/>
    <w:rsid w:val="00850911"/>
    <w:rsid w:val="00851227"/>
    <w:rsid w:val="00852F8D"/>
    <w:rsid w:val="008540B8"/>
    <w:rsid w:val="0085420E"/>
    <w:rsid w:val="00854CB2"/>
    <w:rsid w:val="00855771"/>
    <w:rsid w:val="00855E03"/>
    <w:rsid w:val="008570B8"/>
    <w:rsid w:val="008572B2"/>
    <w:rsid w:val="00857534"/>
    <w:rsid w:val="0085783B"/>
    <w:rsid w:val="00860738"/>
    <w:rsid w:val="00861729"/>
    <w:rsid w:val="00861BA5"/>
    <w:rsid w:val="00862576"/>
    <w:rsid w:val="00863C18"/>
    <w:rsid w:val="00863E11"/>
    <w:rsid w:val="00867C1D"/>
    <w:rsid w:val="00867E6A"/>
    <w:rsid w:val="00871954"/>
    <w:rsid w:val="0087240D"/>
    <w:rsid w:val="008737D6"/>
    <w:rsid w:val="00873A29"/>
    <w:rsid w:val="00873F84"/>
    <w:rsid w:val="0087445C"/>
    <w:rsid w:val="0087507C"/>
    <w:rsid w:val="00876B5E"/>
    <w:rsid w:val="00880C8B"/>
    <w:rsid w:val="00880D4D"/>
    <w:rsid w:val="00881695"/>
    <w:rsid w:val="00882115"/>
    <w:rsid w:val="00882C68"/>
    <w:rsid w:val="0088348B"/>
    <w:rsid w:val="00883643"/>
    <w:rsid w:val="00883FB1"/>
    <w:rsid w:val="008912B8"/>
    <w:rsid w:val="008913D1"/>
    <w:rsid w:val="0089161C"/>
    <w:rsid w:val="00891904"/>
    <w:rsid w:val="00892206"/>
    <w:rsid w:val="008944C3"/>
    <w:rsid w:val="008954AA"/>
    <w:rsid w:val="008954F3"/>
    <w:rsid w:val="00895D08"/>
    <w:rsid w:val="00895E8F"/>
    <w:rsid w:val="00895FE8"/>
    <w:rsid w:val="0089674D"/>
    <w:rsid w:val="00896DCF"/>
    <w:rsid w:val="00897A78"/>
    <w:rsid w:val="008A0838"/>
    <w:rsid w:val="008A109B"/>
    <w:rsid w:val="008A1A12"/>
    <w:rsid w:val="008A1D09"/>
    <w:rsid w:val="008A4958"/>
    <w:rsid w:val="008A4971"/>
    <w:rsid w:val="008A761C"/>
    <w:rsid w:val="008A7803"/>
    <w:rsid w:val="008A7CD8"/>
    <w:rsid w:val="008B51FC"/>
    <w:rsid w:val="008B68D9"/>
    <w:rsid w:val="008C00E5"/>
    <w:rsid w:val="008C0DFB"/>
    <w:rsid w:val="008C13C0"/>
    <w:rsid w:val="008C2F98"/>
    <w:rsid w:val="008C4051"/>
    <w:rsid w:val="008C6582"/>
    <w:rsid w:val="008D2FEB"/>
    <w:rsid w:val="008D3BDC"/>
    <w:rsid w:val="008D47F1"/>
    <w:rsid w:val="008D4BA9"/>
    <w:rsid w:val="008D658E"/>
    <w:rsid w:val="008D7135"/>
    <w:rsid w:val="008E145A"/>
    <w:rsid w:val="008E20CB"/>
    <w:rsid w:val="008E4A41"/>
    <w:rsid w:val="008E5945"/>
    <w:rsid w:val="008E59C3"/>
    <w:rsid w:val="008E6FDB"/>
    <w:rsid w:val="008F02EB"/>
    <w:rsid w:val="008F1298"/>
    <w:rsid w:val="008F1B38"/>
    <w:rsid w:val="008F2E0B"/>
    <w:rsid w:val="008F36EC"/>
    <w:rsid w:val="008F38EA"/>
    <w:rsid w:val="008F3942"/>
    <w:rsid w:val="008F3ABE"/>
    <w:rsid w:val="008F3CA9"/>
    <w:rsid w:val="008F68A4"/>
    <w:rsid w:val="009006C1"/>
    <w:rsid w:val="00901299"/>
    <w:rsid w:val="00901C25"/>
    <w:rsid w:val="009036FA"/>
    <w:rsid w:val="00904855"/>
    <w:rsid w:val="00906B50"/>
    <w:rsid w:val="00906C12"/>
    <w:rsid w:val="00906FB2"/>
    <w:rsid w:val="0091106D"/>
    <w:rsid w:val="009116DC"/>
    <w:rsid w:val="00911A74"/>
    <w:rsid w:val="0091426E"/>
    <w:rsid w:val="00923CA6"/>
    <w:rsid w:val="00923DED"/>
    <w:rsid w:val="00924636"/>
    <w:rsid w:val="00925006"/>
    <w:rsid w:val="00930942"/>
    <w:rsid w:val="009314C8"/>
    <w:rsid w:val="00931712"/>
    <w:rsid w:val="0093276F"/>
    <w:rsid w:val="009340FD"/>
    <w:rsid w:val="00936A17"/>
    <w:rsid w:val="00936B63"/>
    <w:rsid w:val="00936C2A"/>
    <w:rsid w:val="00937739"/>
    <w:rsid w:val="009402D9"/>
    <w:rsid w:val="0094105F"/>
    <w:rsid w:val="0094208C"/>
    <w:rsid w:val="00945A77"/>
    <w:rsid w:val="00945E28"/>
    <w:rsid w:val="00946F17"/>
    <w:rsid w:val="00947AD9"/>
    <w:rsid w:val="00950B63"/>
    <w:rsid w:val="00950DBF"/>
    <w:rsid w:val="00952591"/>
    <w:rsid w:val="00955321"/>
    <w:rsid w:val="0095574A"/>
    <w:rsid w:val="00956FC1"/>
    <w:rsid w:val="00957739"/>
    <w:rsid w:val="00961B68"/>
    <w:rsid w:val="0096228B"/>
    <w:rsid w:val="00962CBC"/>
    <w:rsid w:val="00964BC6"/>
    <w:rsid w:val="00965C14"/>
    <w:rsid w:val="00966A85"/>
    <w:rsid w:val="0096773F"/>
    <w:rsid w:val="0096789B"/>
    <w:rsid w:val="00967EF9"/>
    <w:rsid w:val="0097154A"/>
    <w:rsid w:val="0097416B"/>
    <w:rsid w:val="009749F0"/>
    <w:rsid w:val="00977647"/>
    <w:rsid w:val="0098002D"/>
    <w:rsid w:val="00985345"/>
    <w:rsid w:val="009854E2"/>
    <w:rsid w:val="0098552A"/>
    <w:rsid w:val="00986F10"/>
    <w:rsid w:val="00990F07"/>
    <w:rsid w:val="0099400E"/>
    <w:rsid w:val="009A0608"/>
    <w:rsid w:val="009A2380"/>
    <w:rsid w:val="009A413A"/>
    <w:rsid w:val="009A57B7"/>
    <w:rsid w:val="009A5AFD"/>
    <w:rsid w:val="009A5E76"/>
    <w:rsid w:val="009A6FC5"/>
    <w:rsid w:val="009A75B7"/>
    <w:rsid w:val="009A7877"/>
    <w:rsid w:val="009A7DB6"/>
    <w:rsid w:val="009B03DC"/>
    <w:rsid w:val="009B121F"/>
    <w:rsid w:val="009B1280"/>
    <w:rsid w:val="009B171E"/>
    <w:rsid w:val="009B2CE3"/>
    <w:rsid w:val="009B353A"/>
    <w:rsid w:val="009B35DA"/>
    <w:rsid w:val="009B6176"/>
    <w:rsid w:val="009B6CEA"/>
    <w:rsid w:val="009B70BB"/>
    <w:rsid w:val="009C2FF1"/>
    <w:rsid w:val="009C49F3"/>
    <w:rsid w:val="009C52A3"/>
    <w:rsid w:val="009C61A2"/>
    <w:rsid w:val="009C695D"/>
    <w:rsid w:val="009D1CF7"/>
    <w:rsid w:val="009D3C85"/>
    <w:rsid w:val="009D412E"/>
    <w:rsid w:val="009D5662"/>
    <w:rsid w:val="009D5D17"/>
    <w:rsid w:val="009D6AEB"/>
    <w:rsid w:val="009D6B4F"/>
    <w:rsid w:val="009D6F02"/>
    <w:rsid w:val="009E00AD"/>
    <w:rsid w:val="009E0D7C"/>
    <w:rsid w:val="009E1143"/>
    <w:rsid w:val="009E2509"/>
    <w:rsid w:val="009E363F"/>
    <w:rsid w:val="009E3A4C"/>
    <w:rsid w:val="009E41B3"/>
    <w:rsid w:val="009E5B50"/>
    <w:rsid w:val="009E5C83"/>
    <w:rsid w:val="009E65CF"/>
    <w:rsid w:val="009E7A0C"/>
    <w:rsid w:val="009F0163"/>
    <w:rsid w:val="009F1357"/>
    <w:rsid w:val="009F236F"/>
    <w:rsid w:val="009F3CE0"/>
    <w:rsid w:val="009F3EBE"/>
    <w:rsid w:val="009F4267"/>
    <w:rsid w:val="009F4A2E"/>
    <w:rsid w:val="009F4CBB"/>
    <w:rsid w:val="009F5D11"/>
    <w:rsid w:val="00A00587"/>
    <w:rsid w:val="00A05C65"/>
    <w:rsid w:val="00A06AC2"/>
    <w:rsid w:val="00A070B4"/>
    <w:rsid w:val="00A072EB"/>
    <w:rsid w:val="00A07D04"/>
    <w:rsid w:val="00A10087"/>
    <w:rsid w:val="00A10F62"/>
    <w:rsid w:val="00A11066"/>
    <w:rsid w:val="00A11218"/>
    <w:rsid w:val="00A12091"/>
    <w:rsid w:val="00A1247C"/>
    <w:rsid w:val="00A12F56"/>
    <w:rsid w:val="00A133B7"/>
    <w:rsid w:val="00A167DB"/>
    <w:rsid w:val="00A17CBF"/>
    <w:rsid w:val="00A22671"/>
    <w:rsid w:val="00A2406E"/>
    <w:rsid w:val="00A25AC5"/>
    <w:rsid w:val="00A26CE0"/>
    <w:rsid w:val="00A274F0"/>
    <w:rsid w:val="00A31C97"/>
    <w:rsid w:val="00A31E1A"/>
    <w:rsid w:val="00A32050"/>
    <w:rsid w:val="00A32C13"/>
    <w:rsid w:val="00A34293"/>
    <w:rsid w:val="00A356A8"/>
    <w:rsid w:val="00A35B76"/>
    <w:rsid w:val="00A361F6"/>
    <w:rsid w:val="00A36737"/>
    <w:rsid w:val="00A37B91"/>
    <w:rsid w:val="00A41A71"/>
    <w:rsid w:val="00A450DC"/>
    <w:rsid w:val="00A45423"/>
    <w:rsid w:val="00A46EAF"/>
    <w:rsid w:val="00A50FD6"/>
    <w:rsid w:val="00A50FEF"/>
    <w:rsid w:val="00A51593"/>
    <w:rsid w:val="00A51B94"/>
    <w:rsid w:val="00A53A76"/>
    <w:rsid w:val="00A53CD9"/>
    <w:rsid w:val="00A553D4"/>
    <w:rsid w:val="00A55BFB"/>
    <w:rsid w:val="00A5602B"/>
    <w:rsid w:val="00A563AD"/>
    <w:rsid w:val="00A57F78"/>
    <w:rsid w:val="00A611A0"/>
    <w:rsid w:val="00A61AC1"/>
    <w:rsid w:val="00A625D7"/>
    <w:rsid w:val="00A62D07"/>
    <w:rsid w:val="00A637E4"/>
    <w:rsid w:val="00A6458C"/>
    <w:rsid w:val="00A64FA4"/>
    <w:rsid w:val="00A65922"/>
    <w:rsid w:val="00A7122A"/>
    <w:rsid w:val="00A7312D"/>
    <w:rsid w:val="00A74543"/>
    <w:rsid w:val="00A74E1F"/>
    <w:rsid w:val="00A75AE2"/>
    <w:rsid w:val="00A75D82"/>
    <w:rsid w:val="00A779B5"/>
    <w:rsid w:val="00A82677"/>
    <w:rsid w:val="00A83942"/>
    <w:rsid w:val="00A83C9A"/>
    <w:rsid w:val="00A85D11"/>
    <w:rsid w:val="00A86293"/>
    <w:rsid w:val="00A937FA"/>
    <w:rsid w:val="00A9428A"/>
    <w:rsid w:val="00A95890"/>
    <w:rsid w:val="00A96A3B"/>
    <w:rsid w:val="00A96EA4"/>
    <w:rsid w:val="00AA0021"/>
    <w:rsid w:val="00AA1F64"/>
    <w:rsid w:val="00AA2562"/>
    <w:rsid w:val="00AA2B4A"/>
    <w:rsid w:val="00AA3C8D"/>
    <w:rsid w:val="00AA3D04"/>
    <w:rsid w:val="00AA4B3D"/>
    <w:rsid w:val="00AA675E"/>
    <w:rsid w:val="00AA6BC2"/>
    <w:rsid w:val="00AB0613"/>
    <w:rsid w:val="00AB1951"/>
    <w:rsid w:val="00AB3956"/>
    <w:rsid w:val="00AB3CC4"/>
    <w:rsid w:val="00AB3E64"/>
    <w:rsid w:val="00AB4000"/>
    <w:rsid w:val="00AB4652"/>
    <w:rsid w:val="00AB591B"/>
    <w:rsid w:val="00AB6617"/>
    <w:rsid w:val="00AB67BE"/>
    <w:rsid w:val="00AB6B24"/>
    <w:rsid w:val="00AB7203"/>
    <w:rsid w:val="00AB7C4E"/>
    <w:rsid w:val="00AC4057"/>
    <w:rsid w:val="00AC5807"/>
    <w:rsid w:val="00AC5CCF"/>
    <w:rsid w:val="00AC6E86"/>
    <w:rsid w:val="00AD1E53"/>
    <w:rsid w:val="00AD35EF"/>
    <w:rsid w:val="00AD4491"/>
    <w:rsid w:val="00AD5DFC"/>
    <w:rsid w:val="00AE10D6"/>
    <w:rsid w:val="00AE3495"/>
    <w:rsid w:val="00AE353B"/>
    <w:rsid w:val="00AE3592"/>
    <w:rsid w:val="00AE38CF"/>
    <w:rsid w:val="00AE5B76"/>
    <w:rsid w:val="00AE67E5"/>
    <w:rsid w:val="00AE6900"/>
    <w:rsid w:val="00AF254C"/>
    <w:rsid w:val="00AF32C1"/>
    <w:rsid w:val="00AF4537"/>
    <w:rsid w:val="00AF51C1"/>
    <w:rsid w:val="00AF5478"/>
    <w:rsid w:val="00AF6F99"/>
    <w:rsid w:val="00AF7DFE"/>
    <w:rsid w:val="00B002F2"/>
    <w:rsid w:val="00B00C0E"/>
    <w:rsid w:val="00B02491"/>
    <w:rsid w:val="00B03011"/>
    <w:rsid w:val="00B05C66"/>
    <w:rsid w:val="00B0791A"/>
    <w:rsid w:val="00B122BF"/>
    <w:rsid w:val="00B13EF6"/>
    <w:rsid w:val="00B15BE5"/>
    <w:rsid w:val="00B16A95"/>
    <w:rsid w:val="00B16C95"/>
    <w:rsid w:val="00B20CBC"/>
    <w:rsid w:val="00B21B07"/>
    <w:rsid w:val="00B228CD"/>
    <w:rsid w:val="00B2379E"/>
    <w:rsid w:val="00B24351"/>
    <w:rsid w:val="00B24460"/>
    <w:rsid w:val="00B25075"/>
    <w:rsid w:val="00B25312"/>
    <w:rsid w:val="00B25E37"/>
    <w:rsid w:val="00B25F62"/>
    <w:rsid w:val="00B269C3"/>
    <w:rsid w:val="00B31486"/>
    <w:rsid w:val="00B31D4F"/>
    <w:rsid w:val="00B355E6"/>
    <w:rsid w:val="00B364AF"/>
    <w:rsid w:val="00B37242"/>
    <w:rsid w:val="00B4180C"/>
    <w:rsid w:val="00B42776"/>
    <w:rsid w:val="00B42B9B"/>
    <w:rsid w:val="00B42FDE"/>
    <w:rsid w:val="00B43115"/>
    <w:rsid w:val="00B43ADD"/>
    <w:rsid w:val="00B457A7"/>
    <w:rsid w:val="00B46100"/>
    <w:rsid w:val="00B51B98"/>
    <w:rsid w:val="00B527E8"/>
    <w:rsid w:val="00B52F7D"/>
    <w:rsid w:val="00B53606"/>
    <w:rsid w:val="00B53761"/>
    <w:rsid w:val="00B55008"/>
    <w:rsid w:val="00B5543D"/>
    <w:rsid w:val="00B55BEB"/>
    <w:rsid w:val="00B5603F"/>
    <w:rsid w:val="00B61DBA"/>
    <w:rsid w:val="00B6283F"/>
    <w:rsid w:val="00B6290D"/>
    <w:rsid w:val="00B62DF0"/>
    <w:rsid w:val="00B63711"/>
    <w:rsid w:val="00B64B54"/>
    <w:rsid w:val="00B65B03"/>
    <w:rsid w:val="00B66871"/>
    <w:rsid w:val="00B67115"/>
    <w:rsid w:val="00B70E08"/>
    <w:rsid w:val="00B714C4"/>
    <w:rsid w:val="00B72129"/>
    <w:rsid w:val="00B735D5"/>
    <w:rsid w:val="00B73E6B"/>
    <w:rsid w:val="00B749ED"/>
    <w:rsid w:val="00B74DAC"/>
    <w:rsid w:val="00B7629C"/>
    <w:rsid w:val="00B77129"/>
    <w:rsid w:val="00B77476"/>
    <w:rsid w:val="00B81DE1"/>
    <w:rsid w:val="00B82BBC"/>
    <w:rsid w:val="00B83649"/>
    <w:rsid w:val="00B83A54"/>
    <w:rsid w:val="00B83CE2"/>
    <w:rsid w:val="00B83E61"/>
    <w:rsid w:val="00B83E78"/>
    <w:rsid w:val="00B84476"/>
    <w:rsid w:val="00B85892"/>
    <w:rsid w:val="00B85C26"/>
    <w:rsid w:val="00B868C7"/>
    <w:rsid w:val="00B87D8D"/>
    <w:rsid w:val="00B91D15"/>
    <w:rsid w:val="00B925F5"/>
    <w:rsid w:val="00B92BF0"/>
    <w:rsid w:val="00B937A3"/>
    <w:rsid w:val="00B94BB9"/>
    <w:rsid w:val="00B957C1"/>
    <w:rsid w:val="00B9606E"/>
    <w:rsid w:val="00BA08AA"/>
    <w:rsid w:val="00BA112E"/>
    <w:rsid w:val="00BA165E"/>
    <w:rsid w:val="00BA2214"/>
    <w:rsid w:val="00BA315E"/>
    <w:rsid w:val="00BA3808"/>
    <w:rsid w:val="00BA474C"/>
    <w:rsid w:val="00BA64EF"/>
    <w:rsid w:val="00BA73F2"/>
    <w:rsid w:val="00BA75B6"/>
    <w:rsid w:val="00BB122C"/>
    <w:rsid w:val="00BB27A1"/>
    <w:rsid w:val="00BB38D3"/>
    <w:rsid w:val="00BB48A7"/>
    <w:rsid w:val="00BB52B2"/>
    <w:rsid w:val="00BB53D1"/>
    <w:rsid w:val="00BB5A52"/>
    <w:rsid w:val="00BB6A74"/>
    <w:rsid w:val="00BB6D9B"/>
    <w:rsid w:val="00BC10E5"/>
    <w:rsid w:val="00BC14A2"/>
    <w:rsid w:val="00BC1939"/>
    <w:rsid w:val="00BC23E2"/>
    <w:rsid w:val="00BC3A2F"/>
    <w:rsid w:val="00BC4DE4"/>
    <w:rsid w:val="00BC55A8"/>
    <w:rsid w:val="00BC7280"/>
    <w:rsid w:val="00BD11FA"/>
    <w:rsid w:val="00BD2D84"/>
    <w:rsid w:val="00BD3E37"/>
    <w:rsid w:val="00BD400C"/>
    <w:rsid w:val="00BD529B"/>
    <w:rsid w:val="00BD5A3C"/>
    <w:rsid w:val="00BD6245"/>
    <w:rsid w:val="00BD72C0"/>
    <w:rsid w:val="00BE091B"/>
    <w:rsid w:val="00BE0E64"/>
    <w:rsid w:val="00BE18AB"/>
    <w:rsid w:val="00BE327E"/>
    <w:rsid w:val="00BE390D"/>
    <w:rsid w:val="00BE3D0F"/>
    <w:rsid w:val="00BE52BA"/>
    <w:rsid w:val="00BE73E3"/>
    <w:rsid w:val="00BF1E92"/>
    <w:rsid w:val="00BF37B8"/>
    <w:rsid w:val="00BF4FC3"/>
    <w:rsid w:val="00BF5FF0"/>
    <w:rsid w:val="00BF6B21"/>
    <w:rsid w:val="00BF7CF4"/>
    <w:rsid w:val="00C00904"/>
    <w:rsid w:val="00C015FC"/>
    <w:rsid w:val="00C02BDE"/>
    <w:rsid w:val="00C02D5B"/>
    <w:rsid w:val="00C033AD"/>
    <w:rsid w:val="00C03C96"/>
    <w:rsid w:val="00C040D2"/>
    <w:rsid w:val="00C05B62"/>
    <w:rsid w:val="00C05FA4"/>
    <w:rsid w:val="00C11059"/>
    <w:rsid w:val="00C134E6"/>
    <w:rsid w:val="00C1360B"/>
    <w:rsid w:val="00C145C0"/>
    <w:rsid w:val="00C14E34"/>
    <w:rsid w:val="00C15842"/>
    <w:rsid w:val="00C1715C"/>
    <w:rsid w:val="00C1763E"/>
    <w:rsid w:val="00C21640"/>
    <w:rsid w:val="00C22D6B"/>
    <w:rsid w:val="00C2432A"/>
    <w:rsid w:val="00C25E75"/>
    <w:rsid w:val="00C27358"/>
    <w:rsid w:val="00C30D4A"/>
    <w:rsid w:val="00C33118"/>
    <w:rsid w:val="00C33317"/>
    <w:rsid w:val="00C3346C"/>
    <w:rsid w:val="00C3436B"/>
    <w:rsid w:val="00C40FBA"/>
    <w:rsid w:val="00C45858"/>
    <w:rsid w:val="00C50344"/>
    <w:rsid w:val="00C50D42"/>
    <w:rsid w:val="00C514C3"/>
    <w:rsid w:val="00C51F2B"/>
    <w:rsid w:val="00C52050"/>
    <w:rsid w:val="00C5402C"/>
    <w:rsid w:val="00C55665"/>
    <w:rsid w:val="00C55CA2"/>
    <w:rsid w:val="00C565F4"/>
    <w:rsid w:val="00C56A2B"/>
    <w:rsid w:val="00C56A87"/>
    <w:rsid w:val="00C57788"/>
    <w:rsid w:val="00C57B42"/>
    <w:rsid w:val="00C60C95"/>
    <w:rsid w:val="00C61003"/>
    <w:rsid w:val="00C61552"/>
    <w:rsid w:val="00C621F3"/>
    <w:rsid w:val="00C629E0"/>
    <w:rsid w:val="00C62C70"/>
    <w:rsid w:val="00C72857"/>
    <w:rsid w:val="00C734CA"/>
    <w:rsid w:val="00C80531"/>
    <w:rsid w:val="00C80E0F"/>
    <w:rsid w:val="00C81BAD"/>
    <w:rsid w:val="00C87043"/>
    <w:rsid w:val="00C871A4"/>
    <w:rsid w:val="00C8737B"/>
    <w:rsid w:val="00C90767"/>
    <w:rsid w:val="00C90AC8"/>
    <w:rsid w:val="00C911C2"/>
    <w:rsid w:val="00C91CD1"/>
    <w:rsid w:val="00C92FB0"/>
    <w:rsid w:val="00C94A44"/>
    <w:rsid w:val="00C9670D"/>
    <w:rsid w:val="00C96764"/>
    <w:rsid w:val="00C97F8C"/>
    <w:rsid w:val="00CA0E0C"/>
    <w:rsid w:val="00CA1D1A"/>
    <w:rsid w:val="00CA3874"/>
    <w:rsid w:val="00CA517F"/>
    <w:rsid w:val="00CA54A5"/>
    <w:rsid w:val="00CA71CC"/>
    <w:rsid w:val="00CB2A50"/>
    <w:rsid w:val="00CB6A08"/>
    <w:rsid w:val="00CB75C3"/>
    <w:rsid w:val="00CC015D"/>
    <w:rsid w:val="00CC0B65"/>
    <w:rsid w:val="00CC366D"/>
    <w:rsid w:val="00CC4582"/>
    <w:rsid w:val="00CC4CA2"/>
    <w:rsid w:val="00CC529D"/>
    <w:rsid w:val="00CC5BCD"/>
    <w:rsid w:val="00CC6303"/>
    <w:rsid w:val="00CC65B3"/>
    <w:rsid w:val="00CC7E7B"/>
    <w:rsid w:val="00CD1669"/>
    <w:rsid w:val="00CD2635"/>
    <w:rsid w:val="00CD49F5"/>
    <w:rsid w:val="00CD572D"/>
    <w:rsid w:val="00CD5C6D"/>
    <w:rsid w:val="00CD75DA"/>
    <w:rsid w:val="00CE0B67"/>
    <w:rsid w:val="00CE11BF"/>
    <w:rsid w:val="00CE31F4"/>
    <w:rsid w:val="00CE3392"/>
    <w:rsid w:val="00CE6738"/>
    <w:rsid w:val="00CF0E63"/>
    <w:rsid w:val="00CF1FE4"/>
    <w:rsid w:val="00CF29BE"/>
    <w:rsid w:val="00CF3026"/>
    <w:rsid w:val="00CF53EB"/>
    <w:rsid w:val="00CF68CF"/>
    <w:rsid w:val="00CF727F"/>
    <w:rsid w:val="00D02AF2"/>
    <w:rsid w:val="00D034BA"/>
    <w:rsid w:val="00D037E7"/>
    <w:rsid w:val="00D03DFA"/>
    <w:rsid w:val="00D0584F"/>
    <w:rsid w:val="00D05FE6"/>
    <w:rsid w:val="00D062F0"/>
    <w:rsid w:val="00D06345"/>
    <w:rsid w:val="00D070E6"/>
    <w:rsid w:val="00D12AC8"/>
    <w:rsid w:val="00D13A90"/>
    <w:rsid w:val="00D14550"/>
    <w:rsid w:val="00D14A33"/>
    <w:rsid w:val="00D162CB"/>
    <w:rsid w:val="00D21C96"/>
    <w:rsid w:val="00D2316B"/>
    <w:rsid w:val="00D26743"/>
    <w:rsid w:val="00D26759"/>
    <w:rsid w:val="00D2775C"/>
    <w:rsid w:val="00D27DFD"/>
    <w:rsid w:val="00D30EA7"/>
    <w:rsid w:val="00D33BB2"/>
    <w:rsid w:val="00D33CA2"/>
    <w:rsid w:val="00D340F1"/>
    <w:rsid w:val="00D346AC"/>
    <w:rsid w:val="00D41298"/>
    <w:rsid w:val="00D414EB"/>
    <w:rsid w:val="00D446A9"/>
    <w:rsid w:val="00D44A70"/>
    <w:rsid w:val="00D473DF"/>
    <w:rsid w:val="00D51194"/>
    <w:rsid w:val="00D51F47"/>
    <w:rsid w:val="00D528BA"/>
    <w:rsid w:val="00D53016"/>
    <w:rsid w:val="00D53753"/>
    <w:rsid w:val="00D5488A"/>
    <w:rsid w:val="00D552A5"/>
    <w:rsid w:val="00D56EB5"/>
    <w:rsid w:val="00D578C1"/>
    <w:rsid w:val="00D57D56"/>
    <w:rsid w:val="00D60A4B"/>
    <w:rsid w:val="00D60D33"/>
    <w:rsid w:val="00D618E3"/>
    <w:rsid w:val="00D64BA2"/>
    <w:rsid w:val="00D66354"/>
    <w:rsid w:val="00D66AE3"/>
    <w:rsid w:val="00D66C7B"/>
    <w:rsid w:val="00D70B4E"/>
    <w:rsid w:val="00D717F9"/>
    <w:rsid w:val="00D72404"/>
    <w:rsid w:val="00D749AE"/>
    <w:rsid w:val="00D80175"/>
    <w:rsid w:val="00D808AE"/>
    <w:rsid w:val="00D80A3B"/>
    <w:rsid w:val="00D80F18"/>
    <w:rsid w:val="00D81348"/>
    <w:rsid w:val="00D81478"/>
    <w:rsid w:val="00D83854"/>
    <w:rsid w:val="00D83D47"/>
    <w:rsid w:val="00D85523"/>
    <w:rsid w:val="00D85AF6"/>
    <w:rsid w:val="00D86194"/>
    <w:rsid w:val="00D86F8A"/>
    <w:rsid w:val="00D87CD5"/>
    <w:rsid w:val="00D87F87"/>
    <w:rsid w:val="00D91004"/>
    <w:rsid w:val="00D9209F"/>
    <w:rsid w:val="00D930FE"/>
    <w:rsid w:val="00D95AFC"/>
    <w:rsid w:val="00D96436"/>
    <w:rsid w:val="00D96A4A"/>
    <w:rsid w:val="00DA040A"/>
    <w:rsid w:val="00DA1ABA"/>
    <w:rsid w:val="00DA1B6B"/>
    <w:rsid w:val="00DA2859"/>
    <w:rsid w:val="00DA287B"/>
    <w:rsid w:val="00DA56EC"/>
    <w:rsid w:val="00DA74F0"/>
    <w:rsid w:val="00DB07D1"/>
    <w:rsid w:val="00DB0EB5"/>
    <w:rsid w:val="00DB1852"/>
    <w:rsid w:val="00DB1A42"/>
    <w:rsid w:val="00DB2ED0"/>
    <w:rsid w:val="00DB36A3"/>
    <w:rsid w:val="00DB431B"/>
    <w:rsid w:val="00DB4A7B"/>
    <w:rsid w:val="00DB7ADC"/>
    <w:rsid w:val="00DC0E4E"/>
    <w:rsid w:val="00DC3741"/>
    <w:rsid w:val="00DC4B6D"/>
    <w:rsid w:val="00DC5F2E"/>
    <w:rsid w:val="00DC6C12"/>
    <w:rsid w:val="00DD1159"/>
    <w:rsid w:val="00DD3B75"/>
    <w:rsid w:val="00DD401E"/>
    <w:rsid w:val="00DD5383"/>
    <w:rsid w:val="00DD649C"/>
    <w:rsid w:val="00DD7876"/>
    <w:rsid w:val="00DE0029"/>
    <w:rsid w:val="00DE081A"/>
    <w:rsid w:val="00DE0E90"/>
    <w:rsid w:val="00DE1393"/>
    <w:rsid w:val="00DE33E5"/>
    <w:rsid w:val="00DE36E1"/>
    <w:rsid w:val="00DE3F34"/>
    <w:rsid w:val="00DE4222"/>
    <w:rsid w:val="00DE4EC7"/>
    <w:rsid w:val="00DE60B1"/>
    <w:rsid w:val="00DE6C81"/>
    <w:rsid w:val="00DE6D45"/>
    <w:rsid w:val="00DF014E"/>
    <w:rsid w:val="00DF1616"/>
    <w:rsid w:val="00DF270A"/>
    <w:rsid w:val="00DF2EE1"/>
    <w:rsid w:val="00DF5642"/>
    <w:rsid w:val="00E0076C"/>
    <w:rsid w:val="00E04D79"/>
    <w:rsid w:val="00E05C4F"/>
    <w:rsid w:val="00E07878"/>
    <w:rsid w:val="00E119B0"/>
    <w:rsid w:val="00E120A4"/>
    <w:rsid w:val="00E124B5"/>
    <w:rsid w:val="00E140D0"/>
    <w:rsid w:val="00E144FD"/>
    <w:rsid w:val="00E15071"/>
    <w:rsid w:val="00E157DC"/>
    <w:rsid w:val="00E15921"/>
    <w:rsid w:val="00E15E80"/>
    <w:rsid w:val="00E160AA"/>
    <w:rsid w:val="00E16FCC"/>
    <w:rsid w:val="00E20B2A"/>
    <w:rsid w:val="00E21A57"/>
    <w:rsid w:val="00E27365"/>
    <w:rsid w:val="00E31297"/>
    <w:rsid w:val="00E33AD6"/>
    <w:rsid w:val="00E355F3"/>
    <w:rsid w:val="00E35784"/>
    <w:rsid w:val="00E362E8"/>
    <w:rsid w:val="00E36427"/>
    <w:rsid w:val="00E417A1"/>
    <w:rsid w:val="00E4212F"/>
    <w:rsid w:val="00E4220A"/>
    <w:rsid w:val="00E429ED"/>
    <w:rsid w:val="00E43EE2"/>
    <w:rsid w:val="00E4627E"/>
    <w:rsid w:val="00E462CA"/>
    <w:rsid w:val="00E46959"/>
    <w:rsid w:val="00E46AF5"/>
    <w:rsid w:val="00E50B26"/>
    <w:rsid w:val="00E50B4D"/>
    <w:rsid w:val="00E50F69"/>
    <w:rsid w:val="00E510C7"/>
    <w:rsid w:val="00E5157C"/>
    <w:rsid w:val="00E52072"/>
    <w:rsid w:val="00E521F4"/>
    <w:rsid w:val="00E52DFE"/>
    <w:rsid w:val="00E5615B"/>
    <w:rsid w:val="00E564C4"/>
    <w:rsid w:val="00E56B4C"/>
    <w:rsid w:val="00E56E62"/>
    <w:rsid w:val="00E5707B"/>
    <w:rsid w:val="00E57631"/>
    <w:rsid w:val="00E6127D"/>
    <w:rsid w:val="00E61767"/>
    <w:rsid w:val="00E61E86"/>
    <w:rsid w:val="00E63153"/>
    <w:rsid w:val="00E65170"/>
    <w:rsid w:val="00E662C1"/>
    <w:rsid w:val="00E67F29"/>
    <w:rsid w:val="00E70562"/>
    <w:rsid w:val="00E70EBA"/>
    <w:rsid w:val="00E7109D"/>
    <w:rsid w:val="00E7326F"/>
    <w:rsid w:val="00E73605"/>
    <w:rsid w:val="00E73A6C"/>
    <w:rsid w:val="00E7488F"/>
    <w:rsid w:val="00E77B65"/>
    <w:rsid w:val="00E80FE7"/>
    <w:rsid w:val="00E81D03"/>
    <w:rsid w:val="00E82779"/>
    <w:rsid w:val="00E82C7F"/>
    <w:rsid w:val="00E83E9F"/>
    <w:rsid w:val="00E84672"/>
    <w:rsid w:val="00E84C5B"/>
    <w:rsid w:val="00E85609"/>
    <w:rsid w:val="00E85699"/>
    <w:rsid w:val="00E862D9"/>
    <w:rsid w:val="00E866A7"/>
    <w:rsid w:val="00E86749"/>
    <w:rsid w:val="00E87B9D"/>
    <w:rsid w:val="00E90607"/>
    <w:rsid w:val="00E90ACC"/>
    <w:rsid w:val="00E90D94"/>
    <w:rsid w:val="00E91653"/>
    <w:rsid w:val="00E91F9C"/>
    <w:rsid w:val="00E91FF5"/>
    <w:rsid w:val="00E93B69"/>
    <w:rsid w:val="00E93F90"/>
    <w:rsid w:val="00E964BC"/>
    <w:rsid w:val="00E966C7"/>
    <w:rsid w:val="00E968A0"/>
    <w:rsid w:val="00E973BE"/>
    <w:rsid w:val="00EA0C91"/>
    <w:rsid w:val="00EA14EC"/>
    <w:rsid w:val="00EA2341"/>
    <w:rsid w:val="00EA25B8"/>
    <w:rsid w:val="00EB01EE"/>
    <w:rsid w:val="00EB021B"/>
    <w:rsid w:val="00EB02F2"/>
    <w:rsid w:val="00EB0701"/>
    <w:rsid w:val="00EB1186"/>
    <w:rsid w:val="00EB1B22"/>
    <w:rsid w:val="00EB25E6"/>
    <w:rsid w:val="00EB6022"/>
    <w:rsid w:val="00EB6186"/>
    <w:rsid w:val="00EC0A60"/>
    <w:rsid w:val="00EC13C7"/>
    <w:rsid w:val="00EC3516"/>
    <w:rsid w:val="00EC3983"/>
    <w:rsid w:val="00EC4B7C"/>
    <w:rsid w:val="00EC4D49"/>
    <w:rsid w:val="00EC5140"/>
    <w:rsid w:val="00EC57A4"/>
    <w:rsid w:val="00ED1376"/>
    <w:rsid w:val="00ED361B"/>
    <w:rsid w:val="00ED429C"/>
    <w:rsid w:val="00ED48DB"/>
    <w:rsid w:val="00ED537D"/>
    <w:rsid w:val="00ED6732"/>
    <w:rsid w:val="00ED7CF0"/>
    <w:rsid w:val="00EE11AE"/>
    <w:rsid w:val="00EE1C5B"/>
    <w:rsid w:val="00EE24BC"/>
    <w:rsid w:val="00EE26F5"/>
    <w:rsid w:val="00EE2EFB"/>
    <w:rsid w:val="00EE37A5"/>
    <w:rsid w:val="00EE3C60"/>
    <w:rsid w:val="00EE4612"/>
    <w:rsid w:val="00EE6C98"/>
    <w:rsid w:val="00EF1771"/>
    <w:rsid w:val="00EF2C6C"/>
    <w:rsid w:val="00EF5BA0"/>
    <w:rsid w:val="00F006CC"/>
    <w:rsid w:val="00F0088D"/>
    <w:rsid w:val="00F00A82"/>
    <w:rsid w:val="00F01DEC"/>
    <w:rsid w:val="00F031B7"/>
    <w:rsid w:val="00F06D05"/>
    <w:rsid w:val="00F0704F"/>
    <w:rsid w:val="00F10A0C"/>
    <w:rsid w:val="00F123D5"/>
    <w:rsid w:val="00F13503"/>
    <w:rsid w:val="00F14045"/>
    <w:rsid w:val="00F146F5"/>
    <w:rsid w:val="00F14B0B"/>
    <w:rsid w:val="00F20626"/>
    <w:rsid w:val="00F20DAD"/>
    <w:rsid w:val="00F218E0"/>
    <w:rsid w:val="00F224DB"/>
    <w:rsid w:val="00F22D86"/>
    <w:rsid w:val="00F25992"/>
    <w:rsid w:val="00F259A7"/>
    <w:rsid w:val="00F3076A"/>
    <w:rsid w:val="00F309FB"/>
    <w:rsid w:val="00F3213F"/>
    <w:rsid w:val="00F3234B"/>
    <w:rsid w:val="00F33B80"/>
    <w:rsid w:val="00F36F66"/>
    <w:rsid w:val="00F371F6"/>
    <w:rsid w:val="00F37C55"/>
    <w:rsid w:val="00F4000A"/>
    <w:rsid w:val="00F41EEE"/>
    <w:rsid w:val="00F423AD"/>
    <w:rsid w:val="00F44345"/>
    <w:rsid w:val="00F44595"/>
    <w:rsid w:val="00F50429"/>
    <w:rsid w:val="00F51931"/>
    <w:rsid w:val="00F525DE"/>
    <w:rsid w:val="00F53104"/>
    <w:rsid w:val="00F543E2"/>
    <w:rsid w:val="00F54D02"/>
    <w:rsid w:val="00F570FC"/>
    <w:rsid w:val="00F57121"/>
    <w:rsid w:val="00F57126"/>
    <w:rsid w:val="00F573FB"/>
    <w:rsid w:val="00F611DA"/>
    <w:rsid w:val="00F62A38"/>
    <w:rsid w:val="00F658F9"/>
    <w:rsid w:val="00F65EE6"/>
    <w:rsid w:val="00F6648B"/>
    <w:rsid w:val="00F66BAE"/>
    <w:rsid w:val="00F67B9D"/>
    <w:rsid w:val="00F719F3"/>
    <w:rsid w:val="00F72CE1"/>
    <w:rsid w:val="00F74D7B"/>
    <w:rsid w:val="00F75474"/>
    <w:rsid w:val="00F76183"/>
    <w:rsid w:val="00F7696B"/>
    <w:rsid w:val="00F77366"/>
    <w:rsid w:val="00F77566"/>
    <w:rsid w:val="00F77EF8"/>
    <w:rsid w:val="00F80805"/>
    <w:rsid w:val="00F811F6"/>
    <w:rsid w:val="00F813FD"/>
    <w:rsid w:val="00F81DE7"/>
    <w:rsid w:val="00F82246"/>
    <w:rsid w:val="00F8258B"/>
    <w:rsid w:val="00F834EF"/>
    <w:rsid w:val="00F846D2"/>
    <w:rsid w:val="00F85383"/>
    <w:rsid w:val="00F85389"/>
    <w:rsid w:val="00F856DD"/>
    <w:rsid w:val="00F85BFF"/>
    <w:rsid w:val="00F873B4"/>
    <w:rsid w:val="00F87FD7"/>
    <w:rsid w:val="00F91078"/>
    <w:rsid w:val="00F914E0"/>
    <w:rsid w:val="00F9156F"/>
    <w:rsid w:val="00F917C1"/>
    <w:rsid w:val="00F91B56"/>
    <w:rsid w:val="00F9272E"/>
    <w:rsid w:val="00F9301D"/>
    <w:rsid w:val="00F938A7"/>
    <w:rsid w:val="00F93F81"/>
    <w:rsid w:val="00F946A9"/>
    <w:rsid w:val="00F9485B"/>
    <w:rsid w:val="00F948A6"/>
    <w:rsid w:val="00F961F0"/>
    <w:rsid w:val="00F97511"/>
    <w:rsid w:val="00FA09CC"/>
    <w:rsid w:val="00FA0EED"/>
    <w:rsid w:val="00FA2F86"/>
    <w:rsid w:val="00FA369E"/>
    <w:rsid w:val="00FA542D"/>
    <w:rsid w:val="00FA5ED3"/>
    <w:rsid w:val="00FA5EEB"/>
    <w:rsid w:val="00FA6205"/>
    <w:rsid w:val="00FA65F0"/>
    <w:rsid w:val="00FB23BC"/>
    <w:rsid w:val="00FB4D8D"/>
    <w:rsid w:val="00FB6622"/>
    <w:rsid w:val="00FB67AE"/>
    <w:rsid w:val="00FB6F06"/>
    <w:rsid w:val="00FB7484"/>
    <w:rsid w:val="00FB75AC"/>
    <w:rsid w:val="00FC1ABE"/>
    <w:rsid w:val="00FC3F3F"/>
    <w:rsid w:val="00FC4862"/>
    <w:rsid w:val="00FC4968"/>
    <w:rsid w:val="00FC6649"/>
    <w:rsid w:val="00FC6C2C"/>
    <w:rsid w:val="00FD06A4"/>
    <w:rsid w:val="00FD06EC"/>
    <w:rsid w:val="00FD1119"/>
    <w:rsid w:val="00FD12B3"/>
    <w:rsid w:val="00FD133D"/>
    <w:rsid w:val="00FD2A4F"/>
    <w:rsid w:val="00FD2F48"/>
    <w:rsid w:val="00FD35AA"/>
    <w:rsid w:val="00FD4589"/>
    <w:rsid w:val="00FD4653"/>
    <w:rsid w:val="00FD6A5A"/>
    <w:rsid w:val="00FD7CFB"/>
    <w:rsid w:val="00FD7F9A"/>
    <w:rsid w:val="00FD7FFE"/>
    <w:rsid w:val="00FE18B7"/>
    <w:rsid w:val="00FE29E2"/>
    <w:rsid w:val="00FE431A"/>
    <w:rsid w:val="00FE4526"/>
    <w:rsid w:val="00FE5147"/>
    <w:rsid w:val="00FF4127"/>
    <w:rsid w:val="00FF422B"/>
    <w:rsid w:val="00FF5320"/>
    <w:rsid w:val="00FF56B4"/>
    <w:rsid w:val="00FF5E54"/>
    <w:rsid w:val="00FF60EC"/>
    <w:rsid w:val="01063575"/>
    <w:rsid w:val="01087A2D"/>
    <w:rsid w:val="012F162B"/>
    <w:rsid w:val="0150476F"/>
    <w:rsid w:val="0179A29F"/>
    <w:rsid w:val="018B9220"/>
    <w:rsid w:val="0194DF1D"/>
    <w:rsid w:val="01E9DDF1"/>
    <w:rsid w:val="0256E06F"/>
    <w:rsid w:val="025C4C4B"/>
    <w:rsid w:val="027670D1"/>
    <w:rsid w:val="03021B42"/>
    <w:rsid w:val="03481FBD"/>
    <w:rsid w:val="03EA3103"/>
    <w:rsid w:val="03EF2E9C"/>
    <w:rsid w:val="043B2F16"/>
    <w:rsid w:val="043D8B23"/>
    <w:rsid w:val="04704748"/>
    <w:rsid w:val="04744FC1"/>
    <w:rsid w:val="04BAA921"/>
    <w:rsid w:val="0534A627"/>
    <w:rsid w:val="053D855E"/>
    <w:rsid w:val="06185CCF"/>
    <w:rsid w:val="06219647"/>
    <w:rsid w:val="06332ECE"/>
    <w:rsid w:val="0682079D"/>
    <w:rsid w:val="078B334C"/>
    <w:rsid w:val="07D2D759"/>
    <w:rsid w:val="07DFB964"/>
    <w:rsid w:val="07F0BC6E"/>
    <w:rsid w:val="08090FAE"/>
    <w:rsid w:val="08C2E595"/>
    <w:rsid w:val="08FA0D5A"/>
    <w:rsid w:val="09471E32"/>
    <w:rsid w:val="09739A67"/>
    <w:rsid w:val="099D4A26"/>
    <w:rsid w:val="09C26A0E"/>
    <w:rsid w:val="09C27316"/>
    <w:rsid w:val="09CB52FB"/>
    <w:rsid w:val="09CF3FD9"/>
    <w:rsid w:val="0A2BA226"/>
    <w:rsid w:val="0A2EA914"/>
    <w:rsid w:val="0A93A510"/>
    <w:rsid w:val="0AC6697B"/>
    <w:rsid w:val="0B54E9EA"/>
    <w:rsid w:val="0B9BFFBD"/>
    <w:rsid w:val="0BF8ABF1"/>
    <w:rsid w:val="0CBB8579"/>
    <w:rsid w:val="0CC2A0E9"/>
    <w:rsid w:val="0D15A6FA"/>
    <w:rsid w:val="0D9E337C"/>
    <w:rsid w:val="0E3FA96B"/>
    <w:rsid w:val="0E614809"/>
    <w:rsid w:val="0EC9BF96"/>
    <w:rsid w:val="0EF9D3EC"/>
    <w:rsid w:val="0F610426"/>
    <w:rsid w:val="0F64678E"/>
    <w:rsid w:val="0F652C30"/>
    <w:rsid w:val="0F6BB646"/>
    <w:rsid w:val="0FBD010A"/>
    <w:rsid w:val="110449ED"/>
    <w:rsid w:val="112486BA"/>
    <w:rsid w:val="113614E7"/>
    <w:rsid w:val="11E31AD4"/>
    <w:rsid w:val="11F54A52"/>
    <w:rsid w:val="12804C83"/>
    <w:rsid w:val="12D310AC"/>
    <w:rsid w:val="12F8545B"/>
    <w:rsid w:val="130AC8D4"/>
    <w:rsid w:val="131CF05B"/>
    <w:rsid w:val="1364F78C"/>
    <w:rsid w:val="137D7083"/>
    <w:rsid w:val="13977659"/>
    <w:rsid w:val="13EFFFA4"/>
    <w:rsid w:val="13F00A5B"/>
    <w:rsid w:val="13FC5829"/>
    <w:rsid w:val="14092696"/>
    <w:rsid w:val="1439B604"/>
    <w:rsid w:val="14466FFB"/>
    <w:rsid w:val="147A580A"/>
    <w:rsid w:val="14BBE067"/>
    <w:rsid w:val="14CC34AB"/>
    <w:rsid w:val="1511A99C"/>
    <w:rsid w:val="151443DE"/>
    <w:rsid w:val="152C9CCD"/>
    <w:rsid w:val="1531D389"/>
    <w:rsid w:val="15469508"/>
    <w:rsid w:val="1557A2FA"/>
    <w:rsid w:val="158A5AE7"/>
    <w:rsid w:val="15A33C25"/>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A273076"/>
    <w:rsid w:val="1A2B7C67"/>
    <w:rsid w:val="1A590AEB"/>
    <w:rsid w:val="1A9DFBB3"/>
    <w:rsid w:val="1AB15E45"/>
    <w:rsid w:val="1AB628F7"/>
    <w:rsid w:val="1B0A6A39"/>
    <w:rsid w:val="1B143381"/>
    <w:rsid w:val="1B77C2D0"/>
    <w:rsid w:val="1BA4D981"/>
    <w:rsid w:val="1BEE8105"/>
    <w:rsid w:val="1C5C39B2"/>
    <w:rsid w:val="1C7929D1"/>
    <w:rsid w:val="1C8EF74A"/>
    <w:rsid w:val="1CC999BA"/>
    <w:rsid w:val="1CD504FC"/>
    <w:rsid w:val="1CF41711"/>
    <w:rsid w:val="1D116AA6"/>
    <w:rsid w:val="1D335FDC"/>
    <w:rsid w:val="1D797D1C"/>
    <w:rsid w:val="1DEC7ADA"/>
    <w:rsid w:val="1DEE311B"/>
    <w:rsid w:val="1E29F501"/>
    <w:rsid w:val="1EB8BF44"/>
    <w:rsid w:val="1EBCAAAD"/>
    <w:rsid w:val="1EC64C79"/>
    <w:rsid w:val="1F3FDB9F"/>
    <w:rsid w:val="1F5E112B"/>
    <w:rsid w:val="1F8B7DEF"/>
    <w:rsid w:val="2049C0F2"/>
    <w:rsid w:val="205D3B38"/>
    <w:rsid w:val="206859B6"/>
    <w:rsid w:val="2103A345"/>
    <w:rsid w:val="2104143B"/>
    <w:rsid w:val="216E5AC5"/>
    <w:rsid w:val="218FD1CC"/>
    <w:rsid w:val="21C1BD07"/>
    <w:rsid w:val="21CD52BB"/>
    <w:rsid w:val="21EF4C6D"/>
    <w:rsid w:val="22105083"/>
    <w:rsid w:val="22168275"/>
    <w:rsid w:val="22A1F119"/>
    <w:rsid w:val="234C2B2B"/>
    <w:rsid w:val="235C49A1"/>
    <w:rsid w:val="236C9673"/>
    <w:rsid w:val="237EFFBA"/>
    <w:rsid w:val="23B68713"/>
    <w:rsid w:val="2415DD3F"/>
    <w:rsid w:val="2432CCAE"/>
    <w:rsid w:val="244EDBAA"/>
    <w:rsid w:val="2480464C"/>
    <w:rsid w:val="24E87FAF"/>
    <w:rsid w:val="252300F4"/>
    <w:rsid w:val="2556E82F"/>
    <w:rsid w:val="255C3081"/>
    <w:rsid w:val="2577963E"/>
    <w:rsid w:val="257D7E61"/>
    <w:rsid w:val="25B14D1C"/>
    <w:rsid w:val="25BF1B06"/>
    <w:rsid w:val="25CCBA6E"/>
    <w:rsid w:val="25FEC758"/>
    <w:rsid w:val="263E0D75"/>
    <w:rsid w:val="265EBBFA"/>
    <w:rsid w:val="268CD47D"/>
    <w:rsid w:val="26A31412"/>
    <w:rsid w:val="26A3E900"/>
    <w:rsid w:val="26BBA98C"/>
    <w:rsid w:val="26FDAE94"/>
    <w:rsid w:val="270E2E09"/>
    <w:rsid w:val="272CB3C1"/>
    <w:rsid w:val="27DC8E35"/>
    <w:rsid w:val="2816F173"/>
    <w:rsid w:val="2874D237"/>
    <w:rsid w:val="288F1017"/>
    <w:rsid w:val="2900C54A"/>
    <w:rsid w:val="2970265A"/>
    <w:rsid w:val="29B1683E"/>
    <w:rsid w:val="2A33B6AC"/>
    <w:rsid w:val="2A496DB7"/>
    <w:rsid w:val="2A590BAC"/>
    <w:rsid w:val="2AE139BB"/>
    <w:rsid w:val="2AECE575"/>
    <w:rsid w:val="2B27938B"/>
    <w:rsid w:val="2B3C4141"/>
    <w:rsid w:val="2B7BCEDD"/>
    <w:rsid w:val="2C148960"/>
    <w:rsid w:val="2C287950"/>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92FD8"/>
    <w:rsid w:val="2F835EC8"/>
    <w:rsid w:val="2FC4942D"/>
    <w:rsid w:val="2FDC21A0"/>
    <w:rsid w:val="306D8536"/>
    <w:rsid w:val="30E22E7D"/>
    <w:rsid w:val="3166FDE8"/>
    <w:rsid w:val="3168DB98"/>
    <w:rsid w:val="31713A35"/>
    <w:rsid w:val="317CEA4F"/>
    <w:rsid w:val="318120C4"/>
    <w:rsid w:val="31A486F4"/>
    <w:rsid w:val="31D6FE52"/>
    <w:rsid w:val="31DE99DC"/>
    <w:rsid w:val="31DF96D1"/>
    <w:rsid w:val="31E55379"/>
    <w:rsid w:val="31F254F0"/>
    <w:rsid w:val="322D097C"/>
    <w:rsid w:val="326B51ED"/>
    <w:rsid w:val="327465D3"/>
    <w:rsid w:val="32753B3E"/>
    <w:rsid w:val="32A0CFF6"/>
    <w:rsid w:val="32F160F0"/>
    <w:rsid w:val="331B0A3D"/>
    <w:rsid w:val="33938258"/>
    <w:rsid w:val="339FE1AC"/>
    <w:rsid w:val="33B0B6BD"/>
    <w:rsid w:val="33C3E176"/>
    <w:rsid w:val="346D6F8C"/>
    <w:rsid w:val="3498ADF4"/>
    <w:rsid w:val="35153716"/>
    <w:rsid w:val="354FECCC"/>
    <w:rsid w:val="3594478A"/>
    <w:rsid w:val="35EA136D"/>
    <w:rsid w:val="35F2F67E"/>
    <w:rsid w:val="361DA809"/>
    <w:rsid w:val="362D90F7"/>
    <w:rsid w:val="363204CC"/>
    <w:rsid w:val="3692D43B"/>
    <w:rsid w:val="3710D37D"/>
    <w:rsid w:val="3726B5CD"/>
    <w:rsid w:val="376C6C59"/>
    <w:rsid w:val="3789F92C"/>
    <w:rsid w:val="380562C7"/>
    <w:rsid w:val="38308C13"/>
    <w:rsid w:val="38359477"/>
    <w:rsid w:val="38487D73"/>
    <w:rsid w:val="38719E40"/>
    <w:rsid w:val="38734BE6"/>
    <w:rsid w:val="387DFC27"/>
    <w:rsid w:val="38AEDA36"/>
    <w:rsid w:val="38E30F60"/>
    <w:rsid w:val="38E863E2"/>
    <w:rsid w:val="39078BD9"/>
    <w:rsid w:val="398E66C9"/>
    <w:rsid w:val="39A66344"/>
    <w:rsid w:val="39A75426"/>
    <w:rsid w:val="39F41808"/>
    <w:rsid w:val="39FB8250"/>
    <w:rsid w:val="3A5DFF3F"/>
    <w:rsid w:val="3A9F05E2"/>
    <w:rsid w:val="3B01C6FD"/>
    <w:rsid w:val="3B0A34D6"/>
    <w:rsid w:val="3B1E6D38"/>
    <w:rsid w:val="3B2277E6"/>
    <w:rsid w:val="3B362480"/>
    <w:rsid w:val="3B3854B5"/>
    <w:rsid w:val="3B467907"/>
    <w:rsid w:val="3B479929"/>
    <w:rsid w:val="3B715CFB"/>
    <w:rsid w:val="3B7796DB"/>
    <w:rsid w:val="3BA2347E"/>
    <w:rsid w:val="3CAD6EF9"/>
    <w:rsid w:val="3CD798EB"/>
    <w:rsid w:val="3CDB203E"/>
    <w:rsid w:val="3CFEB980"/>
    <w:rsid w:val="3D70BB04"/>
    <w:rsid w:val="3DBE9054"/>
    <w:rsid w:val="3E03E464"/>
    <w:rsid w:val="3E41497A"/>
    <w:rsid w:val="3E4C9FCE"/>
    <w:rsid w:val="3E51B8E5"/>
    <w:rsid w:val="3E874B1C"/>
    <w:rsid w:val="3E878879"/>
    <w:rsid w:val="3EDE33A7"/>
    <w:rsid w:val="3EE7D729"/>
    <w:rsid w:val="3EFECFF0"/>
    <w:rsid w:val="3FA7FC9A"/>
    <w:rsid w:val="3FF922DF"/>
    <w:rsid w:val="4061C06D"/>
    <w:rsid w:val="40898F7C"/>
    <w:rsid w:val="40D6E5C2"/>
    <w:rsid w:val="41154428"/>
    <w:rsid w:val="412665F5"/>
    <w:rsid w:val="41279FD4"/>
    <w:rsid w:val="4157552C"/>
    <w:rsid w:val="4180817A"/>
    <w:rsid w:val="41B5D04E"/>
    <w:rsid w:val="41BE2393"/>
    <w:rsid w:val="42C4E2F0"/>
    <w:rsid w:val="438B0B8D"/>
    <w:rsid w:val="43B47571"/>
    <w:rsid w:val="4403A191"/>
    <w:rsid w:val="4418F7F6"/>
    <w:rsid w:val="4424B1F1"/>
    <w:rsid w:val="442EBE57"/>
    <w:rsid w:val="4455E053"/>
    <w:rsid w:val="44781C8D"/>
    <w:rsid w:val="44E538FD"/>
    <w:rsid w:val="44F07E68"/>
    <w:rsid w:val="44FA42EF"/>
    <w:rsid w:val="45065F5E"/>
    <w:rsid w:val="458A94B0"/>
    <w:rsid w:val="459B56EC"/>
    <w:rsid w:val="45BB1B0C"/>
    <w:rsid w:val="46304122"/>
    <w:rsid w:val="46439E93"/>
    <w:rsid w:val="4655D07D"/>
    <w:rsid w:val="466C05C6"/>
    <w:rsid w:val="46749DD6"/>
    <w:rsid w:val="4674B32E"/>
    <w:rsid w:val="46962EE2"/>
    <w:rsid w:val="46A49225"/>
    <w:rsid w:val="46D994D5"/>
    <w:rsid w:val="46F42BBD"/>
    <w:rsid w:val="47118AC2"/>
    <w:rsid w:val="472569CF"/>
    <w:rsid w:val="47373C51"/>
    <w:rsid w:val="47565D14"/>
    <w:rsid w:val="4782362F"/>
    <w:rsid w:val="47BC6759"/>
    <w:rsid w:val="47F9F6CB"/>
    <w:rsid w:val="483EB5F3"/>
    <w:rsid w:val="48B24B71"/>
    <w:rsid w:val="48C8E4B4"/>
    <w:rsid w:val="490AA981"/>
    <w:rsid w:val="4952F718"/>
    <w:rsid w:val="49645835"/>
    <w:rsid w:val="497BCE3F"/>
    <w:rsid w:val="4995611A"/>
    <w:rsid w:val="49C86C3B"/>
    <w:rsid w:val="49D754D7"/>
    <w:rsid w:val="49F7E010"/>
    <w:rsid w:val="4A59C3B1"/>
    <w:rsid w:val="4AD2423C"/>
    <w:rsid w:val="4B461659"/>
    <w:rsid w:val="4B8EE060"/>
    <w:rsid w:val="4B924352"/>
    <w:rsid w:val="4BBCC0C8"/>
    <w:rsid w:val="4BEA1829"/>
    <w:rsid w:val="4C0F8EC6"/>
    <w:rsid w:val="4C441ABA"/>
    <w:rsid w:val="4C729A4E"/>
    <w:rsid w:val="4CA81462"/>
    <w:rsid w:val="4CC11D8E"/>
    <w:rsid w:val="4D0930E4"/>
    <w:rsid w:val="4D1BDAAC"/>
    <w:rsid w:val="4D6FF0BC"/>
    <w:rsid w:val="4D84887A"/>
    <w:rsid w:val="4E48F670"/>
    <w:rsid w:val="4E8C1F86"/>
    <w:rsid w:val="4E8DC3E2"/>
    <w:rsid w:val="4E94EB1A"/>
    <w:rsid w:val="4EAD197B"/>
    <w:rsid w:val="4ECF9CC7"/>
    <w:rsid w:val="4EF17771"/>
    <w:rsid w:val="4F177560"/>
    <w:rsid w:val="4F2FF5F5"/>
    <w:rsid w:val="4F36CF6B"/>
    <w:rsid w:val="4F4EFFD4"/>
    <w:rsid w:val="4F66330C"/>
    <w:rsid w:val="4F7CEB62"/>
    <w:rsid w:val="4F97CC36"/>
    <w:rsid w:val="4FB2E4D5"/>
    <w:rsid w:val="4FC7DC62"/>
    <w:rsid w:val="5024313E"/>
    <w:rsid w:val="503EE4F6"/>
    <w:rsid w:val="50402EB1"/>
    <w:rsid w:val="5050CD9F"/>
    <w:rsid w:val="50C32761"/>
    <w:rsid w:val="50F72EC0"/>
    <w:rsid w:val="50FA6ECA"/>
    <w:rsid w:val="5104089E"/>
    <w:rsid w:val="510DDA2D"/>
    <w:rsid w:val="512C2D0D"/>
    <w:rsid w:val="51A37481"/>
    <w:rsid w:val="51B632D5"/>
    <w:rsid w:val="5215C140"/>
    <w:rsid w:val="5231806A"/>
    <w:rsid w:val="52353AC6"/>
    <w:rsid w:val="525D8866"/>
    <w:rsid w:val="52F8023D"/>
    <w:rsid w:val="530D1348"/>
    <w:rsid w:val="5399E754"/>
    <w:rsid w:val="53CFD82B"/>
    <w:rsid w:val="53D7856A"/>
    <w:rsid w:val="53EB8021"/>
    <w:rsid w:val="543AB9DE"/>
    <w:rsid w:val="546271EF"/>
    <w:rsid w:val="549E7CF4"/>
    <w:rsid w:val="54C0BFEA"/>
    <w:rsid w:val="55084553"/>
    <w:rsid w:val="550FD613"/>
    <w:rsid w:val="55245693"/>
    <w:rsid w:val="55A5464F"/>
    <w:rsid w:val="561AE09A"/>
    <w:rsid w:val="56585D15"/>
    <w:rsid w:val="56622819"/>
    <w:rsid w:val="566697ED"/>
    <w:rsid w:val="5667D21F"/>
    <w:rsid w:val="568C61E1"/>
    <w:rsid w:val="569296E3"/>
    <w:rsid w:val="573485E2"/>
    <w:rsid w:val="573960B7"/>
    <w:rsid w:val="57550329"/>
    <w:rsid w:val="57650901"/>
    <w:rsid w:val="576C6966"/>
    <w:rsid w:val="577F09D6"/>
    <w:rsid w:val="57A551F7"/>
    <w:rsid w:val="580CC875"/>
    <w:rsid w:val="58A7E900"/>
    <w:rsid w:val="58AC182B"/>
    <w:rsid w:val="58CD8211"/>
    <w:rsid w:val="58CDA930"/>
    <w:rsid w:val="58D22F23"/>
    <w:rsid w:val="58EC3DB7"/>
    <w:rsid w:val="5990C82C"/>
    <w:rsid w:val="59CB8E59"/>
    <w:rsid w:val="59DCE919"/>
    <w:rsid w:val="59EFC636"/>
    <w:rsid w:val="5A01FBC4"/>
    <w:rsid w:val="5A2FFDC0"/>
    <w:rsid w:val="5A4B2150"/>
    <w:rsid w:val="5A904C62"/>
    <w:rsid w:val="5AA39EC1"/>
    <w:rsid w:val="5ABAF880"/>
    <w:rsid w:val="5B5A0769"/>
    <w:rsid w:val="5C196AE5"/>
    <w:rsid w:val="5C61FA22"/>
    <w:rsid w:val="5C6834BE"/>
    <w:rsid w:val="5C6FE508"/>
    <w:rsid w:val="5CD1BF16"/>
    <w:rsid w:val="5D6A6C87"/>
    <w:rsid w:val="5DE33F8A"/>
    <w:rsid w:val="5DE3E972"/>
    <w:rsid w:val="5E1F1BD5"/>
    <w:rsid w:val="5E54EE63"/>
    <w:rsid w:val="5E76C978"/>
    <w:rsid w:val="5EB3C6C3"/>
    <w:rsid w:val="5EC3C158"/>
    <w:rsid w:val="5F055704"/>
    <w:rsid w:val="5F32A96B"/>
    <w:rsid w:val="5F572696"/>
    <w:rsid w:val="5F5CE01A"/>
    <w:rsid w:val="5FC7ACB3"/>
    <w:rsid w:val="5FCD17EA"/>
    <w:rsid w:val="6094B1EB"/>
    <w:rsid w:val="609F7FD1"/>
    <w:rsid w:val="60AFFF03"/>
    <w:rsid w:val="60E6FBAF"/>
    <w:rsid w:val="617561ED"/>
    <w:rsid w:val="62845D5F"/>
    <w:rsid w:val="628A3B9A"/>
    <w:rsid w:val="63D17ABE"/>
    <w:rsid w:val="642990FC"/>
    <w:rsid w:val="646DFA1D"/>
    <w:rsid w:val="64EE9F8B"/>
    <w:rsid w:val="64F29C28"/>
    <w:rsid w:val="650F45D0"/>
    <w:rsid w:val="65184A55"/>
    <w:rsid w:val="65535495"/>
    <w:rsid w:val="657A19E5"/>
    <w:rsid w:val="65953F0E"/>
    <w:rsid w:val="65C2E52E"/>
    <w:rsid w:val="66070A7F"/>
    <w:rsid w:val="66425C61"/>
    <w:rsid w:val="664B370F"/>
    <w:rsid w:val="665458CB"/>
    <w:rsid w:val="66F33720"/>
    <w:rsid w:val="678034D3"/>
    <w:rsid w:val="68093B55"/>
    <w:rsid w:val="681D4DCF"/>
    <w:rsid w:val="68645168"/>
    <w:rsid w:val="688E0B40"/>
    <w:rsid w:val="68959810"/>
    <w:rsid w:val="68DF9697"/>
    <w:rsid w:val="69205CCB"/>
    <w:rsid w:val="6929A108"/>
    <w:rsid w:val="692C18BB"/>
    <w:rsid w:val="6939B83F"/>
    <w:rsid w:val="696C1845"/>
    <w:rsid w:val="696E1247"/>
    <w:rsid w:val="697B58F1"/>
    <w:rsid w:val="69A90056"/>
    <w:rsid w:val="6A166C7D"/>
    <w:rsid w:val="6A1CE860"/>
    <w:rsid w:val="6A32D12F"/>
    <w:rsid w:val="6A860412"/>
    <w:rsid w:val="6A9CC2A5"/>
    <w:rsid w:val="6AA80AF1"/>
    <w:rsid w:val="6AE6B95B"/>
    <w:rsid w:val="6AEB26CF"/>
    <w:rsid w:val="6AECA9EC"/>
    <w:rsid w:val="6B149CF1"/>
    <w:rsid w:val="6B158881"/>
    <w:rsid w:val="6B1A660D"/>
    <w:rsid w:val="6B2E336B"/>
    <w:rsid w:val="6B562A68"/>
    <w:rsid w:val="6B8ABD5E"/>
    <w:rsid w:val="6BB7BB53"/>
    <w:rsid w:val="6C675B3A"/>
    <w:rsid w:val="6CBCEC18"/>
    <w:rsid w:val="6CC992EB"/>
    <w:rsid w:val="6D00CD4D"/>
    <w:rsid w:val="6D0A4796"/>
    <w:rsid w:val="6D4800A1"/>
    <w:rsid w:val="6D9E9AA1"/>
    <w:rsid w:val="6DB48648"/>
    <w:rsid w:val="6E1662A8"/>
    <w:rsid w:val="6E2BF25F"/>
    <w:rsid w:val="6ED0E7C5"/>
    <w:rsid w:val="6F43B2DA"/>
    <w:rsid w:val="6F803610"/>
    <w:rsid w:val="6F933ED6"/>
    <w:rsid w:val="6FC5E190"/>
    <w:rsid w:val="7002F348"/>
    <w:rsid w:val="70280E54"/>
    <w:rsid w:val="702F0BF4"/>
    <w:rsid w:val="704B322B"/>
    <w:rsid w:val="707DF129"/>
    <w:rsid w:val="70C84CE6"/>
    <w:rsid w:val="716AF493"/>
    <w:rsid w:val="720FAABC"/>
    <w:rsid w:val="722A22DD"/>
    <w:rsid w:val="72723725"/>
    <w:rsid w:val="72A45446"/>
    <w:rsid w:val="7316D814"/>
    <w:rsid w:val="73196021"/>
    <w:rsid w:val="7347854F"/>
    <w:rsid w:val="73563EF8"/>
    <w:rsid w:val="73CC9E15"/>
    <w:rsid w:val="746EFFBD"/>
    <w:rsid w:val="74BCB0AC"/>
    <w:rsid w:val="74DC413A"/>
    <w:rsid w:val="752E6AF1"/>
    <w:rsid w:val="7541EDF6"/>
    <w:rsid w:val="754702AE"/>
    <w:rsid w:val="757AB2F3"/>
    <w:rsid w:val="757AD398"/>
    <w:rsid w:val="7585A98F"/>
    <w:rsid w:val="75A77407"/>
    <w:rsid w:val="75DDF443"/>
    <w:rsid w:val="762249C5"/>
    <w:rsid w:val="7658A405"/>
    <w:rsid w:val="76AC4D72"/>
    <w:rsid w:val="76B0D29B"/>
    <w:rsid w:val="76B5D40F"/>
    <w:rsid w:val="76BD055B"/>
    <w:rsid w:val="76C16E0A"/>
    <w:rsid w:val="76E0C63B"/>
    <w:rsid w:val="76E3C25C"/>
    <w:rsid w:val="771723A2"/>
    <w:rsid w:val="776BBE1E"/>
    <w:rsid w:val="77D3E841"/>
    <w:rsid w:val="78496ABE"/>
    <w:rsid w:val="787974ED"/>
    <w:rsid w:val="78BBD896"/>
    <w:rsid w:val="78CAAE62"/>
    <w:rsid w:val="79073701"/>
    <w:rsid w:val="793B455B"/>
    <w:rsid w:val="794AFB26"/>
    <w:rsid w:val="79C6C240"/>
    <w:rsid w:val="79D5C5DC"/>
    <w:rsid w:val="79DAA64C"/>
    <w:rsid w:val="7A112D0B"/>
    <w:rsid w:val="7A2E3046"/>
    <w:rsid w:val="7A43884B"/>
    <w:rsid w:val="7A5A3949"/>
    <w:rsid w:val="7A5E5876"/>
    <w:rsid w:val="7A79CC79"/>
    <w:rsid w:val="7AB14C47"/>
    <w:rsid w:val="7ABAC4B6"/>
    <w:rsid w:val="7AC26C0D"/>
    <w:rsid w:val="7AF0BCA8"/>
    <w:rsid w:val="7AF496DF"/>
    <w:rsid w:val="7B23FB27"/>
    <w:rsid w:val="7B264AA6"/>
    <w:rsid w:val="7B2D5B55"/>
    <w:rsid w:val="7B6F79A2"/>
    <w:rsid w:val="7B885158"/>
    <w:rsid w:val="7B950621"/>
    <w:rsid w:val="7BAD5062"/>
    <w:rsid w:val="7CB983D1"/>
    <w:rsid w:val="7CD425ED"/>
    <w:rsid w:val="7CDA70E9"/>
    <w:rsid w:val="7CEBB621"/>
    <w:rsid w:val="7CFBBDD8"/>
    <w:rsid w:val="7D7A0756"/>
    <w:rsid w:val="7DFE2431"/>
    <w:rsid w:val="7E2E8D92"/>
    <w:rsid w:val="7E6BD5D9"/>
    <w:rsid w:val="7E728F32"/>
    <w:rsid w:val="7E87CC2A"/>
    <w:rsid w:val="7EA68C60"/>
    <w:rsid w:val="7EB72C85"/>
    <w:rsid w:val="7EBBBB4E"/>
    <w:rsid w:val="7ECA38B9"/>
    <w:rsid w:val="7EE8C803"/>
    <w:rsid w:val="7F14CCD2"/>
    <w:rsid w:val="7FA96EE3"/>
    <w:rsid w:val="7FB59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7F906"/>
  <w14:defaultImageDpi w14:val="32767"/>
  <w15:chartTrackingRefBased/>
  <w15:docId w15:val="{1D200D11-6342-46FE-AAE7-E7D39C1B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8"/>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8"/>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1"/>
      </w:numPr>
      <w:tabs>
        <w:tab w:val="clear" w:pos="1492"/>
        <w:tab w:val="left" w:pos="1304"/>
      </w:tabs>
    </w:pPr>
  </w:style>
  <w:style w:type="paragraph" w:styleId="ListNumber">
    <w:name w:val="List Number"/>
    <w:basedOn w:val="Normal"/>
    <w:rsid w:val="00C8737B"/>
    <w:pPr>
      <w:numPr>
        <w:numId w:val="13"/>
      </w:numPr>
    </w:pPr>
  </w:style>
  <w:style w:type="paragraph" w:styleId="ListNumber2">
    <w:name w:val="List Number 2"/>
    <w:basedOn w:val="Normal"/>
    <w:rsid w:val="00C8737B"/>
    <w:pPr>
      <w:numPr>
        <w:numId w:val="15"/>
      </w:numPr>
    </w:pPr>
  </w:style>
  <w:style w:type="paragraph" w:styleId="ListNumber3">
    <w:name w:val="List Number 3"/>
    <w:basedOn w:val="Normal"/>
    <w:rsid w:val="00C8737B"/>
    <w:pPr>
      <w:numPr>
        <w:numId w:val="17"/>
      </w:numPr>
    </w:pPr>
  </w:style>
  <w:style w:type="paragraph" w:styleId="ListNumber4">
    <w:name w:val="List Number 4"/>
    <w:basedOn w:val="Normal"/>
    <w:rsid w:val="00C8737B"/>
    <w:pPr>
      <w:numPr>
        <w:numId w:val="19"/>
      </w:numPr>
    </w:pPr>
  </w:style>
  <w:style w:type="paragraph" w:styleId="ListNumber5">
    <w:name w:val="List Number 5"/>
    <w:basedOn w:val="Normal"/>
    <w:rsid w:val="00C8737B"/>
    <w:pPr>
      <w:numPr>
        <w:numId w:val="21"/>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3"/>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3"/>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ind w:left="170" w:hanging="170"/>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v.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b4c.vla.vic.gov.au/indexB.html" TargetMode="External"/><Relationship Id="rId17" Type="http://schemas.openxmlformats.org/officeDocument/2006/relationships/hyperlink" Target="https://www.courts.vic.gov.au/resources/csv-covidsafe-pl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alaid.vic.gov.au/sites/www.legalaid.vic.gov.au/files/vla-submission-fclc-wlsv-joint-submission-family-violence-reform-implementation-monitor-july-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news/new-services-to-meet-increased-demand-for-family-violence-legal-hel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alaid.vic.gov.au/about-us/strategic-advocacy-and-law-reform/other-activiti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sites/www.legalaid.vic.gov.au/files/vla_submission_to_dpc_-_victorian_lgbtiq_strategy_-_31_july_2020.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2" ma:contentTypeDescription="Create a new document." ma:contentTypeScope="" ma:versionID="002948fa9efb7937a0a64f984f44d7e9">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0b0576d949ddaa184346a470b0d69075"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A29B2-146B-4362-9462-0EA11FBBE5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3.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customXml/itemProps4.xml><?xml version="1.0" encoding="utf-8"?>
<ds:datastoreItem xmlns:ds="http://schemas.openxmlformats.org/officeDocument/2006/customXml" ds:itemID="{4A94FCDF-C4EC-420D-A041-931E0F05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2057</Words>
  <Characters>11731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Links>
    <vt:vector size="42" baseType="variant">
      <vt:variant>
        <vt:i4>327769</vt:i4>
      </vt:variant>
      <vt:variant>
        <vt:i4>18</vt:i4>
      </vt:variant>
      <vt:variant>
        <vt:i4>0</vt:i4>
      </vt:variant>
      <vt:variant>
        <vt:i4>5</vt:i4>
      </vt:variant>
      <vt:variant>
        <vt:lpwstr>https://amica.gov.au/</vt:lpwstr>
      </vt:variant>
      <vt:variant>
        <vt:lpwstr/>
      </vt:variant>
      <vt:variant>
        <vt:i4>3080254</vt:i4>
      </vt:variant>
      <vt:variant>
        <vt:i4>15</vt:i4>
      </vt:variant>
      <vt:variant>
        <vt:i4>0</vt:i4>
      </vt:variant>
      <vt:variant>
        <vt:i4>5</vt:i4>
      </vt:variant>
      <vt:variant>
        <vt:lpwstr>https://mcv.vic.gov.au/</vt:lpwstr>
      </vt:variant>
      <vt:variant>
        <vt:lpwstr/>
      </vt:variant>
      <vt:variant>
        <vt:i4>2162732</vt:i4>
      </vt:variant>
      <vt:variant>
        <vt:i4>12</vt:i4>
      </vt:variant>
      <vt:variant>
        <vt:i4>0</vt:i4>
      </vt:variant>
      <vt:variant>
        <vt:i4>5</vt:i4>
      </vt:variant>
      <vt:variant>
        <vt:lpwstr>https://hb4c.vla.vic.gov.au/indexB.html</vt:lpwstr>
      </vt:variant>
      <vt:variant>
        <vt:lpwstr/>
      </vt:variant>
      <vt:variant>
        <vt:i4>4325455</vt:i4>
      </vt:variant>
      <vt:variant>
        <vt:i4>9</vt:i4>
      </vt:variant>
      <vt:variant>
        <vt:i4>0</vt:i4>
      </vt:variant>
      <vt:variant>
        <vt:i4>5</vt:i4>
      </vt:variant>
      <vt:variant>
        <vt:lpwstr>https://www.legalaid.vic.gov.au/sites/www.legalaid.vic.gov.au/files/vla-submission-fclc-wlsv-joint-submission-family-violence-reform-implementation-monitor-july-2020.pdf</vt:lpwstr>
      </vt:variant>
      <vt:variant>
        <vt:lpwstr/>
      </vt:variant>
      <vt:variant>
        <vt:i4>196629</vt:i4>
      </vt:variant>
      <vt:variant>
        <vt:i4>6</vt:i4>
      </vt:variant>
      <vt:variant>
        <vt:i4>0</vt:i4>
      </vt:variant>
      <vt:variant>
        <vt:i4>5</vt:i4>
      </vt:variant>
      <vt:variant>
        <vt:lpwstr>https://www.legalaid.vic.gov.au/about-us/strategic-advocacy-and-law-reform/other-activities</vt:lpwstr>
      </vt:variant>
      <vt:variant>
        <vt:lpwstr>20-july-sv</vt:lpwstr>
      </vt:variant>
      <vt:variant>
        <vt:i4>4849775</vt:i4>
      </vt:variant>
      <vt:variant>
        <vt:i4>3</vt:i4>
      </vt:variant>
      <vt:variant>
        <vt:i4>0</vt:i4>
      </vt:variant>
      <vt:variant>
        <vt:i4>5</vt:i4>
      </vt:variant>
      <vt:variant>
        <vt:lpwstr>https://www.legalaid.vic.gov.au/sites/www.legalaid.vic.gov.au/files/vla_submission_to_dpc_-_victorian_lgbtiq_strategy_-_31_july_2020.pdf</vt:lpwstr>
      </vt:variant>
      <vt:variant>
        <vt:lpwstr/>
      </vt:variant>
      <vt:variant>
        <vt:i4>7340080</vt:i4>
      </vt:variant>
      <vt:variant>
        <vt:i4>0</vt:i4>
      </vt:variant>
      <vt:variant>
        <vt:i4>0</vt:i4>
      </vt:variant>
      <vt:variant>
        <vt:i4>5</vt:i4>
      </vt:variant>
      <vt:variant>
        <vt:lpwstr>https://www.legalaid.vic.gov.au/about-us/news/new-services-to-meet-increased-demand-for-family-violence-legal-help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2020–21 Quarter 1 report</dc:title>
  <dc:subject/>
  <dc:creator>Victoria Legal Aid</dc:creator>
  <cp:keywords/>
  <dc:description/>
  <dcterms:created xsi:type="dcterms:W3CDTF">2021-04-29T23:23:00Z</dcterms:created>
  <dcterms:modified xsi:type="dcterms:W3CDTF">2021-04-29T23:23:00Z</dcterms:modified>
  <cp:revision>1</cp:revision>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0x01010034BBC6DB36EDF94C89C7B7A43F71F587</vt:lpwstr>
  </op:property>
  <op:property fmtid="{D5CDD505-2E9C-101B-9397-08002B2CF9AE}" pid="3" name="_MarkAsFinal">
    <vt:bool>true</vt:bool>
  </op:property>
</op:Properties>
</file>