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F6626" w14:textId="64289CEF" w:rsidR="00E50B26" w:rsidRDefault="00627BED" w:rsidP="00E50B26">
      <w:pPr>
        <w:pStyle w:val="Heading1"/>
        <w:rPr>
          <w:sz w:val="24"/>
          <w:szCs w:val="24"/>
        </w:rPr>
      </w:pPr>
      <w:r>
        <w:t xml:space="preserve">Victoria Legal Aid </w:t>
      </w:r>
      <w:r w:rsidR="004175B7">
        <w:t>20</w:t>
      </w:r>
      <w:r w:rsidR="00214F4D">
        <w:t>20</w:t>
      </w:r>
      <w:r w:rsidR="004175B7">
        <w:t>–2</w:t>
      </w:r>
      <w:r w:rsidR="00214F4D">
        <w:t>1</w:t>
      </w:r>
      <w:r w:rsidR="004175B7">
        <w:t xml:space="preserve"> </w:t>
      </w:r>
      <w:r w:rsidR="79DAA64C">
        <w:t>Q</w:t>
      </w:r>
      <w:r w:rsidR="004175B7">
        <w:t xml:space="preserve">uarter </w:t>
      </w:r>
      <w:r w:rsidR="006C3CAD">
        <w:t>Three</w:t>
      </w:r>
      <w:r w:rsidR="00214F4D">
        <w:t xml:space="preserve"> </w:t>
      </w:r>
      <w:r w:rsidR="2FDC21A0">
        <w:t>R</w:t>
      </w:r>
      <w:r w:rsidR="004175B7">
        <w:t>eport</w:t>
      </w:r>
      <w:r w:rsidR="00544E69">
        <w:t xml:space="preserve"> </w:t>
      </w:r>
      <w:r>
        <w:br/>
      </w:r>
      <w:r w:rsidR="006C3CAD">
        <w:rPr>
          <w:sz w:val="24"/>
          <w:szCs w:val="24"/>
        </w:rPr>
        <w:t>1 January</w:t>
      </w:r>
      <w:r w:rsidR="00544E69" w:rsidRPr="6B8ABD5E">
        <w:rPr>
          <w:sz w:val="24"/>
          <w:szCs w:val="24"/>
        </w:rPr>
        <w:t xml:space="preserve"> – </w:t>
      </w:r>
      <w:r w:rsidR="006C3CAD">
        <w:rPr>
          <w:sz w:val="24"/>
          <w:szCs w:val="24"/>
        </w:rPr>
        <w:t>31 March</w:t>
      </w:r>
      <w:r w:rsidR="00544E69" w:rsidRPr="6B8ABD5E">
        <w:rPr>
          <w:sz w:val="24"/>
          <w:szCs w:val="24"/>
        </w:rPr>
        <w:t xml:space="preserve"> 20</w:t>
      </w:r>
      <w:r w:rsidR="006C3CAD">
        <w:rPr>
          <w:sz w:val="24"/>
          <w:szCs w:val="24"/>
        </w:rPr>
        <w:t>21</w:t>
      </w:r>
    </w:p>
    <w:p w14:paraId="25FB6B02" w14:textId="089C953B" w:rsidR="00E84672" w:rsidRDefault="00BF1E92" w:rsidP="00E84672">
      <w:pPr>
        <w:pStyle w:val="Heading2"/>
      </w:pPr>
      <w:r>
        <w:t xml:space="preserve">Message from the </w:t>
      </w:r>
      <w:r w:rsidRPr="001F0CF5">
        <w:t>CEO</w:t>
      </w:r>
    </w:p>
    <w:p w14:paraId="53D9B723" w14:textId="06F78057" w:rsidR="004F43FA" w:rsidRDefault="004F43FA" w:rsidP="004F43FA">
      <w:pPr>
        <w:rPr>
          <w:lang w:eastAsia="en-AU"/>
        </w:rPr>
      </w:pPr>
      <w:r>
        <w:rPr>
          <w:lang w:eastAsia="en-AU"/>
        </w:rPr>
        <w:t>A year on from the start of the COVID</w:t>
      </w:r>
      <w:r w:rsidR="00427C4B">
        <w:rPr>
          <w:lang w:eastAsia="en-AU"/>
        </w:rPr>
        <w:t>-</w:t>
      </w:r>
      <w:r>
        <w:rPr>
          <w:lang w:eastAsia="en-AU"/>
        </w:rPr>
        <w:t xml:space="preserve">19 pandemic, we have now </w:t>
      </w:r>
      <w:r w:rsidR="00C36181">
        <w:rPr>
          <w:lang w:eastAsia="en-AU"/>
        </w:rPr>
        <w:t>started</w:t>
      </w:r>
      <w:r w:rsidR="00D00349">
        <w:rPr>
          <w:lang w:eastAsia="en-AU"/>
        </w:rPr>
        <w:t xml:space="preserve"> </w:t>
      </w:r>
      <w:r>
        <w:rPr>
          <w:lang w:eastAsia="en-AU"/>
        </w:rPr>
        <w:t xml:space="preserve">the transition to recovery and are focusing on </w:t>
      </w:r>
      <w:r w:rsidR="00EA253E">
        <w:rPr>
          <w:lang w:eastAsia="en-AU"/>
        </w:rPr>
        <w:t>a range of st</w:t>
      </w:r>
      <w:r w:rsidR="00D00349">
        <w:rPr>
          <w:lang w:eastAsia="en-AU"/>
        </w:rPr>
        <w:t>ra</w:t>
      </w:r>
      <w:r w:rsidR="00EA253E">
        <w:rPr>
          <w:lang w:eastAsia="en-AU"/>
        </w:rPr>
        <w:t xml:space="preserve">tegies </w:t>
      </w:r>
      <w:r w:rsidR="00FA7C63">
        <w:rPr>
          <w:lang w:eastAsia="en-AU"/>
        </w:rPr>
        <w:t xml:space="preserve">to support courts and tribunals in working through </w:t>
      </w:r>
      <w:r>
        <w:rPr>
          <w:lang w:eastAsia="en-AU"/>
        </w:rPr>
        <w:t>the backlog of matters</w:t>
      </w:r>
      <w:r w:rsidR="0025232D">
        <w:rPr>
          <w:lang w:eastAsia="en-AU"/>
        </w:rPr>
        <w:t>,</w:t>
      </w:r>
      <w:r>
        <w:rPr>
          <w:lang w:eastAsia="en-AU"/>
        </w:rPr>
        <w:t xml:space="preserve"> </w:t>
      </w:r>
      <w:r w:rsidR="00FA7C63">
        <w:rPr>
          <w:lang w:eastAsia="en-AU"/>
        </w:rPr>
        <w:t xml:space="preserve">while </w:t>
      </w:r>
      <w:r>
        <w:rPr>
          <w:lang w:eastAsia="en-AU"/>
        </w:rPr>
        <w:t>ensur</w:t>
      </w:r>
      <w:r w:rsidR="00FA7C63">
        <w:rPr>
          <w:lang w:eastAsia="en-AU"/>
        </w:rPr>
        <w:t xml:space="preserve">ing </w:t>
      </w:r>
      <w:r>
        <w:rPr>
          <w:lang w:eastAsia="en-AU"/>
        </w:rPr>
        <w:t xml:space="preserve">clients </w:t>
      </w:r>
      <w:r w:rsidR="0025232D">
        <w:rPr>
          <w:lang w:eastAsia="en-AU"/>
        </w:rPr>
        <w:t xml:space="preserve">receive </w:t>
      </w:r>
      <w:r>
        <w:rPr>
          <w:lang w:eastAsia="en-AU"/>
        </w:rPr>
        <w:t xml:space="preserve">services that are appropriate </w:t>
      </w:r>
      <w:r w:rsidR="00FA7C63">
        <w:rPr>
          <w:lang w:eastAsia="en-AU"/>
        </w:rPr>
        <w:t>to their needs</w:t>
      </w:r>
      <w:r>
        <w:rPr>
          <w:lang w:eastAsia="en-AU"/>
        </w:rPr>
        <w:t>.</w:t>
      </w:r>
      <w:r w:rsidR="0049476A">
        <w:rPr>
          <w:lang w:eastAsia="en-AU"/>
        </w:rPr>
        <w:t xml:space="preserve"> </w:t>
      </w:r>
      <w:r w:rsidR="000F1638">
        <w:rPr>
          <w:lang w:eastAsia="en-AU"/>
        </w:rPr>
        <w:t>This will se</w:t>
      </w:r>
      <w:r w:rsidR="006A7015">
        <w:rPr>
          <w:lang w:eastAsia="en-AU"/>
        </w:rPr>
        <w:t xml:space="preserve">e </w:t>
      </w:r>
      <w:r w:rsidR="0025232D">
        <w:rPr>
          <w:lang w:eastAsia="en-AU"/>
        </w:rPr>
        <w:t>us</w:t>
      </w:r>
      <w:r w:rsidR="006A7015">
        <w:rPr>
          <w:lang w:eastAsia="en-AU"/>
        </w:rPr>
        <w:t xml:space="preserve"> </w:t>
      </w:r>
      <w:r w:rsidR="000F1638">
        <w:rPr>
          <w:lang w:eastAsia="en-AU"/>
        </w:rPr>
        <w:t xml:space="preserve">gradually increase our </w:t>
      </w:r>
      <w:r w:rsidR="00673C52">
        <w:rPr>
          <w:lang w:eastAsia="en-AU"/>
        </w:rPr>
        <w:t>face-to-face</w:t>
      </w:r>
      <w:r w:rsidR="000F1638">
        <w:rPr>
          <w:lang w:eastAsia="en-AU"/>
        </w:rPr>
        <w:t xml:space="preserve"> services in line with court plans</w:t>
      </w:r>
      <w:r w:rsidR="00EA18E2">
        <w:rPr>
          <w:lang w:eastAsia="en-AU"/>
        </w:rPr>
        <w:t xml:space="preserve">, </w:t>
      </w:r>
      <w:r w:rsidR="00A3749F">
        <w:rPr>
          <w:lang w:eastAsia="en-AU"/>
        </w:rPr>
        <w:t xml:space="preserve">continue to support </w:t>
      </w:r>
      <w:r w:rsidR="00EA18E2">
        <w:rPr>
          <w:lang w:eastAsia="en-AU"/>
        </w:rPr>
        <w:t xml:space="preserve">online hearings, </w:t>
      </w:r>
      <w:r w:rsidR="00C30CA4">
        <w:rPr>
          <w:lang w:eastAsia="en-AU"/>
        </w:rPr>
        <w:t>increase the</w:t>
      </w:r>
      <w:r w:rsidR="00EA18E2">
        <w:rPr>
          <w:lang w:eastAsia="en-AU"/>
        </w:rPr>
        <w:t xml:space="preserve"> use of pre-court assistance </w:t>
      </w:r>
      <w:r w:rsidR="006801D7">
        <w:rPr>
          <w:lang w:eastAsia="en-AU"/>
        </w:rPr>
        <w:t xml:space="preserve">for family violence clients and clients charged with minor crimes, and </w:t>
      </w:r>
      <w:r w:rsidR="00F2208D">
        <w:rPr>
          <w:lang w:eastAsia="en-AU"/>
        </w:rPr>
        <w:t xml:space="preserve">a focus on earlier resolution </w:t>
      </w:r>
      <w:r w:rsidR="00A61578">
        <w:rPr>
          <w:lang w:eastAsia="en-AU"/>
        </w:rPr>
        <w:t xml:space="preserve">in serious </w:t>
      </w:r>
      <w:r w:rsidR="00F2208D">
        <w:rPr>
          <w:lang w:eastAsia="en-AU"/>
        </w:rPr>
        <w:t>criminal matters.</w:t>
      </w:r>
      <w:r w:rsidR="0049476A">
        <w:rPr>
          <w:lang w:eastAsia="en-AU"/>
        </w:rPr>
        <w:t xml:space="preserve"> </w:t>
      </w:r>
      <w:r w:rsidR="009866F5">
        <w:rPr>
          <w:lang w:eastAsia="en-AU"/>
        </w:rPr>
        <w:t xml:space="preserve">As we transition </w:t>
      </w:r>
      <w:r>
        <w:rPr>
          <w:lang w:eastAsia="en-AU"/>
        </w:rPr>
        <w:t>we are continuing to provide services that adapt</w:t>
      </w:r>
      <w:r w:rsidR="009866F5">
        <w:rPr>
          <w:lang w:eastAsia="en-AU"/>
        </w:rPr>
        <w:t>,</w:t>
      </w:r>
      <w:r>
        <w:rPr>
          <w:lang w:eastAsia="en-AU"/>
        </w:rPr>
        <w:t xml:space="preserve"> and evolve</w:t>
      </w:r>
      <w:r w:rsidR="009866F5">
        <w:rPr>
          <w:lang w:eastAsia="en-AU"/>
        </w:rPr>
        <w:t>,</w:t>
      </w:r>
      <w:r>
        <w:rPr>
          <w:lang w:eastAsia="en-AU"/>
        </w:rPr>
        <w:t xml:space="preserve"> to community needs</w:t>
      </w:r>
      <w:r w:rsidR="00B22E64">
        <w:rPr>
          <w:lang w:eastAsia="en-AU"/>
        </w:rPr>
        <w:t xml:space="preserve">. </w:t>
      </w:r>
      <w:r>
        <w:rPr>
          <w:lang w:eastAsia="en-AU"/>
        </w:rPr>
        <w:t xml:space="preserve">We </w:t>
      </w:r>
      <w:r w:rsidR="00C849C2">
        <w:rPr>
          <w:lang w:eastAsia="en-AU"/>
        </w:rPr>
        <w:t>expect to</w:t>
      </w:r>
      <w:r>
        <w:rPr>
          <w:lang w:eastAsia="en-AU"/>
        </w:rPr>
        <w:t xml:space="preserve"> build </w:t>
      </w:r>
      <w:r w:rsidR="009003CD">
        <w:rPr>
          <w:lang w:eastAsia="en-AU"/>
        </w:rPr>
        <w:t xml:space="preserve">on the benefits that have arisen from transformation of the justice system over the last 12 months, and work with our partners to improve </w:t>
      </w:r>
      <w:r w:rsidR="00E4729F">
        <w:rPr>
          <w:lang w:eastAsia="en-AU"/>
        </w:rPr>
        <w:t xml:space="preserve">experiences for clients across the sector. </w:t>
      </w:r>
      <w:r>
        <w:rPr>
          <w:lang w:eastAsia="en-AU"/>
        </w:rPr>
        <w:t xml:space="preserve">We are continuing to design and develop new systems that make the process </w:t>
      </w:r>
      <w:r w:rsidR="00641683">
        <w:rPr>
          <w:lang w:eastAsia="en-AU"/>
        </w:rPr>
        <w:t xml:space="preserve">of seeking legal assistance easier </w:t>
      </w:r>
      <w:r>
        <w:rPr>
          <w:lang w:eastAsia="en-AU"/>
        </w:rPr>
        <w:t>for clients</w:t>
      </w:r>
      <w:r w:rsidR="00641683">
        <w:rPr>
          <w:lang w:eastAsia="en-AU"/>
        </w:rPr>
        <w:t>.</w:t>
      </w:r>
      <w:r>
        <w:rPr>
          <w:lang w:eastAsia="en-AU"/>
        </w:rPr>
        <w:t xml:space="preserve"> We have </w:t>
      </w:r>
      <w:r w:rsidR="00C849C2">
        <w:rPr>
          <w:lang w:eastAsia="en-AU"/>
        </w:rPr>
        <w:t xml:space="preserve">started to </w:t>
      </w:r>
      <w:r>
        <w:rPr>
          <w:lang w:eastAsia="en-AU"/>
        </w:rPr>
        <w:t xml:space="preserve">implement </w:t>
      </w:r>
      <w:r w:rsidR="00F54EBD">
        <w:rPr>
          <w:lang w:eastAsia="en-AU"/>
        </w:rPr>
        <w:t xml:space="preserve">new </w:t>
      </w:r>
      <w:r w:rsidR="007066F1">
        <w:rPr>
          <w:lang w:eastAsia="en-AU"/>
        </w:rPr>
        <w:t xml:space="preserve">software </w:t>
      </w:r>
      <w:r w:rsidR="00F54EBD">
        <w:rPr>
          <w:lang w:eastAsia="en-AU"/>
        </w:rPr>
        <w:t xml:space="preserve">that provides </w:t>
      </w:r>
      <w:r>
        <w:rPr>
          <w:lang w:eastAsia="en-AU"/>
        </w:rPr>
        <w:t xml:space="preserve">a single intake </w:t>
      </w:r>
      <w:r w:rsidR="00C849C2">
        <w:rPr>
          <w:lang w:eastAsia="en-AU"/>
        </w:rPr>
        <w:t xml:space="preserve">solution </w:t>
      </w:r>
      <w:r>
        <w:rPr>
          <w:lang w:eastAsia="en-AU"/>
        </w:rPr>
        <w:t xml:space="preserve">for our Legal Help service. This </w:t>
      </w:r>
      <w:r w:rsidR="009C7C58">
        <w:rPr>
          <w:lang w:eastAsia="en-AU"/>
        </w:rPr>
        <w:t>will</w:t>
      </w:r>
      <w:r>
        <w:rPr>
          <w:lang w:eastAsia="en-AU"/>
        </w:rPr>
        <w:t xml:space="preserve"> increase efficiency for our staff and allows them to spend more time focusing on client needs, ultimately improving the quality of the service for the client. </w:t>
      </w:r>
    </w:p>
    <w:p w14:paraId="2AE9053A" w14:textId="5BE5519D" w:rsidR="00C47D84" w:rsidRDefault="00C47D84" w:rsidP="00C47D84">
      <w:pPr>
        <w:rPr>
          <w:lang w:eastAsia="en-AU"/>
        </w:rPr>
      </w:pPr>
      <w:r>
        <w:rPr>
          <w:lang w:eastAsia="en-AU"/>
        </w:rPr>
        <w:t xml:space="preserve">We are pleased to see the progress towards transforming our mental health system for the benefit of the community. </w:t>
      </w:r>
      <w:r>
        <w:t>In March, t</w:t>
      </w:r>
      <w:r>
        <w:rPr>
          <w:lang w:eastAsia="en-AU"/>
        </w:rPr>
        <w:t xml:space="preserve">he </w:t>
      </w:r>
      <w:hyperlink r:id="rId11" w:history="1">
        <w:r w:rsidRPr="00606EC4">
          <w:rPr>
            <w:rStyle w:val="Hyperlink"/>
            <w:lang w:eastAsia="en-AU"/>
          </w:rPr>
          <w:t>final report of the Royal Commission into Victoria’s Mental Health System</w:t>
        </w:r>
      </w:hyperlink>
      <w:r>
        <w:rPr>
          <w:lang w:eastAsia="en-AU"/>
        </w:rPr>
        <w:t xml:space="preserve"> was delivered. The report, which contains 65 recommendations to transform the way people access assistance, provides an opportunity to establish a mental health system that is driven by people with lived experiences and focuses on their rights and recovery. The report recognised the role that legal assistance provides to people facing compulsory treatment orders and that our Independent Mental Health Advocacy service (IMHA) provides crucial support to people who are at risk or subject to compulsory treatment. We will work with the State Government, our partners and consumers to implement the recommendations </w:t>
      </w:r>
      <w:r w:rsidR="00FA21AD">
        <w:rPr>
          <w:lang w:eastAsia="en-AU"/>
        </w:rPr>
        <w:t xml:space="preserve">that will create </w:t>
      </w:r>
      <w:r>
        <w:rPr>
          <w:lang w:eastAsia="en-AU"/>
        </w:rPr>
        <w:t xml:space="preserve">a new, fairer mental health system. </w:t>
      </w:r>
    </w:p>
    <w:p w14:paraId="22246B96" w14:textId="45B4423A" w:rsidR="00923CA6" w:rsidRPr="001815CF" w:rsidRDefault="009E41F6" w:rsidP="001815CF">
      <w:pPr>
        <w:rPr>
          <w:lang w:eastAsia="en-AU"/>
        </w:rPr>
      </w:pPr>
      <w:r>
        <w:rPr>
          <w:lang w:eastAsia="en-AU"/>
        </w:rPr>
        <w:t xml:space="preserve">Cultural Diversity week </w:t>
      </w:r>
      <w:r w:rsidR="00A81F04">
        <w:rPr>
          <w:lang w:eastAsia="en-AU"/>
        </w:rPr>
        <w:t xml:space="preserve">provided us with an opportunity to reflect </w:t>
      </w:r>
      <w:r w:rsidR="001A74DE">
        <w:rPr>
          <w:lang w:eastAsia="en-AU"/>
        </w:rPr>
        <w:t>on</w:t>
      </w:r>
      <w:r w:rsidR="00D045C6">
        <w:rPr>
          <w:lang w:eastAsia="en-AU"/>
        </w:rPr>
        <w:t xml:space="preserve">, </w:t>
      </w:r>
      <w:r w:rsidR="00A81F04">
        <w:rPr>
          <w:lang w:eastAsia="en-AU"/>
        </w:rPr>
        <w:t>and discuss</w:t>
      </w:r>
      <w:r w:rsidR="00D045C6">
        <w:rPr>
          <w:lang w:eastAsia="en-AU"/>
        </w:rPr>
        <w:t>,</w:t>
      </w:r>
      <w:r w:rsidR="00A81F04">
        <w:rPr>
          <w:lang w:eastAsia="en-AU"/>
        </w:rPr>
        <w:t xml:space="preserve"> </w:t>
      </w:r>
      <w:r w:rsidR="00800728">
        <w:rPr>
          <w:lang w:eastAsia="en-AU"/>
        </w:rPr>
        <w:t xml:space="preserve">the systemic cultural issues within the community and the justice system. </w:t>
      </w:r>
      <w:r w:rsidR="00220F70">
        <w:rPr>
          <w:lang w:eastAsia="en-AU"/>
        </w:rPr>
        <w:t xml:space="preserve">We are committed to improving ourselves </w:t>
      </w:r>
      <w:r w:rsidR="00A1673E">
        <w:rPr>
          <w:lang w:eastAsia="en-AU"/>
        </w:rPr>
        <w:t xml:space="preserve">- </w:t>
      </w:r>
      <w:r w:rsidR="00220F70">
        <w:rPr>
          <w:lang w:eastAsia="en-AU"/>
        </w:rPr>
        <w:t xml:space="preserve">as individuals and as an organisation </w:t>
      </w:r>
      <w:r w:rsidR="00A1673E">
        <w:rPr>
          <w:lang w:eastAsia="en-AU"/>
        </w:rPr>
        <w:t>-</w:t>
      </w:r>
      <w:r w:rsidR="00220F70">
        <w:rPr>
          <w:lang w:eastAsia="en-AU"/>
        </w:rPr>
        <w:t xml:space="preserve"> to achieve racial justice within our organisation and to ultimately improve the experience of our clients. </w:t>
      </w:r>
      <w:r w:rsidR="001F21C2">
        <w:rPr>
          <w:lang w:eastAsia="en-AU"/>
        </w:rPr>
        <w:t>N</w:t>
      </w:r>
      <w:r w:rsidR="00CF026A">
        <w:rPr>
          <w:lang w:eastAsia="en-AU"/>
        </w:rPr>
        <w:t>ow a year into the strategy,</w:t>
      </w:r>
      <w:r w:rsidR="005B5119">
        <w:rPr>
          <w:lang w:eastAsia="en-AU"/>
        </w:rPr>
        <w:t xml:space="preserve"> </w:t>
      </w:r>
      <w:r w:rsidR="002A10A3">
        <w:rPr>
          <w:lang w:eastAsia="en-AU"/>
        </w:rPr>
        <w:t>our</w:t>
      </w:r>
      <w:r w:rsidR="00CF026A">
        <w:rPr>
          <w:lang w:eastAsia="en-AU"/>
        </w:rPr>
        <w:t xml:space="preserve"> </w:t>
      </w:r>
      <w:hyperlink r:id="rId12" w:history="1">
        <w:r w:rsidR="007360C3" w:rsidRPr="004D1472">
          <w:rPr>
            <w:rStyle w:val="Hyperlink"/>
            <w:lang w:eastAsia="en-AU"/>
          </w:rPr>
          <w:t>Cultural Diversity and Inclusion Strategy progress report</w:t>
        </w:r>
      </w:hyperlink>
      <w:r w:rsidR="001C6B92">
        <w:rPr>
          <w:lang w:eastAsia="en-AU"/>
        </w:rPr>
        <w:t xml:space="preserve"> shows that</w:t>
      </w:r>
      <w:r w:rsidR="001C3440">
        <w:rPr>
          <w:lang w:eastAsia="en-AU"/>
        </w:rPr>
        <w:t xml:space="preserve"> we have made steady progress towards </w:t>
      </w:r>
      <w:r w:rsidR="001F21C2">
        <w:rPr>
          <w:lang w:eastAsia="en-AU"/>
        </w:rPr>
        <w:t xml:space="preserve">our </w:t>
      </w:r>
      <w:r w:rsidR="001C3440">
        <w:rPr>
          <w:lang w:eastAsia="en-AU"/>
        </w:rPr>
        <w:t xml:space="preserve">goals. Key </w:t>
      </w:r>
      <w:r w:rsidR="006F1132">
        <w:rPr>
          <w:lang w:eastAsia="en-AU"/>
        </w:rPr>
        <w:t>focuses</w:t>
      </w:r>
      <w:r w:rsidR="006F1132" w:rsidDel="006F1132">
        <w:rPr>
          <w:lang w:eastAsia="en-AU"/>
        </w:rPr>
        <w:t xml:space="preserve"> </w:t>
      </w:r>
      <w:r w:rsidR="000D008B">
        <w:rPr>
          <w:lang w:eastAsia="en-AU"/>
        </w:rPr>
        <w:t xml:space="preserve"> have</w:t>
      </w:r>
      <w:r w:rsidR="00123931">
        <w:rPr>
          <w:lang w:eastAsia="en-AU"/>
        </w:rPr>
        <w:t xml:space="preserve"> </w:t>
      </w:r>
      <w:r w:rsidR="001C3440">
        <w:rPr>
          <w:lang w:eastAsia="en-AU"/>
        </w:rPr>
        <w:t>include</w:t>
      </w:r>
      <w:r w:rsidR="000D008B">
        <w:rPr>
          <w:lang w:eastAsia="en-AU"/>
        </w:rPr>
        <w:t>d</w:t>
      </w:r>
      <w:r w:rsidR="001C3440">
        <w:rPr>
          <w:lang w:eastAsia="en-AU"/>
        </w:rPr>
        <w:t xml:space="preserve"> the development of a Cultural </w:t>
      </w:r>
      <w:r w:rsidR="00EF1ACA">
        <w:rPr>
          <w:lang w:eastAsia="en-AU"/>
        </w:rPr>
        <w:t>Diversity</w:t>
      </w:r>
      <w:r w:rsidR="001C3440">
        <w:rPr>
          <w:lang w:eastAsia="en-AU"/>
        </w:rPr>
        <w:t xml:space="preserve"> and Anti-racism action</w:t>
      </w:r>
      <w:r w:rsidR="00FC6E1D">
        <w:rPr>
          <w:lang w:eastAsia="en-AU"/>
        </w:rPr>
        <w:t xml:space="preserve"> plan</w:t>
      </w:r>
      <w:r w:rsidR="00F80991">
        <w:rPr>
          <w:lang w:eastAsia="en-AU"/>
        </w:rPr>
        <w:t xml:space="preserve">, </w:t>
      </w:r>
      <w:r w:rsidR="001A3664">
        <w:rPr>
          <w:lang w:eastAsia="en-AU"/>
        </w:rPr>
        <w:t xml:space="preserve">and </w:t>
      </w:r>
      <w:r w:rsidR="000402E2">
        <w:rPr>
          <w:lang w:eastAsia="en-AU"/>
        </w:rPr>
        <w:t>providing our support</w:t>
      </w:r>
      <w:r w:rsidR="0081449F">
        <w:rPr>
          <w:lang w:eastAsia="en-AU"/>
        </w:rPr>
        <w:t xml:space="preserve"> </w:t>
      </w:r>
      <w:r w:rsidR="00426AB6">
        <w:rPr>
          <w:lang w:eastAsia="en-AU"/>
        </w:rPr>
        <w:t xml:space="preserve">in calling for an end to Aboriginal deaths in custody and </w:t>
      </w:r>
      <w:r w:rsidR="00AA56E6">
        <w:rPr>
          <w:lang w:eastAsia="en-AU"/>
        </w:rPr>
        <w:t>to raise the age of criminal responsibility for children</w:t>
      </w:r>
      <w:r w:rsidR="00426AB6">
        <w:rPr>
          <w:lang w:eastAsia="en-AU"/>
        </w:rPr>
        <w:t>.</w:t>
      </w:r>
      <w:r w:rsidR="00D8058B">
        <w:rPr>
          <w:lang w:eastAsia="en-AU"/>
        </w:rPr>
        <w:t xml:space="preserve"> </w:t>
      </w:r>
      <w:r w:rsidR="00667366">
        <w:rPr>
          <w:lang w:eastAsia="en-AU"/>
        </w:rPr>
        <w:t>We believe</w:t>
      </w:r>
      <w:r w:rsidR="00114CC7">
        <w:rPr>
          <w:lang w:eastAsia="en-AU"/>
        </w:rPr>
        <w:t xml:space="preserve"> that</w:t>
      </w:r>
      <w:r w:rsidR="00667366">
        <w:rPr>
          <w:lang w:eastAsia="en-AU"/>
        </w:rPr>
        <w:t xml:space="preserve"> t</w:t>
      </w:r>
      <w:r w:rsidR="0063451D">
        <w:rPr>
          <w:lang w:eastAsia="en-AU"/>
        </w:rPr>
        <w:t>he 30</w:t>
      </w:r>
      <w:r w:rsidR="0063451D" w:rsidRPr="007563B8">
        <w:rPr>
          <w:vertAlign w:val="superscript"/>
          <w:lang w:eastAsia="en-AU"/>
        </w:rPr>
        <w:t>th</w:t>
      </w:r>
      <w:r w:rsidR="0063451D">
        <w:rPr>
          <w:lang w:eastAsia="en-AU"/>
        </w:rPr>
        <w:t xml:space="preserve"> anniversary of the findings into the Royal Commission into Aboriginal deaths in custody is a time for </w:t>
      </w:r>
      <w:r w:rsidR="00667366">
        <w:rPr>
          <w:lang w:eastAsia="en-AU"/>
        </w:rPr>
        <w:t>concrete changes to be made to reduce the over</w:t>
      </w:r>
      <w:r w:rsidR="00FC6E1D">
        <w:rPr>
          <w:lang w:eastAsia="en-AU"/>
        </w:rPr>
        <w:t>-</w:t>
      </w:r>
      <w:r w:rsidR="00667366">
        <w:rPr>
          <w:lang w:eastAsia="en-AU"/>
        </w:rPr>
        <w:t xml:space="preserve">imprisonment of </w:t>
      </w:r>
      <w:r w:rsidR="00FC6E1D">
        <w:rPr>
          <w:lang w:eastAsia="en-AU"/>
        </w:rPr>
        <w:t>F</w:t>
      </w:r>
      <w:r w:rsidR="00667366">
        <w:rPr>
          <w:lang w:eastAsia="en-AU"/>
        </w:rPr>
        <w:t xml:space="preserve">irst </w:t>
      </w:r>
      <w:r w:rsidR="00FC6E1D">
        <w:rPr>
          <w:lang w:eastAsia="en-AU"/>
        </w:rPr>
        <w:t>N</w:t>
      </w:r>
      <w:r w:rsidR="00667366">
        <w:rPr>
          <w:lang w:eastAsia="en-AU"/>
        </w:rPr>
        <w:t>ations people.</w:t>
      </w:r>
      <w:r w:rsidR="00636D03">
        <w:rPr>
          <w:lang w:eastAsia="en-AU"/>
        </w:rPr>
        <w:t xml:space="preserve"> </w:t>
      </w:r>
      <w:r w:rsidR="000F4E75">
        <w:rPr>
          <w:lang w:eastAsia="en-AU"/>
        </w:rPr>
        <w:t>As we move into the second year of the strategy, w</w:t>
      </w:r>
      <w:r w:rsidR="008A78B3">
        <w:rPr>
          <w:lang w:eastAsia="en-AU"/>
        </w:rPr>
        <w:t xml:space="preserve">e will build </w:t>
      </w:r>
      <w:r w:rsidR="00B4576C">
        <w:rPr>
          <w:lang w:eastAsia="en-AU"/>
        </w:rPr>
        <w:t>on the work we</w:t>
      </w:r>
      <w:r w:rsidR="005951EE">
        <w:rPr>
          <w:lang w:eastAsia="en-AU"/>
        </w:rPr>
        <w:t xml:space="preserve"> ha</w:t>
      </w:r>
      <w:r w:rsidR="00B4576C">
        <w:rPr>
          <w:lang w:eastAsia="en-AU"/>
        </w:rPr>
        <w:t xml:space="preserve">ve done and continue </w:t>
      </w:r>
      <w:r w:rsidR="00B671D1">
        <w:rPr>
          <w:lang w:eastAsia="en-AU"/>
        </w:rPr>
        <w:t xml:space="preserve">to tackle </w:t>
      </w:r>
      <w:r w:rsidR="00092646">
        <w:rPr>
          <w:lang w:eastAsia="en-AU"/>
        </w:rPr>
        <w:t>racism in ou</w:t>
      </w:r>
      <w:r w:rsidR="008C6205">
        <w:rPr>
          <w:lang w:eastAsia="en-AU"/>
        </w:rPr>
        <w:t>r</w:t>
      </w:r>
      <w:r w:rsidR="00092646">
        <w:rPr>
          <w:lang w:eastAsia="en-AU"/>
        </w:rPr>
        <w:t xml:space="preserve"> workplace and the justice system. </w:t>
      </w:r>
    </w:p>
    <w:p w14:paraId="6B5485E3" w14:textId="1367A8A1" w:rsidR="00F13910" w:rsidRDefault="00936ACB" w:rsidP="007563B8">
      <w:pPr>
        <w:rPr>
          <w:rFonts w:cs="Arial"/>
          <w:b/>
          <w:bCs/>
          <w:iCs/>
          <w:color w:val="971A4B"/>
          <w:sz w:val="28"/>
          <w:szCs w:val="28"/>
          <w:lang w:eastAsia="en-AU"/>
        </w:rPr>
      </w:pPr>
      <w:r>
        <w:rPr>
          <w:lang w:eastAsia="en-AU"/>
        </w:rPr>
        <w:t xml:space="preserve">We </w:t>
      </w:r>
      <w:r w:rsidR="004D6AC1">
        <w:rPr>
          <w:lang w:eastAsia="en-AU"/>
        </w:rPr>
        <w:t xml:space="preserve">acknowledge the recent review and findings into sexual harassment in Victorian courts. These findings provide the legal profession with an opportunity to change harmful practices and move towards safer and more inclusive workplace cultures. </w:t>
      </w:r>
      <w:r w:rsidR="008E49CD">
        <w:rPr>
          <w:lang w:eastAsia="en-AU"/>
        </w:rPr>
        <w:t xml:space="preserve">We support the thoughtful and evidence-based recommendations </w:t>
      </w:r>
      <w:r w:rsidR="00AC7C47">
        <w:rPr>
          <w:lang w:eastAsia="en-AU"/>
        </w:rPr>
        <w:t>and</w:t>
      </w:r>
      <w:r w:rsidR="006D6C33">
        <w:rPr>
          <w:lang w:eastAsia="en-AU"/>
        </w:rPr>
        <w:t xml:space="preserve"> </w:t>
      </w:r>
      <w:r w:rsidR="0018778B">
        <w:rPr>
          <w:lang w:eastAsia="en-AU"/>
        </w:rPr>
        <w:t xml:space="preserve">are committed to </w:t>
      </w:r>
      <w:r w:rsidR="006D6C33">
        <w:rPr>
          <w:lang w:eastAsia="en-AU"/>
        </w:rPr>
        <w:t>work</w:t>
      </w:r>
      <w:r w:rsidR="0018778B">
        <w:rPr>
          <w:lang w:eastAsia="en-AU"/>
        </w:rPr>
        <w:t>ing</w:t>
      </w:r>
      <w:r w:rsidR="006D6C33">
        <w:rPr>
          <w:lang w:eastAsia="en-AU"/>
        </w:rPr>
        <w:t xml:space="preserve"> with our partners across the sector to increase prevention efforts, strengthen reporting systems and improve culture.</w:t>
      </w:r>
      <w:r w:rsidR="006D6C33">
        <w:t xml:space="preserve"> </w:t>
      </w:r>
      <w:r w:rsidR="00F13910">
        <w:br w:type="page"/>
      </w:r>
    </w:p>
    <w:p w14:paraId="1C7CBEA9" w14:textId="66411F24" w:rsidR="00E43EE2" w:rsidRDefault="009E5C83" w:rsidP="00597600">
      <w:pPr>
        <w:pStyle w:val="Heading2"/>
      </w:pPr>
      <w:r>
        <w:lastRenderedPageBreak/>
        <w:t>Client Services</w:t>
      </w:r>
      <w:r w:rsidR="007F609B">
        <w:t xml:space="preserve"> </w:t>
      </w:r>
      <w:r w:rsidR="004175B7" w:rsidRPr="004175B7">
        <w:t xml:space="preserve"> </w:t>
      </w:r>
    </w:p>
    <w:p w14:paraId="3C21063F" w14:textId="6764E295" w:rsidR="00E43EE2" w:rsidRDefault="007C1487" w:rsidP="55245693">
      <w:pPr>
        <w:rPr>
          <w:b/>
          <w:bCs/>
          <w:sz w:val="24"/>
        </w:rPr>
      </w:pPr>
      <w:r>
        <w:rPr>
          <w:b/>
          <w:bCs/>
          <w:sz w:val="24"/>
        </w:rPr>
        <w:t xml:space="preserve">Table 1.1 </w:t>
      </w:r>
      <w:r w:rsidR="00E43EE2" w:rsidRPr="55245693">
        <w:rPr>
          <w:b/>
          <w:bCs/>
          <w:sz w:val="24"/>
        </w:rPr>
        <w:t>Clients snapshot</w:t>
      </w:r>
    </w:p>
    <w:tbl>
      <w:tblPr>
        <w:tblStyle w:val="PlainTable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860"/>
        <w:gridCol w:w="1632"/>
        <w:gridCol w:w="1862"/>
        <w:gridCol w:w="1862"/>
        <w:gridCol w:w="1860"/>
      </w:tblGrid>
      <w:tr w:rsidR="009E5E1E" w:rsidRPr="000E7EED" w14:paraId="5105FACB" w14:textId="7C75EBD9" w:rsidTr="009E5E1E">
        <w:trPr>
          <w:cnfStyle w:val="100000000000" w:firstRow="1" w:lastRow="0" w:firstColumn="0" w:lastColumn="0" w:oddVBand="0" w:evenVBand="0" w:oddHBand="0" w:evenHBand="0" w:firstRowFirstColumn="0" w:firstRowLastColumn="0" w:lastRowFirstColumn="0" w:lastRowLastColumn="0"/>
          <w:trHeight w:val="190"/>
        </w:trPr>
        <w:tc>
          <w:tcPr>
            <w:cnfStyle w:val="000010000000" w:firstRow="0" w:lastRow="0" w:firstColumn="0" w:lastColumn="0" w:oddVBand="1" w:evenVBand="0" w:oddHBand="0" w:evenHBand="0" w:firstRowFirstColumn="0" w:firstRowLastColumn="0" w:lastRowFirstColumn="0" w:lastRowLastColumn="0"/>
            <w:tcW w:w="1419" w:type="pct"/>
            <w:shd w:val="clear" w:color="auto" w:fill="C3AFCC"/>
          </w:tcPr>
          <w:p w14:paraId="02AC0E7C" w14:textId="77777777" w:rsidR="009E5E1E" w:rsidRPr="000E7EED" w:rsidRDefault="009E5E1E" w:rsidP="0039260E">
            <w:pPr>
              <w:rPr>
                <w:color w:val="000000" w:themeColor="text1"/>
              </w:rPr>
            </w:pPr>
            <w:bookmarkStart w:id="0" w:name="_Hlk31869858"/>
            <w:r w:rsidRPr="000E7EED">
              <w:rPr>
                <w:b/>
                <w:color w:val="000000" w:themeColor="text1"/>
              </w:rPr>
              <w:t>Clients</w:t>
            </w:r>
          </w:p>
        </w:tc>
        <w:tc>
          <w:tcPr>
            <w:cnfStyle w:val="000001000000" w:firstRow="0" w:lastRow="0" w:firstColumn="0" w:lastColumn="0" w:oddVBand="0" w:evenVBand="1" w:oddHBand="0" w:evenHBand="0" w:firstRowFirstColumn="0" w:firstRowLastColumn="0" w:lastRowFirstColumn="0" w:lastRowLastColumn="0"/>
            <w:tcW w:w="810" w:type="pct"/>
            <w:shd w:val="clear" w:color="auto" w:fill="C3AFCC"/>
          </w:tcPr>
          <w:p w14:paraId="1DB462B9" w14:textId="39189E2E" w:rsidR="009E5E1E" w:rsidRPr="000E7EED" w:rsidRDefault="009E5E1E" w:rsidP="55245693">
            <w:pPr>
              <w:jc w:val="center"/>
              <w:rPr>
                <w:b/>
                <w:color w:val="000000" w:themeColor="text1"/>
              </w:rPr>
            </w:pPr>
            <w:r w:rsidRPr="55245693">
              <w:rPr>
                <w:b/>
                <w:color w:val="000000" w:themeColor="text1"/>
              </w:rPr>
              <w:t>Q</w:t>
            </w:r>
            <w:r>
              <w:rPr>
                <w:b/>
                <w:color w:val="000000" w:themeColor="text1"/>
              </w:rPr>
              <w:t>3</w:t>
            </w:r>
          </w:p>
          <w:p w14:paraId="2C3C051D" w14:textId="365CEA10" w:rsidR="009E5E1E" w:rsidRPr="000E7EED" w:rsidRDefault="009E5E1E" w:rsidP="0039260E">
            <w:pPr>
              <w:jc w:val="center"/>
              <w:rPr>
                <w:color w:val="000000" w:themeColor="text1"/>
              </w:rPr>
            </w:pPr>
            <w:r w:rsidRPr="000E7EED">
              <w:rPr>
                <w:b/>
                <w:color w:val="000000" w:themeColor="text1"/>
              </w:rPr>
              <w:t>20</w:t>
            </w:r>
            <w:r>
              <w:rPr>
                <w:b/>
                <w:color w:val="000000" w:themeColor="text1"/>
              </w:rPr>
              <w:t>19-20</w:t>
            </w:r>
          </w:p>
        </w:tc>
        <w:tc>
          <w:tcPr>
            <w:cnfStyle w:val="000010000000" w:firstRow="0" w:lastRow="0" w:firstColumn="0" w:lastColumn="0" w:oddVBand="1" w:evenVBand="0" w:oddHBand="0" w:evenHBand="0" w:firstRowFirstColumn="0" w:firstRowLastColumn="0" w:lastRowFirstColumn="0" w:lastRowLastColumn="0"/>
            <w:tcW w:w="924" w:type="pct"/>
            <w:shd w:val="clear" w:color="auto" w:fill="C3AFCC"/>
          </w:tcPr>
          <w:p w14:paraId="47FD7D32" w14:textId="102BCCF0" w:rsidR="009E5E1E" w:rsidRDefault="009E5E1E" w:rsidP="55245693">
            <w:pPr>
              <w:jc w:val="center"/>
              <w:rPr>
                <w:b/>
                <w:color w:val="000000" w:themeColor="text1"/>
              </w:rPr>
            </w:pPr>
            <w:r w:rsidRPr="55245693">
              <w:rPr>
                <w:b/>
                <w:color w:val="000000" w:themeColor="text1"/>
              </w:rPr>
              <w:t>Q</w:t>
            </w:r>
            <w:r>
              <w:rPr>
                <w:b/>
                <w:color w:val="000000" w:themeColor="text1"/>
              </w:rPr>
              <w:t>3</w:t>
            </w:r>
          </w:p>
          <w:p w14:paraId="62B8B011" w14:textId="36764309" w:rsidR="009E5E1E" w:rsidRPr="00A76427" w:rsidRDefault="009E5E1E" w:rsidP="0039260E">
            <w:pPr>
              <w:jc w:val="center"/>
              <w:rPr>
                <w:b/>
                <w:color w:val="000000" w:themeColor="text1"/>
              </w:rPr>
            </w:pPr>
            <w:r w:rsidRPr="000E7EED">
              <w:rPr>
                <w:b/>
                <w:color w:val="000000" w:themeColor="text1"/>
              </w:rPr>
              <w:t>20</w:t>
            </w:r>
            <w:r>
              <w:rPr>
                <w:b/>
                <w:color w:val="000000" w:themeColor="text1"/>
              </w:rPr>
              <w:t>20-21</w:t>
            </w:r>
          </w:p>
        </w:tc>
        <w:tc>
          <w:tcPr>
            <w:cnfStyle w:val="000001000000" w:firstRow="0" w:lastRow="0" w:firstColumn="0" w:lastColumn="0" w:oddVBand="0" w:evenVBand="1" w:oddHBand="0" w:evenHBand="0" w:firstRowFirstColumn="0" w:firstRowLastColumn="0" w:lastRowFirstColumn="0" w:lastRowLastColumn="0"/>
            <w:tcW w:w="924" w:type="pct"/>
            <w:shd w:val="clear" w:color="auto" w:fill="C3AFCC"/>
          </w:tcPr>
          <w:p w14:paraId="6B1834FE" w14:textId="59466911" w:rsidR="009E5E1E" w:rsidRDefault="009E5E1E" w:rsidP="55245693">
            <w:pPr>
              <w:jc w:val="center"/>
              <w:rPr>
                <w:b/>
                <w:bCs w:val="0"/>
                <w:color w:val="000000" w:themeColor="text1"/>
              </w:rPr>
            </w:pPr>
            <w:r>
              <w:rPr>
                <w:b/>
                <w:color w:val="000000" w:themeColor="text1"/>
              </w:rPr>
              <w:t>Q4 2021</w:t>
            </w:r>
          </w:p>
          <w:p w14:paraId="08B49C60" w14:textId="4461BA4C" w:rsidR="009E5E1E" w:rsidRPr="55245693" w:rsidRDefault="009E5E1E" w:rsidP="55245693">
            <w:pPr>
              <w:jc w:val="center"/>
              <w:rPr>
                <w:b/>
                <w:color w:val="000000" w:themeColor="text1"/>
              </w:rPr>
            </w:pPr>
            <w:r>
              <w:rPr>
                <w:b/>
                <w:color w:val="000000" w:themeColor="text1"/>
              </w:rPr>
              <w:t>projection</w:t>
            </w:r>
          </w:p>
        </w:tc>
        <w:tc>
          <w:tcPr>
            <w:cnfStyle w:val="000010000000" w:firstRow="0" w:lastRow="0" w:firstColumn="0" w:lastColumn="0" w:oddVBand="1" w:evenVBand="0" w:oddHBand="0" w:evenHBand="0" w:firstRowFirstColumn="0" w:firstRowLastColumn="0" w:lastRowFirstColumn="0" w:lastRowLastColumn="0"/>
            <w:tcW w:w="923" w:type="pct"/>
            <w:shd w:val="clear" w:color="auto" w:fill="C3AFCC"/>
          </w:tcPr>
          <w:p w14:paraId="52E5D041" w14:textId="7C5817FB" w:rsidR="009E5E1E" w:rsidRDefault="009E5E1E" w:rsidP="55245693">
            <w:pPr>
              <w:jc w:val="center"/>
              <w:rPr>
                <w:b/>
                <w:color w:val="000000" w:themeColor="text1"/>
              </w:rPr>
            </w:pPr>
            <w:r>
              <w:rPr>
                <w:b/>
                <w:color w:val="000000" w:themeColor="text1"/>
              </w:rPr>
              <w:t>Year-end projection</w:t>
            </w:r>
          </w:p>
        </w:tc>
      </w:tr>
      <w:tr w:rsidR="009E5E1E" w:rsidRPr="000E7EED" w14:paraId="712E240F" w14:textId="75D06C22" w:rsidTr="009E5E1E">
        <w:trPr>
          <w:cnfStyle w:val="000000100000" w:firstRow="0" w:lastRow="0" w:firstColumn="0" w:lastColumn="0" w:oddVBand="0" w:evenVBand="0" w:oddHBand="1" w:evenHBand="0" w:firstRowFirstColumn="0" w:firstRowLastColumn="0" w:lastRowFirstColumn="0" w:lastRowLastColumn="0"/>
          <w:trHeight w:val="566"/>
        </w:trPr>
        <w:tc>
          <w:tcPr>
            <w:cnfStyle w:val="000010000000" w:firstRow="0" w:lastRow="0" w:firstColumn="0" w:lastColumn="0" w:oddVBand="1" w:evenVBand="0" w:oddHBand="0" w:evenHBand="0" w:firstRowFirstColumn="0" w:firstRowLastColumn="0" w:lastRowFirstColumn="0" w:lastRowLastColumn="0"/>
            <w:tcW w:w="1419" w:type="pct"/>
          </w:tcPr>
          <w:p w14:paraId="6D73261E" w14:textId="77777777" w:rsidR="009E5E1E" w:rsidRPr="000E7EED" w:rsidRDefault="009E5E1E" w:rsidP="0039260E">
            <w:pPr>
              <w:rPr>
                <w:color w:val="000000" w:themeColor="text1"/>
              </w:rPr>
            </w:pPr>
            <w:r w:rsidRPr="000E7EED">
              <w:rPr>
                <w:color w:val="000000" w:themeColor="text1"/>
              </w:rPr>
              <w:t>Unique clients</w:t>
            </w:r>
            <w:r w:rsidRPr="000E7EED">
              <w:rPr>
                <w:rStyle w:val="FootnoteReference"/>
                <w:color w:val="000000" w:themeColor="text1"/>
              </w:rPr>
              <w:footnoteReference w:id="2"/>
            </w:r>
          </w:p>
        </w:tc>
        <w:tc>
          <w:tcPr>
            <w:cnfStyle w:val="000001000000" w:firstRow="0" w:lastRow="0" w:firstColumn="0" w:lastColumn="0" w:oddVBand="0" w:evenVBand="1" w:oddHBand="0" w:evenHBand="0" w:firstRowFirstColumn="0" w:firstRowLastColumn="0" w:lastRowFirstColumn="0" w:lastRowLastColumn="0"/>
            <w:tcW w:w="810" w:type="pct"/>
          </w:tcPr>
          <w:p w14:paraId="758A4E12" w14:textId="0E719A30" w:rsidR="009E5E1E" w:rsidRPr="000E7EED" w:rsidRDefault="00A54851" w:rsidP="00075D6E">
            <w:pPr>
              <w:jc w:val="center"/>
              <w:rPr>
                <w:color w:val="000000" w:themeColor="text1"/>
              </w:rPr>
            </w:pPr>
            <w:r>
              <w:rPr>
                <w:color w:val="000000" w:themeColor="text1"/>
              </w:rPr>
              <w:t>34,389</w:t>
            </w:r>
          </w:p>
        </w:tc>
        <w:tc>
          <w:tcPr>
            <w:cnfStyle w:val="000010000000" w:firstRow="0" w:lastRow="0" w:firstColumn="0" w:lastColumn="0" w:oddVBand="1" w:evenVBand="0" w:oddHBand="0" w:evenHBand="0" w:firstRowFirstColumn="0" w:firstRowLastColumn="0" w:lastRowFirstColumn="0" w:lastRowLastColumn="0"/>
            <w:tcW w:w="924" w:type="pct"/>
            <w:shd w:val="clear" w:color="auto" w:fill="D9D9D9" w:themeFill="background1" w:themeFillShade="D9"/>
          </w:tcPr>
          <w:p w14:paraId="5C50A8F1" w14:textId="07A65BC8" w:rsidR="009E5E1E" w:rsidRPr="0021615C" w:rsidRDefault="007821C7" w:rsidP="00075D6E">
            <w:pPr>
              <w:jc w:val="center"/>
            </w:pPr>
            <w:r>
              <w:t>15</w:t>
            </w:r>
            <w:r w:rsidR="009833D2">
              <w:t>,</w:t>
            </w:r>
            <w:r>
              <w:t>036</w:t>
            </w:r>
          </w:p>
        </w:tc>
        <w:tc>
          <w:tcPr>
            <w:cnfStyle w:val="000001000000" w:firstRow="0" w:lastRow="0" w:firstColumn="0" w:lastColumn="0" w:oddVBand="0" w:evenVBand="1" w:oddHBand="0" w:evenHBand="0" w:firstRowFirstColumn="0" w:firstRowLastColumn="0" w:lastRowFirstColumn="0" w:lastRowLastColumn="0"/>
            <w:tcW w:w="924" w:type="pct"/>
            <w:shd w:val="clear" w:color="auto" w:fill="auto"/>
          </w:tcPr>
          <w:p w14:paraId="086F5C8C" w14:textId="7FD8F78F" w:rsidR="009E5E1E" w:rsidRDefault="003E676A" w:rsidP="00075D6E">
            <w:pPr>
              <w:jc w:val="center"/>
            </w:pPr>
            <w:r>
              <w:t>21</w:t>
            </w:r>
            <w:r w:rsidR="00DB124C">
              <w:t>,</w:t>
            </w:r>
            <w:r>
              <w:t>5</w:t>
            </w:r>
            <w:r w:rsidR="00491EFA">
              <w:t>00</w:t>
            </w:r>
          </w:p>
        </w:tc>
        <w:tc>
          <w:tcPr>
            <w:cnfStyle w:val="000010000000" w:firstRow="0" w:lastRow="0" w:firstColumn="0" w:lastColumn="0" w:oddVBand="1" w:evenVBand="0" w:oddHBand="0" w:evenHBand="0" w:firstRowFirstColumn="0" w:firstRowLastColumn="0" w:lastRowFirstColumn="0" w:lastRowLastColumn="0"/>
            <w:tcW w:w="923" w:type="pct"/>
          </w:tcPr>
          <w:p w14:paraId="57D14FD5" w14:textId="0174FB4A" w:rsidR="009E5E1E" w:rsidRDefault="003E676A" w:rsidP="00075D6E">
            <w:pPr>
              <w:jc w:val="center"/>
            </w:pPr>
            <w:r>
              <w:t>78</w:t>
            </w:r>
            <w:r w:rsidR="00DB124C">
              <w:t>,</w:t>
            </w:r>
            <w:r w:rsidR="00491EFA">
              <w:t>900</w:t>
            </w:r>
          </w:p>
        </w:tc>
      </w:tr>
    </w:tbl>
    <w:bookmarkEnd w:id="0"/>
    <w:p w14:paraId="04191641" w14:textId="14845573" w:rsidR="00881695" w:rsidRDefault="00656DC7" w:rsidP="002A7FC0">
      <w:pPr>
        <w:spacing w:before="120"/>
      </w:pPr>
      <w:r>
        <w:t xml:space="preserve">The number of </w:t>
      </w:r>
      <w:r w:rsidR="00EB4C59">
        <w:t xml:space="preserve">unique clients </w:t>
      </w:r>
      <w:r w:rsidR="001D6025">
        <w:t xml:space="preserve">fell </w:t>
      </w:r>
      <w:r w:rsidR="00D77A03">
        <w:t>in quarter three 2020</w:t>
      </w:r>
      <w:r w:rsidR="00A234AC">
        <w:rPr>
          <w:lang w:eastAsia="en-AU"/>
        </w:rPr>
        <w:t>–</w:t>
      </w:r>
      <w:r w:rsidR="00D77A03">
        <w:t xml:space="preserve">21 </w:t>
      </w:r>
      <w:r w:rsidR="000044FF">
        <w:t xml:space="preserve">by </w:t>
      </w:r>
      <w:r w:rsidR="008216A7">
        <w:t>28 per cent</w:t>
      </w:r>
      <w:r w:rsidR="00520735">
        <w:t xml:space="preserve"> (Table 1.1) compared to quarter three in 2019</w:t>
      </w:r>
      <w:r w:rsidR="00A234AC">
        <w:rPr>
          <w:lang w:eastAsia="en-AU"/>
        </w:rPr>
        <w:t>–</w:t>
      </w:r>
      <w:r w:rsidR="00520735">
        <w:t xml:space="preserve">20. </w:t>
      </w:r>
      <w:r w:rsidR="000F7F07">
        <w:t>This decrease</w:t>
      </w:r>
      <w:r w:rsidR="0096190E">
        <w:t xml:space="preserve"> is</w:t>
      </w:r>
      <w:r w:rsidR="000F7F07">
        <w:t xml:space="preserve"> </w:t>
      </w:r>
      <w:r w:rsidR="00635852">
        <w:t xml:space="preserve">comparable </w:t>
      </w:r>
      <w:r w:rsidR="000F7F07">
        <w:t xml:space="preserve">to what </w:t>
      </w:r>
      <w:r w:rsidR="00182D48">
        <w:t xml:space="preserve">was experienced in the previous two quarters. </w:t>
      </w:r>
      <w:r w:rsidR="0002219F">
        <w:t>Duty Lawyer services are the main entry point for clients.</w:t>
      </w:r>
      <w:r w:rsidR="008818FE">
        <w:t xml:space="preserve"> </w:t>
      </w:r>
      <w:r w:rsidR="007C1B9D">
        <w:t xml:space="preserve">As courts are not yet back to full capacity </w:t>
      </w:r>
      <w:r w:rsidR="0032253C">
        <w:t>due to the COVID-19 pandemic, there remain fewer cases being heard, which results in a decrease in the number of duty lawyer services that we are able to provide</w:t>
      </w:r>
      <w:r w:rsidR="00A2723B">
        <w:t xml:space="preserve">. We anticipate </w:t>
      </w:r>
      <w:r w:rsidR="00303513">
        <w:t>numbers to</w:t>
      </w:r>
      <w:r w:rsidR="00AE392A">
        <w:t xml:space="preserve"> increase in quarter four as courts progressively increase the number of </w:t>
      </w:r>
      <w:r w:rsidR="00A82D18">
        <w:t>face-to-face</w:t>
      </w:r>
      <w:r w:rsidR="00AE392A">
        <w:t xml:space="preserve"> services</w:t>
      </w:r>
      <w:r w:rsidR="00A82D18">
        <w:t xml:space="preserve">. This is dependent </w:t>
      </w:r>
      <w:r w:rsidR="009442A9">
        <w:t xml:space="preserve"> </w:t>
      </w:r>
      <w:r w:rsidR="00BC7B2C">
        <w:t xml:space="preserve">on how quickly the justice system returns to more normal service offerings and </w:t>
      </w:r>
      <w:r w:rsidR="00906ABC">
        <w:t xml:space="preserve">its ability to </w:t>
      </w:r>
      <w:r w:rsidR="00B804F5">
        <w:t xml:space="preserve">manage the backlog brought on by the pandemic. </w:t>
      </w:r>
    </w:p>
    <w:p w14:paraId="71C1B22F" w14:textId="3C1DFF6F" w:rsidR="00E43EE2" w:rsidRDefault="007C1487" w:rsidP="00E43EE2">
      <w:pPr>
        <w:pStyle w:val="Tableheader"/>
      </w:pPr>
      <w:bookmarkStart w:id="1" w:name="_Hlk52886498"/>
      <w:r>
        <w:t xml:space="preserve">Table 1.2 </w:t>
      </w:r>
      <w:r w:rsidR="00495A11">
        <w:t xml:space="preserve">Legal Help </w:t>
      </w:r>
      <w:r w:rsidR="00495A11" w:rsidRPr="001F0CF5">
        <w:t>phoneline</w:t>
      </w:r>
      <w:r w:rsidR="00E43EE2">
        <w:t xml:space="preserve"> </w:t>
      </w:r>
      <w:r w:rsidR="001F1CD9">
        <w:t xml:space="preserve">and web chat </w:t>
      </w:r>
      <w:r w:rsidR="00E43EE2">
        <w:t>snapshot</w:t>
      </w:r>
    </w:p>
    <w:tbl>
      <w:tblPr>
        <w:tblStyle w:val="PlainTable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596"/>
        <w:gridCol w:w="1773"/>
        <w:gridCol w:w="1175"/>
        <w:gridCol w:w="1079"/>
        <w:gridCol w:w="2173"/>
        <w:gridCol w:w="1280"/>
      </w:tblGrid>
      <w:tr w:rsidR="00774119" w:rsidRPr="000E7EED" w14:paraId="610BF466" w14:textId="350E7F7C" w:rsidTr="00491BE4">
        <w:trPr>
          <w:cnfStyle w:val="100000000000" w:firstRow="1" w:lastRow="0" w:firstColumn="0" w:lastColumn="0" w:oddVBand="0" w:evenVBand="0" w:oddHBand="0" w:evenHBand="0" w:firstRowFirstColumn="0" w:firstRowLastColumn="0" w:lastRowFirstColumn="0" w:lastRowLastColumn="0"/>
          <w:trHeight w:val="365"/>
        </w:trPr>
        <w:tc>
          <w:tcPr>
            <w:cnfStyle w:val="000010000000" w:firstRow="0" w:lastRow="0" w:firstColumn="0" w:lastColumn="0" w:oddVBand="1" w:evenVBand="0" w:oddHBand="0" w:evenHBand="0" w:firstRowFirstColumn="0" w:firstRowLastColumn="0" w:lastRowFirstColumn="0" w:lastRowLastColumn="0"/>
            <w:tcW w:w="1206" w:type="pct"/>
            <w:shd w:val="clear" w:color="auto" w:fill="C4B0CC"/>
          </w:tcPr>
          <w:p w14:paraId="685BCF7D" w14:textId="306AA6B1" w:rsidR="009E5E1E" w:rsidRPr="000E7EED" w:rsidRDefault="009E5E1E" w:rsidP="0039260E">
            <w:pPr>
              <w:rPr>
                <w:color w:val="000000" w:themeColor="text1"/>
              </w:rPr>
            </w:pPr>
            <w:bookmarkStart w:id="2" w:name="_Hlk31804015"/>
            <w:r>
              <w:rPr>
                <w:b/>
                <w:color w:val="000000" w:themeColor="text1"/>
              </w:rPr>
              <w:t>Legal Help</w:t>
            </w:r>
            <w:r w:rsidRPr="000E7EED">
              <w:rPr>
                <w:b/>
                <w:color w:val="000000" w:themeColor="text1"/>
              </w:rPr>
              <w:t xml:space="preserve"> </w:t>
            </w:r>
          </w:p>
        </w:tc>
        <w:tc>
          <w:tcPr>
            <w:cnfStyle w:val="000001000000" w:firstRow="0" w:lastRow="0" w:firstColumn="0" w:lastColumn="0" w:oddVBand="0" w:evenVBand="1" w:oddHBand="0" w:evenHBand="0" w:firstRowFirstColumn="0" w:firstRowLastColumn="0" w:lastRowFirstColumn="0" w:lastRowLastColumn="0"/>
            <w:tcW w:w="858" w:type="pct"/>
            <w:shd w:val="clear" w:color="auto" w:fill="C3AFCC"/>
          </w:tcPr>
          <w:p w14:paraId="7CEF1135" w14:textId="57655427" w:rsidR="009E5E1E" w:rsidRPr="55245693" w:rsidRDefault="009E5E1E" w:rsidP="55245693">
            <w:pPr>
              <w:jc w:val="center"/>
              <w:rPr>
                <w:b/>
                <w:color w:val="000000" w:themeColor="text1"/>
              </w:rPr>
            </w:pPr>
            <w:r>
              <w:rPr>
                <w:b/>
                <w:color w:val="000000" w:themeColor="text1"/>
              </w:rPr>
              <w:t>Service Delivery type</w:t>
            </w:r>
          </w:p>
        </w:tc>
        <w:tc>
          <w:tcPr>
            <w:cnfStyle w:val="000010000000" w:firstRow="0" w:lastRow="0" w:firstColumn="0" w:lastColumn="0" w:oddVBand="1" w:evenVBand="0" w:oddHBand="0" w:evenHBand="0" w:firstRowFirstColumn="0" w:firstRowLastColumn="0" w:lastRowFirstColumn="0" w:lastRowLastColumn="0"/>
            <w:tcW w:w="605" w:type="pct"/>
            <w:shd w:val="clear" w:color="auto" w:fill="C3AFCC"/>
          </w:tcPr>
          <w:p w14:paraId="2533E8EB" w14:textId="25D01085" w:rsidR="009E5E1E" w:rsidRPr="000E7EED" w:rsidRDefault="009E5E1E" w:rsidP="55245693">
            <w:pPr>
              <w:jc w:val="center"/>
              <w:rPr>
                <w:b/>
                <w:color w:val="000000" w:themeColor="text1"/>
              </w:rPr>
            </w:pPr>
            <w:r w:rsidRPr="55245693">
              <w:rPr>
                <w:b/>
                <w:color w:val="000000" w:themeColor="text1"/>
              </w:rPr>
              <w:t>Q</w:t>
            </w:r>
            <w:r>
              <w:rPr>
                <w:b/>
                <w:color w:val="000000" w:themeColor="text1"/>
              </w:rPr>
              <w:t>3</w:t>
            </w:r>
          </w:p>
          <w:p w14:paraId="537B5889" w14:textId="409E59CB" w:rsidR="009E5E1E" w:rsidRPr="000E7EED" w:rsidRDefault="009E5E1E" w:rsidP="0039260E">
            <w:pPr>
              <w:jc w:val="center"/>
              <w:rPr>
                <w:color w:val="000000" w:themeColor="text1"/>
              </w:rPr>
            </w:pPr>
            <w:r w:rsidRPr="000E7EED">
              <w:rPr>
                <w:b/>
                <w:color w:val="000000" w:themeColor="text1"/>
              </w:rPr>
              <w:t>20</w:t>
            </w:r>
            <w:r>
              <w:rPr>
                <w:b/>
                <w:color w:val="000000" w:themeColor="text1"/>
              </w:rPr>
              <w:t>19-20</w:t>
            </w:r>
          </w:p>
        </w:tc>
        <w:tc>
          <w:tcPr>
            <w:cnfStyle w:val="000001000000" w:firstRow="0" w:lastRow="0" w:firstColumn="0" w:lastColumn="0" w:oddVBand="0" w:evenVBand="1" w:oddHBand="0" w:evenHBand="0" w:firstRowFirstColumn="0" w:firstRowLastColumn="0" w:lastRowFirstColumn="0" w:lastRowLastColumn="0"/>
            <w:tcW w:w="563" w:type="pct"/>
            <w:shd w:val="clear" w:color="auto" w:fill="C3AFCC"/>
          </w:tcPr>
          <w:p w14:paraId="471B57D4" w14:textId="15AE8F83" w:rsidR="009E5E1E" w:rsidRDefault="009E5E1E" w:rsidP="55245693">
            <w:pPr>
              <w:jc w:val="center"/>
              <w:rPr>
                <w:b/>
                <w:color w:val="000000" w:themeColor="text1"/>
              </w:rPr>
            </w:pPr>
            <w:r w:rsidRPr="55245693">
              <w:rPr>
                <w:b/>
                <w:color w:val="000000" w:themeColor="text1"/>
              </w:rPr>
              <w:t>Q</w:t>
            </w:r>
            <w:r>
              <w:rPr>
                <w:b/>
                <w:color w:val="000000" w:themeColor="text1"/>
              </w:rPr>
              <w:t>3</w:t>
            </w:r>
          </w:p>
          <w:p w14:paraId="7F054B76" w14:textId="59935BBF" w:rsidR="009E5E1E" w:rsidRPr="00A76427" w:rsidRDefault="009E5E1E" w:rsidP="0039260E">
            <w:pPr>
              <w:jc w:val="center"/>
              <w:rPr>
                <w:b/>
                <w:color w:val="000000" w:themeColor="text1"/>
              </w:rPr>
            </w:pPr>
            <w:r w:rsidRPr="000E7EED">
              <w:rPr>
                <w:b/>
                <w:color w:val="000000" w:themeColor="text1"/>
              </w:rPr>
              <w:t>20</w:t>
            </w:r>
            <w:r>
              <w:rPr>
                <w:b/>
                <w:color w:val="000000" w:themeColor="text1"/>
              </w:rPr>
              <w:t>20-21</w:t>
            </w:r>
          </w:p>
        </w:tc>
        <w:tc>
          <w:tcPr>
            <w:cnfStyle w:val="000010000000" w:firstRow="0" w:lastRow="0" w:firstColumn="0" w:lastColumn="0" w:oddVBand="1" w:evenVBand="0" w:oddHBand="0" w:evenHBand="0" w:firstRowFirstColumn="0" w:firstRowLastColumn="0" w:lastRowFirstColumn="0" w:lastRowLastColumn="0"/>
            <w:tcW w:w="1027" w:type="pct"/>
            <w:shd w:val="clear" w:color="auto" w:fill="C3AFCC"/>
          </w:tcPr>
          <w:p w14:paraId="0A454959" w14:textId="00BF00BE" w:rsidR="009E5E1E" w:rsidRDefault="009E5E1E" w:rsidP="55245693">
            <w:pPr>
              <w:jc w:val="center"/>
              <w:rPr>
                <w:b/>
                <w:bCs w:val="0"/>
                <w:color w:val="000000" w:themeColor="text1"/>
              </w:rPr>
            </w:pPr>
            <w:r>
              <w:rPr>
                <w:b/>
                <w:color w:val="000000" w:themeColor="text1"/>
              </w:rPr>
              <w:t>Q4 2021</w:t>
            </w:r>
          </w:p>
          <w:p w14:paraId="1EE8EA13" w14:textId="5F110553" w:rsidR="009E5E1E" w:rsidRPr="55245693" w:rsidRDefault="009E5E1E" w:rsidP="55245693">
            <w:pPr>
              <w:jc w:val="center"/>
              <w:rPr>
                <w:b/>
                <w:color w:val="000000" w:themeColor="text1"/>
              </w:rPr>
            </w:pPr>
            <w:r>
              <w:rPr>
                <w:b/>
                <w:color w:val="000000" w:themeColor="text1"/>
              </w:rPr>
              <w:t>projection</w:t>
            </w:r>
          </w:p>
        </w:tc>
        <w:tc>
          <w:tcPr>
            <w:cnfStyle w:val="000001000000" w:firstRow="0" w:lastRow="0" w:firstColumn="0" w:lastColumn="0" w:oddVBand="0" w:evenVBand="1" w:oddHBand="0" w:evenHBand="0" w:firstRowFirstColumn="0" w:firstRowLastColumn="0" w:lastRowFirstColumn="0" w:lastRowLastColumn="0"/>
            <w:tcW w:w="0" w:type="pct"/>
            <w:shd w:val="clear" w:color="auto" w:fill="C3AFCC"/>
          </w:tcPr>
          <w:p w14:paraId="083D9B08" w14:textId="52060A51" w:rsidR="009E5E1E" w:rsidRDefault="009E5E1E" w:rsidP="55245693">
            <w:pPr>
              <w:jc w:val="center"/>
              <w:rPr>
                <w:b/>
                <w:color w:val="000000" w:themeColor="text1"/>
              </w:rPr>
            </w:pPr>
            <w:r>
              <w:rPr>
                <w:b/>
                <w:color w:val="000000" w:themeColor="text1"/>
              </w:rPr>
              <w:t>Year-end projection</w:t>
            </w:r>
          </w:p>
        </w:tc>
      </w:tr>
      <w:tr w:rsidR="00F43598" w:rsidRPr="000E7EED" w14:paraId="673A80E6" w14:textId="0DD1A5C6" w:rsidTr="00491BE4">
        <w:trPr>
          <w:cnfStyle w:val="000000100000" w:firstRow="0" w:lastRow="0" w:firstColumn="0" w:lastColumn="0" w:oddVBand="0" w:evenVBand="0" w:oddHBand="1" w:evenHBand="0" w:firstRowFirstColumn="0" w:firstRowLastColumn="0" w:lastRowFirstColumn="0" w:lastRowLastColumn="0"/>
          <w:trHeight w:val="581"/>
        </w:trPr>
        <w:tc>
          <w:tcPr>
            <w:cnfStyle w:val="000010000000" w:firstRow="0" w:lastRow="0" w:firstColumn="0" w:lastColumn="0" w:oddVBand="1" w:evenVBand="0" w:oddHBand="0" w:evenHBand="0" w:firstRowFirstColumn="0" w:firstRowLastColumn="0" w:lastRowFirstColumn="0" w:lastRowLastColumn="0"/>
            <w:tcW w:w="1206" w:type="pct"/>
            <w:vMerge w:val="restart"/>
          </w:tcPr>
          <w:p w14:paraId="22ABC519" w14:textId="103D0FC9" w:rsidR="009E5E1E" w:rsidRPr="001F0CF5" w:rsidRDefault="009E5E1E" w:rsidP="00E4220A">
            <w:pPr>
              <w:rPr>
                <w:color w:val="000000" w:themeColor="text1"/>
              </w:rPr>
            </w:pPr>
            <w:r w:rsidRPr="001F0CF5">
              <w:rPr>
                <w:color w:val="000000" w:themeColor="text1"/>
              </w:rPr>
              <w:t>Requests for Legal Help assistance</w:t>
            </w:r>
          </w:p>
        </w:tc>
        <w:tc>
          <w:tcPr>
            <w:cnfStyle w:val="000001000000" w:firstRow="0" w:lastRow="0" w:firstColumn="0" w:lastColumn="0" w:oddVBand="0" w:evenVBand="1" w:oddHBand="0" w:evenHBand="0" w:firstRowFirstColumn="0" w:firstRowLastColumn="0" w:lastRowFirstColumn="0" w:lastRowLastColumn="0"/>
            <w:tcW w:w="858" w:type="pct"/>
          </w:tcPr>
          <w:p w14:paraId="50E1615B" w14:textId="185CA98D" w:rsidR="009E5E1E" w:rsidRPr="000E7EED" w:rsidRDefault="009E5E1E" w:rsidP="00E4220A">
            <w:pPr>
              <w:rPr>
                <w:color w:val="000000" w:themeColor="text1"/>
              </w:rPr>
            </w:pPr>
            <w:r>
              <w:rPr>
                <w:color w:val="000000" w:themeColor="text1"/>
              </w:rPr>
              <w:t>Phoneline</w:t>
            </w:r>
          </w:p>
        </w:tc>
        <w:tc>
          <w:tcPr>
            <w:cnfStyle w:val="000010000000" w:firstRow="0" w:lastRow="0" w:firstColumn="0" w:lastColumn="0" w:oddVBand="1" w:evenVBand="0" w:oddHBand="0" w:evenHBand="0" w:firstRowFirstColumn="0" w:firstRowLastColumn="0" w:lastRowFirstColumn="0" w:lastRowLastColumn="0"/>
            <w:tcW w:w="605" w:type="pct"/>
          </w:tcPr>
          <w:p w14:paraId="32B513F8" w14:textId="77A8B3DE" w:rsidR="009E5E1E" w:rsidRPr="000E7EED" w:rsidRDefault="00A1147A" w:rsidP="00075D6E">
            <w:pPr>
              <w:jc w:val="center"/>
              <w:rPr>
                <w:color w:val="000000" w:themeColor="text1"/>
              </w:rPr>
            </w:pPr>
            <w:r>
              <w:rPr>
                <w:color w:val="000000" w:themeColor="text1"/>
              </w:rPr>
              <w:t>39,621</w:t>
            </w:r>
          </w:p>
        </w:tc>
        <w:tc>
          <w:tcPr>
            <w:cnfStyle w:val="000001000000" w:firstRow="0" w:lastRow="0" w:firstColumn="0" w:lastColumn="0" w:oddVBand="0" w:evenVBand="1" w:oddHBand="0" w:evenHBand="0" w:firstRowFirstColumn="0" w:firstRowLastColumn="0" w:lastRowFirstColumn="0" w:lastRowLastColumn="0"/>
            <w:tcW w:w="564" w:type="pct"/>
            <w:shd w:val="clear" w:color="auto" w:fill="D9D9D9" w:themeFill="background1" w:themeFillShade="D9"/>
          </w:tcPr>
          <w:p w14:paraId="12828136" w14:textId="6F605DB7" w:rsidR="009E5E1E" w:rsidRPr="0021615C" w:rsidRDefault="00A1147A" w:rsidP="00075D6E">
            <w:pPr>
              <w:jc w:val="center"/>
            </w:pPr>
            <w:r>
              <w:t>39,497</w:t>
            </w:r>
          </w:p>
        </w:tc>
        <w:tc>
          <w:tcPr>
            <w:cnfStyle w:val="000010000000" w:firstRow="0" w:lastRow="0" w:firstColumn="0" w:lastColumn="0" w:oddVBand="1" w:evenVBand="0" w:oddHBand="0" w:evenHBand="0" w:firstRowFirstColumn="0" w:firstRowLastColumn="0" w:lastRowFirstColumn="0" w:lastRowLastColumn="0"/>
            <w:tcW w:w="1027" w:type="pct"/>
            <w:shd w:val="clear" w:color="auto" w:fill="auto"/>
          </w:tcPr>
          <w:p w14:paraId="0DAF5679" w14:textId="47EAD104" w:rsidR="009E5E1E" w:rsidRDefault="00710505" w:rsidP="00075D6E">
            <w:pPr>
              <w:jc w:val="center"/>
            </w:pPr>
            <w:r>
              <w:t>40,700</w:t>
            </w:r>
          </w:p>
        </w:tc>
        <w:tc>
          <w:tcPr>
            <w:cnfStyle w:val="000001000000" w:firstRow="0" w:lastRow="0" w:firstColumn="0" w:lastColumn="0" w:oddVBand="0" w:evenVBand="1" w:oddHBand="0" w:evenHBand="0" w:firstRowFirstColumn="0" w:firstRowLastColumn="0" w:lastRowFirstColumn="0" w:lastRowLastColumn="0"/>
            <w:tcW w:w="0" w:type="pct"/>
          </w:tcPr>
          <w:p w14:paraId="3ED1610A" w14:textId="418F256F" w:rsidR="009E5E1E" w:rsidRDefault="006577F7" w:rsidP="00075D6E">
            <w:pPr>
              <w:jc w:val="center"/>
            </w:pPr>
            <w:r>
              <w:t>159,6</w:t>
            </w:r>
            <w:r w:rsidR="00491EFA">
              <w:t>00</w:t>
            </w:r>
          </w:p>
        </w:tc>
      </w:tr>
      <w:tr w:rsidR="00F43598" w:rsidRPr="000E7EED" w14:paraId="1B8D8858" w14:textId="18FA9AA6" w:rsidTr="00491BE4">
        <w:trPr>
          <w:cnfStyle w:val="000000010000" w:firstRow="0" w:lastRow="0" w:firstColumn="0" w:lastColumn="0" w:oddVBand="0" w:evenVBand="0" w:oddHBand="0" w:evenHBand="1" w:firstRowFirstColumn="0" w:firstRowLastColumn="0" w:lastRowFirstColumn="0" w:lastRowLastColumn="0"/>
          <w:trHeight w:val="581"/>
        </w:trPr>
        <w:tc>
          <w:tcPr>
            <w:cnfStyle w:val="000010000000" w:firstRow="0" w:lastRow="0" w:firstColumn="0" w:lastColumn="0" w:oddVBand="1" w:evenVBand="0" w:oddHBand="0" w:evenHBand="0" w:firstRowFirstColumn="0" w:firstRowLastColumn="0" w:lastRowFirstColumn="0" w:lastRowLastColumn="0"/>
            <w:tcW w:w="1206" w:type="pct"/>
            <w:vMerge/>
          </w:tcPr>
          <w:p w14:paraId="6FE97750" w14:textId="77777777" w:rsidR="009E5E1E" w:rsidRPr="001F0CF5" w:rsidRDefault="009E5E1E" w:rsidP="005D2691">
            <w:pPr>
              <w:rPr>
                <w:color w:val="000000" w:themeColor="text1"/>
              </w:rPr>
            </w:pPr>
          </w:p>
        </w:tc>
        <w:tc>
          <w:tcPr>
            <w:cnfStyle w:val="000001000000" w:firstRow="0" w:lastRow="0" w:firstColumn="0" w:lastColumn="0" w:oddVBand="0" w:evenVBand="1" w:oddHBand="0" w:evenHBand="0" w:firstRowFirstColumn="0" w:firstRowLastColumn="0" w:lastRowFirstColumn="0" w:lastRowLastColumn="0"/>
            <w:tcW w:w="858" w:type="pct"/>
            <w:tcBorders>
              <w:top w:val="single" w:sz="4" w:space="0" w:color="7F7F7F" w:themeColor="text1" w:themeTint="80"/>
            </w:tcBorders>
          </w:tcPr>
          <w:p w14:paraId="6A9325D5" w14:textId="17639081" w:rsidR="009E5E1E" w:rsidRPr="000E7EED" w:rsidRDefault="009E5E1E" w:rsidP="005D2691">
            <w:pPr>
              <w:rPr>
                <w:color w:val="000000" w:themeColor="text1"/>
              </w:rPr>
            </w:pPr>
            <w:r>
              <w:rPr>
                <w:color w:val="000000" w:themeColor="text1"/>
              </w:rPr>
              <w:t>Web chat</w:t>
            </w:r>
          </w:p>
        </w:tc>
        <w:tc>
          <w:tcPr>
            <w:cnfStyle w:val="000010000000" w:firstRow="0" w:lastRow="0" w:firstColumn="0" w:lastColumn="0" w:oddVBand="1" w:evenVBand="0" w:oddHBand="0" w:evenHBand="0" w:firstRowFirstColumn="0" w:firstRowLastColumn="0" w:lastRowFirstColumn="0" w:lastRowLastColumn="0"/>
            <w:tcW w:w="605" w:type="pct"/>
          </w:tcPr>
          <w:p w14:paraId="2A1F3A44" w14:textId="330E0A41" w:rsidR="009E5E1E" w:rsidRPr="000E7EED" w:rsidRDefault="00A1147A" w:rsidP="00075D6E">
            <w:pPr>
              <w:jc w:val="center"/>
              <w:rPr>
                <w:color w:val="000000" w:themeColor="text1"/>
              </w:rPr>
            </w:pPr>
            <w:r>
              <w:rPr>
                <w:color w:val="000000" w:themeColor="text1"/>
              </w:rPr>
              <w:t>7,595</w:t>
            </w:r>
          </w:p>
        </w:tc>
        <w:tc>
          <w:tcPr>
            <w:cnfStyle w:val="000001000000" w:firstRow="0" w:lastRow="0" w:firstColumn="0" w:lastColumn="0" w:oddVBand="0" w:evenVBand="1" w:oddHBand="0" w:evenHBand="0" w:firstRowFirstColumn="0" w:firstRowLastColumn="0" w:lastRowFirstColumn="0" w:lastRowLastColumn="0"/>
            <w:tcW w:w="564" w:type="pct"/>
            <w:shd w:val="clear" w:color="auto" w:fill="D9D9D9" w:themeFill="background1" w:themeFillShade="D9"/>
          </w:tcPr>
          <w:p w14:paraId="0B0B0D09" w14:textId="4B3EB335" w:rsidR="009E5E1E" w:rsidRPr="0021615C" w:rsidRDefault="00A1147A" w:rsidP="00075D6E">
            <w:pPr>
              <w:jc w:val="center"/>
            </w:pPr>
            <w:r>
              <w:t>11,886</w:t>
            </w:r>
          </w:p>
        </w:tc>
        <w:tc>
          <w:tcPr>
            <w:cnfStyle w:val="000010000000" w:firstRow="0" w:lastRow="0" w:firstColumn="0" w:lastColumn="0" w:oddVBand="1" w:evenVBand="0" w:oddHBand="0" w:evenHBand="0" w:firstRowFirstColumn="0" w:firstRowLastColumn="0" w:lastRowFirstColumn="0" w:lastRowLastColumn="0"/>
            <w:tcW w:w="1027" w:type="pct"/>
            <w:shd w:val="clear" w:color="auto" w:fill="auto"/>
          </w:tcPr>
          <w:p w14:paraId="679552C6" w14:textId="46C19A8E" w:rsidR="009E5E1E" w:rsidRDefault="00710505" w:rsidP="00075D6E">
            <w:pPr>
              <w:jc w:val="center"/>
            </w:pPr>
            <w:r>
              <w:t>11,500</w:t>
            </w:r>
          </w:p>
        </w:tc>
        <w:tc>
          <w:tcPr>
            <w:cnfStyle w:val="000001000000" w:firstRow="0" w:lastRow="0" w:firstColumn="0" w:lastColumn="0" w:oddVBand="0" w:evenVBand="1" w:oddHBand="0" w:evenHBand="0" w:firstRowFirstColumn="0" w:firstRowLastColumn="0" w:lastRowFirstColumn="0" w:lastRowLastColumn="0"/>
            <w:tcW w:w="0" w:type="pct"/>
          </w:tcPr>
          <w:p w14:paraId="610B9AFC" w14:textId="2B9BD902" w:rsidR="009E5E1E" w:rsidRDefault="006577F7" w:rsidP="00075D6E">
            <w:pPr>
              <w:jc w:val="center"/>
            </w:pPr>
            <w:r>
              <w:t>41,5</w:t>
            </w:r>
            <w:r w:rsidR="00704555">
              <w:t>00</w:t>
            </w:r>
          </w:p>
        </w:tc>
      </w:tr>
      <w:tr w:rsidR="00F43598" w:rsidRPr="000E7EED" w14:paraId="63EA8C9D" w14:textId="051FC1E5" w:rsidTr="00491BE4">
        <w:trPr>
          <w:cnfStyle w:val="000000100000" w:firstRow="0" w:lastRow="0" w:firstColumn="0" w:lastColumn="0" w:oddVBand="0" w:evenVBand="0" w:oddHBand="1" w:evenHBand="0" w:firstRowFirstColumn="0" w:firstRowLastColumn="0" w:lastRowFirstColumn="0" w:lastRowLastColumn="0"/>
          <w:trHeight w:val="581"/>
        </w:trPr>
        <w:tc>
          <w:tcPr>
            <w:cnfStyle w:val="000010000000" w:firstRow="0" w:lastRow="0" w:firstColumn="0" w:lastColumn="0" w:oddVBand="1" w:evenVBand="0" w:oddHBand="0" w:evenHBand="0" w:firstRowFirstColumn="0" w:firstRowLastColumn="0" w:lastRowFirstColumn="0" w:lastRowLastColumn="0"/>
            <w:tcW w:w="1206" w:type="pct"/>
            <w:vMerge w:val="restart"/>
          </w:tcPr>
          <w:p w14:paraId="343F4B5B" w14:textId="11A27AD7" w:rsidR="009E5E1E" w:rsidRPr="001F0CF5" w:rsidRDefault="009E5E1E" w:rsidP="00E4220A">
            <w:pPr>
              <w:rPr>
                <w:color w:val="000000" w:themeColor="text1"/>
              </w:rPr>
            </w:pPr>
            <w:r>
              <w:rPr>
                <w:color w:val="000000" w:themeColor="text1"/>
              </w:rPr>
              <w:t>Number of Legal Help sessions delivered</w:t>
            </w:r>
          </w:p>
        </w:tc>
        <w:tc>
          <w:tcPr>
            <w:cnfStyle w:val="000001000000" w:firstRow="0" w:lastRow="0" w:firstColumn="0" w:lastColumn="0" w:oddVBand="0" w:evenVBand="1" w:oddHBand="0" w:evenHBand="0" w:firstRowFirstColumn="0" w:firstRowLastColumn="0" w:lastRowFirstColumn="0" w:lastRowLastColumn="0"/>
            <w:tcW w:w="858" w:type="pct"/>
          </w:tcPr>
          <w:p w14:paraId="2AA551BD" w14:textId="762B83B8" w:rsidR="009E5E1E" w:rsidRPr="000E7EED" w:rsidRDefault="009E5E1E" w:rsidP="005D2691">
            <w:pPr>
              <w:rPr>
                <w:color w:val="000000" w:themeColor="text1"/>
              </w:rPr>
            </w:pPr>
            <w:r>
              <w:rPr>
                <w:color w:val="000000" w:themeColor="text1"/>
              </w:rPr>
              <w:t>Phoneline</w:t>
            </w:r>
          </w:p>
        </w:tc>
        <w:tc>
          <w:tcPr>
            <w:cnfStyle w:val="000010000000" w:firstRow="0" w:lastRow="0" w:firstColumn="0" w:lastColumn="0" w:oddVBand="1" w:evenVBand="0" w:oddHBand="0" w:evenHBand="0" w:firstRowFirstColumn="0" w:firstRowLastColumn="0" w:lastRowFirstColumn="0" w:lastRowLastColumn="0"/>
            <w:tcW w:w="605" w:type="pct"/>
          </w:tcPr>
          <w:p w14:paraId="7B3AC051" w14:textId="74EA547B" w:rsidR="009E5E1E" w:rsidRPr="000E7EED" w:rsidRDefault="00A1147A" w:rsidP="00075D6E">
            <w:pPr>
              <w:jc w:val="center"/>
              <w:rPr>
                <w:color w:val="000000" w:themeColor="text1"/>
              </w:rPr>
            </w:pPr>
            <w:r>
              <w:rPr>
                <w:color w:val="000000" w:themeColor="text1"/>
              </w:rPr>
              <w:t>22,244</w:t>
            </w:r>
          </w:p>
        </w:tc>
        <w:tc>
          <w:tcPr>
            <w:cnfStyle w:val="000001000000" w:firstRow="0" w:lastRow="0" w:firstColumn="0" w:lastColumn="0" w:oddVBand="0" w:evenVBand="1" w:oddHBand="0" w:evenHBand="0" w:firstRowFirstColumn="0" w:firstRowLastColumn="0" w:lastRowFirstColumn="0" w:lastRowLastColumn="0"/>
            <w:tcW w:w="564" w:type="pct"/>
            <w:shd w:val="clear" w:color="auto" w:fill="D9D9D9" w:themeFill="background1" w:themeFillShade="D9"/>
          </w:tcPr>
          <w:p w14:paraId="0C7F4A16" w14:textId="3621FD46" w:rsidR="009E5E1E" w:rsidRPr="0021615C" w:rsidRDefault="00A1147A" w:rsidP="00075D6E">
            <w:pPr>
              <w:jc w:val="center"/>
            </w:pPr>
            <w:r>
              <w:t>19,301</w:t>
            </w:r>
          </w:p>
        </w:tc>
        <w:tc>
          <w:tcPr>
            <w:cnfStyle w:val="000010000000" w:firstRow="0" w:lastRow="0" w:firstColumn="0" w:lastColumn="0" w:oddVBand="1" w:evenVBand="0" w:oddHBand="0" w:evenHBand="0" w:firstRowFirstColumn="0" w:firstRowLastColumn="0" w:lastRowFirstColumn="0" w:lastRowLastColumn="0"/>
            <w:tcW w:w="1027" w:type="pct"/>
            <w:shd w:val="clear" w:color="auto" w:fill="auto"/>
          </w:tcPr>
          <w:p w14:paraId="0C77C3D5" w14:textId="493D9775" w:rsidR="009E5E1E" w:rsidRDefault="00710505" w:rsidP="00075D6E">
            <w:pPr>
              <w:jc w:val="center"/>
            </w:pPr>
            <w:r>
              <w:t>18,500</w:t>
            </w:r>
          </w:p>
        </w:tc>
        <w:tc>
          <w:tcPr>
            <w:cnfStyle w:val="000001000000" w:firstRow="0" w:lastRow="0" w:firstColumn="0" w:lastColumn="0" w:oddVBand="0" w:evenVBand="1" w:oddHBand="0" w:evenHBand="0" w:firstRowFirstColumn="0" w:firstRowLastColumn="0" w:lastRowFirstColumn="0" w:lastRowLastColumn="0"/>
            <w:tcW w:w="0" w:type="pct"/>
          </w:tcPr>
          <w:p w14:paraId="2E5E1468" w14:textId="7BEF66DF" w:rsidR="009E5E1E" w:rsidRDefault="00D030E8" w:rsidP="00075D6E">
            <w:pPr>
              <w:jc w:val="center"/>
            </w:pPr>
            <w:r>
              <w:t>88,3</w:t>
            </w:r>
            <w:r w:rsidR="00704555">
              <w:t>00</w:t>
            </w:r>
          </w:p>
        </w:tc>
      </w:tr>
      <w:tr w:rsidR="00F43598" w:rsidRPr="000E7EED" w14:paraId="7DCD8807" w14:textId="447F080D" w:rsidTr="00491BE4">
        <w:trPr>
          <w:cnfStyle w:val="000000010000" w:firstRow="0" w:lastRow="0" w:firstColumn="0" w:lastColumn="0" w:oddVBand="0" w:evenVBand="0" w:oddHBand="0" w:evenHBand="1" w:firstRowFirstColumn="0" w:firstRowLastColumn="0" w:lastRowFirstColumn="0" w:lastRowLastColumn="0"/>
          <w:trHeight w:val="581"/>
        </w:trPr>
        <w:tc>
          <w:tcPr>
            <w:cnfStyle w:val="000010000000" w:firstRow="0" w:lastRow="0" w:firstColumn="0" w:lastColumn="0" w:oddVBand="1" w:evenVBand="0" w:oddHBand="0" w:evenHBand="0" w:firstRowFirstColumn="0" w:firstRowLastColumn="0" w:lastRowFirstColumn="0" w:lastRowLastColumn="0"/>
            <w:tcW w:w="1206" w:type="pct"/>
            <w:vMerge/>
          </w:tcPr>
          <w:p w14:paraId="58C5451E" w14:textId="77777777" w:rsidR="009E5E1E" w:rsidRDefault="009E5E1E" w:rsidP="005D2691">
            <w:pPr>
              <w:rPr>
                <w:color w:val="000000" w:themeColor="text1"/>
              </w:rPr>
            </w:pPr>
          </w:p>
        </w:tc>
        <w:tc>
          <w:tcPr>
            <w:cnfStyle w:val="000001000000" w:firstRow="0" w:lastRow="0" w:firstColumn="0" w:lastColumn="0" w:oddVBand="0" w:evenVBand="1" w:oddHBand="0" w:evenHBand="0" w:firstRowFirstColumn="0" w:firstRowLastColumn="0" w:lastRowFirstColumn="0" w:lastRowLastColumn="0"/>
            <w:tcW w:w="858" w:type="pct"/>
            <w:tcBorders>
              <w:top w:val="single" w:sz="4" w:space="0" w:color="7F7F7F" w:themeColor="text1" w:themeTint="80"/>
            </w:tcBorders>
          </w:tcPr>
          <w:p w14:paraId="22F965B2" w14:textId="769783D4" w:rsidR="009E5E1E" w:rsidRPr="000E7EED" w:rsidRDefault="009E5E1E" w:rsidP="005D2691">
            <w:pPr>
              <w:rPr>
                <w:color w:val="000000" w:themeColor="text1"/>
              </w:rPr>
            </w:pPr>
            <w:r>
              <w:rPr>
                <w:color w:val="000000" w:themeColor="text1"/>
              </w:rPr>
              <w:t>Web chat</w:t>
            </w:r>
          </w:p>
        </w:tc>
        <w:tc>
          <w:tcPr>
            <w:cnfStyle w:val="000010000000" w:firstRow="0" w:lastRow="0" w:firstColumn="0" w:lastColumn="0" w:oddVBand="1" w:evenVBand="0" w:oddHBand="0" w:evenHBand="0" w:firstRowFirstColumn="0" w:firstRowLastColumn="0" w:lastRowFirstColumn="0" w:lastRowLastColumn="0"/>
            <w:tcW w:w="605" w:type="pct"/>
          </w:tcPr>
          <w:p w14:paraId="54BF1051" w14:textId="122B338C" w:rsidR="009E5E1E" w:rsidRPr="000E7EED" w:rsidRDefault="00A1147A" w:rsidP="00075D6E">
            <w:pPr>
              <w:jc w:val="center"/>
              <w:rPr>
                <w:color w:val="000000" w:themeColor="text1"/>
              </w:rPr>
            </w:pPr>
            <w:r>
              <w:rPr>
                <w:color w:val="000000" w:themeColor="text1"/>
              </w:rPr>
              <w:t>7,015</w:t>
            </w:r>
          </w:p>
        </w:tc>
        <w:tc>
          <w:tcPr>
            <w:cnfStyle w:val="000001000000" w:firstRow="0" w:lastRow="0" w:firstColumn="0" w:lastColumn="0" w:oddVBand="0" w:evenVBand="1" w:oddHBand="0" w:evenHBand="0" w:firstRowFirstColumn="0" w:firstRowLastColumn="0" w:lastRowFirstColumn="0" w:lastRowLastColumn="0"/>
            <w:tcW w:w="564" w:type="pct"/>
            <w:shd w:val="clear" w:color="auto" w:fill="D9D9D9" w:themeFill="background1" w:themeFillShade="D9"/>
          </w:tcPr>
          <w:p w14:paraId="40E1C52C" w14:textId="2B53313D" w:rsidR="009E5E1E" w:rsidRPr="0021615C" w:rsidRDefault="00A1147A" w:rsidP="00075D6E">
            <w:pPr>
              <w:jc w:val="center"/>
            </w:pPr>
            <w:r>
              <w:t>10,387</w:t>
            </w:r>
          </w:p>
        </w:tc>
        <w:tc>
          <w:tcPr>
            <w:cnfStyle w:val="000010000000" w:firstRow="0" w:lastRow="0" w:firstColumn="0" w:lastColumn="0" w:oddVBand="1" w:evenVBand="0" w:oddHBand="0" w:evenHBand="0" w:firstRowFirstColumn="0" w:firstRowLastColumn="0" w:lastRowFirstColumn="0" w:lastRowLastColumn="0"/>
            <w:tcW w:w="1027" w:type="pct"/>
            <w:shd w:val="clear" w:color="auto" w:fill="auto"/>
          </w:tcPr>
          <w:p w14:paraId="4C51BEAB" w14:textId="1CA57233" w:rsidR="009E5E1E" w:rsidRDefault="00717064" w:rsidP="00075D6E">
            <w:pPr>
              <w:jc w:val="center"/>
            </w:pPr>
            <w:r>
              <w:t>11,500</w:t>
            </w:r>
          </w:p>
        </w:tc>
        <w:tc>
          <w:tcPr>
            <w:cnfStyle w:val="000001000000" w:firstRow="0" w:lastRow="0" w:firstColumn="0" w:lastColumn="0" w:oddVBand="0" w:evenVBand="1" w:oddHBand="0" w:evenHBand="0" w:firstRowFirstColumn="0" w:firstRowLastColumn="0" w:lastRowFirstColumn="0" w:lastRowLastColumn="0"/>
            <w:tcW w:w="0" w:type="pct"/>
          </w:tcPr>
          <w:p w14:paraId="5864B011" w14:textId="3B06F0F0" w:rsidR="009E5E1E" w:rsidRDefault="00D030E8" w:rsidP="00075D6E">
            <w:pPr>
              <w:jc w:val="center"/>
            </w:pPr>
            <w:r>
              <w:t>37,6</w:t>
            </w:r>
            <w:r w:rsidR="00704555">
              <w:t>00</w:t>
            </w:r>
          </w:p>
        </w:tc>
      </w:tr>
      <w:tr w:rsidR="00F43598" w:rsidRPr="000E7EED" w14:paraId="2DB82DC5" w14:textId="0A027640" w:rsidTr="00491BE4">
        <w:trPr>
          <w:cnfStyle w:val="000000100000" w:firstRow="0" w:lastRow="0" w:firstColumn="0" w:lastColumn="0" w:oddVBand="0" w:evenVBand="0" w:oddHBand="1" w:evenHBand="0" w:firstRowFirstColumn="0" w:firstRowLastColumn="0" w:lastRowFirstColumn="0" w:lastRowLastColumn="0"/>
          <w:trHeight w:val="581"/>
        </w:trPr>
        <w:tc>
          <w:tcPr>
            <w:cnfStyle w:val="000010000000" w:firstRow="0" w:lastRow="0" w:firstColumn="0" w:lastColumn="0" w:oddVBand="1" w:evenVBand="0" w:oddHBand="0" w:evenHBand="0" w:firstRowFirstColumn="0" w:firstRowLastColumn="0" w:lastRowFirstColumn="0" w:lastRowLastColumn="0"/>
            <w:tcW w:w="1206" w:type="pct"/>
            <w:vMerge w:val="restart"/>
          </w:tcPr>
          <w:p w14:paraId="0E9E1F91" w14:textId="214F4D9E" w:rsidR="009E5E1E" w:rsidRDefault="009E5E1E" w:rsidP="00010B80">
            <w:pPr>
              <w:rPr>
                <w:color w:val="000000" w:themeColor="text1"/>
              </w:rPr>
            </w:pPr>
            <w:r>
              <w:rPr>
                <w:color w:val="000000" w:themeColor="text1"/>
              </w:rPr>
              <w:t>Average service duration (minutes)</w:t>
            </w:r>
          </w:p>
        </w:tc>
        <w:tc>
          <w:tcPr>
            <w:cnfStyle w:val="000001000000" w:firstRow="0" w:lastRow="0" w:firstColumn="0" w:lastColumn="0" w:oddVBand="0" w:evenVBand="1" w:oddHBand="0" w:evenHBand="0" w:firstRowFirstColumn="0" w:firstRowLastColumn="0" w:lastRowFirstColumn="0" w:lastRowLastColumn="0"/>
            <w:tcW w:w="858" w:type="pct"/>
          </w:tcPr>
          <w:p w14:paraId="632DC39D" w14:textId="21780358" w:rsidR="009E5E1E" w:rsidRDefault="009E5E1E" w:rsidP="00010B80">
            <w:pPr>
              <w:rPr>
                <w:color w:val="000000" w:themeColor="text1"/>
              </w:rPr>
            </w:pPr>
            <w:r>
              <w:rPr>
                <w:color w:val="000000" w:themeColor="text1"/>
              </w:rPr>
              <w:t>Phoneline</w:t>
            </w:r>
          </w:p>
        </w:tc>
        <w:tc>
          <w:tcPr>
            <w:cnfStyle w:val="000010000000" w:firstRow="0" w:lastRow="0" w:firstColumn="0" w:lastColumn="0" w:oddVBand="1" w:evenVBand="0" w:oddHBand="0" w:evenHBand="0" w:firstRowFirstColumn="0" w:firstRowLastColumn="0" w:lastRowFirstColumn="0" w:lastRowLastColumn="0"/>
            <w:tcW w:w="605" w:type="pct"/>
          </w:tcPr>
          <w:p w14:paraId="6DB658F9" w14:textId="3966D8D8" w:rsidR="009E5E1E" w:rsidRPr="000E7EED" w:rsidRDefault="00A1147A" w:rsidP="00075D6E">
            <w:pPr>
              <w:jc w:val="center"/>
              <w:rPr>
                <w:color w:val="000000" w:themeColor="text1"/>
              </w:rPr>
            </w:pPr>
            <w:r>
              <w:rPr>
                <w:color w:val="000000" w:themeColor="text1"/>
              </w:rPr>
              <w:t>22:45</w:t>
            </w:r>
          </w:p>
        </w:tc>
        <w:tc>
          <w:tcPr>
            <w:cnfStyle w:val="000001000000" w:firstRow="0" w:lastRow="0" w:firstColumn="0" w:lastColumn="0" w:oddVBand="0" w:evenVBand="1" w:oddHBand="0" w:evenHBand="0" w:firstRowFirstColumn="0" w:firstRowLastColumn="0" w:lastRowFirstColumn="0" w:lastRowLastColumn="0"/>
            <w:tcW w:w="564" w:type="pct"/>
            <w:shd w:val="clear" w:color="auto" w:fill="D9D9D9" w:themeFill="background1" w:themeFillShade="D9"/>
          </w:tcPr>
          <w:p w14:paraId="07802CF1" w14:textId="58B24844" w:rsidR="009E5E1E" w:rsidRPr="0021615C" w:rsidRDefault="00A1147A" w:rsidP="00075D6E">
            <w:pPr>
              <w:jc w:val="center"/>
            </w:pPr>
            <w:r>
              <w:t>23:12</w:t>
            </w:r>
          </w:p>
        </w:tc>
        <w:tc>
          <w:tcPr>
            <w:cnfStyle w:val="000010000000" w:firstRow="0" w:lastRow="0" w:firstColumn="0" w:lastColumn="0" w:oddVBand="1" w:evenVBand="0" w:oddHBand="0" w:evenHBand="0" w:firstRowFirstColumn="0" w:firstRowLastColumn="0" w:lastRowFirstColumn="0" w:lastRowLastColumn="0"/>
            <w:tcW w:w="1027" w:type="pct"/>
            <w:shd w:val="clear" w:color="auto" w:fill="auto"/>
          </w:tcPr>
          <w:p w14:paraId="37B51999" w14:textId="121ADC4E" w:rsidR="009E5E1E" w:rsidRDefault="00FE0636" w:rsidP="00075D6E">
            <w:pPr>
              <w:jc w:val="center"/>
            </w:pPr>
            <w:r>
              <w:t>n/a</w:t>
            </w:r>
          </w:p>
        </w:tc>
        <w:tc>
          <w:tcPr>
            <w:cnfStyle w:val="000001000000" w:firstRow="0" w:lastRow="0" w:firstColumn="0" w:lastColumn="0" w:oddVBand="0" w:evenVBand="1" w:oddHBand="0" w:evenHBand="0" w:firstRowFirstColumn="0" w:firstRowLastColumn="0" w:lastRowFirstColumn="0" w:lastRowLastColumn="0"/>
            <w:tcW w:w="0" w:type="pct"/>
          </w:tcPr>
          <w:p w14:paraId="1B7F2E20" w14:textId="2B8264A5" w:rsidR="009E5E1E" w:rsidRDefault="00FE0636" w:rsidP="00075D6E">
            <w:pPr>
              <w:jc w:val="center"/>
            </w:pPr>
            <w:r>
              <w:t>n/a</w:t>
            </w:r>
          </w:p>
        </w:tc>
      </w:tr>
      <w:tr w:rsidR="00F43598" w:rsidRPr="000E7EED" w14:paraId="209E56A2" w14:textId="6E3EE5E8" w:rsidTr="00491BE4">
        <w:trPr>
          <w:cnfStyle w:val="000000010000" w:firstRow="0" w:lastRow="0" w:firstColumn="0" w:lastColumn="0" w:oddVBand="0" w:evenVBand="0" w:oddHBand="0" w:evenHBand="1" w:firstRowFirstColumn="0" w:firstRowLastColumn="0" w:lastRowFirstColumn="0" w:lastRowLastColumn="0"/>
          <w:trHeight w:val="581"/>
        </w:trPr>
        <w:tc>
          <w:tcPr>
            <w:cnfStyle w:val="000010000000" w:firstRow="0" w:lastRow="0" w:firstColumn="0" w:lastColumn="0" w:oddVBand="1" w:evenVBand="0" w:oddHBand="0" w:evenHBand="0" w:firstRowFirstColumn="0" w:firstRowLastColumn="0" w:lastRowFirstColumn="0" w:lastRowLastColumn="0"/>
            <w:tcW w:w="1206" w:type="pct"/>
            <w:vMerge/>
          </w:tcPr>
          <w:p w14:paraId="38B78A0B" w14:textId="77777777" w:rsidR="009E5E1E" w:rsidRDefault="009E5E1E" w:rsidP="00010B80">
            <w:pPr>
              <w:rPr>
                <w:color w:val="000000" w:themeColor="text1"/>
              </w:rPr>
            </w:pPr>
          </w:p>
        </w:tc>
        <w:tc>
          <w:tcPr>
            <w:cnfStyle w:val="000001000000" w:firstRow="0" w:lastRow="0" w:firstColumn="0" w:lastColumn="0" w:oddVBand="0" w:evenVBand="1" w:oddHBand="0" w:evenHBand="0" w:firstRowFirstColumn="0" w:firstRowLastColumn="0" w:lastRowFirstColumn="0" w:lastRowLastColumn="0"/>
            <w:tcW w:w="858" w:type="pct"/>
            <w:tcBorders>
              <w:top w:val="single" w:sz="4" w:space="0" w:color="7F7F7F" w:themeColor="text1" w:themeTint="80"/>
            </w:tcBorders>
          </w:tcPr>
          <w:p w14:paraId="743799BD" w14:textId="14250B3B" w:rsidR="009E5E1E" w:rsidRDefault="009E5E1E" w:rsidP="00010B80">
            <w:pPr>
              <w:rPr>
                <w:color w:val="000000" w:themeColor="text1"/>
              </w:rPr>
            </w:pPr>
            <w:r>
              <w:rPr>
                <w:color w:val="000000" w:themeColor="text1"/>
              </w:rPr>
              <w:t>Web chat</w:t>
            </w:r>
          </w:p>
        </w:tc>
        <w:tc>
          <w:tcPr>
            <w:cnfStyle w:val="000010000000" w:firstRow="0" w:lastRow="0" w:firstColumn="0" w:lastColumn="0" w:oddVBand="1" w:evenVBand="0" w:oddHBand="0" w:evenHBand="0" w:firstRowFirstColumn="0" w:firstRowLastColumn="0" w:lastRowFirstColumn="0" w:lastRowLastColumn="0"/>
            <w:tcW w:w="605" w:type="pct"/>
          </w:tcPr>
          <w:p w14:paraId="1411EE62" w14:textId="3FD3836B" w:rsidR="009E5E1E" w:rsidRPr="000E7EED" w:rsidRDefault="00A1147A" w:rsidP="00075D6E">
            <w:pPr>
              <w:jc w:val="center"/>
              <w:rPr>
                <w:color w:val="000000" w:themeColor="text1"/>
              </w:rPr>
            </w:pPr>
            <w:r>
              <w:rPr>
                <w:color w:val="000000" w:themeColor="text1"/>
              </w:rPr>
              <w:t>10:24</w:t>
            </w:r>
          </w:p>
        </w:tc>
        <w:tc>
          <w:tcPr>
            <w:cnfStyle w:val="000001000000" w:firstRow="0" w:lastRow="0" w:firstColumn="0" w:lastColumn="0" w:oddVBand="0" w:evenVBand="1" w:oddHBand="0" w:evenHBand="0" w:firstRowFirstColumn="0" w:firstRowLastColumn="0" w:lastRowFirstColumn="0" w:lastRowLastColumn="0"/>
            <w:tcW w:w="564" w:type="pct"/>
            <w:shd w:val="clear" w:color="auto" w:fill="D9D9D9" w:themeFill="background1" w:themeFillShade="D9"/>
          </w:tcPr>
          <w:p w14:paraId="0EF2EFDC" w14:textId="5DFAF5BF" w:rsidR="009E5E1E" w:rsidRPr="0021615C" w:rsidRDefault="00A1147A" w:rsidP="00075D6E">
            <w:pPr>
              <w:jc w:val="center"/>
            </w:pPr>
            <w:r>
              <w:t>10:07</w:t>
            </w:r>
          </w:p>
        </w:tc>
        <w:tc>
          <w:tcPr>
            <w:cnfStyle w:val="000010000000" w:firstRow="0" w:lastRow="0" w:firstColumn="0" w:lastColumn="0" w:oddVBand="1" w:evenVBand="0" w:oddHBand="0" w:evenHBand="0" w:firstRowFirstColumn="0" w:firstRowLastColumn="0" w:lastRowFirstColumn="0" w:lastRowLastColumn="0"/>
            <w:tcW w:w="1027" w:type="pct"/>
            <w:shd w:val="clear" w:color="auto" w:fill="auto"/>
          </w:tcPr>
          <w:p w14:paraId="5C800199" w14:textId="445BCC48" w:rsidR="009E5E1E" w:rsidRDefault="00FE0636" w:rsidP="00075D6E">
            <w:pPr>
              <w:jc w:val="center"/>
            </w:pPr>
            <w:r>
              <w:t>n/a</w:t>
            </w:r>
          </w:p>
        </w:tc>
        <w:tc>
          <w:tcPr>
            <w:cnfStyle w:val="000001000000" w:firstRow="0" w:lastRow="0" w:firstColumn="0" w:lastColumn="0" w:oddVBand="0" w:evenVBand="1" w:oddHBand="0" w:evenHBand="0" w:firstRowFirstColumn="0" w:firstRowLastColumn="0" w:lastRowFirstColumn="0" w:lastRowLastColumn="0"/>
            <w:tcW w:w="0" w:type="pct"/>
          </w:tcPr>
          <w:p w14:paraId="7E06D6FC" w14:textId="10B8C4CB" w:rsidR="009E5E1E" w:rsidRDefault="00FE0636" w:rsidP="00075D6E">
            <w:pPr>
              <w:jc w:val="center"/>
            </w:pPr>
            <w:r>
              <w:t>n/a</w:t>
            </w:r>
          </w:p>
        </w:tc>
      </w:tr>
      <w:tr w:rsidR="00F43598" w:rsidRPr="000E7EED" w14:paraId="112AFC33" w14:textId="22FC445E" w:rsidTr="00491BE4">
        <w:trPr>
          <w:cnfStyle w:val="000000100000" w:firstRow="0" w:lastRow="0" w:firstColumn="0" w:lastColumn="0" w:oddVBand="0" w:evenVBand="0" w:oddHBand="1" w:evenHBand="0" w:firstRowFirstColumn="0" w:firstRowLastColumn="0" w:lastRowFirstColumn="0" w:lastRowLastColumn="0"/>
          <w:trHeight w:val="339"/>
        </w:trPr>
        <w:tc>
          <w:tcPr>
            <w:cnfStyle w:val="000010000000" w:firstRow="0" w:lastRow="0" w:firstColumn="0" w:lastColumn="0" w:oddVBand="1" w:evenVBand="0" w:oddHBand="0" w:evenHBand="0" w:firstRowFirstColumn="0" w:firstRowLastColumn="0" w:lastRowFirstColumn="0" w:lastRowLastColumn="0"/>
            <w:tcW w:w="1206" w:type="pct"/>
            <w:vMerge w:val="restart"/>
          </w:tcPr>
          <w:p w14:paraId="38A206ED" w14:textId="01700AAF" w:rsidR="009E5E1E" w:rsidRDefault="009E5E1E" w:rsidP="00140CB0">
            <w:pPr>
              <w:rPr>
                <w:color w:val="000000" w:themeColor="text1"/>
              </w:rPr>
            </w:pPr>
            <w:r>
              <w:rPr>
                <w:color w:val="000000" w:themeColor="text1"/>
              </w:rPr>
              <w:t>Average wait time (minutes)</w:t>
            </w:r>
          </w:p>
        </w:tc>
        <w:tc>
          <w:tcPr>
            <w:cnfStyle w:val="000001000000" w:firstRow="0" w:lastRow="0" w:firstColumn="0" w:lastColumn="0" w:oddVBand="0" w:evenVBand="1" w:oddHBand="0" w:evenHBand="0" w:firstRowFirstColumn="0" w:firstRowLastColumn="0" w:lastRowFirstColumn="0" w:lastRowLastColumn="0"/>
            <w:tcW w:w="858" w:type="pct"/>
          </w:tcPr>
          <w:p w14:paraId="6CC37F27" w14:textId="737CFCC8" w:rsidR="009E5E1E" w:rsidRPr="000E7EED" w:rsidRDefault="009E5E1E" w:rsidP="00140CB0">
            <w:pPr>
              <w:rPr>
                <w:color w:val="000000" w:themeColor="text1"/>
              </w:rPr>
            </w:pPr>
            <w:r>
              <w:rPr>
                <w:color w:val="000000" w:themeColor="text1"/>
              </w:rPr>
              <w:t>Phoneline</w:t>
            </w:r>
          </w:p>
        </w:tc>
        <w:tc>
          <w:tcPr>
            <w:cnfStyle w:val="000010000000" w:firstRow="0" w:lastRow="0" w:firstColumn="0" w:lastColumn="0" w:oddVBand="1" w:evenVBand="0" w:oddHBand="0" w:evenHBand="0" w:firstRowFirstColumn="0" w:firstRowLastColumn="0" w:lastRowFirstColumn="0" w:lastRowLastColumn="0"/>
            <w:tcW w:w="605" w:type="pct"/>
          </w:tcPr>
          <w:p w14:paraId="3AF08BCA" w14:textId="3C1AC446" w:rsidR="009E5E1E" w:rsidRPr="000E7EED" w:rsidRDefault="00A1147A" w:rsidP="00075D6E">
            <w:pPr>
              <w:jc w:val="center"/>
              <w:rPr>
                <w:color w:val="000000" w:themeColor="text1"/>
              </w:rPr>
            </w:pPr>
            <w:r>
              <w:rPr>
                <w:color w:val="000000" w:themeColor="text1"/>
              </w:rPr>
              <w:t>16:57</w:t>
            </w:r>
          </w:p>
        </w:tc>
        <w:tc>
          <w:tcPr>
            <w:cnfStyle w:val="000001000000" w:firstRow="0" w:lastRow="0" w:firstColumn="0" w:lastColumn="0" w:oddVBand="0" w:evenVBand="1" w:oddHBand="0" w:evenHBand="0" w:firstRowFirstColumn="0" w:firstRowLastColumn="0" w:lastRowFirstColumn="0" w:lastRowLastColumn="0"/>
            <w:tcW w:w="564" w:type="pct"/>
            <w:shd w:val="clear" w:color="auto" w:fill="D9D9D9" w:themeFill="background1" w:themeFillShade="D9"/>
          </w:tcPr>
          <w:p w14:paraId="6F85C887" w14:textId="4736FCE0" w:rsidR="009E5E1E" w:rsidRPr="0021615C" w:rsidRDefault="00A1147A" w:rsidP="00075D6E">
            <w:pPr>
              <w:jc w:val="center"/>
            </w:pPr>
            <w:r>
              <w:t>20:25</w:t>
            </w:r>
          </w:p>
        </w:tc>
        <w:tc>
          <w:tcPr>
            <w:cnfStyle w:val="000010000000" w:firstRow="0" w:lastRow="0" w:firstColumn="0" w:lastColumn="0" w:oddVBand="1" w:evenVBand="0" w:oddHBand="0" w:evenHBand="0" w:firstRowFirstColumn="0" w:firstRowLastColumn="0" w:lastRowFirstColumn="0" w:lastRowLastColumn="0"/>
            <w:tcW w:w="1027" w:type="pct"/>
            <w:shd w:val="clear" w:color="auto" w:fill="auto"/>
          </w:tcPr>
          <w:p w14:paraId="27E6C945" w14:textId="1C3AD246" w:rsidR="009E5E1E" w:rsidRDefault="00A50BB4" w:rsidP="00075D6E">
            <w:pPr>
              <w:jc w:val="center"/>
            </w:pPr>
            <w:r>
              <w:t>23:00</w:t>
            </w:r>
          </w:p>
        </w:tc>
        <w:tc>
          <w:tcPr>
            <w:cnfStyle w:val="000001000000" w:firstRow="0" w:lastRow="0" w:firstColumn="0" w:lastColumn="0" w:oddVBand="0" w:evenVBand="1" w:oddHBand="0" w:evenHBand="0" w:firstRowFirstColumn="0" w:firstRowLastColumn="0" w:lastRowFirstColumn="0" w:lastRowLastColumn="0"/>
            <w:tcW w:w="0" w:type="pct"/>
          </w:tcPr>
          <w:p w14:paraId="42D79FA4" w14:textId="072BEBEF" w:rsidR="009E5E1E" w:rsidRDefault="005B454A" w:rsidP="00075D6E">
            <w:pPr>
              <w:jc w:val="center"/>
            </w:pPr>
            <w:r>
              <w:t>18</w:t>
            </w:r>
            <w:r w:rsidR="00704555">
              <w:t>:00</w:t>
            </w:r>
          </w:p>
        </w:tc>
      </w:tr>
      <w:tr w:rsidR="00F43598" w:rsidRPr="000E7EED" w14:paraId="2A9DBF16" w14:textId="62BDEBC8" w:rsidTr="00491BE4">
        <w:trPr>
          <w:cnfStyle w:val="000000010000" w:firstRow="0" w:lastRow="0" w:firstColumn="0" w:lastColumn="0" w:oddVBand="0" w:evenVBand="0" w:oddHBand="0" w:evenHBand="1" w:firstRowFirstColumn="0" w:firstRowLastColumn="0" w:lastRowFirstColumn="0" w:lastRowLastColumn="0"/>
          <w:trHeight w:val="339"/>
        </w:trPr>
        <w:tc>
          <w:tcPr>
            <w:cnfStyle w:val="000010000000" w:firstRow="0" w:lastRow="0" w:firstColumn="0" w:lastColumn="0" w:oddVBand="1" w:evenVBand="0" w:oddHBand="0" w:evenHBand="0" w:firstRowFirstColumn="0" w:firstRowLastColumn="0" w:lastRowFirstColumn="0" w:lastRowLastColumn="0"/>
            <w:tcW w:w="1206" w:type="pct"/>
            <w:vMerge/>
          </w:tcPr>
          <w:p w14:paraId="00649C6C" w14:textId="77777777" w:rsidR="009E5E1E" w:rsidRDefault="009E5E1E" w:rsidP="00D66354">
            <w:pPr>
              <w:rPr>
                <w:color w:val="000000" w:themeColor="text1"/>
              </w:rPr>
            </w:pPr>
          </w:p>
        </w:tc>
        <w:tc>
          <w:tcPr>
            <w:cnfStyle w:val="000001000000" w:firstRow="0" w:lastRow="0" w:firstColumn="0" w:lastColumn="0" w:oddVBand="0" w:evenVBand="1" w:oddHBand="0" w:evenHBand="0" w:firstRowFirstColumn="0" w:firstRowLastColumn="0" w:lastRowFirstColumn="0" w:lastRowLastColumn="0"/>
            <w:tcW w:w="858" w:type="pct"/>
            <w:tcBorders>
              <w:top w:val="single" w:sz="4" w:space="0" w:color="7F7F7F" w:themeColor="text1" w:themeTint="80"/>
            </w:tcBorders>
          </w:tcPr>
          <w:p w14:paraId="2ED19B00" w14:textId="4C9EF9F0" w:rsidR="009E5E1E" w:rsidRPr="000E7EED" w:rsidRDefault="009E5E1E" w:rsidP="00D66354">
            <w:pPr>
              <w:rPr>
                <w:color w:val="000000" w:themeColor="text1"/>
              </w:rPr>
            </w:pPr>
            <w:r>
              <w:rPr>
                <w:color w:val="000000" w:themeColor="text1"/>
              </w:rPr>
              <w:t>Web chat</w:t>
            </w:r>
          </w:p>
        </w:tc>
        <w:tc>
          <w:tcPr>
            <w:cnfStyle w:val="000010000000" w:firstRow="0" w:lastRow="0" w:firstColumn="0" w:lastColumn="0" w:oddVBand="1" w:evenVBand="0" w:oddHBand="0" w:evenHBand="0" w:firstRowFirstColumn="0" w:firstRowLastColumn="0" w:lastRowFirstColumn="0" w:lastRowLastColumn="0"/>
            <w:tcW w:w="605" w:type="pct"/>
          </w:tcPr>
          <w:p w14:paraId="3A341895" w14:textId="3442CC99" w:rsidR="009E5E1E" w:rsidRPr="000E7EED" w:rsidRDefault="00A1147A" w:rsidP="00075D6E">
            <w:pPr>
              <w:jc w:val="center"/>
              <w:rPr>
                <w:color w:val="000000" w:themeColor="text1"/>
              </w:rPr>
            </w:pPr>
            <w:r>
              <w:rPr>
                <w:color w:val="000000" w:themeColor="text1"/>
              </w:rPr>
              <w:t>0:14</w:t>
            </w:r>
          </w:p>
        </w:tc>
        <w:tc>
          <w:tcPr>
            <w:cnfStyle w:val="000001000000" w:firstRow="0" w:lastRow="0" w:firstColumn="0" w:lastColumn="0" w:oddVBand="0" w:evenVBand="1" w:oddHBand="0" w:evenHBand="0" w:firstRowFirstColumn="0" w:firstRowLastColumn="0" w:lastRowFirstColumn="0" w:lastRowLastColumn="0"/>
            <w:tcW w:w="564" w:type="pct"/>
            <w:shd w:val="clear" w:color="auto" w:fill="D9D9D9" w:themeFill="background1" w:themeFillShade="D9"/>
          </w:tcPr>
          <w:p w14:paraId="7B9FDC39" w14:textId="26D1220E" w:rsidR="009E5E1E" w:rsidRPr="0021615C" w:rsidRDefault="00A1147A" w:rsidP="00075D6E">
            <w:pPr>
              <w:jc w:val="center"/>
            </w:pPr>
            <w:r>
              <w:t>0:28</w:t>
            </w:r>
          </w:p>
        </w:tc>
        <w:tc>
          <w:tcPr>
            <w:cnfStyle w:val="000010000000" w:firstRow="0" w:lastRow="0" w:firstColumn="0" w:lastColumn="0" w:oddVBand="1" w:evenVBand="0" w:oddHBand="0" w:evenHBand="0" w:firstRowFirstColumn="0" w:firstRowLastColumn="0" w:lastRowFirstColumn="0" w:lastRowLastColumn="0"/>
            <w:tcW w:w="1027" w:type="pct"/>
            <w:shd w:val="clear" w:color="auto" w:fill="auto"/>
          </w:tcPr>
          <w:p w14:paraId="0D6C83F6" w14:textId="68E056C6" w:rsidR="009E5E1E" w:rsidRDefault="00A50BB4" w:rsidP="00075D6E">
            <w:pPr>
              <w:jc w:val="center"/>
            </w:pPr>
            <w:r>
              <w:t>0:30</w:t>
            </w:r>
          </w:p>
        </w:tc>
        <w:tc>
          <w:tcPr>
            <w:cnfStyle w:val="000001000000" w:firstRow="0" w:lastRow="0" w:firstColumn="0" w:lastColumn="0" w:oddVBand="0" w:evenVBand="1" w:oddHBand="0" w:evenHBand="0" w:firstRowFirstColumn="0" w:firstRowLastColumn="0" w:lastRowFirstColumn="0" w:lastRowLastColumn="0"/>
            <w:tcW w:w="0" w:type="pct"/>
          </w:tcPr>
          <w:p w14:paraId="2B0B2FD9" w14:textId="67FCED20" w:rsidR="009E5E1E" w:rsidRDefault="00A50BB4" w:rsidP="00075D6E">
            <w:pPr>
              <w:jc w:val="center"/>
            </w:pPr>
            <w:r>
              <w:t>0:30</w:t>
            </w:r>
          </w:p>
        </w:tc>
      </w:tr>
    </w:tbl>
    <w:bookmarkEnd w:id="1"/>
    <w:bookmarkEnd w:id="2"/>
    <w:p w14:paraId="1E59F495" w14:textId="736DCE17" w:rsidR="00FF1952" w:rsidRDefault="00121E76" w:rsidP="00FA1822">
      <w:pPr>
        <w:spacing w:before="120"/>
      </w:pPr>
      <w:r>
        <w:t>Our Legal Help service</w:t>
      </w:r>
      <w:r w:rsidR="002C2035">
        <w:t xml:space="preserve"> received </w:t>
      </w:r>
      <w:r w:rsidR="00222290">
        <w:t>9</w:t>
      </w:r>
      <w:r w:rsidR="002C2035">
        <w:t xml:space="preserve"> per cent more requests for </w:t>
      </w:r>
      <w:r w:rsidR="00EE675D">
        <w:t>assistance in quarter three 2020</w:t>
      </w:r>
      <w:r w:rsidR="00A234AC">
        <w:rPr>
          <w:lang w:eastAsia="en-AU"/>
        </w:rPr>
        <w:t>–</w:t>
      </w:r>
      <w:r w:rsidR="00EE675D">
        <w:t>21 compared to quarter three in 2019</w:t>
      </w:r>
      <w:r w:rsidR="00A234AC">
        <w:rPr>
          <w:lang w:eastAsia="en-AU"/>
        </w:rPr>
        <w:t>–</w:t>
      </w:r>
      <w:r w:rsidR="00EE675D">
        <w:t xml:space="preserve">20. The increases in requests </w:t>
      </w:r>
      <w:r w:rsidR="008A36F2">
        <w:t xml:space="preserve">is a trend that has been experienced </w:t>
      </w:r>
      <w:r w:rsidR="00B6487E">
        <w:t>throughout</w:t>
      </w:r>
      <w:r w:rsidR="008A36F2">
        <w:t xml:space="preserve"> the year, and we anticipate it will continue </w:t>
      </w:r>
      <w:r w:rsidR="006E7CA2">
        <w:t>into quarter four</w:t>
      </w:r>
      <w:r w:rsidR="001F1CAF">
        <w:t xml:space="preserve">. </w:t>
      </w:r>
      <w:r w:rsidR="00582254">
        <w:t xml:space="preserve">The use of webchat increased by </w:t>
      </w:r>
      <w:r w:rsidR="00B6487E">
        <w:t>5</w:t>
      </w:r>
      <w:r w:rsidR="00222290">
        <w:t>7</w:t>
      </w:r>
      <w:r w:rsidR="00B6487E">
        <w:t xml:space="preserve"> per cent</w:t>
      </w:r>
      <w:r w:rsidR="00FB7749">
        <w:t xml:space="preserve"> </w:t>
      </w:r>
      <w:r w:rsidR="00051FAA">
        <w:t>compared to quarter three 2019</w:t>
      </w:r>
      <w:r w:rsidR="00A234AC">
        <w:rPr>
          <w:lang w:eastAsia="en-AU"/>
        </w:rPr>
        <w:t>–</w:t>
      </w:r>
      <w:r w:rsidR="00051FAA">
        <w:t xml:space="preserve">20 </w:t>
      </w:r>
      <w:r w:rsidR="00FB7749">
        <w:t>(Table 1.2)</w:t>
      </w:r>
      <w:r w:rsidR="00B6487E">
        <w:t xml:space="preserve">. </w:t>
      </w:r>
      <w:r w:rsidR="00625DF7">
        <w:t xml:space="preserve">The webchat service </w:t>
      </w:r>
      <w:r w:rsidR="009C2C6B">
        <w:t xml:space="preserve">has </w:t>
      </w:r>
      <w:r w:rsidR="00FB7749">
        <w:t>a lower wait time than the phoneline</w:t>
      </w:r>
      <w:r w:rsidR="0012735D">
        <w:t xml:space="preserve"> at 0.28 </w:t>
      </w:r>
      <w:r w:rsidR="00D27F10">
        <w:t>seconds</w:t>
      </w:r>
      <w:r w:rsidR="00655364">
        <w:t xml:space="preserve">, however </w:t>
      </w:r>
      <w:r w:rsidR="006A12B9">
        <w:t>j</w:t>
      </w:r>
      <w:r w:rsidR="00984176">
        <w:t xml:space="preserve">ust over 76 per cent of requests </w:t>
      </w:r>
      <w:r w:rsidR="00CE10C2">
        <w:t>were</w:t>
      </w:r>
      <w:r w:rsidR="00984176">
        <w:t xml:space="preserve"> received via our phone line. These requests </w:t>
      </w:r>
      <w:r w:rsidR="00C01E4B">
        <w:t>are usually the most complex</w:t>
      </w:r>
      <w:r w:rsidR="004314E5">
        <w:t xml:space="preserve"> and require</w:t>
      </w:r>
      <w:r w:rsidR="003B1D14">
        <w:t xml:space="preserve"> </w:t>
      </w:r>
      <w:r w:rsidR="000B432F">
        <w:t xml:space="preserve">more time on the phone to </w:t>
      </w:r>
      <w:r w:rsidR="004400AE">
        <w:lastRenderedPageBreak/>
        <w:t>assist the client</w:t>
      </w:r>
      <w:r w:rsidR="00D2230C">
        <w:t>.</w:t>
      </w:r>
      <w:r w:rsidR="006430AF">
        <w:t xml:space="preserve"> </w:t>
      </w:r>
      <w:r w:rsidR="00D2230C">
        <w:t>T</w:t>
      </w:r>
      <w:r w:rsidR="006430AF">
        <w:t>he average service duration of a request received on the phone line is 23.12 minutes</w:t>
      </w:r>
      <w:r w:rsidR="00A17C65">
        <w:t>, compared to 10.07 minutes for webchat</w:t>
      </w:r>
      <w:r w:rsidR="00A95E3E">
        <w:t xml:space="preserve"> (Table 1.2)</w:t>
      </w:r>
      <w:r w:rsidR="004400AE">
        <w:t>.</w:t>
      </w:r>
      <w:r w:rsidR="00BC3DA9">
        <w:t xml:space="preserve"> </w:t>
      </w:r>
      <w:r w:rsidR="0060630D">
        <w:t xml:space="preserve">The increased complexity and continued focus on </w:t>
      </w:r>
      <w:r w:rsidR="0008238F">
        <w:t>supporting staff to manage both the challenges of remote working and the increased demand for Legal Help</w:t>
      </w:r>
      <w:r w:rsidR="0060630D">
        <w:t xml:space="preserve"> has meant the wait time for the service has increased in quarter three to 20:25 minutes (Table 1.2).</w:t>
      </w:r>
      <w:r w:rsidR="0061230D">
        <w:t xml:space="preserve"> We expect the timeliness to </w:t>
      </w:r>
      <w:r w:rsidR="006714BF">
        <w:t>temporarily</w:t>
      </w:r>
      <w:r w:rsidR="0061230D">
        <w:t xml:space="preserve"> decrease further in Q4 </w:t>
      </w:r>
      <w:r w:rsidR="00C77830">
        <w:t>due to these ongoing challenges, and</w:t>
      </w:r>
      <w:r w:rsidR="002E2AFE">
        <w:t xml:space="preserve"> as we transition all of our staff </w:t>
      </w:r>
      <w:r w:rsidR="00AC0708">
        <w:t>to a new more efficient intake software.</w:t>
      </w:r>
      <w:r w:rsidR="00C77830">
        <w:t xml:space="preserve"> </w:t>
      </w:r>
      <w:r w:rsidR="00AC0708">
        <w:t>These essential service design changes will lead to a reduction in wait time in the future</w:t>
      </w:r>
      <w:r w:rsidR="0010217E">
        <w:t>.</w:t>
      </w:r>
      <w:r w:rsidR="00865F69" w:rsidDel="00865F69">
        <w:t xml:space="preserve"> </w:t>
      </w:r>
    </w:p>
    <w:p w14:paraId="548B2E87" w14:textId="27205ACD" w:rsidR="008F1B38" w:rsidRDefault="007C1487" w:rsidP="00E43EE2">
      <w:pPr>
        <w:pStyle w:val="Tableheader"/>
      </w:pPr>
      <w:r>
        <w:t xml:space="preserve">Table 1.3 </w:t>
      </w:r>
      <w:r w:rsidR="00495A11" w:rsidRPr="00495A11">
        <w:t>Early Intervention and Preventative services snapshot</w:t>
      </w:r>
    </w:p>
    <w:tbl>
      <w:tblPr>
        <w:tblStyle w:val="PlainTable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872"/>
        <w:gridCol w:w="1610"/>
        <w:gridCol w:w="1866"/>
        <w:gridCol w:w="1866"/>
        <w:gridCol w:w="1862"/>
      </w:tblGrid>
      <w:tr w:rsidR="009E5E1E" w14:paraId="4E36734E" w14:textId="0109BB21" w:rsidTr="009E5E1E">
        <w:trPr>
          <w:cnfStyle w:val="100000000000" w:firstRow="1" w:lastRow="0" w:firstColumn="0" w:lastColumn="0" w:oddVBand="0" w:evenVBand="0" w:oddHBand="0" w:evenHBand="0" w:firstRowFirstColumn="0" w:firstRowLastColumn="0" w:lastRowFirstColumn="0" w:lastRowLastColumn="0"/>
          <w:trHeight w:val="361"/>
        </w:trPr>
        <w:tc>
          <w:tcPr>
            <w:cnfStyle w:val="000010000000" w:firstRow="0" w:lastRow="0" w:firstColumn="0" w:lastColumn="0" w:oddVBand="1" w:evenVBand="0" w:oddHBand="0" w:evenHBand="0" w:firstRowFirstColumn="0" w:firstRowLastColumn="0" w:lastRowFirstColumn="0" w:lastRowLastColumn="0"/>
            <w:tcW w:w="1425" w:type="pct"/>
            <w:shd w:val="clear" w:color="auto" w:fill="C4B0CC"/>
          </w:tcPr>
          <w:p w14:paraId="69A5DE08" w14:textId="77777777" w:rsidR="009E5E1E" w:rsidRPr="00495A11" w:rsidRDefault="009E5E1E" w:rsidP="00B15BE5">
            <w:pPr>
              <w:rPr>
                <w:b/>
                <w:color w:val="000000" w:themeColor="text1"/>
              </w:rPr>
            </w:pPr>
            <w:r w:rsidRPr="00495A11">
              <w:rPr>
                <w:b/>
                <w:color w:val="000000" w:themeColor="text1"/>
              </w:rPr>
              <w:t>Early Intervention and Preventative services</w:t>
            </w:r>
          </w:p>
        </w:tc>
        <w:tc>
          <w:tcPr>
            <w:cnfStyle w:val="000001000000" w:firstRow="0" w:lastRow="0" w:firstColumn="0" w:lastColumn="0" w:oddVBand="0" w:evenVBand="1" w:oddHBand="0" w:evenHBand="0" w:firstRowFirstColumn="0" w:firstRowLastColumn="0" w:lastRowFirstColumn="0" w:lastRowLastColumn="0"/>
            <w:tcW w:w="799" w:type="pct"/>
            <w:shd w:val="clear" w:color="auto" w:fill="C4B0CC"/>
          </w:tcPr>
          <w:p w14:paraId="21709836" w14:textId="30010BC0" w:rsidR="009E5E1E" w:rsidRPr="000E7EED" w:rsidRDefault="009E5E1E" w:rsidP="00B15BE5">
            <w:pPr>
              <w:jc w:val="center"/>
              <w:rPr>
                <w:b/>
                <w:color w:val="000000" w:themeColor="text1"/>
              </w:rPr>
            </w:pPr>
            <w:r w:rsidRPr="55245693">
              <w:rPr>
                <w:b/>
                <w:color w:val="000000" w:themeColor="text1"/>
              </w:rPr>
              <w:t>Q</w:t>
            </w:r>
            <w:r>
              <w:rPr>
                <w:b/>
                <w:color w:val="000000" w:themeColor="text1"/>
              </w:rPr>
              <w:t>3</w:t>
            </w:r>
          </w:p>
          <w:p w14:paraId="1B43C195" w14:textId="09A80B3A" w:rsidR="009E5E1E" w:rsidRPr="00495A11" w:rsidRDefault="009E5E1E" w:rsidP="00B15BE5">
            <w:pPr>
              <w:jc w:val="center"/>
              <w:rPr>
                <w:b/>
                <w:color w:val="000000" w:themeColor="text1"/>
              </w:rPr>
            </w:pPr>
            <w:r w:rsidRPr="000E7EED">
              <w:rPr>
                <w:b/>
                <w:color w:val="000000" w:themeColor="text1"/>
              </w:rPr>
              <w:t>20</w:t>
            </w:r>
            <w:r>
              <w:rPr>
                <w:b/>
                <w:color w:val="000000" w:themeColor="text1"/>
              </w:rPr>
              <w:t>19-20</w:t>
            </w:r>
          </w:p>
        </w:tc>
        <w:tc>
          <w:tcPr>
            <w:cnfStyle w:val="000010000000" w:firstRow="0" w:lastRow="0" w:firstColumn="0" w:lastColumn="0" w:oddVBand="1" w:evenVBand="0" w:oddHBand="0" w:evenHBand="0" w:firstRowFirstColumn="0" w:firstRowLastColumn="0" w:lastRowFirstColumn="0" w:lastRowLastColumn="0"/>
            <w:tcW w:w="926" w:type="pct"/>
            <w:shd w:val="clear" w:color="auto" w:fill="C4B0CC"/>
          </w:tcPr>
          <w:p w14:paraId="5970D48B" w14:textId="2B1019D4" w:rsidR="009E5E1E" w:rsidRDefault="009E5E1E" w:rsidP="00B15BE5">
            <w:pPr>
              <w:jc w:val="center"/>
              <w:rPr>
                <w:b/>
                <w:color w:val="000000" w:themeColor="text1"/>
              </w:rPr>
            </w:pPr>
            <w:r w:rsidRPr="55245693">
              <w:rPr>
                <w:b/>
                <w:color w:val="000000" w:themeColor="text1"/>
              </w:rPr>
              <w:t>Q</w:t>
            </w:r>
            <w:r>
              <w:rPr>
                <w:b/>
                <w:color w:val="000000" w:themeColor="text1"/>
              </w:rPr>
              <w:t>3</w:t>
            </w:r>
          </w:p>
          <w:p w14:paraId="1AE9CE31" w14:textId="0B8B0DF6" w:rsidR="009E5E1E" w:rsidRPr="00495A11" w:rsidRDefault="009E5E1E" w:rsidP="00B15BE5">
            <w:pPr>
              <w:jc w:val="center"/>
              <w:rPr>
                <w:b/>
                <w:color w:val="000000" w:themeColor="text1"/>
              </w:rPr>
            </w:pPr>
            <w:r w:rsidRPr="000E7EED">
              <w:rPr>
                <w:b/>
                <w:color w:val="000000" w:themeColor="text1"/>
              </w:rPr>
              <w:t>20</w:t>
            </w:r>
            <w:r>
              <w:rPr>
                <w:b/>
                <w:color w:val="000000" w:themeColor="text1"/>
              </w:rPr>
              <w:t>20-21</w:t>
            </w:r>
          </w:p>
        </w:tc>
        <w:tc>
          <w:tcPr>
            <w:cnfStyle w:val="000001000000" w:firstRow="0" w:lastRow="0" w:firstColumn="0" w:lastColumn="0" w:oddVBand="0" w:evenVBand="1" w:oddHBand="0" w:evenHBand="0" w:firstRowFirstColumn="0" w:firstRowLastColumn="0" w:lastRowFirstColumn="0" w:lastRowLastColumn="0"/>
            <w:tcW w:w="926" w:type="pct"/>
            <w:shd w:val="clear" w:color="auto" w:fill="C4B0CC"/>
          </w:tcPr>
          <w:p w14:paraId="2B042F11" w14:textId="5E2291F2" w:rsidR="009E5E1E" w:rsidRDefault="009E5E1E" w:rsidP="00B15BE5">
            <w:pPr>
              <w:jc w:val="center"/>
              <w:rPr>
                <w:b/>
                <w:bCs w:val="0"/>
                <w:color w:val="000000" w:themeColor="text1"/>
              </w:rPr>
            </w:pPr>
            <w:r>
              <w:rPr>
                <w:b/>
                <w:color w:val="000000" w:themeColor="text1"/>
              </w:rPr>
              <w:t>Q4 2021</w:t>
            </w:r>
          </w:p>
          <w:p w14:paraId="44A1A4EE" w14:textId="4A874FBE" w:rsidR="009E5E1E" w:rsidRPr="55245693" w:rsidRDefault="009E5E1E" w:rsidP="00B15BE5">
            <w:pPr>
              <w:jc w:val="center"/>
              <w:rPr>
                <w:b/>
                <w:color w:val="000000" w:themeColor="text1"/>
              </w:rPr>
            </w:pPr>
            <w:r>
              <w:rPr>
                <w:b/>
                <w:color w:val="000000" w:themeColor="text1"/>
              </w:rPr>
              <w:t>projection</w:t>
            </w:r>
          </w:p>
        </w:tc>
        <w:tc>
          <w:tcPr>
            <w:cnfStyle w:val="000010000000" w:firstRow="0" w:lastRow="0" w:firstColumn="0" w:lastColumn="0" w:oddVBand="1" w:evenVBand="0" w:oddHBand="0" w:evenHBand="0" w:firstRowFirstColumn="0" w:firstRowLastColumn="0" w:lastRowFirstColumn="0" w:lastRowLastColumn="0"/>
            <w:tcW w:w="924" w:type="pct"/>
            <w:shd w:val="clear" w:color="auto" w:fill="C4B0CC"/>
          </w:tcPr>
          <w:p w14:paraId="6D5C98BC" w14:textId="2C01C20E" w:rsidR="009E5E1E" w:rsidRDefault="009E5E1E" w:rsidP="00B15BE5">
            <w:pPr>
              <w:jc w:val="center"/>
              <w:rPr>
                <w:b/>
                <w:color w:val="000000" w:themeColor="text1"/>
              </w:rPr>
            </w:pPr>
            <w:r>
              <w:rPr>
                <w:b/>
                <w:color w:val="000000" w:themeColor="text1"/>
              </w:rPr>
              <w:t>Year-end projection</w:t>
            </w:r>
          </w:p>
        </w:tc>
      </w:tr>
      <w:tr w:rsidR="009E5E1E" w:rsidRPr="0021615C" w14:paraId="17F5CA1B" w14:textId="7CC9816F" w:rsidTr="009E5E1E">
        <w:trPr>
          <w:cnfStyle w:val="000000100000" w:firstRow="0" w:lastRow="0" w:firstColumn="0" w:lastColumn="0" w:oddVBand="0" w:evenVBand="0" w:oddHBand="1" w:evenHBand="0" w:firstRowFirstColumn="0" w:firstRowLastColumn="0" w:lastRowFirstColumn="0" w:lastRowLastColumn="0"/>
          <w:trHeight w:val="531"/>
        </w:trPr>
        <w:tc>
          <w:tcPr>
            <w:cnfStyle w:val="000010000000" w:firstRow="0" w:lastRow="0" w:firstColumn="0" w:lastColumn="0" w:oddVBand="1" w:evenVBand="0" w:oddHBand="0" w:evenHBand="0" w:firstRowFirstColumn="0" w:firstRowLastColumn="0" w:lastRowFirstColumn="0" w:lastRowLastColumn="0"/>
            <w:tcW w:w="1425" w:type="pct"/>
          </w:tcPr>
          <w:p w14:paraId="19F24B7C" w14:textId="49986B26" w:rsidR="009E5E1E" w:rsidRPr="000E7EED" w:rsidRDefault="009E5E1E" w:rsidP="00495A11">
            <w:pPr>
              <w:rPr>
                <w:color w:val="000000" w:themeColor="text1"/>
              </w:rPr>
            </w:pPr>
            <w:r w:rsidRPr="000E7EED">
              <w:rPr>
                <w:color w:val="000000" w:themeColor="text1"/>
              </w:rPr>
              <w:t xml:space="preserve">Information </w:t>
            </w:r>
            <w:r>
              <w:rPr>
                <w:color w:val="000000" w:themeColor="text1"/>
              </w:rPr>
              <w:t>sessions</w:t>
            </w:r>
          </w:p>
        </w:tc>
        <w:tc>
          <w:tcPr>
            <w:cnfStyle w:val="000001000000" w:firstRow="0" w:lastRow="0" w:firstColumn="0" w:lastColumn="0" w:oddVBand="0" w:evenVBand="1" w:oddHBand="0" w:evenHBand="0" w:firstRowFirstColumn="0" w:firstRowLastColumn="0" w:lastRowFirstColumn="0" w:lastRowLastColumn="0"/>
            <w:tcW w:w="799" w:type="pct"/>
          </w:tcPr>
          <w:p w14:paraId="7F4686D8" w14:textId="78C38CDE" w:rsidR="009E5E1E" w:rsidRPr="000E7EED" w:rsidRDefault="00D84831" w:rsidP="00075D6E">
            <w:pPr>
              <w:jc w:val="center"/>
              <w:rPr>
                <w:color w:val="000000" w:themeColor="text1"/>
              </w:rPr>
            </w:pPr>
            <w:r>
              <w:rPr>
                <w:color w:val="000000" w:themeColor="text1"/>
              </w:rPr>
              <w:t>27</w:t>
            </w:r>
            <w:r w:rsidR="005C521D">
              <w:rPr>
                <w:color w:val="000000" w:themeColor="text1"/>
              </w:rPr>
              <w:t>,</w:t>
            </w:r>
            <w:r>
              <w:rPr>
                <w:color w:val="000000" w:themeColor="text1"/>
              </w:rPr>
              <w:t>663</w:t>
            </w:r>
          </w:p>
        </w:tc>
        <w:tc>
          <w:tcPr>
            <w:cnfStyle w:val="000010000000" w:firstRow="0" w:lastRow="0" w:firstColumn="0" w:lastColumn="0" w:oddVBand="1" w:evenVBand="0" w:oddHBand="0" w:evenHBand="0" w:firstRowFirstColumn="0" w:firstRowLastColumn="0" w:lastRowFirstColumn="0" w:lastRowLastColumn="0"/>
            <w:tcW w:w="926" w:type="pct"/>
            <w:shd w:val="clear" w:color="auto" w:fill="D9D9D9" w:themeFill="background1" w:themeFillShade="D9"/>
          </w:tcPr>
          <w:p w14:paraId="30C32A25" w14:textId="4991FEDB" w:rsidR="009E5E1E" w:rsidRPr="0021615C" w:rsidRDefault="004A3E5F" w:rsidP="00075D6E">
            <w:pPr>
              <w:jc w:val="center"/>
            </w:pPr>
            <w:r>
              <w:t>2</w:t>
            </w:r>
            <w:r w:rsidR="00473625">
              <w:t>6</w:t>
            </w:r>
            <w:r w:rsidR="005C521D">
              <w:t>,</w:t>
            </w:r>
            <w:r w:rsidR="00790C26">
              <w:t>783</w:t>
            </w:r>
          </w:p>
        </w:tc>
        <w:tc>
          <w:tcPr>
            <w:cnfStyle w:val="000001000000" w:firstRow="0" w:lastRow="0" w:firstColumn="0" w:lastColumn="0" w:oddVBand="0" w:evenVBand="1" w:oddHBand="0" w:evenHBand="0" w:firstRowFirstColumn="0" w:firstRowLastColumn="0" w:lastRowFirstColumn="0" w:lastRowLastColumn="0"/>
            <w:tcW w:w="926" w:type="pct"/>
            <w:shd w:val="clear" w:color="auto" w:fill="auto"/>
          </w:tcPr>
          <w:p w14:paraId="46A3F8BF" w14:textId="5D95E6A9" w:rsidR="009E5E1E" w:rsidRDefault="007C5FC6" w:rsidP="00075D6E">
            <w:pPr>
              <w:jc w:val="center"/>
            </w:pPr>
            <w:r>
              <w:t>22,</w:t>
            </w:r>
            <w:r w:rsidR="004252A3">
              <w:t>9</w:t>
            </w:r>
            <w:r w:rsidR="001427B6">
              <w:t>00</w:t>
            </w:r>
          </w:p>
        </w:tc>
        <w:tc>
          <w:tcPr>
            <w:cnfStyle w:val="000010000000" w:firstRow="0" w:lastRow="0" w:firstColumn="0" w:lastColumn="0" w:oddVBand="1" w:evenVBand="0" w:oddHBand="0" w:evenHBand="0" w:firstRowFirstColumn="0" w:firstRowLastColumn="0" w:lastRowFirstColumn="0" w:lastRowLastColumn="0"/>
            <w:tcW w:w="924" w:type="pct"/>
          </w:tcPr>
          <w:p w14:paraId="597775EF" w14:textId="72FB165D" w:rsidR="009E5E1E" w:rsidRDefault="003814D4" w:rsidP="00075D6E">
            <w:pPr>
              <w:jc w:val="center"/>
            </w:pPr>
            <w:r>
              <w:t>105,</w:t>
            </w:r>
            <w:r w:rsidR="001427B6">
              <w:t>800</w:t>
            </w:r>
          </w:p>
        </w:tc>
      </w:tr>
      <w:tr w:rsidR="009E5E1E" w14:paraId="63D578F8" w14:textId="2987812D" w:rsidTr="009E5E1E">
        <w:trPr>
          <w:cnfStyle w:val="000000010000" w:firstRow="0" w:lastRow="0" w:firstColumn="0" w:lastColumn="0" w:oddVBand="0" w:evenVBand="0" w:oddHBand="0" w:evenHBand="1" w:firstRowFirstColumn="0" w:firstRowLastColumn="0" w:lastRowFirstColumn="0" w:lastRowLastColumn="0"/>
          <w:trHeight w:val="194"/>
        </w:trPr>
        <w:tc>
          <w:tcPr>
            <w:cnfStyle w:val="000010000000" w:firstRow="0" w:lastRow="0" w:firstColumn="0" w:lastColumn="0" w:oddVBand="1" w:evenVBand="0" w:oddHBand="0" w:evenHBand="0" w:firstRowFirstColumn="0" w:firstRowLastColumn="0" w:lastRowFirstColumn="0" w:lastRowLastColumn="0"/>
            <w:tcW w:w="1425" w:type="pct"/>
          </w:tcPr>
          <w:p w14:paraId="3941F306" w14:textId="4F191B1A" w:rsidR="009E5E1E" w:rsidRPr="000E7EED" w:rsidRDefault="009E5E1E" w:rsidP="00495A11">
            <w:pPr>
              <w:rPr>
                <w:color w:val="000000" w:themeColor="text1"/>
              </w:rPr>
            </w:pPr>
            <w:r>
              <w:rPr>
                <w:color w:val="000000" w:themeColor="text1"/>
              </w:rPr>
              <w:t>Legal Advice sessions</w:t>
            </w:r>
          </w:p>
        </w:tc>
        <w:tc>
          <w:tcPr>
            <w:cnfStyle w:val="000001000000" w:firstRow="0" w:lastRow="0" w:firstColumn="0" w:lastColumn="0" w:oddVBand="0" w:evenVBand="1" w:oddHBand="0" w:evenHBand="0" w:firstRowFirstColumn="0" w:firstRowLastColumn="0" w:lastRowFirstColumn="0" w:lastRowLastColumn="0"/>
            <w:tcW w:w="799" w:type="pct"/>
          </w:tcPr>
          <w:p w14:paraId="321509DE" w14:textId="7A5B5B26" w:rsidR="009E5E1E" w:rsidRPr="000E7EED" w:rsidRDefault="00307FB8" w:rsidP="00075D6E">
            <w:pPr>
              <w:jc w:val="center"/>
              <w:rPr>
                <w:color w:val="000000" w:themeColor="text1"/>
              </w:rPr>
            </w:pPr>
            <w:r>
              <w:rPr>
                <w:color w:val="000000" w:themeColor="text1"/>
              </w:rPr>
              <w:t>8</w:t>
            </w:r>
            <w:r w:rsidR="005C521D">
              <w:rPr>
                <w:color w:val="000000" w:themeColor="text1"/>
              </w:rPr>
              <w:t>,</w:t>
            </w:r>
            <w:r>
              <w:rPr>
                <w:color w:val="000000" w:themeColor="text1"/>
              </w:rPr>
              <w:t>828</w:t>
            </w:r>
          </w:p>
        </w:tc>
        <w:tc>
          <w:tcPr>
            <w:cnfStyle w:val="000010000000" w:firstRow="0" w:lastRow="0" w:firstColumn="0" w:lastColumn="0" w:oddVBand="1" w:evenVBand="0" w:oddHBand="0" w:evenHBand="0" w:firstRowFirstColumn="0" w:firstRowLastColumn="0" w:lastRowFirstColumn="0" w:lastRowLastColumn="0"/>
            <w:tcW w:w="926" w:type="pct"/>
            <w:shd w:val="clear" w:color="auto" w:fill="D9D9D9" w:themeFill="background1" w:themeFillShade="D9"/>
          </w:tcPr>
          <w:p w14:paraId="62B478A5" w14:textId="15E1EB1F" w:rsidR="009E5E1E" w:rsidRPr="000E7EED" w:rsidRDefault="00E62EA4" w:rsidP="00075D6E">
            <w:pPr>
              <w:jc w:val="center"/>
              <w:rPr>
                <w:color w:val="000000" w:themeColor="text1"/>
              </w:rPr>
            </w:pPr>
            <w:r>
              <w:rPr>
                <w:color w:val="000000" w:themeColor="text1"/>
              </w:rPr>
              <w:t>6</w:t>
            </w:r>
            <w:r w:rsidR="005C521D">
              <w:rPr>
                <w:color w:val="000000" w:themeColor="text1"/>
              </w:rPr>
              <w:t>,</w:t>
            </w:r>
            <w:r w:rsidR="00DB1041">
              <w:rPr>
                <w:color w:val="000000" w:themeColor="text1"/>
              </w:rPr>
              <w:t>880</w:t>
            </w:r>
          </w:p>
        </w:tc>
        <w:tc>
          <w:tcPr>
            <w:cnfStyle w:val="000001000000" w:firstRow="0" w:lastRow="0" w:firstColumn="0" w:lastColumn="0" w:oddVBand="0" w:evenVBand="1" w:oddHBand="0" w:evenHBand="0" w:firstRowFirstColumn="0" w:firstRowLastColumn="0" w:lastRowFirstColumn="0" w:lastRowLastColumn="0"/>
            <w:tcW w:w="926" w:type="pct"/>
            <w:shd w:val="clear" w:color="auto" w:fill="auto"/>
          </w:tcPr>
          <w:p w14:paraId="2BE70748" w14:textId="1521793B" w:rsidR="009E5E1E" w:rsidRDefault="003814D4" w:rsidP="00075D6E">
            <w:pPr>
              <w:jc w:val="center"/>
              <w:rPr>
                <w:color w:val="000000" w:themeColor="text1"/>
              </w:rPr>
            </w:pPr>
            <w:r>
              <w:rPr>
                <w:color w:val="000000" w:themeColor="text1"/>
              </w:rPr>
              <w:t>7,</w:t>
            </w:r>
            <w:r w:rsidR="001427B6">
              <w:rPr>
                <w:color w:val="000000" w:themeColor="text1"/>
              </w:rPr>
              <w:t>600</w:t>
            </w:r>
          </w:p>
        </w:tc>
        <w:tc>
          <w:tcPr>
            <w:cnfStyle w:val="000010000000" w:firstRow="0" w:lastRow="0" w:firstColumn="0" w:lastColumn="0" w:oddVBand="1" w:evenVBand="0" w:oddHBand="0" w:evenHBand="0" w:firstRowFirstColumn="0" w:firstRowLastColumn="0" w:lastRowFirstColumn="0" w:lastRowLastColumn="0"/>
            <w:tcW w:w="924" w:type="pct"/>
          </w:tcPr>
          <w:p w14:paraId="4E735DF5" w14:textId="1BC2875F" w:rsidR="009E5E1E" w:rsidRDefault="003814D4" w:rsidP="00075D6E">
            <w:pPr>
              <w:jc w:val="center"/>
              <w:rPr>
                <w:color w:val="000000" w:themeColor="text1"/>
              </w:rPr>
            </w:pPr>
            <w:r>
              <w:rPr>
                <w:color w:val="000000" w:themeColor="text1"/>
              </w:rPr>
              <w:t>32,7</w:t>
            </w:r>
            <w:r w:rsidR="001427B6">
              <w:rPr>
                <w:color w:val="000000" w:themeColor="text1"/>
              </w:rPr>
              <w:t>00</w:t>
            </w:r>
          </w:p>
        </w:tc>
      </w:tr>
      <w:tr w:rsidR="009E5E1E" w14:paraId="790DC25B" w14:textId="6A22E6AE" w:rsidTr="009E5E1E">
        <w:trPr>
          <w:cnfStyle w:val="000000100000" w:firstRow="0" w:lastRow="0" w:firstColumn="0" w:lastColumn="0" w:oddVBand="0" w:evenVBand="0" w:oddHBand="1" w:evenHBand="0" w:firstRowFirstColumn="0" w:firstRowLastColumn="0" w:lastRowFirstColumn="0" w:lastRowLastColumn="0"/>
          <w:trHeight w:val="194"/>
        </w:trPr>
        <w:tc>
          <w:tcPr>
            <w:cnfStyle w:val="000010000000" w:firstRow="0" w:lastRow="0" w:firstColumn="0" w:lastColumn="0" w:oddVBand="1" w:evenVBand="0" w:oddHBand="0" w:evenHBand="0" w:firstRowFirstColumn="0" w:firstRowLastColumn="0" w:lastRowFirstColumn="0" w:lastRowLastColumn="0"/>
            <w:tcW w:w="1425" w:type="pct"/>
          </w:tcPr>
          <w:p w14:paraId="365FE2D7" w14:textId="2D962CC6" w:rsidR="009E5E1E" w:rsidRDefault="009E5E1E" w:rsidP="00495A11">
            <w:pPr>
              <w:rPr>
                <w:color w:val="000000" w:themeColor="text1"/>
              </w:rPr>
            </w:pPr>
            <w:r>
              <w:rPr>
                <w:color w:val="000000" w:themeColor="text1"/>
              </w:rPr>
              <w:t>Minor work sessions</w:t>
            </w:r>
          </w:p>
        </w:tc>
        <w:tc>
          <w:tcPr>
            <w:cnfStyle w:val="000001000000" w:firstRow="0" w:lastRow="0" w:firstColumn="0" w:lastColumn="0" w:oddVBand="0" w:evenVBand="1" w:oddHBand="0" w:evenHBand="0" w:firstRowFirstColumn="0" w:firstRowLastColumn="0" w:lastRowFirstColumn="0" w:lastRowLastColumn="0"/>
            <w:tcW w:w="799" w:type="pct"/>
          </w:tcPr>
          <w:p w14:paraId="178E310B" w14:textId="1C9E0FF0" w:rsidR="009E5E1E" w:rsidRDefault="007177AC" w:rsidP="00075D6E">
            <w:pPr>
              <w:jc w:val="center"/>
              <w:rPr>
                <w:color w:val="000000" w:themeColor="text1"/>
              </w:rPr>
            </w:pPr>
            <w:r>
              <w:rPr>
                <w:color w:val="000000" w:themeColor="text1"/>
              </w:rPr>
              <w:t>1</w:t>
            </w:r>
            <w:r w:rsidR="005C521D">
              <w:rPr>
                <w:color w:val="000000" w:themeColor="text1"/>
              </w:rPr>
              <w:t>,</w:t>
            </w:r>
            <w:r>
              <w:rPr>
                <w:color w:val="000000" w:themeColor="text1"/>
              </w:rPr>
              <w:t>078</w:t>
            </w:r>
          </w:p>
        </w:tc>
        <w:tc>
          <w:tcPr>
            <w:cnfStyle w:val="000010000000" w:firstRow="0" w:lastRow="0" w:firstColumn="0" w:lastColumn="0" w:oddVBand="1" w:evenVBand="0" w:oddHBand="0" w:evenHBand="0" w:firstRowFirstColumn="0" w:firstRowLastColumn="0" w:lastRowFirstColumn="0" w:lastRowLastColumn="0"/>
            <w:tcW w:w="926" w:type="pct"/>
            <w:shd w:val="clear" w:color="auto" w:fill="D9D9D9" w:themeFill="background1" w:themeFillShade="D9"/>
          </w:tcPr>
          <w:p w14:paraId="44FC2BCB" w14:textId="5986BEE1" w:rsidR="009E5E1E" w:rsidRDefault="00E15A27" w:rsidP="00075D6E">
            <w:pPr>
              <w:jc w:val="center"/>
              <w:rPr>
                <w:color w:val="000000" w:themeColor="text1"/>
              </w:rPr>
            </w:pPr>
            <w:r>
              <w:rPr>
                <w:color w:val="000000" w:themeColor="text1"/>
              </w:rPr>
              <w:t>889</w:t>
            </w:r>
          </w:p>
        </w:tc>
        <w:tc>
          <w:tcPr>
            <w:cnfStyle w:val="000001000000" w:firstRow="0" w:lastRow="0" w:firstColumn="0" w:lastColumn="0" w:oddVBand="0" w:evenVBand="1" w:oddHBand="0" w:evenHBand="0" w:firstRowFirstColumn="0" w:firstRowLastColumn="0" w:lastRowFirstColumn="0" w:lastRowLastColumn="0"/>
            <w:tcW w:w="926" w:type="pct"/>
            <w:shd w:val="clear" w:color="auto" w:fill="auto"/>
          </w:tcPr>
          <w:p w14:paraId="33E45CD5" w14:textId="222DED54" w:rsidR="009E5E1E" w:rsidRDefault="009D11EB" w:rsidP="00075D6E">
            <w:pPr>
              <w:jc w:val="center"/>
              <w:rPr>
                <w:color w:val="000000" w:themeColor="text1"/>
              </w:rPr>
            </w:pPr>
            <w:r>
              <w:rPr>
                <w:color w:val="000000" w:themeColor="text1"/>
              </w:rPr>
              <w:t>1,</w:t>
            </w:r>
            <w:r w:rsidR="001427B6">
              <w:rPr>
                <w:color w:val="000000" w:themeColor="text1"/>
              </w:rPr>
              <w:t>200</w:t>
            </w:r>
          </w:p>
        </w:tc>
        <w:tc>
          <w:tcPr>
            <w:cnfStyle w:val="000010000000" w:firstRow="0" w:lastRow="0" w:firstColumn="0" w:lastColumn="0" w:oddVBand="1" w:evenVBand="0" w:oddHBand="0" w:evenHBand="0" w:firstRowFirstColumn="0" w:firstRowLastColumn="0" w:lastRowFirstColumn="0" w:lastRowLastColumn="0"/>
            <w:tcW w:w="924" w:type="pct"/>
          </w:tcPr>
          <w:p w14:paraId="57F87E7F" w14:textId="07C08010" w:rsidR="009E5E1E" w:rsidRDefault="00341FAC" w:rsidP="00075D6E">
            <w:pPr>
              <w:jc w:val="center"/>
              <w:rPr>
                <w:color w:val="000000" w:themeColor="text1"/>
              </w:rPr>
            </w:pPr>
            <w:r>
              <w:rPr>
                <w:color w:val="000000" w:themeColor="text1"/>
              </w:rPr>
              <w:t>3,5</w:t>
            </w:r>
            <w:r w:rsidR="001427B6">
              <w:rPr>
                <w:color w:val="000000" w:themeColor="text1"/>
              </w:rPr>
              <w:t>00</w:t>
            </w:r>
          </w:p>
        </w:tc>
      </w:tr>
      <w:tr w:rsidR="009E5E1E" w14:paraId="6E8F7A5D" w14:textId="35AC7D74" w:rsidTr="009E5E1E">
        <w:trPr>
          <w:cnfStyle w:val="000000010000" w:firstRow="0" w:lastRow="0" w:firstColumn="0" w:lastColumn="0" w:oddVBand="0" w:evenVBand="0" w:oddHBand="0" w:evenHBand="1" w:firstRowFirstColumn="0" w:firstRowLastColumn="0" w:lastRowFirstColumn="0" w:lastRowLastColumn="0"/>
          <w:trHeight w:val="194"/>
        </w:trPr>
        <w:tc>
          <w:tcPr>
            <w:cnfStyle w:val="000010000000" w:firstRow="0" w:lastRow="0" w:firstColumn="0" w:lastColumn="0" w:oddVBand="1" w:evenVBand="0" w:oddHBand="0" w:evenHBand="0" w:firstRowFirstColumn="0" w:firstRowLastColumn="0" w:lastRowFirstColumn="0" w:lastRowLastColumn="0"/>
            <w:tcW w:w="1425" w:type="pct"/>
          </w:tcPr>
          <w:p w14:paraId="6522BC66" w14:textId="09E8A605" w:rsidR="009E5E1E" w:rsidRDefault="009E5E1E" w:rsidP="00667FB6">
            <w:pPr>
              <w:rPr>
                <w:color w:val="000000" w:themeColor="text1"/>
              </w:rPr>
            </w:pPr>
            <w:r>
              <w:rPr>
                <w:color w:val="000000" w:themeColor="text1"/>
              </w:rPr>
              <w:t>Community Legal Education sessions</w:t>
            </w:r>
          </w:p>
        </w:tc>
        <w:tc>
          <w:tcPr>
            <w:cnfStyle w:val="000001000000" w:firstRow="0" w:lastRow="0" w:firstColumn="0" w:lastColumn="0" w:oddVBand="0" w:evenVBand="1" w:oddHBand="0" w:evenHBand="0" w:firstRowFirstColumn="0" w:firstRowLastColumn="0" w:lastRowFirstColumn="0" w:lastRowLastColumn="0"/>
            <w:tcW w:w="799" w:type="pct"/>
          </w:tcPr>
          <w:p w14:paraId="00A2751E" w14:textId="32DF1369" w:rsidR="009E5E1E" w:rsidRDefault="00C948CD" w:rsidP="00075D6E">
            <w:pPr>
              <w:jc w:val="center"/>
              <w:rPr>
                <w:color w:val="000000" w:themeColor="text1"/>
              </w:rPr>
            </w:pPr>
            <w:r>
              <w:rPr>
                <w:color w:val="000000" w:themeColor="text1"/>
              </w:rPr>
              <w:t>52</w:t>
            </w:r>
          </w:p>
        </w:tc>
        <w:tc>
          <w:tcPr>
            <w:cnfStyle w:val="000010000000" w:firstRow="0" w:lastRow="0" w:firstColumn="0" w:lastColumn="0" w:oddVBand="1" w:evenVBand="0" w:oddHBand="0" w:evenHBand="0" w:firstRowFirstColumn="0" w:firstRowLastColumn="0" w:lastRowFirstColumn="0" w:lastRowLastColumn="0"/>
            <w:tcW w:w="926" w:type="pct"/>
            <w:shd w:val="clear" w:color="auto" w:fill="D9D9D9" w:themeFill="background1" w:themeFillShade="D9"/>
          </w:tcPr>
          <w:p w14:paraId="7373AE20" w14:textId="3C3B0E14" w:rsidR="009E5E1E" w:rsidRDefault="00554868" w:rsidP="00075D6E">
            <w:pPr>
              <w:jc w:val="center"/>
              <w:rPr>
                <w:color w:val="000000" w:themeColor="text1"/>
              </w:rPr>
            </w:pPr>
            <w:r>
              <w:rPr>
                <w:color w:val="000000" w:themeColor="text1"/>
              </w:rPr>
              <w:t>39</w:t>
            </w:r>
          </w:p>
        </w:tc>
        <w:tc>
          <w:tcPr>
            <w:cnfStyle w:val="000001000000" w:firstRow="0" w:lastRow="0" w:firstColumn="0" w:lastColumn="0" w:oddVBand="0" w:evenVBand="1" w:oddHBand="0" w:evenHBand="0" w:firstRowFirstColumn="0" w:firstRowLastColumn="0" w:lastRowFirstColumn="0" w:lastRowLastColumn="0"/>
            <w:tcW w:w="926" w:type="pct"/>
            <w:shd w:val="clear" w:color="auto" w:fill="auto"/>
          </w:tcPr>
          <w:p w14:paraId="16036EBB" w14:textId="3D3E4B4F" w:rsidR="009E5E1E" w:rsidRDefault="00554868" w:rsidP="00075D6E">
            <w:pPr>
              <w:jc w:val="center"/>
              <w:rPr>
                <w:color w:val="000000" w:themeColor="text1"/>
              </w:rPr>
            </w:pPr>
            <w:r>
              <w:rPr>
                <w:color w:val="000000" w:themeColor="text1"/>
              </w:rPr>
              <w:t>40</w:t>
            </w:r>
          </w:p>
        </w:tc>
        <w:tc>
          <w:tcPr>
            <w:cnfStyle w:val="000010000000" w:firstRow="0" w:lastRow="0" w:firstColumn="0" w:lastColumn="0" w:oddVBand="1" w:evenVBand="0" w:oddHBand="0" w:evenHBand="0" w:firstRowFirstColumn="0" w:firstRowLastColumn="0" w:lastRowFirstColumn="0" w:lastRowLastColumn="0"/>
            <w:tcW w:w="924" w:type="pct"/>
          </w:tcPr>
          <w:p w14:paraId="3555A14F" w14:textId="3621797C" w:rsidR="009E5E1E" w:rsidRDefault="005F1E39" w:rsidP="00075D6E">
            <w:pPr>
              <w:jc w:val="center"/>
              <w:rPr>
                <w:color w:val="000000" w:themeColor="text1"/>
              </w:rPr>
            </w:pPr>
            <w:r>
              <w:rPr>
                <w:color w:val="000000" w:themeColor="text1"/>
              </w:rPr>
              <w:t>160</w:t>
            </w:r>
          </w:p>
        </w:tc>
      </w:tr>
      <w:tr w:rsidR="009E5E1E" w14:paraId="517976DD" w14:textId="67033291" w:rsidTr="009E5E1E">
        <w:trPr>
          <w:cnfStyle w:val="000000100000" w:firstRow="0" w:lastRow="0" w:firstColumn="0" w:lastColumn="0" w:oddVBand="0" w:evenVBand="0" w:oddHBand="1" w:evenHBand="0" w:firstRowFirstColumn="0" w:firstRowLastColumn="0" w:lastRowFirstColumn="0" w:lastRowLastColumn="0"/>
          <w:trHeight w:val="194"/>
        </w:trPr>
        <w:tc>
          <w:tcPr>
            <w:cnfStyle w:val="000010000000" w:firstRow="0" w:lastRow="0" w:firstColumn="0" w:lastColumn="0" w:oddVBand="1" w:evenVBand="0" w:oddHBand="0" w:evenHBand="0" w:firstRowFirstColumn="0" w:firstRowLastColumn="0" w:lastRowFirstColumn="0" w:lastRowLastColumn="0"/>
            <w:tcW w:w="1425" w:type="pct"/>
          </w:tcPr>
          <w:p w14:paraId="6E9B5491" w14:textId="77777777" w:rsidR="009E5E1E" w:rsidRPr="000E7EED" w:rsidRDefault="009E5E1E" w:rsidP="004A4B2B">
            <w:pPr>
              <w:rPr>
                <w:color w:val="000000" w:themeColor="text1"/>
              </w:rPr>
            </w:pPr>
            <w:r>
              <w:rPr>
                <w:color w:val="000000" w:themeColor="text1"/>
              </w:rPr>
              <w:t>W</w:t>
            </w:r>
            <w:r w:rsidRPr="000E7EED">
              <w:rPr>
                <w:color w:val="000000" w:themeColor="text1"/>
              </w:rPr>
              <w:t>ebsite</w:t>
            </w:r>
            <w:r>
              <w:rPr>
                <w:color w:val="000000" w:themeColor="text1"/>
              </w:rPr>
              <w:t xml:space="preserve"> sessions</w:t>
            </w:r>
          </w:p>
        </w:tc>
        <w:tc>
          <w:tcPr>
            <w:cnfStyle w:val="000001000000" w:firstRow="0" w:lastRow="0" w:firstColumn="0" w:lastColumn="0" w:oddVBand="0" w:evenVBand="1" w:oddHBand="0" w:evenHBand="0" w:firstRowFirstColumn="0" w:firstRowLastColumn="0" w:lastRowFirstColumn="0" w:lastRowLastColumn="0"/>
            <w:tcW w:w="799" w:type="pct"/>
          </w:tcPr>
          <w:p w14:paraId="58083224" w14:textId="14032FC0" w:rsidR="009E5E1E" w:rsidRPr="000E7EED" w:rsidRDefault="00D340BF" w:rsidP="00075D6E">
            <w:pPr>
              <w:jc w:val="center"/>
              <w:rPr>
                <w:color w:val="000000" w:themeColor="text1"/>
              </w:rPr>
            </w:pPr>
            <w:r>
              <w:rPr>
                <w:color w:val="000000" w:themeColor="text1"/>
              </w:rPr>
              <w:t>666,360</w:t>
            </w:r>
          </w:p>
        </w:tc>
        <w:tc>
          <w:tcPr>
            <w:cnfStyle w:val="000010000000" w:firstRow="0" w:lastRow="0" w:firstColumn="0" w:lastColumn="0" w:oddVBand="1" w:evenVBand="0" w:oddHBand="0" w:evenHBand="0" w:firstRowFirstColumn="0" w:firstRowLastColumn="0" w:lastRowFirstColumn="0" w:lastRowLastColumn="0"/>
            <w:tcW w:w="926" w:type="pct"/>
            <w:shd w:val="clear" w:color="auto" w:fill="D9D9D9" w:themeFill="background1" w:themeFillShade="D9"/>
          </w:tcPr>
          <w:p w14:paraId="4D786578" w14:textId="21727200" w:rsidR="009E5E1E" w:rsidRPr="000E7EED" w:rsidRDefault="00671474" w:rsidP="00075D6E">
            <w:pPr>
              <w:jc w:val="center"/>
              <w:rPr>
                <w:color w:val="000000" w:themeColor="text1"/>
              </w:rPr>
            </w:pPr>
            <w:r>
              <w:rPr>
                <w:color w:val="000000" w:themeColor="text1"/>
              </w:rPr>
              <w:t>651,614</w:t>
            </w:r>
          </w:p>
        </w:tc>
        <w:tc>
          <w:tcPr>
            <w:cnfStyle w:val="000001000000" w:firstRow="0" w:lastRow="0" w:firstColumn="0" w:lastColumn="0" w:oddVBand="0" w:evenVBand="1" w:oddHBand="0" w:evenHBand="0" w:firstRowFirstColumn="0" w:firstRowLastColumn="0" w:lastRowFirstColumn="0" w:lastRowLastColumn="0"/>
            <w:tcW w:w="926" w:type="pct"/>
            <w:shd w:val="clear" w:color="auto" w:fill="auto"/>
          </w:tcPr>
          <w:p w14:paraId="68FA0D28" w14:textId="157783E9" w:rsidR="009E5E1E" w:rsidRDefault="002A2307" w:rsidP="00075D6E">
            <w:pPr>
              <w:jc w:val="center"/>
              <w:rPr>
                <w:color w:val="000000" w:themeColor="text1"/>
              </w:rPr>
            </w:pPr>
            <w:r>
              <w:rPr>
                <w:color w:val="000000" w:themeColor="text1"/>
              </w:rPr>
              <w:t>759,</w:t>
            </w:r>
            <w:r w:rsidR="001427B6">
              <w:rPr>
                <w:color w:val="000000" w:themeColor="text1"/>
              </w:rPr>
              <w:t>300</w:t>
            </w:r>
          </w:p>
        </w:tc>
        <w:tc>
          <w:tcPr>
            <w:cnfStyle w:val="000010000000" w:firstRow="0" w:lastRow="0" w:firstColumn="0" w:lastColumn="0" w:oddVBand="1" w:evenVBand="0" w:oddHBand="0" w:evenHBand="0" w:firstRowFirstColumn="0" w:firstRowLastColumn="0" w:lastRowFirstColumn="0" w:lastRowLastColumn="0"/>
            <w:tcW w:w="924" w:type="pct"/>
          </w:tcPr>
          <w:p w14:paraId="00B7C38A" w14:textId="6FDA5CA9" w:rsidR="009E5E1E" w:rsidRDefault="002A2307" w:rsidP="00075D6E">
            <w:pPr>
              <w:jc w:val="center"/>
              <w:rPr>
                <w:color w:val="000000" w:themeColor="text1"/>
              </w:rPr>
            </w:pPr>
            <w:r>
              <w:rPr>
                <w:color w:val="000000" w:themeColor="text1"/>
              </w:rPr>
              <w:t>3,021,2</w:t>
            </w:r>
            <w:r w:rsidR="001427B6">
              <w:rPr>
                <w:color w:val="000000" w:themeColor="text1"/>
              </w:rPr>
              <w:t>00</w:t>
            </w:r>
          </w:p>
        </w:tc>
      </w:tr>
    </w:tbl>
    <w:p w14:paraId="0FAC6B03" w14:textId="46291E20" w:rsidR="009F0BCC" w:rsidRDefault="00207E78" w:rsidP="009F0BCC">
      <w:pPr>
        <w:spacing w:before="120"/>
      </w:pPr>
      <w:r>
        <w:t>Compared to the same period last year, information sessions delivered decreased by 3 per cent and legal advice sessions by 22 per cent (Table 1.3), as a result of t</w:t>
      </w:r>
      <w:r w:rsidR="009F0BCC">
        <w:t>he increased wait time and service duration experienced by clients accessing the Legal Help</w:t>
      </w:r>
      <w:r w:rsidR="0048694E">
        <w:t xml:space="preserve">. </w:t>
      </w:r>
      <w:r w:rsidR="009F0BCC">
        <w:t xml:space="preserve">We anticipate that </w:t>
      </w:r>
      <w:r w:rsidR="00D90992">
        <w:t xml:space="preserve">once </w:t>
      </w:r>
      <w:r w:rsidR="004C2E2D">
        <w:t xml:space="preserve">implementation is </w:t>
      </w:r>
      <w:r w:rsidR="00E7068F">
        <w:t xml:space="preserve">completed on the Legal Help Intake Solution, </w:t>
      </w:r>
      <w:r w:rsidR="00CD2A50">
        <w:t xml:space="preserve">greater efficiencies </w:t>
      </w:r>
      <w:r w:rsidR="00413498">
        <w:t>wi</w:t>
      </w:r>
      <w:r w:rsidR="00681386">
        <w:t xml:space="preserve">ll </w:t>
      </w:r>
      <w:r w:rsidR="00B8030D">
        <w:t>be seen</w:t>
      </w:r>
      <w:r w:rsidR="004805F1">
        <w:t xml:space="preserve"> that will assist in</w:t>
      </w:r>
      <w:r w:rsidR="00BC5992">
        <w:t xml:space="preserve"> </w:t>
      </w:r>
      <w:r w:rsidR="009F0BCC">
        <w:t xml:space="preserve">reducing wait time and being able to assist a greater number of client requests. </w:t>
      </w:r>
    </w:p>
    <w:p w14:paraId="45BDACDF" w14:textId="2A7BF7DD" w:rsidR="00F423AD" w:rsidRDefault="007B6E08" w:rsidP="00844BD8">
      <w:pPr>
        <w:pStyle w:val="Tableheader"/>
        <w:spacing w:before="0"/>
        <w:rPr>
          <w:b w:val="0"/>
          <w:bCs w:val="0"/>
          <w:sz w:val="22"/>
          <w:szCs w:val="22"/>
        </w:rPr>
      </w:pPr>
      <w:r>
        <w:rPr>
          <w:b w:val="0"/>
          <w:bCs w:val="0"/>
          <w:sz w:val="22"/>
          <w:szCs w:val="22"/>
        </w:rPr>
        <w:t xml:space="preserve">Prior to the pandemic, </w:t>
      </w:r>
      <w:r w:rsidR="00586061">
        <w:rPr>
          <w:b w:val="0"/>
          <w:bCs w:val="0"/>
          <w:sz w:val="22"/>
          <w:szCs w:val="22"/>
        </w:rPr>
        <w:t xml:space="preserve">The Community Legal Education </w:t>
      </w:r>
      <w:r w:rsidR="00020F26">
        <w:rPr>
          <w:b w:val="0"/>
          <w:bCs w:val="0"/>
          <w:sz w:val="22"/>
          <w:szCs w:val="22"/>
        </w:rPr>
        <w:t xml:space="preserve">(CLE) </w:t>
      </w:r>
      <w:r w:rsidR="00AA01BD">
        <w:rPr>
          <w:b w:val="0"/>
          <w:bCs w:val="0"/>
          <w:sz w:val="22"/>
          <w:szCs w:val="22"/>
        </w:rPr>
        <w:t xml:space="preserve">program </w:t>
      </w:r>
      <w:r w:rsidR="00CC65E8">
        <w:rPr>
          <w:b w:val="0"/>
          <w:bCs w:val="0"/>
          <w:sz w:val="22"/>
          <w:szCs w:val="22"/>
        </w:rPr>
        <w:t>and regional offices delivered preventative CLE sessions i</w:t>
      </w:r>
      <w:r>
        <w:rPr>
          <w:b w:val="0"/>
          <w:bCs w:val="0"/>
          <w:sz w:val="22"/>
          <w:szCs w:val="22"/>
        </w:rPr>
        <w:t xml:space="preserve">n person. </w:t>
      </w:r>
      <w:r w:rsidR="00CC65E8">
        <w:rPr>
          <w:b w:val="0"/>
          <w:bCs w:val="0"/>
          <w:sz w:val="22"/>
          <w:szCs w:val="22"/>
        </w:rPr>
        <w:t>During peak COVI</w:t>
      </w:r>
      <w:r w:rsidR="00CE1ED6">
        <w:rPr>
          <w:b w:val="0"/>
          <w:bCs w:val="0"/>
          <w:sz w:val="22"/>
          <w:szCs w:val="22"/>
        </w:rPr>
        <w:t>D-19</w:t>
      </w:r>
      <w:r w:rsidR="00CC65E8">
        <w:rPr>
          <w:b w:val="0"/>
          <w:bCs w:val="0"/>
          <w:sz w:val="22"/>
          <w:szCs w:val="22"/>
        </w:rPr>
        <w:t xml:space="preserve"> </w:t>
      </w:r>
      <w:r>
        <w:rPr>
          <w:b w:val="0"/>
          <w:bCs w:val="0"/>
          <w:sz w:val="22"/>
          <w:szCs w:val="22"/>
        </w:rPr>
        <w:t xml:space="preserve">restrictions </w:t>
      </w:r>
      <w:r w:rsidR="009A0CD1">
        <w:rPr>
          <w:b w:val="0"/>
          <w:bCs w:val="0"/>
          <w:sz w:val="22"/>
          <w:szCs w:val="22"/>
        </w:rPr>
        <w:t>these</w:t>
      </w:r>
      <w:r w:rsidR="00586061">
        <w:rPr>
          <w:b w:val="0"/>
          <w:bCs w:val="0"/>
          <w:sz w:val="22"/>
          <w:szCs w:val="22"/>
        </w:rPr>
        <w:t xml:space="preserve"> sessions </w:t>
      </w:r>
      <w:r w:rsidR="009A0CD1">
        <w:rPr>
          <w:b w:val="0"/>
          <w:bCs w:val="0"/>
          <w:sz w:val="22"/>
          <w:szCs w:val="22"/>
        </w:rPr>
        <w:t xml:space="preserve">were delivered </w:t>
      </w:r>
      <w:r w:rsidR="00371B0F">
        <w:rPr>
          <w:b w:val="0"/>
          <w:bCs w:val="0"/>
          <w:sz w:val="22"/>
          <w:szCs w:val="22"/>
        </w:rPr>
        <w:t>remote</w:t>
      </w:r>
      <w:r w:rsidR="009A0CD1">
        <w:rPr>
          <w:b w:val="0"/>
          <w:bCs w:val="0"/>
          <w:sz w:val="22"/>
          <w:szCs w:val="22"/>
        </w:rPr>
        <w:t>ly</w:t>
      </w:r>
      <w:r w:rsidR="00552C8C">
        <w:rPr>
          <w:b w:val="0"/>
          <w:bCs w:val="0"/>
          <w:sz w:val="22"/>
          <w:szCs w:val="22"/>
        </w:rPr>
        <w:t xml:space="preserve"> and primarily by staff in the CLE program</w:t>
      </w:r>
      <w:r w:rsidR="00D274A0">
        <w:rPr>
          <w:b w:val="0"/>
          <w:bCs w:val="0"/>
          <w:sz w:val="22"/>
          <w:szCs w:val="22"/>
        </w:rPr>
        <w:t>.</w:t>
      </w:r>
      <w:r w:rsidR="002F6E46">
        <w:rPr>
          <w:b w:val="0"/>
          <w:bCs w:val="0"/>
          <w:sz w:val="22"/>
          <w:szCs w:val="22"/>
        </w:rPr>
        <w:t xml:space="preserve"> </w:t>
      </w:r>
      <w:r w:rsidR="00D274A0">
        <w:rPr>
          <w:b w:val="0"/>
          <w:bCs w:val="0"/>
          <w:sz w:val="22"/>
          <w:szCs w:val="22"/>
        </w:rPr>
        <w:t>A</w:t>
      </w:r>
      <w:r w:rsidR="002F6E46">
        <w:rPr>
          <w:b w:val="0"/>
          <w:bCs w:val="0"/>
          <w:sz w:val="22"/>
          <w:szCs w:val="22"/>
        </w:rPr>
        <w:t>s a result</w:t>
      </w:r>
      <w:r w:rsidR="00D274A0">
        <w:rPr>
          <w:b w:val="0"/>
          <w:bCs w:val="0"/>
          <w:sz w:val="22"/>
          <w:szCs w:val="22"/>
        </w:rPr>
        <w:t>,</w:t>
      </w:r>
      <w:r w:rsidR="002F6E46">
        <w:rPr>
          <w:b w:val="0"/>
          <w:bCs w:val="0"/>
          <w:sz w:val="22"/>
          <w:szCs w:val="22"/>
        </w:rPr>
        <w:t xml:space="preserve"> </w:t>
      </w:r>
      <w:r w:rsidR="00E35698">
        <w:rPr>
          <w:b w:val="0"/>
          <w:bCs w:val="0"/>
          <w:sz w:val="22"/>
          <w:szCs w:val="22"/>
        </w:rPr>
        <w:t>t</w:t>
      </w:r>
      <w:r w:rsidR="002F6E46">
        <w:rPr>
          <w:b w:val="0"/>
          <w:bCs w:val="0"/>
          <w:sz w:val="22"/>
          <w:szCs w:val="22"/>
        </w:rPr>
        <w:t xml:space="preserve">he total number of sessions delivered in quarter three was down by </w:t>
      </w:r>
      <w:r w:rsidR="00D22275">
        <w:rPr>
          <w:b w:val="0"/>
          <w:bCs w:val="0"/>
          <w:sz w:val="22"/>
          <w:szCs w:val="22"/>
        </w:rPr>
        <w:t>25</w:t>
      </w:r>
      <w:r w:rsidR="002F6E46">
        <w:rPr>
          <w:b w:val="0"/>
          <w:bCs w:val="0"/>
          <w:sz w:val="22"/>
          <w:szCs w:val="22"/>
        </w:rPr>
        <w:t xml:space="preserve"> per cent compared to quarter three in </w:t>
      </w:r>
      <w:r w:rsidR="001F3B2C">
        <w:rPr>
          <w:b w:val="0"/>
          <w:bCs w:val="0"/>
          <w:sz w:val="22"/>
          <w:szCs w:val="22"/>
        </w:rPr>
        <w:t>2019</w:t>
      </w:r>
      <w:r w:rsidR="00C35DFC">
        <w:t>–</w:t>
      </w:r>
      <w:r w:rsidR="001F3B2C">
        <w:rPr>
          <w:b w:val="0"/>
          <w:bCs w:val="0"/>
          <w:sz w:val="22"/>
          <w:szCs w:val="22"/>
        </w:rPr>
        <w:t>20</w:t>
      </w:r>
      <w:r w:rsidR="00F96E7C">
        <w:rPr>
          <w:b w:val="0"/>
          <w:bCs w:val="0"/>
          <w:sz w:val="22"/>
          <w:szCs w:val="22"/>
        </w:rPr>
        <w:t xml:space="preserve"> (Table 1.3)</w:t>
      </w:r>
      <w:r w:rsidR="00586061">
        <w:rPr>
          <w:b w:val="0"/>
          <w:bCs w:val="0"/>
          <w:sz w:val="22"/>
          <w:szCs w:val="22"/>
        </w:rPr>
        <w:t xml:space="preserve">. </w:t>
      </w:r>
      <w:r w:rsidR="0082168E">
        <w:rPr>
          <w:b w:val="0"/>
          <w:bCs w:val="0"/>
          <w:sz w:val="22"/>
          <w:szCs w:val="22"/>
        </w:rPr>
        <w:t xml:space="preserve"> </w:t>
      </w:r>
      <w:r w:rsidR="00020F26">
        <w:rPr>
          <w:b w:val="0"/>
          <w:bCs w:val="0"/>
          <w:sz w:val="22"/>
          <w:szCs w:val="22"/>
        </w:rPr>
        <w:t>The CLE</w:t>
      </w:r>
      <w:r w:rsidR="00552C8C">
        <w:rPr>
          <w:b w:val="0"/>
          <w:bCs w:val="0"/>
          <w:sz w:val="22"/>
          <w:szCs w:val="22"/>
        </w:rPr>
        <w:t xml:space="preserve"> </w:t>
      </w:r>
      <w:r w:rsidR="00CE1ED6">
        <w:rPr>
          <w:b w:val="0"/>
          <w:bCs w:val="0"/>
          <w:sz w:val="22"/>
          <w:szCs w:val="22"/>
        </w:rPr>
        <w:t>program</w:t>
      </w:r>
      <w:r w:rsidR="00552C8C">
        <w:rPr>
          <w:b w:val="0"/>
          <w:bCs w:val="0"/>
          <w:sz w:val="22"/>
          <w:szCs w:val="22"/>
        </w:rPr>
        <w:t xml:space="preserve"> adapted and expanded </w:t>
      </w:r>
      <w:r w:rsidR="00EB58AE">
        <w:rPr>
          <w:b w:val="0"/>
          <w:bCs w:val="0"/>
          <w:sz w:val="22"/>
          <w:szCs w:val="22"/>
        </w:rPr>
        <w:t xml:space="preserve">its community engagement activities to include developing online teacher training and creating video content for young people in youth detention. Demand for in-person CLE sessions is growing and CLE is in discussion with </w:t>
      </w:r>
      <w:r w:rsidR="00094331">
        <w:rPr>
          <w:b w:val="0"/>
          <w:bCs w:val="0"/>
          <w:sz w:val="22"/>
          <w:szCs w:val="22"/>
        </w:rPr>
        <w:t>th</w:t>
      </w:r>
      <w:r w:rsidR="00EB58AE">
        <w:rPr>
          <w:b w:val="0"/>
          <w:bCs w:val="0"/>
          <w:sz w:val="22"/>
          <w:szCs w:val="22"/>
        </w:rPr>
        <w:t xml:space="preserve">e Department of Education and Training around the delivery of mandatory education on sexual consent. </w:t>
      </w:r>
      <w:r w:rsidR="00240FB9">
        <w:rPr>
          <w:b w:val="0"/>
          <w:bCs w:val="0"/>
          <w:sz w:val="22"/>
          <w:szCs w:val="22"/>
        </w:rPr>
        <w:t xml:space="preserve"> </w:t>
      </w:r>
    </w:p>
    <w:p w14:paraId="2A1F0837" w14:textId="6F33715C" w:rsidR="00495A11" w:rsidRPr="00E46959" w:rsidRDefault="007C1487" w:rsidP="00523B7C">
      <w:pPr>
        <w:rPr>
          <w:b/>
          <w:bCs/>
        </w:rPr>
      </w:pPr>
      <w:r w:rsidRPr="00E46959">
        <w:rPr>
          <w:b/>
          <w:bCs/>
        </w:rPr>
        <w:t xml:space="preserve">Table 1.4 </w:t>
      </w:r>
      <w:r w:rsidR="00B84476">
        <w:rPr>
          <w:b/>
          <w:bCs/>
        </w:rPr>
        <w:t>Court assistance</w:t>
      </w:r>
      <w:r w:rsidRPr="00E46959">
        <w:rPr>
          <w:b/>
          <w:bCs/>
        </w:rPr>
        <w:t xml:space="preserve"> services snapshot</w:t>
      </w:r>
    </w:p>
    <w:tbl>
      <w:tblPr>
        <w:tblStyle w:val="PlainTable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872"/>
        <w:gridCol w:w="1610"/>
        <w:gridCol w:w="1866"/>
        <w:gridCol w:w="1866"/>
        <w:gridCol w:w="1862"/>
      </w:tblGrid>
      <w:tr w:rsidR="009E5E1E" w14:paraId="052E6F62" w14:textId="408F8A7B" w:rsidTr="009E5E1E">
        <w:trPr>
          <w:cnfStyle w:val="100000000000" w:firstRow="1" w:lastRow="0" w:firstColumn="0" w:lastColumn="0" w:oddVBand="0" w:evenVBand="0" w:oddHBand="0" w:evenHBand="0" w:firstRowFirstColumn="0" w:firstRowLastColumn="0" w:lastRowFirstColumn="0" w:lastRowLastColumn="0"/>
          <w:trHeight w:val="194"/>
        </w:trPr>
        <w:tc>
          <w:tcPr>
            <w:cnfStyle w:val="000010000000" w:firstRow="0" w:lastRow="0" w:firstColumn="0" w:lastColumn="0" w:oddVBand="1" w:evenVBand="0" w:oddHBand="0" w:evenHBand="0" w:firstRowFirstColumn="0" w:firstRowLastColumn="0" w:lastRowFirstColumn="0" w:lastRowLastColumn="0"/>
            <w:tcW w:w="1425" w:type="pct"/>
            <w:shd w:val="clear" w:color="auto" w:fill="C4B0CC"/>
          </w:tcPr>
          <w:p w14:paraId="038AE825" w14:textId="06782A99" w:rsidR="009E5E1E" w:rsidRPr="00495A11" w:rsidRDefault="009E5E1E" w:rsidP="008A4971">
            <w:pPr>
              <w:rPr>
                <w:b/>
                <w:bCs w:val="0"/>
                <w:color w:val="000000" w:themeColor="text1"/>
              </w:rPr>
            </w:pPr>
            <w:r>
              <w:rPr>
                <w:b/>
                <w:bCs w:val="0"/>
                <w:color w:val="000000" w:themeColor="text1"/>
              </w:rPr>
              <w:t>Court assistance</w:t>
            </w:r>
            <w:r w:rsidRPr="00495A11">
              <w:rPr>
                <w:b/>
                <w:bCs w:val="0"/>
                <w:color w:val="000000" w:themeColor="text1"/>
              </w:rPr>
              <w:t xml:space="preserve"> Services</w:t>
            </w:r>
          </w:p>
        </w:tc>
        <w:tc>
          <w:tcPr>
            <w:cnfStyle w:val="000001000000" w:firstRow="0" w:lastRow="0" w:firstColumn="0" w:lastColumn="0" w:oddVBand="0" w:evenVBand="1" w:oddHBand="0" w:evenHBand="0" w:firstRowFirstColumn="0" w:firstRowLastColumn="0" w:lastRowFirstColumn="0" w:lastRowLastColumn="0"/>
            <w:tcW w:w="799" w:type="pct"/>
            <w:shd w:val="clear" w:color="auto" w:fill="C4B0CC"/>
          </w:tcPr>
          <w:p w14:paraId="3389D204" w14:textId="058E7CDE" w:rsidR="009E5E1E" w:rsidRPr="000E7EED" w:rsidRDefault="009E5E1E" w:rsidP="008A4971">
            <w:pPr>
              <w:jc w:val="center"/>
              <w:rPr>
                <w:b/>
                <w:color w:val="000000" w:themeColor="text1"/>
              </w:rPr>
            </w:pPr>
            <w:r w:rsidRPr="55245693">
              <w:rPr>
                <w:b/>
                <w:color w:val="000000" w:themeColor="text1"/>
              </w:rPr>
              <w:t>Q</w:t>
            </w:r>
            <w:r>
              <w:rPr>
                <w:b/>
                <w:color w:val="000000" w:themeColor="text1"/>
              </w:rPr>
              <w:t>3</w:t>
            </w:r>
          </w:p>
          <w:p w14:paraId="02F895D5" w14:textId="7C2E3E57" w:rsidR="009E5E1E" w:rsidRPr="000E7EED" w:rsidRDefault="009E5E1E" w:rsidP="008A4971">
            <w:pPr>
              <w:jc w:val="center"/>
              <w:rPr>
                <w:color w:val="000000" w:themeColor="text1"/>
              </w:rPr>
            </w:pPr>
            <w:r w:rsidRPr="000E7EED">
              <w:rPr>
                <w:b/>
                <w:color w:val="000000" w:themeColor="text1"/>
              </w:rPr>
              <w:t>20</w:t>
            </w:r>
            <w:r>
              <w:rPr>
                <w:b/>
                <w:color w:val="000000" w:themeColor="text1"/>
              </w:rPr>
              <w:t>19-20</w:t>
            </w:r>
          </w:p>
        </w:tc>
        <w:tc>
          <w:tcPr>
            <w:cnfStyle w:val="000010000000" w:firstRow="0" w:lastRow="0" w:firstColumn="0" w:lastColumn="0" w:oddVBand="1" w:evenVBand="0" w:oddHBand="0" w:evenHBand="0" w:firstRowFirstColumn="0" w:firstRowLastColumn="0" w:lastRowFirstColumn="0" w:lastRowLastColumn="0"/>
            <w:tcW w:w="926" w:type="pct"/>
            <w:shd w:val="clear" w:color="auto" w:fill="C4B0CC"/>
          </w:tcPr>
          <w:p w14:paraId="0E5004D2" w14:textId="3847FBB9" w:rsidR="009E5E1E" w:rsidRDefault="009E5E1E" w:rsidP="008A4971">
            <w:pPr>
              <w:jc w:val="center"/>
              <w:rPr>
                <w:b/>
                <w:color w:val="000000" w:themeColor="text1"/>
              </w:rPr>
            </w:pPr>
            <w:r w:rsidRPr="55245693">
              <w:rPr>
                <w:b/>
                <w:color w:val="000000" w:themeColor="text1"/>
              </w:rPr>
              <w:t>Q</w:t>
            </w:r>
            <w:r>
              <w:rPr>
                <w:b/>
                <w:color w:val="000000" w:themeColor="text1"/>
              </w:rPr>
              <w:t>3</w:t>
            </w:r>
          </w:p>
          <w:p w14:paraId="1FA34AA2" w14:textId="58D2B2B8" w:rsidR="009E5E1E" w:rsidRPr="000E7EED" w:rsidRDefault="009E5E1E" w:rsidP="008A4971">
            <w:pPr>
              <w:jc w:val="center"/>
              <w:rPr>
                <w:color w:val="000000" w:themeColor="text1"/>
              </w:rPr>
            </w:pPr>
            <w:r w:rsidRPr="000E7EED">
              <w:rPr>
                <w:b/>
                <w:color w:val="000000" w:themeColor="text1"/>
              </w:rPr>
              <w:t>20</w:t>
            </w:r>
            <w:r>
              <w:rPr>
                <w:b/>
                <w:color w:val="000000" w:themeColor="text1"/>
              </w:rPr>
              <w:t>20-21</w:t>
            </w:r>
          </w:p>
        </w:tc>
        <w:tc>
          <w:tcPr>
            <w:cnfStyle w:val="000001000000" w:firstRow="0" w:lastRow="0" w:firstColumn="0" w:lastColumn="0" w:oddVBand="0" w:evenVBand="1" w:oddHBand="0" w:evenHBand="0" w:firstRowFirstColumn="0" w:firstRowLastColumn="0" w:lastRowFirstColumn="0" w:lastRowLastColumn="0"/>
            <w:tcW w:w="926" w:type="pct"/>
            <w:shd w:val="clear" w:color="auto" w:fill="C4B0CC"/>
          </w:tcPr>
          <w:p w14:paraId="10FFBCAB" w14:textId="17D66F46" w:rsidR="009E5E1E" w:rsidRDefault="009E5E1E" w:rsidP="008A4971">
            <w:pPr>
              <w:jc w:val="center"/>
              <w:rPr>
                <w:b/>
                <w:bCs w:val="0"/>
                <w:color w:val="000000" w:themeColor="text1"/>
              </w:rPr>
            </w:pPr>
            <w:r>
              <w:rPr>
                <w:b/>
                <w:color w:val="000000" w:themeColor="text1"/>
              </w:rPr>
              <w:t>Q4 2021</w:t>
            </w:r>
          </w:p>
          <w:p w14:paraId="457E131E" w14:textId="3FA9C34F" w:rsidR="009E5E1E" w:rsidRPr="55245693" w:rsidRDefault="009E5E1E" w:rsidP="008A4971">
            <w:pPr>
              <w:jc w:val="center"/>
              <w:rPr>
                <w:b/>
                <w:color w:val="000000" w:themeColor="text1"/>
              </w:rPr>
            </w:pPr>
            <w:r>
              <w:rPr>
                <w:b/>
                <w:color w:val="000000" w:themeColor="text1"/>
              </w:rPr>
              <w:t>Projection</w:t>
            </w:r>
          </w:p>
        </w:tc>
        <w:tc>
          <w:tcPr>
            <w:cnfStyle w:val="000010000000" w:firstRow="0" w:lastRow="0" w:firstColumn="0" w:lastColumn="0" w:oddVBand="1" w:evenVBand="0" w:oddHBand="0" w:evenHBand="0" w:firstRowFirstColumn="0" w:firstRowLastColumn="0" w:lastRowFirstColumn="0" w:lastRowLastColumn="0"/>
            <w:tcW w:w="924" w:type="pct"/>
            <w:shd w:val="clear" w:color="auto" w:fill="C4B0CC"/>
          </w:tcPr>
          <w:p w14:paraId="5DC058C3" w14:textId="4A9244E9" w:rsidR="009E5E1E" w:rsidRDefault="009E5E1E" w:rsidP="008A4971">
            <w:pPr>
              <w:jc w:val="center"/>
              <w:rPr>
                <w:b/>
                <w:color w:val="000000" w:themeColor="text1"/>
              </w:rPr>
            </w:pPr>
            <w:r>
              <w:rPr>
                <w:b/>
                <w:color w:val="000000" w:themeColor="text1"/>
              </w:rPr>
              <w:t>Year-end projection</w:t>
            </w:r>
          </w:p>
        </w:tc>
      </w:tr>
      <w:tr w:rsidR="009E5E1E" w14:paraId="3C3FE80A" w14:textId="04F3C02A" w:rsidTr="009E5E1E">
        <w:trPr>
          <w:cnfStyle w:val="000000100000" w:firstRow="0" w:lastRow="0" w:firstColumn="0" w:lastColumn="0" w:oddVBand="0" w:evenVBand="0" w:oddHBand="1" w:evenHBand="0" w:firstRowFirstColumn="0" w:firstRowLastColumn="0" w:lastRowFirstColumn="0" w:lastRowLastColumn="0"/>
          <w:trHeight w:val="194"/>
        </w:trPr>
        <w:tc>
          <w:tcPr>
            <w:cnfStyle w:val="000010000000" w:firstRow="0" w:lastRow="0" w:firstColumn="0" w:lastColumn="0" w:oddVBand="1" w:evenVBand="0" w:oddHBand="0" w:evenHBand="0" w:firstRowFirstColumn="0" w:firstRowLastColumn="0" w:lastRowFirstColumn="0" w:lastRowLastColumn="0"/>
            <w:tcW w:w="1425" w:type="pct"/>
          </w:tcPr>
          <w:p w14:paraId="6173B22E" w14:textId="77777777" w:rsidR="009E5E1E" w:rsidRDefault="009E5E1E" w:rsidP="00D83854">
            <w:pPr>
              <w:rPr>
                <w:color w:val="000000" w:themeColor="text1"/>
              </w:rPr>
            </w:pPr>
            <w:r>
              <w:rPr>
                <w:color w:val="000000" w:themeColor="text1"/>
              </w:rPr>
              <w:t>Duty Lawyer Services</w:t>
            </w:r>
          </w:p>
        </w:tc>
        <w:tc>
          <w:tcPr>
            <w:cnfStyle w:val="000001000000" w:firstRow="0" w:lastRow="0" w:firstColumn="0" w:lastColumn="0" w:oddVBand="0" w:evenVBand="1" w:oddHBand="0" w:evenHBand="0" w:firstRowFirstColumn="0" w:firstRowLastColumn="0" w:lastRowFirstColumn="0" w:lastRowLastColumn="0"/>
            <w:tcW w:w="799" w:type="pct"/>
          </w:tcPr>
          <w:p w14:paraId="2E8775AA" w14:textId="76D61E2F" w:rsidR="009E5E1E" w:rsidRPr="000E7EED" w:rsidRDefault="00B90645" w:rsidP="00075D6E">
            <w:pPr>
              <w:jc w:val="center"/>
              <w:rPr>
                <w:color w:val="000000" w:themeColor="text1"/>
              </w:rPr>
            </w:pPr>
            <w:r>
              <w:rPr>
                <w:color w:val="000000" w:themeColor="text1"/>
              </w:rPr>
              <w:t>19</w:t>
            </w:r>
            <w:r w:rsidR="005C521D">
              <w:rPr>
                <w:color w:val="000000" w:themeColor="text1"/>
              </w:rPr>
              <w:t>,</w:t>
            </w:r>
            <w:r w:rsidR="00547A8B">
              <w:rPr>
                <w:color w:val="000000" w:themeColor="text1"/>
              </w:rPr>
              <w:t>986</w:t>
            </w:r>
          </w:p>
        </w:tc>
        <w:tc>
          <w:tcPr>
            <w:cnfStyle w:val="000010000000" w:firstRow="0" w:lastRow="0" w:firstColumn="0" w:lastColumn="0" w:oddVBand="1" w:evenVBand="0" w:oddHBand="0" w:evenHBand="0" w:firstRowFirstColumn="0" w:firstRowLastColumn="0" w:lastRowFirstColumn="0" w:lastRowLastColumn="0"/>
            <w:tcW w:w="926" w:type="pct"/>
            <w:shd w:val="clear" w:color="auto" w:fill="D9D9D9" w:themeFill="background1" w:themeFillShade="D9"/>
          </w:tcPr>
          <w:p w14:paraId="7AAB1F72" w14:textId="4CAB6153" w:rsidR="009E5E1E" w:rsidRPr="000E7EED" w:rsidRDefault="00E31FA7" w:rsidP="00075D6E">
            <w:pPr>
              <w:jc w:val="center"/>
              <w:rPr>
                <w:color w:val="000000" w:themeColor="text1"/>
              </w:rPr>
            </w:pPr>
            <w:r>
              <w:rPr>
                <w:color w:val="000000" w:themeColor="text1"/>
              </w:rPr>
              <w:t>11,807</w:t>
            </w:r>
          </w:p>
        </w:tc>
        <w:tc>
          <w:tcPr>
            <w:cnfStyle w:val="000001000000" w:firstRow="0" w:lastRow="0" w:firstColumn="0" w:lastColumn="0" w:oddVBand="0" w:evenVBand="1" w:oddHBand="0" w:evenHBand="0" w:firstRowFirstColumn="0" w:firstRowLastColumn="0" w:lastRowFirstColumn="0" w:lastRowLastColumn="0"/>
            <w:tcW w:w="926" w:type="pct"/>
            <w:shd w:val="clear" w:color="auto" w:fill="auto"/>
          </w:tcPr>
          <w:p w14:paraId="568110B3" w14:textId="4DB5F599" w:rsidR="009E5E1E" w:rsidRPr="000E7EED" w:rsidRDefault="00222293" w:rsidP="00075D6E">
            <w:pPr>
              <w:jc w:val="center"/>
              <w:rPr>
                <w:color w:val="000000" w:themeColor="text1"/>
              </w:rPr>
            </w:pPr>
            <w:r>
              <w:rPr>
                <w:color w:val="000000" w:themeColor="text1"/>
              </w:rPr>
              <w:t>23,9</w:t>
            </w:r>
            <w:r w:rsidR="001427B6">
              <w:rPr>
                <w:color w:val="000000" w:themeColor="text1"/>
              </w:rPr>
              <w:t>00</w:t>
            </w:r>
          </w:p>
        </w:tc>
        <w:tc>
          <w:tcPr>
            <w:cnfStyle w:val="000010000000" w:firstRow="0" w:lastRow="0" w:firstColumn="0" w:lastColumn="0" w:oddVBand="1" w:evenVBand="0" w:oddHBand="0" w:evenHBand="0" w:firstRowFirstColumn="0" w:firstRowLastColumn="0" w:lastRowFirstColumn="0" w:lastRowLastColumn="0"/>
            <w:tcW w:w="924" w:type="pct"/>
          </w:tcPr>
          <w:p w14:paraId="161FCDA6" w14:textId="6CAFA0D0" w:rsidR="009E5E1E" w:rsidRPr="000E7EED" w:rsidRDefault="00E13E8F" w:rsidP="00075D6E">
            <w:pPr>
              <w:jc w:val="center"/>
              <w:rPr>
                <w:color w:val="000000" w:themeColor="text1"/>
              </w:rPr>
            </w:pPr>
            <w:r>
              <w:rPr>
                <w:color w:val="000000" w:themeColor="text1"/>
              </w:rPr>
              <w:t>56,0</w:t>
            </w:r>
            <w:r w:rsidR="001427B6">
              <w:rPr>
                <w:color w:val="000000" w:themeColor="text1"/>
              </w:rPr>
              <w:t>00</w:t>
            </w:r>
          </w:p>
        </w:tc>
      </w:tr>
      <w:tr w:rsidR="009E5E1E" w14:paraId="44E57F19" w14:textId="3F69733B" w:rsidTr="009E5E1E">
        <w:trPr>
          <w:cnfStyle w:val="000000010000" w:firstRow="0" w:lastRow="0" w:firstColumn="0" w:lastColumn="0" w:oddVBand="0" w:evenVBand="0" w:oddHBand="0" w:evenHBand="1" w:firstRowFirstColumn="0" w:firstRowLastColumn="0" w:lastRowFirstColumn="0" w:lastRowLastColumn="0"/>
          <w:trHeight w:val="194"/>
        </w:trPr>
        <w:tc>
          <w:tcPr>
            <w:cnfStyle w:val="000010000000" w:firstRow="0" w:lastRow="0" w:firstColumn="0" w:lastColumn="0" w:oddVBand="1" w:evenVBand="0" w:oddHBand="0" w:evenHBand="0" w:firstRowFirstColumn="0" w:firstRowLastColumn="0" w:lastRowFirstColumn="0" w:lastRowLastColumn="0"/>
            <w:tcW w:w="1425" w:type="pct"/>
          </w:tcPr>
          <w:p w14:paraId="7AB592EF" w14:textId="77777777" w:rsidR="009E5E1E" w:rsidRDefault="009E5E1E" w:rsidP="00D83854">
            <w:pPr>
              <w:rPr>
                <w:color w:val="000000" w:themeColor="text1"/>
              </w:rPr>
            </w:pPr>
            <w:r>
              <w:rPr>
                <w:color w:val="000000" w:themeColor="text1"/>
              </w:rPr>
              <w:t>Grants of Legal Assistance</w:t>
            </w:r>
          </w:p>
        </w:tc>
        <w:tc>
          <w:tcPr>
            <w:cnfStyle w:val="000001000000" w:firstRow="0" w:lastRow="0" w:firstColumn="0" w:lastColumn="0" w:oddVBand="0" w:evenVBand="1" w:oddHBand="0" w:evenHBand="0" w:firstRowFirstColumn="0" w:firstRowLastColumn="0" w:lastRowFirstColumn="0" w:lastRowLastColumn="0"/>
            <w:tcW w:w="799" w:type="pct"/>
          </w:tcPr>
          <w:p w14:paraId="22D2C9B8" w14:textId="1DBA68BB" w:rsidR="009E5E1E" w:rsidRPr="000E7EED" w:rsidRDefault="00DF7CEC" w:rsidP="00075D6E">
            <w:pPr>
              <w:jc w:val="center"/>
              <w:rPr>
                <w:color w:val="000000" w:themeColor="text1"/>
              </w:rPr>
            </w:pPr>
            <w:r>
              <w:rPr>
                <w:color w:val="000000" w:themeColor="text1"/>
              </w:rPr>
              <w:t>1</w:t>
            </w:r>
            <w:r w:rsidR="00075D6E">
              <w:rPr>
                <w:color w:val="000000" w:themeColor="text1"/>
              </w:rPr>
              <w:t>2,</w:t>
            </w:r>
            <w:r>
              <w:rPr>
                <w:color w:val="000000" w:themeColor="text1"/>
              </w:rPr>
              <w:t>344</w:t>
            </w:r>
          </w:p>
        </w:tc>
        <w:tc>
          <w:tcPr>
            <w:cnfStyle w:val="000010000000" w:firstRow="0" w:lastRow="0" w:firstColumn="0" w:lastColumn="0" w:oddVBand="1" w:evenVBand="0" w:oddHBand="0" w:evenHBand="0" w:firstRowFirstColumn="0" w:firstRowLastColumn="0" w:lastRowFirstColumn="0" w:lastRowLastColumn="0"/>
            <w:tcW w:w="926" w:type="pct"/>
            <w:shd w:val="clear" w:color="auto" w:fill="D9D9D9" w:themeFill="background1" w:themeFillShade="D9"/>
          </w:tcPr>
          <w:p w14:paraId="64C623A0" w14:textId="074AF243" w:rsidR="009E5E1E" w:rsidRPr="000E7EED" w:rsidRDefault="00FE3EFE" w:rsidP="00075D6E">
            <w:pPr>
              <w:jc w:val="center"/>
              <w:rPr>
                <w:color w:val="000000" w:themeColor="text1"/>
              </w:rPr>
            </w:pPr>
            <w:r>
              <w:rPr>
                <w:color w:val="000000" w:themeColor="text1"/>
              </w:rPr>
              <w:t>9,782</w:t>
            </w:r>
          </w:p>
        </w:tc>
        <w:tc>
          <w:tcPr>
            <w:cnfStyle w:val="000001000000" w:firstRow="0" w:lastRow="0" w:firstColumn="0" w:lastColumn="0" w:oddVBand="0" w:evenVBand="1" w:oddHBand="0" w:evenHBand="0" w:firstRowFirstColumn="0" w:firstRowLastColumn="0" w:lastRowFirstColumn="0" w:lastRowLastColumn="0"/>
            <w:tcW w:w="926" w:type="pct"/>
            <w:shd w:val="clear" w:color="auto" w:fill="auto"/>
          </w:tcPr>
          <w:p w14:paraId="015BF5C8" w14:textId="698D3E1D" w:rsidR="009E5E1E" w:rsidRPr="000E7EED" w:rsidRDefault="00A23F5E" w:rsidP="00075D6E">
            <w:pPr>
              <w:jc w:val="center"/>
              <w:rPr>
                <w:color w:val="000000" w:themeColor="text1"/>
              </w:rPr>
            </w:pPr>
            <w:r>
              <w:rPr>
                <w:color w:val="000000" w:themeColor="text1"/>
              </w:rPr>
              <w:t>11,70</w:t>
            </w:r>
            <w:r w:rsidR="001427B6">
              <w:rPr>
                <w:color w:val="000000" w:themeColor="text1"/>
              </w:rPr>
              <w:t>0</w:t>
            </w:r>
          </w:p>
        </w:tc>
        <w:tc>
          <w:tcPr>
            <w:cnfStyle w:val="000010000000" w:firstRow="0" w:lastRow="0" w:firstColumn="0" w:lastColumn="0" w:oddVBand="1" w:evenVBand="0" w:oddHBand="0" w:evenHBand="0" w:firstRowFirstColumn="0" w:firstRowLastColumn="0" w:lastRowFirstColumn="0" w:lastRowLastColumn="0"/>
            <w:tcW w:w="924" w:type="pct"/>
          </w:tcPr>
          <w:p w14:paraId="4B76854F" w14:textId="73F00FB8" w:rsidR="009E5E1E" w:rsidRPr="000E7EED" w:rsidRDefault="00222293" w:rsidP="00075D6E">
            <w:pPr>
              <w:jc w:val="center"/>
              <w:rPr>
                <w:color w:val="000000" w:themeColor="text1"/>
              </w:rPr>
            </w:pPr>
            <w:r>
              <w:rPr>
                <w:color w:val="000000" w:themeColor="text1"/>
              </w:rPr>
              <w:t>42,1</w:t>
            </w:r>
            <w:r w:rsidR="001427B6">
              <w:rPr>
                <w:color w:val="000000" w:themeColor="text1"/>
              </w:rPr>
              <w:t>00</w:t>
            </w:r>
          </w:p>
        </w:tc>
      </w:tr>
    </w:tbl>
    <w:p w14:paraId="00C74F8E" w14:textId="7514C750" w:rsidR="00FA1822" w:rsidRDefault="00D33913" w:rsidP="00FA1822">
      <w:pPr>
        <w:spacing w:before="120"/>
      </w:pPr>
      <w:r>
        <w:t>VLA continues to meet the demand</w:t>
      </w:r>
      <w:r w:rsidR="00A315DB">
        <w:t xml:space="preserve"> of current court levels, however </w:t>
      </w:r>
      <w:r w:rsidR="005F315B">
        <w:t xml:space="preserve">as courts are continuing to work at reduced capacity, there remains fewer cases being heard. </w:t>
      </w:r>
      <w:r w:rsidR="00073253">
        <w:t>As a result, t</w:t>
      </w:r>
      <w:r w:rsidR="007978DA">
        <w:t>he number of duty lawyer services</w:t>
      </w:r>
      <w:r w:rsidR="005C3B53">
        <w:t xml:space="preserve"> provided in quarter three 2020-21 was</w:t>
      </w:r>
      <w:r w:rsidR="007978DA">
        <w:t xml:space="preserve"> </w:t>
      </w:r>
      <w:r w:rsidR="00FF2237">
        <w:t xml:space="preserve">down </w:t>
      </w:r>
      <w:r w:rsidR="00B06FA1">
        <w:t>compared to quarter three 2019</w:t>
      </w:r>
      <w:r w:rsidR="00C35DFC">
        <w:rPr>
          <w:lang w:eastAsia="en-AU"/>
        </w:rPr>
        <w:t>–</w:t>
      </w:r>
      <w:r w:rsidR="00B06FA1">
        <w:t xml:space="preserve">20 by </w:t>
      </w:r>
      <w:r w:rsidR="00FE3EFE" w:rsidRPr="007563B8">
        <w:t>4</w:t>
      </w:r>
      <w:r w:rsidR="00364031" w:rsidRPr="007563B8">
        <w:t>1</w:t>
      </w:r>
      <w:r w:rsidR="00FE3EFE">
        <w:t xml:space="preserve"> </w:t>
      </w:r>
      <w:r w:rsidR="000A49F1">
        <w:t>per cent</w:t>
      </w:r>
      <w:r w:rsidR="00C374D9">
        <w:t xml:space="preserve">. </w:t>
      </w:r>
      <w:r w:rsidR="00B30A8C">
        <w:t>The development of</w:t>
      </w:r>
      <w:r w:rsidR="00CC225D">
        <w:t xml:space="preserve"> </w:t>
      </w:r>
      <w:r w:rsidR="00B30A8C">
        <w:t>a</w:t>
      </w:r>
      <w:r w:rsidR="00E61E9F">
        <w:t>lternative service methods</w:t>
      </w:r>
      <w:r w:rsidR="00AC7186">
        <w:t xml:space="preserve"> </w:t>
      </w:r>
      <w:r w:rsidR="00C9762D">
        <w:t>that</w:t>
      </w:r>
      <w:r w:rsidR="00AC7186">
        <w:t xml:space="preserve"> the State Government under the Justice Recovery Plan</w:t>
      </w:r>
      <w:r w:rsidR="00996B2C">
        <w:t xml:space="preserve"> </w:t>
      </w:r>
      <w:r w:rsidR="00C9762D">
        <w:t>(</w:t>
      </w:r>
      <w:r w:rsidR="00996B2C">
        <w:t xml:space="preserve">such as </w:t>
      </w:r>
      <w:hyperlink r:id="rId13" w:history="1">
        <w:r w:rsidR="00996B2C" w:rsidRPr="007B20CD">
          <w:rPr>
            <w:rStyle w:val="Hyperlink"/>
          </w:rPr>
          <w:t>Help Before Court</w:t>
        </w:r>
      </w:hyperlink>
      <w:r w:rsidR="00996B2C">
        <w:t xml:space="preserve"> and Pre-Court Family Violence services</w:t>
      </w:r>
      <w:r w:rsidR="00C9762D">
        <w:t>)</w:t>
      </w:r>
      <w:r w:rsidR="00996B2C">
        <w:t xml:space="preserve"> </w:t>
      </w:r>
      <w:r w:rsidR="00C44D93">
        <w:t xml:space="preserve">have </w:t>
      </w:r>
      <w:r w:rsidR="00F2690D">
        <w:t xml:space="preserve">helped to </w:t>
      </w:r>
      <w:r w:rsidR="00F2690D">
        <w:lastRenderedPageBreak/>
        <w:t xml:space="preserve">increase </w:t>
      </w:r>
      <w:r w:rsidR="0088200B">
        <w:t xml:space="preserve">the level of services that VLA can provide. </w:t>
      </w:r>
      <w:r w:rsidR="00C374D9">
        <w:t>G</w:t>
      </w:r>
      <w:r w:rsidR="002454E7">
        <w:t>rants of</w:t>
      </w:r>
      <w:r w:rsidR="007C615F">
        <w:t xml:space="preserve"> legal assistance were also down from quarter three 2019-20</w:t>
      </w:r>
      <w:r w:rsidR="000F2EA0">
        <w:t xml:space="preserve"> by </w:t>
      </w:r>
      <w:r w:rsidR="00763CE6" w:rsidRPr="007563B8">
        <w:t>2</w:t>
      </w:r>
      <w:r w:rsidR="00364031" w:rsidRPr="007563B8">
        <w:t>1</w:t>
      </w:r>
      <w:r w:rsidR="007E449E" w:rsidRPr="007563B8">
        <w:t xml:space="preserve"> </w:t>
      </w:r>
      <w:r w:rsidR="006C5E29" w:rsidRPr="007563B8">
        <w:t>per cent</w:t>
      </w:r>
      <w:r w:rsidR="007E449E">
        <w:t xml:space="preserve"> </w:t>
      </w:r>
      <w:r w:rsidR="00C374D9">
        <w:t xml:space="preserve">(Table 1.4). This is </w:t>
      </w:r>
      <w:r w:rsidR="00E02743">
        <w:t xml:space="preserve">also </w:t>
      </w:r>
      <w:r w:rsidR="00C374D9">
        <w:t>a result of the courts remaining at a reduced capacity throughout the quarter</w:t>
      </w:r>
      <w:r w:rsidR="00E02743">
        <w:t>,</w:t>
      </w:r>
      <w:r w:rsidR="00C374D9">
        <w:t xml:space="preserve"> as well as the closure of the courts and private practitioners over the new year period</w:t>
      </w:r>
      <w:r w:rsidR="00E02743">
        <w:t xml:space="preserve">. </w:t>
      </w:r>
      <w:r w:rsidR="003F062E">
        <w:t>Service levels are expected to</w:t>
      </w:r>
      <w:r w:rsidR="00AA0414">
        <w:t xml:space="preserve"> increase </w:t>
      </w:r>
      <w:r w:rsidR="00DE557C">
        <w:t>as courts return to more normal service deliver</w:t>
      </w:r>
      <w:r w:rsidR="000A1721">
        <w:t>y</w:t>
      </w:r>
      <w:r w:rsidR="00DE557C">
        <w:t>.</w:t>
      </w:r>
      <w:r w:rsidR="003F062E">
        <w:t xml:space="preserve"> </w:t>
      </w:r>
      <w:r w:rsidR="005B454A">
        <w:t xml:space="preserve">Services are expected to </w:t>
      </w:r>
      <w:r w:rsidR="003F062E">
        <w:t>return to pre-COVID levels from 2021</w:t>
      </w:r>
      <w:r w:rsidR="00C35DFC">
        <w:rPr>
          <w:lang w:eastAsia="en-AU"/>
        </w:rPr>
        <w:t>–</w:t>
      </w:r>
      <w:r w:rsidR="003F062E">
        <w:t>22</w:t>
      </w:r>
      <w:r w:rsidR="00D47985">
        <w:t>.</w:t>
      </w:r>
      <w:r w:rsidR="00B31F98">
        <w:t xml:space="preserve"> </w:t>
      </w:r>
    </w:p>
    <w:p w14:paraId="2B140CC4" w14:textId="4EF36FD4" w:rsidR="00AB2A59" w:rsidRDefault="004175B7" w:rsidP="00FD2BA1">
      <w:pPr>
        <w:pStyle w:val="Heading2"/>
      </w:pPr>
      <w:r>
        <w:t>Outlook for</w:t>
      </w:r>
      <w:r w:rsidR="00E91FF5">
        <w:t xml:space="preserve"> 20</w:t>
      </w:r>
      <w:r w:rsidR="00454D77">
        <w:t>20</w:t>
      </w:r>
      <w:r w:rsidR="00E91FF5">
        <w:t>–2</w:t>
      </w:r>
      <w:r w:rsidR="00454D77">
        <w:t>1</w:t>
      </w:r>
      <w:r w:rsidR="007F609B">
        <w:t xml:space="preserve"> </w:t>
      </w:r>
    </w:p>
    <w:p w14:paraId="6177CD0C" w14:textId="6D7325B8" w:rsidR="00B078C2" w:rsidRDefault="00823989" w:rsidP="00C531E8">
      <w:pPr>
        <w:spacing w:before="120"/>
      </w:pPr>
      <w:r>
        <w:t xml:space="preserve">As we approach the end of the </w:t>
      </w:r>
      <w:r w:rsidR="00895822">
        <w:t>year,</w:t>
      </w:r>
      <w:r w:rsidR="00707C8E">
        <w:t xml:space="preserve"> </w:t>
      </w:r>
      <w:r w:rsidR="00DC779E">
        <w:t>the removal of</w:t>
      </w:r>
      <w:r w:rsidR="000D771C">
        <w:t xml:space="preserve"> restrictions on</w:t>
      </w:r>
      <w:r w:rsidR="00DC779E">
        <w:t xml:space="preserve"> density levels in offices means that we will be able to have more staff returning to the office</w:t>
      </w:r>
      <w:r w:rsidR="00787FBB">
        <w:t xml:space="preserve">, courts, tribunals and other outreach locations across the state </w:t>
      </w:r>
      <w:r w:rsidR="005C40A5">
        <w:t xml:space="preserve">to support </w:t>
      </w:r>
      <w:r w:rsidR="00787FBB">
        <w:t xml:space="preserve">our </w:t>
      </w:r>
      <w:r w:rsidR="00C753E3">
        <w:t xml:space="preserve">clients. </w:t>
      </w:r>
      <w:r w:rsidR="00E93C34">
        <w:t xml:space="preserve">We will also </w:t>
      </w:r>
      <w:r w:rsidR="0089452F">
        <w:t>start</w:t>
      </w:r>
      <w:r w:rsidR="00E93C34">
        <w:t xml:space="preserve"> the expansion of our pre-court services in family violence and minor criminal matters</w:t>
      </w:r>
      <w:r w:rsidR="00774A3A">
        <w:t xml:space="preserve">. </w:t>
      </w:r>
      <w:r w:rsidR="00570E61">
        <w:t>Developed with our partners, o</w:t>
      </w:r>
      <w:r w:rsidR="00044598">
        <w:t>ur pre-court services are a</w:t>
      </w:r>
      <w:r w:rsidR="000047DA">
        <w:t xml:space="preserve">n </w:t>
      </w:r>
      <w:r w:rsidR="009C513E">
        <w:t>important</w:t>
      </w:r>
      <w:r w:rsidR="000047DA">
        <w:t xml:space="preserve"> service delivery shift </w:t>
      </w:r>
      <w:r w:rsidR="009C513E">
        <w:t xml:space="preserve">that </w:t>
      </w:r>
      <w:r w:rsidR="00044598">
        <w:t>help</w:t>
      </w:r>
      <w:r w:rsidR="009C513E">
        <w:t>s</w:t>
      </w:r>
      <w:r w:rsidR="00044598">
        <w:t xml:space="preserve"> clients </w:t>
      </w:r>
      <w:r w:rsidR="00112FA9">
        <w:t>receive the information and advice they need</w:t>
      </w:r>
      <w:r w:rsidR="009C513E">
        <w:t xml:space="preserve"> earlier in the process</w:t>
      </w:r>
      <w:r w:rsidR="00AE1769">
        <w:t xml:space="preserve">. Clients are </w:t>
      </w:r>
      <w:r w:rsidR="00B5665D">
        <w:t>better prepared for their day in court</w:t>
      </w:r>
      <w:r w:rsidR="00AE1769">
        <w:t xml:space="preserve"> and </w:t>
      </w:r>
      <w:r w:rsidR="00BD5089">
        <w:t>allows for their experience to be as simple and swift as possible.</w:t>
      </w:r>
      <w:r w:rsidR="00B5665D">
        <w:t xml:space="preserve"> </w:t>
      </w:r>
    </w:p>
    <w:p w14:paraId="374DEF24" w14:textId="595F6B55" w:rsidR="0000748F" w:rsidRDefault="0000748F" w:rsidP="007563B8">
      <w:pPr>
        <w:rPr>
          <w:lang w:eastAsia="en-AU"/>
        </w:rPr>
      </w:pPr>
      <w:r>
        <w:rPr>
          <w:lang w:eastAsia="en-AU"/>
        </w:rPr>
        <w:t xml:space="preserve">We have also started to redesign our website to ensure that information is easily accessible and appropriate for clients and have recently started the transition to digital files. This work is an important step in improving the service that we provide to our clients. </w:t>
      </w:r>
    </w:p>
    <w:p w14:paraId="0AB82CC8" w14:textId="6F66C7CE" w:rsidR="009B03DC" w:rsidRDefault="005A382B" w:rsidP="00C531E8">
      <w:pPr>
        <w:spacing w:before="120"/>
      </w:pPr>
      <w:r>
        <w:t xml:space="preserve">Quarter four will also see us turn our attention to </w:t>
      </w:r>
      <w:r w:rsidR="00F771A9">
        <w:t xml:space="preserve">planning for </w:t>
      </w:r>
      <w:r w:rsidR="00823989">
        <w:t>2021-22</w:t>
      </w:r>
      <w:r w:rsidR="00B150D3">
        <w:t xml:space="preserve"> and </w:t>
      </w:r>
      <w:r w:rsidR="005A4A3A">
        <w:t xml:space="preserve">development of our </w:t>
      </w:r>
      <w:r w:rsidR="004E27A6">
        <w:t>next Corporate Pla</w:t>
      </w:r>
      <w:r w:rsidR="00317180">
        <w:t>n</w:t>
      </w:r>
      <w:r w:rsidR="00596D64">
        <w:t>.</w:t>
      </w:r>
      <w:r w:rsidR="00690676">
        <w:t xml:space="preserve"> </w:t>
      </w:r>
      <w:r w:rsidR="006B0326">
        <w:t xml:space="preserve">Much of the plan will be dependent on the outcome of the state budget in late May. </w:t>
      </w:r>
    </w:p>
    <w:p w14:paraId="6EB8CCDC" w14:textId="2FB97417" w:rsidR="004175B7" w:rsidRDefault="004175B7" w:rsidP="004175B7">
      <w:pPr>
        <w:pStyle w:val="Heading2"/>
      </w:pPr>
      <w:r w:rsidRPr="004175B7">
        <w:t xml:space="preserve">Financial </w:t>
      </w:r>
      <w:r w:rsidR="00B03011">
        <w:t>S</w:t>
      </w:r>
      <w:r w:rsidRPr="004175B7">
        <w:t>ummary</w:t>
      </w:r>
    </w:p>
    <w:p w14:paraId="1FEF16A5" w14:textId="2CBA79C4" w:rsidR="00CC09A3" w:rsidRDefault="00CC09A3" w:rsidP="00CC09A3">
      <w:pPr>
        <w:rPr>
          <w:lang w:eastAsia="en-AU"/>
        </w:rPr>
      </w:pPr>
      <w:bookmarkStart w:id="3" w:name="_Hlk33006424"/>
      <w:bookmarkStart w:id="4" w:name="_Hlk25835001"/>
      <w:r>
        <w:rPr>
          <w:lang w:eastAsia="en-AU"/>
        </w:rPr>
        <w:t xml:space="preserve">Our operating position for </w:t>
      </w:r>
      <w:r w:rsidR="00BD07E3">
        <w:rPr>
          <w:lang w:eastAsia="en-AU"/>
        </w:rPr>
        <w:t xml:space="preserve">quarter three </w:t>
      </w:r>
      <w:r>
        <w:rPr>
          <w:lang w:eastAsia="en-AU"/>
        </w:rPr>
        <w:t>was a surplus of $1</w:t>
      </w:r>
      <w:r w:rsidR="00097528">
        <w:rPr>
          <w:lang w:eastAsia="en-AU"/>
        </w:rPr>
        <w:t>0</w:t>
      </w:r>
      <w:r>
        <w:rPr>
          <w:lang w:eastAsia="en-AU"/>
        </w:rPr>
        <w:t>.</w:t>
      </w:r>
      <w:r w:rsidR="00097528">
        <w:rPr>
          <w:lang w:eastAsia="en-AU"/>
        </w:rPr>
        <w:t>6</w:t>
      </w:r>
      <w:r>
        <w:rPr>
          <w:lang w:eastAsia="en-AU"/>
        </w:rPr>
        <w:t xml:space="preserve"> million, primarily resulting from the </w:t>
      </w:r>
      <w:r w:rsidR="00006DF7">
        <w:rPr>
          <w:lang w:eastAsia="en-AU"/>
        </w:rPr>
        <w:t>continued delays</w:t>
      </w:r>
      <w:r w:rsidR="00097528">
        <w:rPr>
          <w:lang w:eastAsia="en-AU"/>
        </w:rPr>
        <w:t xml:space="preserve"> </w:t>
      </w:r>
      <w:r w:rsidR="00D60D13">
        <w:rPr>
          <w:lang w:eastAsia="en-AU"/>
        </w:rPr>
        <w:t xml:space="preserve">in court </w:t>
      </w:r>
      <w:r w:rsidR="002B260B">
        <w:rPr>
          <w:lang w:eastAsia="en-AU"/>
        </w:rPr>
        <w:t>activities</w:t>
      </w:r>
      <w:r>
        <w:rPr>
          <w:lang w:eastAsia="en-AU"/>
        </w:rPr>
        <w:t xml:space="preserve"> due to </w:t>
      </w:r>
      <w:r w:rsidR="00006DF7">
        <w:rPr>
          <w:lang w:eastAsia="en-AU"/>
        </w:rPr>
        <w:t>COVID-</w:t>
      </w:r>
      <w:r w:rsidR="002B260B">
        <w:rPr>
          <w:lang w:eastAsia="en-AU"/>
        </w:rPr>
        <w:t>19</w:t>
      </w:r>
      <w:r w:rsidR="00920F21">
        <w:rPr>
          <w:lang w:eastAsia="en-AU"/>
        </w:rPr>
        <w:t xml:space="preserve"> impacting the timing of case expenditure</w:t>
      </w:r>
      <w:r w:rsidR="008D051A">
        <w:rPr>
          <w:lang w:eastAsia="en-AU"/>
        </w:rPr>
        <w:t>,</w:t>
      </w:r>
      <w:r w:rsidR="00C839B3">
        <w:rPr>
          <w:lang w:eastAsia="en-AU"/>
        </w:rPr>
        <w:t xml:space="preserve"> which has been largely deferred to future years</w:t>
      </w:r>
      <w:r w:rsidR="00D60D13">
        <w:rPr>
          <w:lang w:eastAsia="en-AU"/>
        </w:rPr>
        <w:t>.</w:t>
      </w:r>
      <w:r>
        <w:rPr>
          <w:lang w:eastAsia="en-AU"/>
        </w:rPr>
        <w:t xml:space="preserve"> </w:t>
      </w:r>
      <w:r w:rsidR="004A0AC6">
        <w:rPr>
          <w:lang w:eastAsia="en-AU"/>
        </w:rPr>
        <w:t>In addition, w</w:t>
      </w:r>
      <w:r w:rsidR="005707A5">
        <w:rPr>
          <w:lang w:eastAsia="en-AU"/>
        </w:rPr>
        <w:t>e received</w:t>
      </w:r>
      <w:r>
        <w:rPr>
          <w:lang w:eastAsia="en-AU"/>
        </w:rPr>
        <w:t xml:space="preserve"> </w:t>
      </w:r>
      <w:r w:rsidR="005D1B1F">
        <w:rPr>
          <w:lang w:eastAsia="en-AU"/>
        </w:rPr>
        <w:t xml:space="preserve">short-term </w:t>
      </w:r>
      <w:r>
        <w:rPr>
          <w:lang w:eastAsia="en-AU"/>
        </w:rPr>
        <w:t xml:space="preserve">funding </w:t>
      </w:r>
      <w:r w:rsidR="003D1DD8">
        <w:rPr>
          <w:lang w:eastAsia="en-AU"/>
        </w:rPr>
        <w:t>in the quarter</w:t>
      </w:r>
      <w:r>
        <w:rPr>
          <w:lang w:eastAsia="en-AU"/>
        </w:rPr>
        <w:t xml:space="preserve"> through the State Budget and the Justice Recovery Plan to </w:t>
      </w:r>
      <w:r w:rsidR="004F4C56">
        <w:rPr>
          <w:lang w:eastAsia="en-AU"/>
        </w:rPr>
        <w:t>assist the courts in</w:t>
      </w:r>
      <w:r w:rsidR="003D1DD8">
        <w:rPr>
          <w:lang w:eastAsia="en-AU"/>
        </w:rPr>
        <w:t xml:space="preserve"> </w:t>
      </w:r>
      <w:r w:rsidR="005707A5">
        <w:rPr>
          <w:lang w:eastAsia="en-AU"/>
        </w:rPr>
        <w:t>address</w:t>
      </w:r>
      <w:r w:rsidR="004F4C56">
        <w:rPr>
          <w:lang w:eastAsia="en-AU"/>
        </w:rPr>
        <w:t>ing</w:t>
      </w:r>
      <w:r w:rsidR="005707A5">
        <w:rPr>
          <w:lang w:eastAsia="en-AU"/>
        </w:rPr>
        <w:t xml:space="preserve"> the </w:t>
      </w:r>
      <w:r>
        <w:rPr>
          <w:lang w:eastAsia="en-AU"/>
        </w:rPr>
        <w:t>backlog of cases</w:t>
      </w:r>
      <w:r w:rsidR="006E3EB1">
        <w:rPr>
          <w:lang w:eastAsia="en-AU"/>
        </w:rPr>
        <w:t xml:space="preserve"> within the system</w:t>
      </w:r>
      <w:r w:rsidR="004E077C">
        <w:rPr>
          <w:lang w:eastAsia="en-AU"/>
        </w:rPr>
        <w:t xml:space="preserve"> during 2021</w:t>
      </w:r>
      <w:r w:rsidR="00BD4664">
        <w:rPr>
          <w:lang w:eastAsia="en-AU"/>
        </w:rPr>
        <w:t>.</w:t>
      </w:r>
      <w:r w:rsidR="00702248">
        <w:rPr>
          <w:lang w:eastAsia="en-AU"/>
        </w:rPr>
        <w:t xml:space="preserve"> </w:t>
      </w:r>
      <w:r w:rsidR="00702248">
        <w:t xml:space="preserve">Our </w:t>
      </w:r>
      <w:r w:rsidR="00702248" w:rsidRPr="00F32A69">
        <w:rPr>
          <w:lang w:eastAsia="en-AU"/>
        </w:rPr>
        <w:t xml:space="preserve">final surplus position will be dependent on the level of </w:t>
      </w:r>
      <w:r w:rsidR="008D051A">
        <w:rPr>
          <w:lang w:eastAsia="en-AU"/>
        </w:rPr>
        <w:t>‘</w:t>
      </w:r>
      <w:r w:rsidR="00702248" w:rsidRPr="00F32A69">
        <w:rPr>
          <w:lang w:eastAsia="en-AU"/>
        </w:rPr>
        <w:t>ramp up</w:t>
      </w:r>
      <w:r w:rsidR="008D051A">
        <w:rPr>
          <w:lang w:eastAsia="en-AU"/>
        </w:rPr>
        <w:t>’</w:t>
      </w:r>
      <w:r w:rsidR="00702248" w:rsidRPr="00F32A69">
        <w:rPr>
          <w:lang w:eastAsia="en-AU"/>
        </w:rPr>
        <w:t xml:space="preserve"> in court activity over the final quarter</w:t>
      </w:r>
      <w:r w:rsidR="00702248">
        <w:rPr>
          <w:lang w:eastAsia="en-AU"/>
        </w:rPr>
        <w:t>, with any</w:t>
      </w:r>
      <w:r w:rsidR="00702248" w:rsidRPr="00F32A69">
        <w:rPr>
          <w:lang w:eastAsia="en-AU"/>
        </w:rPr>
        <w:t xml:space="preserve"> surplus </w:t>
      </w:r>
      <w:r w:rsidR="00947BA0">
        <w:rPr>
          <w:lang w:eastAsia="en-AU"/>
        </w:rPr>
        <w:t>used</w:t>
      </w:r>
      <w:r w:rsidR="00947BA0" w:rsidRPr="00F32A69">
        <w:rPr>
          <w:lang w:eastAsia="en-AU"/>
        </w:rPr>
        <w:t xml:space="preserve"> </w:t>
      </w:r>
      <w:r w:rsidR="00702248" w:rsidRPr="00F32A69">
        <w:rPr>
          <w:lang w:eastAsia="en-AU"/>
        </w:rPr>
        <w:t>to meet existing case commitments</w:t>
      </w:r>
      <w:r w:rsidR="004E077C">
        <w:rPr>
          <w:lang w:eastAsia="en-AU"/>
        </w:rPr>
        <w:t xml:space="preserve"> and supporting the courts to address the backlog</w:t>
      </w:r>
      <w:r w:rsidR="00155030">
        <w:rPr>
          <w:lang w:eastAsia="en-AU"/>
        </w:rPr>
        <w:t xml:space="preserve"> during 2021</w:t>
      </w:r>
      <w:r w:rsidR="00C277F3">
        <w:rPr>
          <w:lang w:eastAsia="en-AU"/>
        </w:rPr>
        <w:t>.</w:t>
      </w:r>
    </w:p>
    <w:p w14:paraId="105E8DE9" w14:textId="587E08BA" w:rsidR="00CC09A3" w:rsidRDefault="00CC09A3" w:rsidP="00CC09A3">
      <w:pPr>
        <w:rPr>
          <w:lang w:eastAsia="en-AU"/>
        </w:rPr>
      </w:pPr>
      <w:r>
        <w:rPr>
          <w:lang w:eastAsia="en-AU"/>
        </w:rPr>
        <w:t>Our financial future remains challenging</w:t>
      </w:r>
      <w:r w:rsidR="00947BA0">
        <w:rPr>
          <w:lang w:eastAsia="en-AU"/>
        </w:rPr>
        <w:t>. We</w:t>
      </w:r>
      <w:r>
        <w:rPr>
          <w:lang w:eastAsia="en-AU"/>
        </w:rPr>
        <w:t xml:space="preserve"> expect demand to continue to grow faster than funding</w:t>
      </w:r>
      <w:r w:rsidR="00244D61">
        <w:rPr>
          <w:lang w:eastAsia="en-AU"/>
        </w:rPr>
        <w:t xml:space="preserve"> as courts ramp up activities</w:t>
      </w:r>
      <w:r>
        <w:rPr>
          <w:lang w:eastAsia="en-AU"/>
        </w:rPr>
        <w:t>, as well as dealing with the financial impacts of deferred case expenditure in future years. While the 2020–21 State Budget provided one</w:t>
      </w:r>
      <w:r w:rsidR="00947BA0">
        <w:rPr>
          <w:lang w:eastAsia="en-AU"/>
        </w:rPr>
        <w:t>-</w:t>
      </w:r>
      <w:r>
        <w:rPr>
          <w:lang w:eastAsia="en-AU"/>
        </w:rPr>
        <w:t xml:space="preserve">off funding to address the backlog of cases, we will continue to work with the government to determine sustainable funding solutions to meet ongoing demand pressures and any further reductions in the Public Purpose Fund. If additional funding in future years is not provided, then we must start </w:t>
      </w:r>
      <w:r w:rsidR="00947BA0">
        <w:rPr>
          <w:lang w:eastAsia="en-AU"/>
        </w:rPr>
        <w:t xml:space="preserve">to implement </w:t>
      </w:r>
      <w:r>
        <w:rPr>
          <w:lang w:eastAsia="en-AU"/>
        </w:rPr>
        <w:t>the delayed saving measures to be financially sustainable. These savings measures, developed in consultation with key stakeholders, will significantly impact the service levels we will be able to provide the Victorian community in the future.</w:t>
      </w:r>
    </w:p>
    <w:p w14:paraId="066108AB" w14:textId="77777777" w:rsidR="00BB172F" w:rsidRDefault="00BB172F">
      <w:pPr>
        <w:spacing w:after="0" w:line="240" w:lineRule="auto"/>
        <w:rPr>
          <w:rStyle w:val="Heading3Char"/>
        </w:rPr>
      </w:pPr>
      <w:r>
        <w:rPr>
          <w:rStyle w:val="Heading3Char"/>
          <w:b w:val="0"/>
          <w:bCs w:val="0"/>
        </w:rPr>
        <w:br w:type="page"/>
      </w:r>
    </w:p>
    <w:p w14:paraId="5C7A41B4" w14:textId="03B65ED7" w:rsidR="004175B7" w:rsidRPr="004175B7" w:rsidRDefault="00351328" w:rsidP="004175B7">
      <w:pPr>
        <w:pStyle w:val="Heading3"/>
      </w:pPr>
      <w:r w:rsidRPr="004175B7">
        <w:rPr>
          <w:rStyle w:val="Heading3Char"/>
          <w:b/>
          <w:bCs/>
        </w:rPr>
        <w:lastRenderedPageBreak/>
        <w:t>Total</w:t>
      </w:r>
      <w:r w:rsidR="004175B7" w:rsidRPr="004175B7">
        <w:rPr>
          <w:rStyle w:val="Heading3Char"/>
          <w:b/>
          <w:bCs/>
        </w:rPr>
        <w:t xml:space="preserve"> revenue breakdown</w:t>
      </w:r>
      <w:r w:rsidR="007F609B">
        <w:rPr>
          <w:rStyle w:val="Heading3Char"/>
          <w:b/>
          <w:bCs/>
        </w:rPr>
        <w:t xml:space="preserve"> </w:t>
      </w:r>
      <w:r w:rsidR="00A6458C" w:rsidRPr="004175B7">
        <w:rPr>
          <w:rStyle w:val="Heading3Char"/>
          <w:b/>
          <w:bCs/>
        </w:rPr>
        <w:t>(</w:t>
      </w:r>
      <w:r w:rsidR="004175B7" w:rsidRPr="004175B7">
        <w:rPr>
          <w:rStyle w:val="Heading3Char"/>
          <w:b/>
          <w:bCs/>
        </w:rPr>
        <w:t>$’000</w:t>
      </w:r>
      <w:r w:rsidR="004175B7" w:rsidRPr="004175B7">
        <w:t>)</w:t>
      </w:r>
      <w:r w:rsidR="007F609B">
        <w:t xml:space="preserve"> </w:t>
      </w:r>
    </w:p>
    <w:tbl>
      <w:tblPr>
        <w:tblStyle w:val="PlainTable2"/>
        <w:tblW w:w="0" w:type="auto"/>
        <w:tblBorders>
          <w:bottom w:val="none" w:sz="0" w:space="0" w:color="auto"/>
          <w:insideH w:val="none" w:sz="0" w:space="0" w:color="auto"/>
        </w:tblBorders>
        <w:tblLook w:val="0620" w:firstRow="1" w:lastRow="0" w:firstColumn="0" w:lastColumn="0" w:noHBand="1" w:noVBand="1"/>
      </w:tblPr>
      <w:tblGrid>
        <w:gridCol w:w="5103"/>
        <w:gridCol w:w="222"/>
        <w:gridCol w:w="1378"/>
        <w:gridCol w:w="1378"/>
        <w:gridCol w:w="1626"/>
      </w:tblGrid>
      <w:tr w:rsidR="00D13858" w:rsidRPr="000E7EED" w14:paraId="1C659569" w14:textId="27E710B5" w:rsidTr="00604CE9">
        <w:trPr>
          <w:cnfStyle w:val="100000000000" w:firstRow="1" w:lastRow="0" w:firstColumn="0" w:lastColumn="0" w:oddVBand="0" w:evenVBand="0" w:oddHBand="0" w:evenHBand="0" w:firstRowFirstColumn="0" w:firstRowLastColumn="0" w:lastRowFirstColumn="0" w:lastRowLastColumn="0"/>
        </w:trPr>
        <w:tc>
          <w:tcPr>
            <w:tcW w:w="5103" w:type="dxa"/>
            <w:tcBorders>
              <w:top w:val="single" w:sz="4" w:space="0" w:color="auto"/>
              <w:bottom w:val="single" w:sz="4" w:space="0" w:color="auto"/>
            </w:tcBorders>
            <w:shd w:val="clear" w:color="auto" w:fill="C3AFCC"/>
          </w:tcPr>
          <w:p w14:paraId="59377134" w14:textId="77777777" w:rsidR="00DC02E7" w:rsidRPr="000E7EED" w:rsidRDefault="00DC02E7" w:rsidP="0039260E">
            <w:pPr>
              <w:rPr>
                <w:b/>
                <w:color w:val="000000" w:themeColor="text1"/>
              </w:rPr>
            </w:pPr>
            <w:bookmarkStart w:id="5" w:name="_Hlk10632113"/>
            <w:bookmarkEnd w:id="3"/>
            <w:r w:rsidRPr="000E7EED">
              <w:rPr>
                <w:b/>
                <w:color w:val="000000" w:themeColor="text1"/>
              </w:rPr>
              <w:t>Revenue</w:t>
            </w:r>
          </w:p>
        </w:tc>
        <w:tc>
          <w:tcPr>
            <w:tcW w:w="0" w:type="auto"/>
            <w:tcBorders>
              <w:top w:val="single" w:sz="4" w:space="0" w:color="auto"/>
              <w:bottom w:val="single" w:sz="4" w:space="0" w:color="auto"/>
            </w:tcBorders>
            <w:shd w:val="clear" w:color="auto" w:fill="C3AFCC"/>
          </w:tcPr>
          <w:p w14:paraId="3EFEB76D" w14:textId="5D6343AD" w:rsidR="00DC02E7" w:rsidRPr="000E7EED" w:rsidRDefault="00DC02E7" w:rsidP="00DC02E7">
            <w:pPr>
              <w:ind w:left="-536"/>
              <w:jc w:val="center"/>
              <w:rPr>
                <w:b/>
                <w:color w:val="000000" w:themeColor="text1"/>
              </w:rPr>
            </w:pPr>
          </w:p>
        </w:tc>
        <w:tc>
          <w:tcPr>
            <w:tcW w:w="0" w:type="auto"/>
            <w:tcBorders>
              <w:top w:val="single" w:sz="4" w:space="0" w:color="auto"/>
              <w:bottom w:val="single" w:sz="4" w:space="0" w:color="auto"/>
            </w:tcBorders>
            <w:shd w:val="clear" w:color="auto" w:fill="C3AFCC"/>
          </w:tcPr>
          <w:p w14:paraId="7C524261" w14:textId="669BE42D" w:rsidR="00DC02E7" w:rsidRPr="000E7EED" w:rsidRDefault="00DC02E7" w:rsidP="0039260E">
            <w:pPr>
              <w:jc w:val="right"/>
              <w:rPr>
                <w:b/>
                <w:color w:val="000000" w:themeColor="text1"/>
              </w:rPr>
            </w:pPr>
            <w:r>
              <w:rPr>
                <w:b/>
                <w:color w:val="000000" w:themeColor="text1"/>
              </w:rPr>
              <w:t>Q3 2019-20</w:t>
            </w:r>
          </w:p>
        </w:tc>
        <w:tc>
          <w:tcPr>
            <w:tcW w:w="0" w:type="auto"/>
            <w:tcBorders>
              <w:top w:val="single" w:sz="4" w:space="0" w:color="auto"/>
              <w:bottom w:val="single" w:sz="4" w:space="0" w:color="auto"/>
            </w:tcBorders>
            <w:shd w:val="clear" w:color="auto" w:fill="C3AFCC"/>
          </w:tcPr>
          <w:p w14:paraId="4CCF9AC7" w14:textId="1ECB679A" w:rsidR="00DC02E7" w:rsidRPr="000E7EED" w:rsidRDefault="00DC02E7" w:rsidP="0039260E">
            <w:pPr>
              <w:jc w:val="right"/>
              <w:rPr>
                <w:b/>
                <w:color w:val="000000" w:themeColor="text1"/>
              </w:rPr>
            </w:pPr>
            <w:r w:rsidRPr="000E7EED">
              <w:rPr>
                <w:b/>
                <w:color w:val="000000" w:themeColor="text1"/>
              </w:rPr>
              <w:t>Q</w:t>
            </w:r>
            <w:r>
              <w:rPr>
                <w:b/>
                <w:color w:val="000000" w:themeColor="text1"/>
              </w:rPr>
              <w:t>3 2020-21</w:t>
            </w:r>
          </w:p>
        </w:tc>
        <w:tc>
          <w:tcPr>
            <w:tcW w:w="0" w:type="auto"/>
            <w:tcBorders>
              <w:top w:val="single" w:sz="4" w:space="0" w:color="auto"/>
              <w:bottom w:val="single" w:sz="4" w:space="0" w:color="auto"/>
            </w:tcBorders>
            <w:shd w:val="clear" w:color="auto" w:fill="C3AFCC"/>
          </w:tcPr>
          <w:p w14:paraId="32CB2515" w14:textId="064C2CA1" w:rsidR="00DC02E7" w:rsidRPr="000E7EED" w:rsidRDefault="00DC02E7" w:rsidP="0039260E">
            <w:pPr>
              <w:jc w:val="right"/>
              <w:rPr>
                <w:b/>
                <w:color w:val="000000" w:themeColor="text1"/>
              </w:rPr>
            </w:pPr>
            <w:r>
              <w:rPr>
                <w:b/>
                <w:color w:val="000000" w:themeColor="text1"/>
              </w:rPr>
              <w:t xml:space="preserve">Q4 2020-21 Projection </w:t>
            </w:r>
          </w:p>
        </w:tc>
      </w:tr>
      <w:tr w:rsidR="00DC02E7" w:rsidRPr="000E7EED" w14:paraId="01E48904" w14:textId="2CF33F81" w:rsidTr="00604CE9">
        <w:tc>
          <w:tcPr>
            <w:tcW w:w="5103" w:type="dxa"/>
            <w:tcBorders>
              <w:top w:val="single" w:sz="4" w:space="0" w:color="auto"/>
              <w:bottom w:val="single" w:sz="4" w:space="0" w:color="auto"/>
            </w:tcBorders>
          </w:tcPr>
          <w:p w14:paraId="0021B005" w14:textId="77777777" w:rsidR="00DC02E7" w:rsidRPr="000E7EED" w:rsidRDefault="00DC02E7" w:rsidP="00B24351">
            <w:pPr>
              <w:rPr>
                <w:color w:val="000000" w:themeColor="text1"/>
              </w:rPr>
            </w:pPr>
            <w:r w:rsidRPr="000E7EED">
              <w:rPr>
                <w:color w:val="000000" w:themeColor="text1"/>
              </w:rPr>
              <w:t>Commonwealth – grants</w:t>
            </w:r>
          </w:p>
        </w:tc>
        <w:tc>
          <w:tcPr>
            <w:tcW w:w="0" w:type="auto"/>
            <w:tcBorders>
              <w:top w:val="single" w:sz="4" w:space="0" w:color="auto"/>
              <w:bottom w:val="single" w:sz="4" w:space="0" w:color="auto"/>
            </w:tcBorders>
          </w:tcPr>
          <w:p w14:paraId="276A5F3F" w14:textId="7F8CDB66" w:rsidR="00DC02E7" w:rsidRPr="008E424E" w:rsidRDefault="00DC02E7" w:rsidP="00B24351">
            <w:pPr>
              <w:jc w:val="right"/>
            </w:pPr>
          </w:p>
        </w:tc>
        <w:tc>
          <w:tcPr>
            <w:tcW w:w="0" w:type="auto"/>
            <w:tcBorders>
              <w:top w:val="single" w:sz="4" w:space="0" w:color="auto"/>
              <w:bottom w:val="single" w:sz="4" w:space="0" w:color="auto"/>
            </w:tcBorders>
            <w:shd w:val="clear" w:color="auto" w:fill="auto"/>
          </w:tcPr>
          <w:p w14:paraId="51BF32A4" w14:textId="162C507F" w:rsidR="00DC02E7" w:rsidRPr="008E424E" w:rsidRDefault="00E354D0" w:rsidP="00B24351">
            <w:pPr>
              <w:jc w:val="right"/>
            </w:pPr>
            <w:r>
              <w:t>16,000</w:t>
            </w:r>
          </w:p>
        </w:tc>
        <w:tc>
          <w:tcPr>
            <w:tcW w:w="0" w:type="auto"/>
            <w:tcBorders>
              <w:top w:val="single" w:sz="4" w:space="0" w:color="auto"/>
              <w:bottom w:val="single" w:sz="4" w:space="0" w:color="auto"/>
            </w:tcBorders>
            <w:shd w:val="clear" w:color="auto" w:fill="D9D9D9" w:themeFill="background1" w:themeFillShade="D9"/>
          </w:tcPr>
          <w:p w14:paraId="36D4CCE7" w14:textId="358A5DD0" w:rsidR="00DC02E7" w:rsidRPr="008E424E" w:rsidRDefault="00F5731D" w:rsidP="00B24351">
            <w:pPr>
              <w:jc w:val="right"/>
            </w:pPr>
            <w:r>
              <w:t>18,280</w:t>
            </w:r>
          </w:p>
        </w:tc>
        <w:tc>
          <w:tcPr>
            <w:tcW w:w="1626" w:type="dxa"/>
            <w:tcBorders>
              <w:top w:val="single" w:sz="4" w:space="0" w:color="auto"/>
              <w:bottom w:val="single" w:sz="4" w:space="0" w:color="auto"/>
            </w:tcBorders>
            <w:shd w:val="clear" w:color="auto" w:fill="auto"/>
          </w:tcPr>
          <w:p w14:paraId="01BC08B0" w14:textId="53A0DA01" w:rsidR="00DC02E7" w:rsidRPr="008E424E" w:rsidRDefault="00DE4CF6" w:rsidP="008709B6">
            <w:pPr>
              <w:tabs>
                <w:tab w:val="left" w:pos="2295"/>
              </w:tabs>
              <w:jc w:val="right"/>
            </w:pPr>
            <w:r>
              <w:t>18,210</w:t>
            </w:r>
          </w:p>
        </w:tc>
      </w:tr>
      <w:tr w:rsidR="00DC02E7" w:rsidRPr="000E7EED" w14:paraId="63873906" w14:textId="7902D6DC" w:rsidTr="00604CE9">
        <w:tc>
          <w:tcPr>
            <w:tcW w:w="5103" w:type="dxa"/>
            <w:tcBorders>
              <w:top w:val="single" w:sz="4" w:space="0" w:color="auto"/>
              <w:bottom w:val="single" w:sz="4" w:space="0" w:color="auto"/>
            </w:tcBorders>
          </w:tcPr>
          <w:p w14:paraId="218159F5" w14:textId="226857F3" w:rsidR="00DC02E7" w:rsidRPr="000E7EED" w:rsidRDefault="00DC02E7" w:rsidP="00B24351">
            <w:pPr>
              <w:rPr>
                <w:color w:val="000000" w:themeColor="text1"/>
              </w:rPr>
            </w:pPr>
            <w:r>
              <w:rPr>
                <w:color w:val="000000" w:themeColor="text1"/>
              </w:rPr>
              <w:t>ECCCF income</w:t>
            </w:r>
          </w:p>
        </w:tc>
        <w:tc>
          <w:tcPr>
            <w:tcW w:w="0" w:type="auto"/>
            <w:tcBorders>
              <w:top w:val="single" w:sz="4" w:space="0" w:color="auto"/>
              <w:bottom w:val="single" w:sz="4" w:space="0" w:color="auto"/>
            </w:tcBorders>
          </w:tcPr>
          <w:p w14:paraId="7A64DCB3" w14:textId="31CD3307" w:rsidR="00DC02E7" w:rsidRDefault="00DC02E7" w:rsidP="00B24351">
            <w:pPr>
              <w:jc w:val="right"/>
            </w:pPr>
          </w:p>
        </w:tc>
        <w:tc>
          <w:tcPr>
            <w:tcW w:w="0" w:type="auto"/>
            <w:tcBorders>
              <w:top w:val="single" w:sz="4" w:space="0" w:color="auto"/>
              <w:bottom w:val="single" w:sz="4" w:space="0" w:color="auto"/>
            </w:tcBorders>
            <w:shd w:val="clear" w:color="auto" w:fill="auto"/>
          </w:tcPr>
          <w:p w14:paraId="27568E72" w14:textId="4273B94C" w:rsidR="00DC02E7" w:rsidRDefault="00E354D0" w:rsidP="00B24351">
            <w:pPr>
              <w:jc w:val="right"/>
            </w:pPr>
            <w:r>
              <w:t>240</w:t>
            </w:r>
          </w:p>
        </w:tc>
        <w:tc>
          <w:tcPr>
            <w:tcW w:w="0" w:type="auto"/>
            <w:tcBorders>
              <w:top w:val="single" w:sz="4" w:space="0" w:color="auto"/>
              <w:bottom w:val="single" w:sz="4" w:space="0" w:color="auto"/>
            </w:tcBorders>
            <w:shd w:val="clear" w:color="auto" w:fill="D9D9D9" w:themeFill="background1" w:themeFillShade="D9"/>
          </w:tcPr>
          <w:p w14:paraId="0A73B0EC" w14:textId="36E2862E" w:rsidR="00DC02E7" w:rsidRDefault="00F5731D" w:rsidP="00B24351">
            <w:pPr>
              <w:jc w:val="right"/>
            </w:pPr>
            <w:r>
              <w:t>915</w:t>
            </w:r>
          </w:p>
        </w:tc>
        <w:tc>
          <w:tcPr>
            <w:tcW w:w="1626" w:type="dxa"/>
            <w:tcBorders>
              <w:top w:val="single" w:sz="4" w:space="0" w:color="auto"/>
              <w:bottom w:val="single" w:sz="4" w:space="0" w:color="auto"/>
            </w:tcBorders>
            <w:shd w:val="clear" w:color="auto" w:fill="auto"/>
          </w:tcPr>
          <w:p w14:paraId="4891CAE7" w14:textId="49B5AE57" w:rsidR="00DC02E7" w:rsidRDefault="00DE4CF6" w:rsidP="008709B6">
            <w:pPr>
              <w:tabs>
                <w:tab w:val="left" w:pos="2295"/>
              </w:tabs>
              <w:jc w:val="right"/>
            </w:pPr>
            <w:r>
              <w:t>915</w:t>
            </w:r>
          </w:p>
        </w:tc>
      </w:tr>
      <w:tr w:rsidR="00DC02E7" w:rsidRPr="000E7EED" w14:paraId="0A69F6B4" w14:textId="54616B6F" w:rsidTr="00604CE9">
        <w:tc>
          <w:tcPr>
            <w:tcW w:w="5103" w:type="dxa"/>
            <w:tcBorders>
              <w:top w:val="single" w:sz="4" w:space="0" w:color="auto"/>
              <w:bottom w:val="single" w:sz="4" w:space="0" w:color="auto"/>
            </w:tcBorders>
          </w:tcPr>
          <w:p w14:paraId="3768FF6C" w14:textId="77777777" w:rsidR="00DC02E7" w:rsidRPr="000E7EED" w:rsidRDefault="00DC02E7" w:rsidP="00B24351">
            <w:pPr>
              <w:rPr>
                <w:b/>
                <w:color w:val="000000" w:themeColor="text1"/>
              </w:rPr>
            </w:pPr>
            <w:r w:rsidRPr="000E7EED">
              <w:rPr>
                <w:color w:val="000000" w:themeColor="text1"/>
              </w:rPr>
              <w:t>State – grants</w:t>
            </w:r>
          </w:p>
        </w:tc>
        <w:tc>
          <w:tcPr>
            <w:tcW w:w="0" w:type="auto"/>
            <w:tcBorders>
              <w:top w:val="single" w:sz="4" w:space="0" w:color="auto"/>
              <w:bottom w:val="single" w:sz="4" w:space="0" w:color="auto"/>
            </w:tcBorders>
          </w:tcPr>
          <w:p w14:paraId="521BA914" w14:textId="25B9B2A5" w:rsidR="00DC02E7" w:rsidRPr="008E424E" w:rsidRDefault="00DC02E7" w:rsidP="00B24351">
            <w:pPr>
              <w:jc w:val="right"/>
            </w:pPr>
          </w:p>
        </w:tc>
        <w:tc>
          <w:tcPr>
            <w:tcW w:w="0" w:type="auto"/>
            <w:tcBorders>
              <w:top w:val="single" w:sz="4" w:space="0" w:color="auto"/>
              <w:bottom w:val="single" w:sz="4" w:space="0" w:color="auto"/>
            </w:tcBorders>
            <w:shd w:val="clear" w:color="auto" w:fill="auto"/>
          </w:tcPr>
          <w:p w14:paraId="73C4FBBA" w14:textId="3CB3F240" w:rsidR="00DC02E7" w:rsidRPr="008E424E" w:rsidRDefault="00E354D0" w:rsidP="00B24351">
            <w:pPr>
              <w:jc w:val="right"/>
            </w:pPr>
            <w:r>
              <w:t>37,920</w:t>
            </w:r>
          </w:p>
        </w:tc>
        <w:tc>
          <w:tcPr>
            <w:tcW w:w="0" w:type="auto"/>
            <w:tcBorders>
              <w:top w:val="single" w:sz="4" w:space="0" w:color="auto"/>
              <w:bottom w:val="single" w:sz="4" w:space="0" w:color="auto"/>
            </w:tcBorders>
            <w:shd w:val="clear" w:color="auto" w:fill="D9D9D9" w:themeFill="background1" w:themeFillShade="D9"/>
          </w:tcPr>
          <w:p w14:paraId="0A3242C1" w14:textId="153270F4" w:rsidR="00DC02E7" w:rsidRPr="008E424E" w:rsidRDefault="00F5731D" w:rsidP="00B24351">
            <w:pPr>
              <w:jc w:val="right"/>
            </w:pPr>
            <w:r>
              <w:t>44,442</w:t>
            </w:r>
          </w:p>
        </w:tc>
        <w:tc>
          <w:tcPr>
            <w:tcW w:w="1626" w:type="dxa"/>
            <w:tcBorders>
              <w:top w:val="single" w:sz="4" w:space="0" w:color="auto"/>
              <w:bottom w:val="single" w:sz="4" w:space="0" w:color="auto"/>
            </w:tcBorders>
            <w:shd w:val="clear" w:color="auto" w:fill="auto"/>
          </w:tcPr>
          <w:p w14:paraId="687C444C" w14:textId="0893D2FE" w:rsidR="00DC02E7" w:rsidRPr="008E424E" w:rsidRDefault="00DE4CF6" w:rsidP="008709B6">
            <w:pPr>
              <w:tabs>
                <w:tab w:val="left" w:pos="2295"/>
              </w:tabs>
              <w:jc w:val="right"/>
            </w:pPr>
            <w:r>
              <w:t>53,701</w:t>
            </w:r>
          </w:p>
        </w:tc>
      </w:tr>
      <w:tr w:rsidR="00DC02E7" w:rsidRPr="000E7EED" w14:paraId="1FBF8D6C" w14:textId="78DBE878" w:rsidTr="00604CE9">
        <w:tc>
          <w:tcPr>
            <w:tcW w:w="5103" w:type="dxa"/>
            <w:tcBorders>
              <w:top w:val="single" w:sz="4" w:space="0" w:color="auto"/>
              <w:bottom w:val="single" w:sz="4" w:space="0" w:color="auto"/>
            </w:tcBorders>
          </w:tcPr>
          <w:p w14:paraId="1E2A089F" w14:textId="77777777" w:rsidR="00DC02E7" w:rsidRPr="000E7EED" w:rsidRDefault="00DC02E7" w:rsidP="00B24351">
            <w:pPr>
              <w:rPr>
                <w:b/>
                <w:color w:val="000000" w:themeColor="text1"/>
              </w:rPr>
            </w:pPr>
            <w:r w:rsidRPr="000E7EED">
              <w:rPr>
                <w:color w:val="000000" w:themeColor="text1"/>
              </w:rPr>
              <w:t>Public Purpose Fund</w:t>
            </w:r>
          </w:p>
        </w:tc>
        <w:tc>
          <w:tcPr>
            <w:tcW w:w="0" w:type="auto"/>
            <w:tcBorders>
              <w:top w:val="single" w:sz="4" w:space="0" w:color="auto"/>
              <w:bottom w:val="single" w:sz="4" w:space="0" w:color="auto"/>
            </w:tcBorders>
          </w:tcPr>
          <w:p w14:paraId="4D9987B3" w14:textId="0ED76A7B" w:rsidR="00DC02E7" w:rsidRPr="008E424E" w:rsidRDefault="00DC02E7" w:rsidP="00B24351">
            <w:pPr>
              <w:jc w:val="right"/>
            </w:pPr>
          </w:p>
        </w:tc>
        <w:tc>
          <w:tcPr>
            <w:tcW w:w="0" w:type="auto"/>
            <w:tcBorders>
              <w:top w:val="single" w:sz="4" w:space="0" w:color="auto"/>
              <w:bottom w:val="single" w:sz="4" w:space="0" w:color="auto"/>
            </w:tcBorders>
            <w:shd w:val="clear" w:color="auto" w:fill="auto"/>
          </w:tcPr>
          <w:p w14:paraId="019CA5DA" w14:textId="5901CC93" w:rsidR="00DC02E7" w:rsidRPr="008E424E" w:rsidRDefault="00E354D0" w:rsidP="00B24351">
            <w:pPr>
              <w:jc w:val="right"/>
            </w:pPr>
            <w:r>
              <w:t>8,380</w:t>
            </w:r>
          </w:p>
        </w:tc>
        <w:tc>
          <w:tcPr>
            <w:tcW w:w="0" w:type="auto"/>
            <w:tcBorders>
              <w:top w:val="single" w:sz="4" w:space="0" w:color="auto"/>
              <w:bottom w:val="single" w:sz="4" w:space="0" w:color="auto"/>
            </w:tcBorders>
            <w:shd w:val="clear" w:color="auto" w:fill="D9D9D9" w:themeFill="background1" w:themeFillShade="D9"/>
          </w:tcPr>
          <w:p w14:paraId="15F7CE9C" w14:textId="010C90C7" w:rsidR="00DC02E7" w:rsidRPr="008E424E" w:rsidRDefault="00F5731D" w:rsidP="00B24351">
            <w:pPr>
              <w:jc w:val="right"/>
            </w:pPr>
            <w:r>
              <w:t>5,385</w:t>
            </w:r>
          </w:p>
        </w:tc>
        <w:tc>
          <w:tcPr>
            <w:tcW w:w="1626" w:type="dxa"/>
            <w:tcBorders>
              <w:top w:val="single" w:sz="4" w:space="0" w:color="auto"/>
              <w:bottom w:val="single" w:sz="4" w:space="0" w:color="auto"/>
            </w:tcBorders>
            <w:shd w:val="clear" w:color="auto" w:fill="auto"/>
          </w:tcPr>
          <w:p w14:paraId="0099A788" w14:textId="5A92C667" w:rsidR="00DC02E7" w:rsidRPr="008E424E" w:rsidRDefault="00DE4CF6" w:rsidP="008709B6">
            <w:pPr>
              <w:tabs>
                <w:tab w:val="left" w:pos="2295"/>
              </w:tabs>
              <w:jc w:val="right"/>
            </w:pPr>
            <w:r>
              <w:t>5,385</w:t>
            </w:r>
          </w:p>
        </w:tc>
      </w:tr>
      <w:tr w:rsidR="00DC02E7" w:rsidRPr="000E7EED" w14:paraId="078C4944" w14:textId="0B308DE6" w:rsidTr="00604CE9">
        <w:tc>
          <w:tcPr>
            <w:tcW w:w="5103" w:type="dxa"/>
            <w:tcBorders>
              <w:top w:val="single" w:sz="4" w:space="0" w:color="auto"/>
              <w:bottom w:val="single" w:sz="4" w:space="0" w:color="auto"/>
            </w:tcBorders>
          </w:tcPr>
          <w:p w14:paraId="12A13989" w14:textId="77777777" w:rsidR="00DC02E7" w:rsidRPr="000E7EED" w:rsidRDefault="00DC02E7" w:rsidP="00B24351">
            <w:pPr>
              <w:rPr>
                <w:b/>
                <w:color w:val="000000" w:themeColor="text1"/>
              </w:rPr>
            </w:pPr>
            <w:r w:rsidRPr="000E7EED">
              <w:rPr>
                <w:color w:val="000000" w:themeColor="text1"/>
              </w:rPr>
              <w:t>Case revenue</w:t>
            </w:r>
          </w:p>
        </w:tc>
        <w:tc>
          <w:tcPr>
            <w:tcW w:w="0" w:type="auto"/>
            <w:tcBorders>
              <w:top w:val="single" w:sz="4" w:space="0" w:color="auto"/>
              <w:bottom w:val="single" w:sz="4" w:space="0" w:color="auto"/>
            </w:tcBorders>
          </w:tcPr>
          <w:p w14:paraId="4E28F351" w14:textId="5C119C36" w:rsidR="00DC02E7" w:rsidRPr="008E424E" w:rsidRDefault="00DC02E7" w:rsidP="00B24351">
            <w:pPr>
              <w:jc w:val="right"/>
            </w:pPr>
          </w:p>
        </w:tc>
        <w:tc>
          <w:tcPr>
            <w:tcW w:w="0" w:type="auto"/>
            <w:tcBorders>
              <w:top w:val="single" w:sz="4" w:space="0" w:color="auto"/>
              <w:bottom w:val="single" w:sz="4" w:space="0" w:color="auto"/>
            </w:tcBorders>
            <w:shd w:val="clear" w:color="auto" w:fill="auto"/>
          </w:tcPr>
          <w:p w14:paraId="7213D7A0" w14:textId="6A1E975D" w:rsidR="00DC02E7" w:rsidRPr="008E424E" w:rsidRDefault="00E354D0" w:rsidP="00B24351">
            <w:pPr>
              <w:jc w:val="right"/>
            </w:pPr>
            <w:r>
              <w:t>1,460</w:t>
            </w:r>
          </w:p>
        </w:tc>
        <w:tc>
          <w:tcPr>
            <w:tcW w:w="0" w:type="auto"/>
            <w:tcBorders>
              <w:top w:val="single" w:sz="4" w:space="0" w:color="auto"/>
              <w:bottom w:val="single" w:sz="4" w:space="0" w:color="auto"/>
            </w:tcBorders>
            <w:shd w:val="clear" w:color="auto" w:fill="D9D9D9" w:themeFill="background1" w:themeFillShade="D9"/>
          </w:tcPr>
          <w:p w14:paraId="140B4D42" w14:textId="5C8037EC" w:rsidR="00DC02E7" w:rsidRPr="008E424E" w:rsidRDefault="00F5731D" w:rsidP="00B24351">
            <w:pPr>
              <w:jc w:val="right"/>
            </w:pPr>
            <w:r>
              <w:t>1,037</w:t>
            </w:r>
          </w:p>
        </w:tc>
        <w:tc>
          <w:tcPr>
            <w:tcW w:w="1626" w:type="dxa"/>
            <w:tcBorders>
              <w:top w:val="single" w:sz="4" w:space="0" w:color="auto"/>
              <w:bottom w:val="single" w:sz="4" w:space="0" w:color="auto"/>
            </w:tcBorders>
            <w:shd w:val="clear" w:color="auto" w:fill="auto"/>
          </w:tcPr>
          <w:p w14:paraId="103CE515" w14:textId="4E1F71F0" w:rsidR="00DC02E7" w:rsidRPr="008E424E" w:rsidRDefault="00DE4CF6" w:rsidP="008709B6">
            <w:pPr>
              <w:tabs>
                <w:tab w:val="left" w:pos="2295"/>
              </w:tabs>
              <w:jc w:val="right"/>
            </w:pPr>
            <w:r>
              <w:t>1,380</w:t>
            </w:r>
          </w:p>
        </w:tc>
      </w:tr>
      <w:tr w:rsidR="00DC02E7" w:rsidRPr="000E7EED" w14:paraId="3D1AE2EE" w14:textId="53749771" w:rsidTr="00604CE9">
        <w:tc>
          <w:tcPr>
            <w:tcW w:w="5103" w:type="dxa"/>
            <w:tcBorders>
              <w:top w:val="single" w:sz="4" w:space="0" w:color="auto"/>
              <w:bottom w:val="single" w:sz="4" w:space="0" w:color="auto"/>
            </w:tcBorders>
          </w:tcPr>
          <w:p w14:paraId="2BE35A7F" w14:textId="77777777" w:rsidR="00DC02E7" w:rsidRPr="000E7EED" w:rsidRDefault="00DC02E7" w:rsidP="00B24351">
            <w:pPr>
              <w:rPr>
                <w:b/>
                <w:color w:val="000000" w:themeColor="text1"/>
              </w:rPr>
            </w:pPr>
            <w:r w:rsidRPr="000E7EED">
              <w:rPr>
                <w:color w:val="000000" w:themeColor="text1"/>
              </w:rPr>
              <w:t>Other income</w:t>
            </w:r>
          </w:p>
        </w:tc>
        <w:tc>
          <w:tcPr>
            <w:tcW w:w="0" w:type="auto"/>
            <w:tcBorders>
              <w:top w:val="single" w:sz="4" w:space="0" w:color="auto"/>
              <w:bottom w:val="single" w:sz="4" w:space="0" w:color="auto"/>
            </w:tcBorders>
          </w:tcPr>
          <w:p w14:paraId="4C1374BB" w14:textId="3BE11EC7" w:rsidR="00DC02E7" w:rsidRPr="008E424E" w:rsidRDefault="00DC02E7" w:rsidP="002800C6">
            <w:pPr>
              <w:jc w:val="right"/>
            </w:pPr>
          </w:p>
        </w:tc>
        <w:tc>
          <w:tcPr>
            <w:tcW w:w="0" w:type="auto"/>
            <w:tcBorders>
              <w:top w:val="single" w:sz="4" w:space="0" w:color="auto"/>
              <w:bottom w:val="single" w:sz="4" w:space="0" w:color="auto"/>
            </w:tcBorders>
            <w:shd w:val="clear" w:color="auto" w:fill="auto"/>
          </w:tcPr>
          <w:p w14:paraId="033A0168" w14:textId="4A85FEBA" w:rsidR="00DC02E7" w:rsidRPr="008E424E" w:rsidRDefault="00E354D0" w:rsidP="00F85389">
            <w:pPr>
              <w:jc w:val="right"/>
            </w:pPr>
            <w:r>
              <w:t>270</w:t>
            </w:r>
          </w:p>
        </w:tc>
        <w:tc>
          <w:tcPr>
            <w:tcW w:w="0" w:type="auto"/>
            <w:tcBorders>
              <w:top w:val="single" w:sz="4" w:space="0" w:color="auto"/>
              <w:bottom w:val="single" w:sz="4" w:space="0" w:color="auto"/>
            </w:tcBorders>
            <w:shd w:val="clear" w:color="auto" w:fill="D9D9D9" w:themeFill="background1" w:themeFillShade="D9"/>
          </w:tcPr>
          <w:p w14:paraId="2172056C" w14:textId="7895265C" w:rsidR="00DC02E7" w:rsidRPr="008E424E" w:rsidRDefault="00F5731D" w:rsidP="00F85389">
            <w:pPr>
              <w:jc w:val="right"/>
            </w:pPr>
            <w:r>
              <w:t>79</w:t>
            </w:r>
          </w:p>
        </w:tc>
        <w:tc>
          <w:tcPr>
            <w:tcW w:w="1626" w:type="dxa"/>
            <w:tcBorders>
              <w:top w:val="single" w:sz="4" w:space="0" w:color="auto"/>
              <w:bottom w:val="single" w:sz="4" w:space="0" w:color="auto"/>
            </w:tcBorders>
            <w:shd w:val="clear" w:color="auto" w:fill="auto"/>
          </w:tcPr>
          <w:p w14:paraId="4E303D3E" w14:textId="1548D719" w:rsidR="00DC02E7" w:rsidRPr="008E424E" w:rsidRDefault="00DE4CF6" w:rsidP="008709B6">
            <w:pPr>
              <w:tabs>
                <w:tab w:val="left" w:pos="2295"/>
              </w:tabs>
              <w:jc w:val="right"/>
            </w:pPr>
            <w:r>
              <w:t>57</w:t>
            </w:r>
          </w:p>
        </w:tc>
      </w:tr>
      <w:tr w:rsidR="00DC02E7" w:rsidRPr="000E7EED" w14:paraId="6EB9D4A0" w14:textId="7260786A" w:rsidTr="00604CE9">
        <w:tc>
          <w:tcPr>
            <w:tcW w:w="5103" w:type="dxa"/>
            <w:tcBorders>
              <w:top w:val="single" w:sz="4" w:space="0" w:color="auto"/>
              <w:bottom w:val="single" w:sz="4" w:space="0" w:color="auto"/>
            </w:tcBorders>
            <w:shd w:val="clear" w:color="auto" w:fill="D9D9D9" w:themeFill="background1" w:themeFillShade="D9"/>
          </w:tcPr>
          <w:p w14:paraId="4B808F9D" w14:textId="77777777" w:rsidR="00DC02E7" w:rsidRPr="00B136D3" w:rsidRDefault="00DC02E7" w:rsidP="00B24351">
            <w:pPr>
              <w:rPr>
                <w:b/>
                <w:color w:val="000000" w:themeColor="text1"/>
              </w:rPr>
            </w:pPr>
            <w:r w:rsidRPr="00B136D3">
              <w:rPr>
                <w:b/>
                <w:color w:val="000000" w:themeColor="text1"/>
              </w:rPr>
              <w:t>Operating revenu</w:t>
            </w:r>
            <w:r>
              <w:rPr>
                <w:b/>
                <w:color w:val="000000" w:themeColor="text1"/>
              </w:rPr>
              <w:t>e</w:t>
            </w:r>
          </w:p>
        </w:tc>
        <w:tc>
          <w:tcPr>
            <w:tcW w:w="0" w:type="auto"/>
            <w:tcBorders>
              <w:top w:val="single" w:sz="4" w:space="0" w:color="auto"/>
              <w:bottom w:val="single" w:sz="4" w:space="0" w:color="auto"/>
            </w:tcBorders>
            <w:shd w:val="clear" w:color="auto" w:fill="D9D9D9" w:themeFill="background1" w:themeFillShade="D9"/>
          </w:tcPr>
          <w:p w14:paraId="1E125AFF" w14:textId="69EF5DC7" w:rsidR="00DC02E7" w:rsidRPr="00B136D3" w:rsidRDefault="00DC02E7" w:rsidP="00B24351">
            <w:pPr>
              <w:jc w:val="right"/>
              <w:rPr>
                <w:b/>
                <w:bCs/>
              </w:rPr>
            </w:pPr>
          </w:p>
        </w:tc>
        <w:tc>
          <w:tcPr>
            <w:tcW w:w="0" w:type="auto"/>
            <w:tcBorders>
              <w:top w:val="single" w:sz="4" w:space="0" w:color="auto"/>
              <w:bottom w:val="single" w:sz="4" w:space="0" w:color="auto"/>
            </w:tcBorders>
            <w:shd w:val="clear" w:color="auto" w:fill="D9D9D9" w:themeFill="background1" w:themeFillShade="D9"/>
          </w:tcPr>
          <w:p w14:paraId="009FB232" w14:textId="54CD6F0C" w:rsidR="00DC02E7" w:rsidRPr="00B136D3" w:rsidRDefault="00E354D0" w:rsidP="00B24351">
            <w:pPr>
              <w:jc w:val="right"/>
              <w:rPr>
                <w:b/>
                <w:bCs/>
              </w:rPr>
            </w:pPr>
            <w:r>
              <w:rPr>
                <w:b/>
                <w:bCs/>
              </w:rPr>
              <w:t>59,270</w:t>
            </w:r>
          </w:p>
        </w:tc>
        <w:tc>
          <w:tcPr>
            <w:tcW w:w="0" w:type="auto"/>
            <w:tcBorders>
              <w:top w:val="single" w:sz="4" w:space="0" w:color="auto"/>
              <w:bottom w:val="single" w:sz="4" w:space="0" w:color="auto"/>
            </w:tcBorders>
            <w:shd w:val="clear" w:color="auto" w:fill="D9D9D9" w:themeFill="background1" w:themeFillShade="D9"/>
          </w:tcPr>
          <w:p w14:paraId="41399DC3" w14:textId="62CE7CC3" w:rsidR="00DC02E7" w:rsidRPr="00B136D3" w:rsidRDefault="00F5731D" w:rsidP="00B24351">
            <w:pPr>
              <w:jc w:val="right"/>
              <w:rPr>
                <w:b/>
                <w:bCs/>
              </w:rPr>
            </w:pPr>
            <w:r>
              <w:rPr>
                <w:b/>
                <w:bCs/>
              </w:rPr>
              <w:t>70,138</w:t>
            </w:r>
          </w:p>
        </w:tc>
        <w:tc>
          <w:tcPr>
            <w:tcW w:w="1626" w:type="dxa"/>
            <w:tcBorders>
              <w:top w:val="single" w:sz="4" w:space="0" w:color="auto"/>
              <w:bottom w:val="single" w:sz="4" w:space="0" w:color="auto"/>
            </w:tcBorders>
            <w:shd w:val="clear" w:color="auto" w:fill="D9D9D9" w:themeFill="background1" w:themeFillShade="D9"/>
          </w:tcPr>
          <w:p w14:paraId="783B57DA" w14:textId="6B1FEE34" w:rsidR="00DC02E7" w:rsidRPr="00B136D3" w:rsidRDefault="00DE4CF6" w:rsidP="008709B6">
            <w:pPr>
              <w:tabs>
                <w:tab w:val="left" w:pos="2295"/>
              </w:tabs>
              <w:jc w:val="right"/>
              <w:rPr>
                <w:b/>
                <w:bCs/>
              </w:rPr>
            </w:pPr>
            <w:r>
              <w:rPr>
                <w:b/>
                <w:bCs/>
              </w:rPr>
              <w:t>79,648</w:t>
            </w:r>
          </w:p>
        </w:tc>
      </w:tr>
      <w:tr w:rsidR="00DC02E7" w:rsidRPr="000E7EED" w14:paraId="177430AB" w14:textId="53E2112F" w:rsidTr="00604CE9">
        <w:tc>
          <w:tcPr>
            <w:tcW w:w="5103" w:type="dxa"/>
            <w:tcBorders>
              <w:top w:val="single" w:sz="4" w:space="0" w:color="auto"/>
              <w:bottom w:val="single" w:sz="4" w:space="0" w:color="auto"/>
            </w:tcBorders>
          </w:tcPr>
          <w:p w14:paraId="6A1EEF7D" w14:textId="77777777" w:rsidR="00DC02E7" w:rsidRPr="000E7EED" w:rsidRDefault="00DC02E7" w:rsidP="00B24351">
            <w:pPr>
              <w:rPr>
                <w:color w:val="000000" w:themeColor="text1"/>
              </w:rPr>
            </w:pPr>
            <w:r>
              <w:rPr>
                <w:color w:val="000000" w:themeColor="text1"/>
              </w:rPr>
              <w:t>Digital Legal Aid income</w:t>
            </w:r>
          </w:p>
        </w:tc>
        <w:tc>
          <w:tcPr>
            <w:tcW w:w="0" w:type="auto"/>
            <w:tcBorders>
              <w:top w:val="single" w:sz="4" w:space="0" w:color="auto"/>
              <w:bottom w:val="single" w:sz="4" w:space="0" w:color="auto"/>
            </w:tcBorders>
          </w:tcPr>
          <w:p w14:paraId="3FD687DF" w14:textId="19A48925" w:rsidR="00DC02E7" w:rsidRPr="008E424E" w:rsidRDefault="00DC02E7" w:rsidP="00B24351">
            <w:pPr>
              <w:jc w:val="right"/>
            </w:pPr>
          </w:p>
        </w:tc>
        <w:tc>
          <w:tcPr>
            <w:tcW w:w="0" w:type="auto"/>
            <w:tcBorders>
              <w:top w:val="single" w:sz="4" w:space="0" w:color="auto"/>
              <w:bottom w:val="single" w:sz="4" w:space="0" w:color="auto"/>
            </w:tcBorders>
            <w:shd w:val="clear" w:color="auto" w:fill="auto"/>
          </w:tcPr>
          <w:p w14:paraId="5913A38E" w14:textId="6829EFE8" w:rsidR="00DC02E7" w:rsidRPr="008E424E" w:rsidRDefault="00E354D0" w:rsidP="00B24351">
            <w:pPr>
              <w:jc w:val="right"/>
            </w:pPr>
            <w:r>
              <w:t>0</w:t>
            </w:r>
          </w:p>
        </w:tc>
        <w:tc>
          <w:tcPr>
            <w:tcW w:w="0" w:type="auto"/>
            <w:tcBorders>
              <w:top w:val="single" w:sz="4" w:space="0" w:color="auto"/>
              <w:bottom w:val="single" w:sz="4" w:space="0" w:color="auto"/>
            </w:tcBorders>
            <w:shd w:val="clear" w:color="auto" w:fill="D9D9D9" w:themeFill="background1" w:themeFillShade="D9"/>
          </w:tcPr>
          <w:p w14:paraId="24273A59" w14:textId="317CD84F" w:rsidR="00DC02E7" w:rsidRPr="008E424E" w:rsidRDefault="00F5731D" w:rsidP="00B24351">
            <w:pPr>
              <w:jc w:val="right"/>
            </w:pPr>
            <w:r>
              <w:t>875</w:t>
            </w:r>
          </w:p>
        </w:tc>
        <w:tc>
          <w:tcPr>
            <w:tcW w:w="1626" w:type="dxa"/>
            <w:tcBorders>
              <w:top w:val="single" w:sz="4" w:space="0" w:color="auto"/>
              <w:bottom w:val="single" w:sz="4" w:space="0" w:color="auto"/>
            </w:tcBorders>
            <w:shd w:val="clear" w:color="auto" w:fill="auto"/>
          </w:tcPr>
          <w:p w14:paraId="3C6B5AB8" w14:textId="56D31DAE" w:rsidR="00DC02E7" w:rsidRPr="008E424E" w:rsidRDefault="00DE4CF6" w:rsidP="008709B6">
            <w:pPr>
              <w:tabs>
                <w:tab w:val="left" w:pos="2295"/>
              </w:tabs>
              <w:jc w:val="right"/>
            </w:pPr>
            <w:r>
              <w:t>875</w:t>
            </w:r>
          </w:p>
        </w:tc>
      </w:tr>
      <w:tr w:rsidR="00DC02E7" w:rsidRPr="000E7EED" w14:paraId="7F598A7D" w14:textId="41539F7E" w:rsidTr="00604CE9">
        <w:tc>
          <w:tcPr>
            <w:tcW w:w="5103" w:type="dxa"/>
            <w:tcBorders>
              <w:top w:val="single" w:sz="4" w:space="0" w:color="auto"/>
              <w:bottom w:val="single" w:sz="4" w:space="0" w:color="auto"/>
            </w:tcBorders>
            <w:shd w:val="clear" w:color="auto" w:fill="auto"/>
          </w:tcPr>
          <w:p w14:paraId="5FCFAD86" w14:textId="04D47CD6" w:rsidR="00DC02E7" w:rsidRPr="00463A3D" w:rsidRDefault="00DC02E7" w:rsidP="00B24351">
            <w:pPr>
              <w:rPr>
                <w:bCs/>
                <w:color w:val="000000" w:themeColor="text1"/>
              </w:rPr>
            </w:pPr>
            <w:r>
              <w:rPr>
                <w:bCs/>
                <w:color w:val="000000" w:themeColor="text1"/>
              </w:rPr>
              <w:t>COVID</w:t>
            </w:r>
          </w:p>
        </w:tc>
        <w:tc>
          <w:tcPr>
            <w:tcW w:w="0" w:type="auto"/>
            <w:tcBorders>
              <w:top w:val="single" w:sz="4" w:space="0" w:color="auto"/>
              <w:bottom w:val="single" w:sz="4" w:space="0" w:color="auto"/>
            </w:tcBorders>
            <w:shd w:val="clear" w:color="auto" w:fill="auto"/>
          </w:tcPr>
          <w:p w14:paraId="3D40E364" w14:textId="77732A63" w:rsidR="00DC02E7" w:rsidRPr="00B457A7" w:rsidRDefault="00DC02E7" w:rsidP="00B24351">
            <w:pPr>
              <w:jc w:val="right"/>
            </w:pPr>
          </w:p>
        </w:tc>
        <w:tc>
          <w:tcPr>
            <w:tcW w:w="0" w:type="auto"/>
            <w:tcBorders>
              <w:top w:val="single" w:sz="4" w:space="0" w:color="auto"/>
              <w:bottom w:val="single" w:sz="4" w:space="0" w:color="auto"/>
            </w:tcBorders>
            <w:shd w:val="clear" w:color="auto" w:fill="auto"/>
          </w:tcPr>
          <w:p w14:paraId="495DC183" w14:textId="0BE53B74" w:rsidR="00DC02E7" w:rsidRPr="00B457A7" w:rsidRDefault="005A1295" w:rsidP="00B24351">
            <w:pPr>
              <w:jc w:val="right"/>
            </w:pPr>
            <w:r>
              <w:t>0</w:t>
            </w:r>
          </w:p>
        </w:tc>
        <w:tc>
          <w:tcPr>
            <w:tcW w:w="0" w:type="auto"/>
            <w:tcBorders>
              <w:top w:val="single" w:sz="4" w:space="0" w:color="auto"/>
              <w:bottom w:val="single" w:sz="4" w:space="0" w:color="auto"/>
            </w:tcBorders>
            <w:shd w:val="clear" w:color="auto" w:fill="D9D9D9" w:themeFill="background1" w:themeFillShade="D9"/>
          </w:tcPr>
          <w:p w14:paraId="7D605AE0" w14:textId="5EC82138" w:rsidR="00DC02E7" w:rsidRPr="00B457A7" w:rsidRDefault="00F5731D" w:rsidP="00B24351">
            <w:pPr>
              <w:jc w:val="right"/>
            </w:pPr>
            <w:r>
              <w:t>2,522</w:t>
            </w:r>
          </w:p>
        </w:tc>
        <w:tc>
          <w:tcPr>
            <w:tcW w:w="1626" w:type="dxa"/>
            <w:tcBorders>
              <w:top w:val="single" w:sz="4" w:space="0" w:color="auto"/>
              <w:bottom w:val="single" w:sz="4" w:space="0" w:color="auto"/>
            </w:tcBorders>
            <w:shd w:val="clear" w:color="auto" w:fill="auto"/>
          </w:tcPr>
          <w:p w14:paraId="6A4FE3F2" w14:textId="59D8D2DC" w:rsidR="00DC02E7" w:rsidRPr="00B457A7" w:rsidRDefault="004D401A" w:rsidP="008709B6">
            <w:pPr>
              <w:tabs>
                <w:tab w:val="left" w:pos="2295"/>
              </w:tabs>
              <w:jc w:val="right"/>
            </w:pPr>
            <w:r>
              <w:t>2,573</w:t>
            </w:r>
          </w:p>
        </w:tc>
      </w:tr>
      <w:tr w:rsidR="00DC02E7" w:rsidRPr="000E7EED" w14:paraId="1D93C896" w14:textId="5803F1C1" w:rsidTr="00604CE9">
        <w:tc>
          <w:tcPr>
            <w:tcW w:w="5103" w:type="dxa"/>
            <w:tcBorders>
              <w:top w:val="single" w:sz="4" w:space="0" w:color="auto"/>
              <w:bottom w:val="single" w:sz="4" w:space="0" w:color="auto"/>
            </w:tcBorders>
            <w:shd w:val="clear" w:color="auto" w:fill="D9D9D9" w:themeFill="background1" w:themeFillShade="D9"/>
          </w:tcPr>
          <w:p w14:paraId="5F7BC2D9" w14:textId="77777777" w:rsidR="00DC02E7" w:rsidRPr="000E7EED" w:rsidRDefault="00DC02E7" w:rsidP="00B24351">
            <w:pPr>
              <w:rPr>
                <w:b/>
                <w:color w:val="000000" w:themeColor="text1"/>
              </w:rPr>
            </w:pPr>
            <w:r w:rsidRPr="000E7EED">
              <w:rPr>
                <w:b/>
                <w:color w:val="000000" w:themeColor="text1"/>
              </w:rPr>
              <w:t>Total revenue</w:t>
            </w:r>
          </w:p>
        </w:tc>
        <w:tc>
          <w:tcPr>
            <w:tcW w:w="0" w:type="auto"/>
            <w:tcBorders>
              <w:top w:val="single" w:sz="4" w:space="0" w:color="auto"/>
              <w:bottom w:val="single" w:sz="4" w:space="0" w:color="auto"/>
            </w:tcBorders>
            <w:shd w:val="clear" w:color="auto" w:fill="D9D9D9" w:themeFill="background1" w:themeFillShade="D9"/>
          </w:tcPr>
          <w:p w14:paraId="29EED78C" w14:textId="21DB0B49" w:rsidR="00DC02E7" w:rsidRPr="008E424E" w:rsidRDefault="00DC02E7" w:rsidP="00B24351">
            <w:pPr>
              <w:jc w:val="right"/>
              <w:rPr>
                <w:b/>
                <w:bCs/>
              </w:rPr>
            </w:pPr>
          </w:p>
        </w:tc>
        <w:tc>
          <w:tcPr>
            <w:tcW w:w="0" w:type="auto"/>
            <w:tcBorders>
              <w:top w:val="single" w:sz="4" w:space="0" w:color="auto"/>
              <w:bottom w:val="single" w:sz="4" w:space="0" w:color="auto"/>
            </w:tcBorders>
            <w:shd w:val="clear" w:color="auto" w:fill="D9D9D9" w:themeFill="background1" w:themeFillShade="D9"/>
          </w:tcPr>
          <w:p w14:paraId="3C71EB6D" w14:textId="06D21688" w:rsidR="00DC02E7" w:rsidRPr="00B457A7" w:rsidRDefault="005A1295" w:rsidP="00B24351">
            <w:pPr>
              <w:jc w:val="right"/>
              <w:rPr>
                <w:b/>
                <w:bCs/>
              </w:rPr>
            </w:pPr>
            <w:r>
              <w:rPr>
                <w:b/>
                <w:bCs/>
              </w:rPr>
              <w:t>59,270</w:t>
            </w:r>
          </w:p>
        </w:tc>
        <w:tc>
          <w:tcPr>
            <w:tcW w:w="0" w:type="auto"/>
            <w:tcBorders>
              <w:top w:val="single" w:sz="4" w:space="0" w:color="auto"/>
              <w:bottom w:val="single" w:sz="4" w:space="0" w:color="auto"/>
            </w:tcBorders>
            <w:shd w:val="clear" w:color="auto" w:fill="D9D9D9" w:themeFill="background1" w:themeFillShade="D9"/>
          </w:tcPr>
          <w:p w14:paraId="4ACFF219" w14:textId="5C4F08FF" w:rsidR="00DC02E7" w:rsidRPr="00B457A7" w:rsidRDefault="00F5731D" w:rsidP="00B24351">
            <w:pPr>
              <w:jc w:val="right"/>
              <w:rPr>
                <w:b/>
                <w:bCs/>
              </w:rPr>
            </w:pPr>
            <w:r>
              <w:rPr>
                <w:b/>
                <w:bCs/>
              </w:rPr>
              <w:t>73,535</w:t>
            </w:r>
          </w:p>
        </w:tc>
        <w:tc>
          <w:tcPr>
            <w:tcW w:w="1626" w:type="dxa"/>
            <w:tcBorders>
              <w:top w:val="single" w:sz="4" w:space="0" w:color="auto"/>
              <w:bottom w:val="single" w:sz="4" w:space="0" w:color="auto"/>
            </w:tcBorders>
            <w:shd w:val="clear" w:color="auto" w:fill="D9D9D9" w:themeFill="background1" w:themeFillShade="D9"/>
          </w:tcPr>
          <w:p w14:paraId="019CE021" w14:textId="455ABC90" w:rsidR="00DC02E7" w:rsidRPr="00B457A7" w:rsidRDefault="004D401A" w:rsidP="008709B6">
            <w:pPr>
              <w:tabs>
                <w:tab w:val="left" w:pos="2295"/>
              </w:tabs>
              <w:jc w:val="right"/>
              <w:rPr>
                <w:b/>
                <w:bCs/>
              </w:rPr>
            </w:pPr>
            <w:r>
              <w:rPr>
                <w:b/>
                <w:bCs/>
              </w:rPr>
              <w:t>83,096</w:t>
            </w:r>
          </w:p>
        </w:tc>
      </w:tr>
    </w:tbl>
    <w:p w14:paraId="4982F0A4" w14:textId="77777777" w:rsidR="004175B7" w:rsidRPr="000E7EED" w:rsidRDefault="004175B7" w:rsidP="004175B7">
      <w:pPr>
        <w:pStyle w:val="Heading3"/>
      </w:pPr>
      <w:bookmarkStart w:id="6" w:name="_Hlk33006441"/>
      <w:r w:rsidRPr="000E7EED">
        <w:t>Total expenditure breakdown</w:t>
      </w:r>
      <w:r>
        <w:t xml:space="preserve"> </w:t>
      </w:r>
      <w:r w:rsidRPr="00A64A96">
        <w:t>($,000)</w:t>
      </w:r>
    </w:p>
    <w:tbl>
      <w:tblPr>
        <w:tblStyle w:val="PlainTable2"/>
        <w:tblW w:w="0" w:type="auto"/>
        <w:tblBorders>
          <w:bottom w:val="none" w:sz="0" w:space="0" w:color="auto"/>
          <w:insideH w:val="none" w:sz="0" w:space="0" w:color="auto"/>
        </w:tblBorders>
        <w:tblLook w:val="0620" w:firstRow="1" w:lastRow="0" w:firstColumn="0" w:lastColumn="0" w:noHBand="1" w:noVBand="1"/>
      </w:tblPr>
      <w:tblGrid>
        <w:gridCol w:w="5473"/>
        <w:gridCol w:w="1467"/>
        <w:gridCol w:w="1276"/>
        <w:gridCol w:w="1559"/>
        <w:gridCol w:w="6"/>
      </w:tblGrid>
      <w:tr w:rsidR="00F43598" w:rsidRPr="000E7EED" w14:paraId="1A26A49B" w14:textId="710EE67B" w:rsidTr="00392CD5">
        <w:trPr>
          <w:gridAfter w:val="1"/>
          <w:cnfStyle w:val="100000000000" w:firstRow="1" w:lastRow="0" w:firstColumn="0" w:lastColumn="0" w:oddVBand="0" w:evenVBand="0" w:oddHBand="0" w:evenHBand="0" w:firstRowFirstColumn="0" w:firstRowLastColumn="0" w:lastRowFirstColumn="0" w:lastRowLastColumn="0"/>
          <w:wAfter w:w="6" w:type="dxa"/>
        </w:trPr>
        <w:tc>
          <w:tcPr>
            <w:tcW w:w="0" w:type="auto"/>
            <w:tcBorders>
              <w:top w:val="single" w:sz="4" w:space="0" w:color="auto"/>
              <w:bottom w:val="single" w:sz="4" w:space="0" w:color="auto"/>
            </w:tcBorders>
            <w:shd w:val="clear" w:color="auto" w:fill="C3AFCC"/>
          </w:tcPr>
          <w:p w14:paraId="3F56AEBA" w14:textId="77777777" w:rsidR="000424DD" w:rsidRPr="000E7EED" w:rsidRDefault="000424DD" w:rsidP="00457AA5">
            <w:pPr>
              <w:rPr>
                <w:b/>
                <w:color w:val="000000" w:themeColor="text1"/>
              </w:rPr>
            </w:pPr>
            <w:bookmarkStart w:id="7" w:name="_Hlk33006456"/>
            <w:bookmarkEnd w:id="6"/>
            <w:r w:rsidRPr="000E7EED">
              <w:rPr>
                <w:b/>
                <w:color w:val="000000" w:themeColor="text1"/>
              </w:rPr>
              <w:t>Expenditure</w:t>
            </w:r>
          </w:p>
        </w:tc>
        <w:tc>
          <w:tcPr>
            <w:tcW w:w="1467" w:type="dxa"/>
            <w:tcBorders>
              <w:top w:val="single" w:sz="4" w:space="0" w:color="auto"/>
              <w:bottom w:val="single" w:sz="4" w:space="0" w:color="auto"/>
            </w:tcBorders>
            <w:shd w:val="clear" w:color="auto" w:fill="C3AFCC"/>
          </w:tcPr>
          <w:p w14:paraId="7B79E5AA" w14:textId="18F7F4F0" w:rsidR="000424DD" w:rsidRPr="000E7EED" w:rsidRDefault="000424DD" w:rsidP="00457AA5">
            <w:pPr>
              <w:jc w:val="right"/>
              <w:rPr>
                <w:b/>
                <w:color w:val="000000" w:themeColor="text1"/>
              </w:rPr>
            </w:pPr>
            <w:r>
              <w:rPr>
                <w:b/>
                <w:color w:val="000000" w:themeColor="text1"/>
              </w:rPr>
              <w:t>Q3 2019-20</w:t>
            </w:r>
          </w:p>
        </w:tc>
        <w:tc>
          <w:tcPr>
            <w:tcW w:w="1276" w:type="dxa"/>
            <w:tcBorders>
              <w:top w:val="single" w:sz="4" w:space="0" w:color="auto"/>
              <w:bottom w:val="single" w:sz="4" w:space="0" w:color="auto"/>
            </w:tcBorders>
            <w:shd w:val="clear" w:color="auto" w:fill="C3AFCC"/>
          </w:tcPr>
          <w:p w14:paraId="0E6CB1A2" w14:textId="5DAFFF4C" w:rsidR="000424DD" w:rsidRPr="000E7EED" w:rsidRDefault="000424DD" w:rsidP="00457AA5">
            <w:pPr>
              <w:jc w:val="right"/>
              <w:rPr>
                <w:b/>
                <w:color w:val="000000" w:themeColor="text1"/>
              </w:rPr>
            </w:pPr>
            <w:r w:rsidRPr="000E7EED">
              <w:rPr>
                <w:b/>
                <w:color w:val="000000" w:themeColor="text1"/>
              </w:rPr>
              <w:t>Q</w:t>
            </w:r>
            <w:r>
              <w:rPr>
                <w:b/>
                <w:color w:val="000000" w:themeColor="text1"/>
              </w:rPr>
              <w:t>3 2020-21</w:t>
            </w:r>
          </w:p>
        </w:tc>
        <w:tc>
          <w:tcPr>
            <w:tcW w:w="1559" w:type="dxa"/>
            <w:tcBorders>
              <w:top w:val="single" w:sz="4" w:space="0" w:color="auto"/>
              <w:bottom w:val="single" w:sz="4" w:space="0" w:color="auto"/>
            </w:tcBorders>
            <w:shd w:val="clear" w:color="auto" w:fill="C3AFCC"/>
          </w:tcPr>
          <w:p w14:paraId="68298ADB" w14:textId="4C492BE1" w:rsidR="000424DD" w:rsidRPr="000E7EED" w:rsidRDefault="000424DD" w:rsidP="00457AA5">
            <w:pPr>
              <w:jc w:val="right"/>
              <w:rPr>
                <w:b/>
                <w:color w:val="000000" w:themeColor="text1"/>
              </w:rPr>
            </w:pPr>
            <w:r>
              <w:rPr>
                <w:b/>
                <w:color w:val="000000" w:themeColor="text1"/>
              </w:rPr>
              <w:t>Q4 2020-21 Projection</w:t>
            </w:r>
          </w:p>
        </w:tc>
      </w:tr>
      <w:tr w:rsidR="000424DD" w:rsidRPr="000E7EED" w14:paraId="0355756B" w14:textId="5AFAA998" w:rsidTr="00E30084">
        <w:tc>
          <w:tcPr>
            <w:tcW w:w="0" w:type="auto"/>
            <w:tcBorders>
              <w:top w:val="single" w:sz="4" w:space="0" w:color="auto"/>
              <w:bottom w:val="single" w:sz="4" w:space="0" w:color="auto"/>
            </w:tcBorders>
          </w:tcPr>
          <w:p w14:paraId="57857B1D" w14:textId="7F8E3E51" w:rsidR="000424DD" w:rsidRPr="000E7EED" w:rsidRDefault="000424DD" w:rsidP="00457AA5">
            <w:pPr>
              <w:rPr>
                <w:color w:val="000000" w:themeColor="text1"/>
              </w:rPr>
            </w:pPr>
            <w:r w:rsidRPr="000E7EED">
              <w:rPr>
                <w:color w:val="000000" w:themeColor="text1"/>
              </w:rPr>
              <w:t>Case expenditure</w:t>
            </w:r>
            <w:r>
              <w:rPr>
                <w:color w:val="000000" w:themeColor="text1"/>
              </w:rPr>
              <w:t xml:space="preserve"> (including ECCCF)</w:t>
            </w:r>
          </w:p>
        </w:tc>
        <w:tc>
          <w:tcPr>
            <w:tcW w:w="1467" w:type="dxa"/>
            <w:tcBorders>
              <w:top w:val="single" w:sz="4" w:space="0" w:color="auto"/>
              <w:bottom w:val="single" w:sz="4" w:space="0" w:color="auto"/>
            </w:tcBorders>
          </w:tcPr>
          <w:p w14:paraId="36D0F934" w14:textId="1030DB20" w:rsidR="000424DD" w:rsidRPr="008E424E" w:rsidRDefault="00611F61" w:rsidP="00457AA5">
            <w:pPr>
              <w:jc w:val="right"/>
            </w:pPr>
            <w:r>
              <w:t>(</w:t>
            </w:r>
            <w:r w:rsidR="005A1295">
              <w:t>26,840</w:t>
            </w:r>
            <w:r>
              <w:t>)</w:t>
            </w:r>
          </w:p>
        </w:tc>
        <w:tc>
          <w:tcPr>
            <w:tcW w:w="1276" w:type="dxa"/>
            <w:tcBorders>
              <w:top w:val="single" w:sz="4" w:space="0" w:color="auto"/>
              <w:bottom w:val="single" w:sz="4" w:space="0" w:color="auto"/>
            </w:tcBorders>
            <w:shd w:val="clear" w:color="auto" w:fill="D9D9D9" w:themeFill="background1" w:themeFillShade="D9"/>
          </w:tcPr>
          <w:p w14:paraId="09F5086D" w14:textId="56572497" w:rsidR="000424DD" w:rsidRPr="008E424E" w:rsidRDefault="00B1067F" w:rsidP="00457AA5">
            <w:pPr>
              <w:jc w:val="right"/>
            </w:pPr>
            <w:r>
              <w:t>(24,774)</w:t>
            </w:r>
          </w:p>
        </w:tc>
        <w:tc>
          <w:tcPr>
            <w:tcW w:w="1565" w:type="dxa"/>
            <w:gridSpan w:val="2"/>
            <w:tcBorders>
              <w:top w:val="single" w:sz="4" w:space="0" w:color="auto"/>
              <w:bottom w:val="single" w:sz="4" w:space="0" w:color="auto"/>
            </w:tcBorders>
            <w:shd w:val="clear" w:color="auto" w:fill="auto"/>
          </w:tcPr>
          <w:p w14:paraId="0D8A1D9A" w14:textId="46B3BB7C" w:rsidR="000424DD" w:rsidRPr="008E424E" w:rsidRDefault="00AD40B8" w:rsidP="00457AA5">
            <w:pPr>
              <w:jc w:val="right"/>
            </w:pPr>
            <w:r>
              <w:t>(33,279)</w:t>
            </w:r>
          </w:p>
        </w:tc>
      </w:tr>
      <w:tr w:rsidR="000424DD" w:rsidRPr="000E7EED" w14:paraId="7181F757" w14:textId="2ED64DE0" w:rsidTr="00E30084">
        <w:tc>
          <w:tcPr>
            <w:tcW w:w="0" w:type="auto"/>
            <w:tcBorders>
              <w:top w:val="single" w:sz="4" w:space="0" w:color="auto"/>
              <w:bottom w:val="single" w:sz="4" w:space="0" w:color="auto"/>
            </w:tcBorders>
          </w:tcPr>
          <w:p w14:paraId="00863735" w14:textId="77777777" w:rsidR="000424DD" w:rsidRPr="000E7EED" w:rsidRDefault="000424DD" w:rsidP="00F91078">
            <w:pPr>
              <w:rPr>
                <w:b/>
                <w:color w:val="000000" w:themeColor="text1"/>
              </w:rPr>
            </w:pPr>
            <w:r w:rsidRPr="000E7EED">
              <w:rPr>
                <w:color w:val="000000" w:themeColor="text1"/>
              </w:rPr>
              <w:t>Community legal centre payments</w:t>
            </w:r>
          </w:p>
        </w:tc>
        <w:tc>
          <w:tcPr>
            <w:tcW w:w="1467" w:type="dxa"/>
            <w:tcBorders>
              <w:top w:val="single" w:sz="4" w:space="0" w:color="auto"/>
              <w:bottom w:val="single" w:sz="4" w:space="0" w:color="auto"/>
            </w:tcBorders>
          </w:tcPr>
          <w:p w14:paraId="38009B9C" w14:textId="34C13F18" w:rsidR="000424DD" w:rsidRPr="008E424E" w:rsidRDefault="00611F61" w:rsidP="00F91078">
            <w:pPr>
              <w:jc w:val="right"/>
            </w:pPr>
            <w:r>
              <w:t>(</w:t>
            </w:r>
            <w:r w:rsidR="005A1295">
              <w:t>7,800</w:t>
            </w:r>
            <w:r>
              <w:t>)</w:t>
            </w:r>
          </w:p>
        </w:tc>
        <w:tc>
          <w:tcPr>
            <w:tcW w:w="1276" w:type="dxa"/>
            <w:tcBorders>
              <w:top w:val="single" w:sz="4" w:space="0" w:color="auto"/>
              <w:bottom w:val="single" w:sz="4" w:space="0" w:color="auto"/>
            </w:tcBorders>
            <w:shd w:val="clear" w:color="auto" w:fill="D9D9D9" w:themeFill="background1" w:themeFillShade="D9"/>
          </w:tcPr>
          <w:p w14:paraId="0A5E81B9" w14:textId="213BE5EC" w:rsidR="000424DD" w:rsidRPr="008E424E" w:rsidRDefault="00B1067F" w:rsidP="00F91078">
            <w:pPr>
              <w:jc w:val="right"/>
            </w:pPr>
            <w:r>
              <w:t>(10,597)</w:t>
            </w:r>
          </w:p>
        </w:tc>
        <w:tc>
          <w:tcPr>
            <w:tcW w:w="1565" w:type="dxa"/>
            <w:gridSpan w:val="2"/>
            <w:tcBorders>
              <w:top w:val="single" w:sz="4" w:space="0" w:color="auto"/>
              <w:bottom w:val="single" w:sz="4" w:space="0" w:color="auto"/>
            </w:tcBorders>
            <w:shd w:val="clear" w:color="auto" w:fill="auto"/>
          </w:tcPr>
          <w:p w14:paraId="70AB7D15" w14:textId="7B17C8C2" w:rsidR="000424DD" w:rsidRPr="008E424E" w:rsidRDefault="00AD40B8" w:rsidP="00F91078">
            <w:pPr>
              <w:jc w:val="right"/>
            </w:pPr>
            <w:r>
              <w:t>(</w:t>
            </w:r>
            <w:r w:rsidR="002C2092">
              <w:t>10</w:t>
            </w:r>
            <w:r>
              <w:t>,</w:t>
            </w:r>
            <w:r w:rsidR="002C2092">
              <w:t>638</w:t>
            </w:r>
            <w:r>
              <w:t>)</w:t>
            </w:r>
          </w:p>
        </w:tc>
      </w:tr>
      <w:tr w:rsidR="000424DD" w:rsidRPr="000E7EED" w14:paraId="14088745" w14:textId="6EBF8506" w:rsidTr="00E30084">
        <w:tc>
          <w:tcPr>
            <w:tcW w:w="0" w:type="auto"/>
            <w:tcBorders>
              <w:top w:val="single" w:sz="4" w:space="0" w:color="auto"/>
              <w:bottom w:val="single" w:sz="4" w:space="0" w:color="auto"/>
            </w:tcBorders>
          </w:tcPr>
          <w:p w14:paraId="21FAB84C" w14:textId="77777777" w:rsidR="000424DD" w:rsidRPr="000E7EED" w:rsidRDefault="000424DD" w:rsidP="00F91078">
            <w:pPr>
              <w:rPr>
                <w:b/>
                <w:color w:val="000000" w:themeColor="text1"/>
              </w:rPr>
            </w:pPr>
            <w:r w:rsidRPr="000E7EED">
              <w:rPr>
                <w:color w:val="000000" w:themeColor="text1"/>
              </w:rPr>
              <w:t>Staff costs</w:t>
            </w:r>
          </w:p>
        </w:tc>
        <w:tc>
          <w:tcPr>
            <w:tcW w:w="1467" w:type="dxa"/>
            <w:tcBorders>
              <w:top w:val="single" w:sz="4" w:space="0" w:color="auto"/>
              <w:bottom w:val="single" w:sz="4" w:space="0" w:color="auto"/>
            </w:tcBorders>
          </w:tcPr>
          <w:p w14:paraId="2A7D0078" w14:textId="78CF45EC" w:rsidR="000424DD" w:rsidRPr="008E424E" w:rsidRDefault="00611F61" w:rsidP="00F91078">
            <w:pPr>
              <w:jc w:val="right"/>
            </w:pPr>
            <w:r>
              <w:t>(</w:t>
            </w:r>
            <w:r w:rsidR="005A1295">
              <w:t>19,982</w:t>
            </w:r>
            <w:r>
              <w:t>)</w:t>
            </w:r>
          </w:p>
        </w:tc>
        <w:tc>
          <w:tcPr>
            <w:tcW w:w="1276" w:type="dxa"/>
            <w:tcBorders>
              <w:top w:val="single" w:sz="4" w:space="0" w:color="auto"/>
              <w:bottom w:val="single" w:sz="4" w:space="0" w:color="auto"/>
            </w:tcBorders>
            <w:shd w:val="clear" w:color="auto" w:fill="D9D9D9" w:themeFill="background1" w:themeFillShade="D9"/>
          </w:tcPr>
          <w:p w14:paraId="1887D2AA" w14:textId="75B6385E" w:rsidR="000424DD" w:rsidRPr="008E424E" w:rsidRDefault="00B1067F" w:rsidP="00F91078">
            <w:pPr>
              <w:jc w:val="right"/>
            </w:pPr>
            <w:r>
              <w:t>(20,237)</w:t>
            </w:r>
          </w:p>
        </w:tc>
        <w:tc>
          <w:tcPr>
            <w:tcW w:w="1565" w:type="dxa"/>
            <w:gridSpan w:val="2"/>
            <w:tcBorders>
              <w:top w:val="single" w:sz="4" w:space="0" w:color="auto"/>
              <w:bottom w:val="single" w:sz="4" w:space="0" w:color="auto"/>
            </w:tcBorders>
            <w:shd w:val="clear" w:color="auto" w:fill="auto"/>
          </w:tcPr>
          <w:p w14:paraId="16674C68" w14:textId="373794F2" w:rsidR="000424DD" w:rsidRPr="008E424E" w:rsidRDefault="00391EA0" w:rsidP="00F91078">
            <w:pPr>
              <w:jc w:val="right"/>
            </w:pPr>
            <w:r>
              <w:t>(</w:t>
            </w:r>
            <w:r w:rsidR="002C2092">
              <w:t>22</w:t>
            </w:r>
            <w:r>
              <w:t>,</w:t>
            </w:r>
            <w:r w:rsidR="002C2092">
              <w:t>498</w:t>
            </w:r>
            <w:r>
              <w:t>)</w:t>
            </w:r>
          </w:p>
        </w:tc>
      </w:tr>
      <w:tr w:rsidR="000424DD" w:rsidRPr="000E7EED" w14:paraId="166EC63C" w14:textId="043FA032" w:rsidTr="00E30084">
        <w:tc>
          <w:tcPr>
            <w:tcW w:w="0" w:type="auto"/>
            <w:tcBorders>
              <w:top w:val="single" w:sz="4" w:space="0" w:color="auto"/>
              <w:bottom w:val="single" w:sz="4" w:space="0" w:color="auto"/>
            </w:tcBorders>
          </w:tcPr>
          <w:p w14:paraId="263A16AB" w14:textId="77777777" w:rsidR="000424DD" w:rsidRPr="000E7EED" w:rsidRDefault="000424DD" w:rsidP="00F91078">
            <w:pPr>
              <w:rPr>
                <w:b/>
                <w:color w:val="000000" w:themeColor="text1"/>
              </w:rPr>
            </w:pPr>
            <w:r w:rsidRPr="000E7EED">
              <w:rPr>
                <w:color w:val="000000" w:themeColor="text1"/>
              </w:rPr>
              <w:t>Administration</w:t>
            </w:r>
          </w:p>
        </w:tc>
        <w:tc>
          <w:tcPr>
            <w:tcW w:w="1467" w:type="dxa"/>
            <w:tcBorders>
              <w:top w:val="single" w:sz="4" w:space="0" w:color="auto"/>
              <w:bottom w:val="single" w:sz="4" w:space="0" w:color="auto"/>
            </w:tcBorders>
          </w:tcPr>
          <w:p w14:paraId="1D84653B" w14:textId="01C3A708" w:rsidR="000424DD" w:rsidRPr="008E424E" w:rsidRDefault="00611F61" w:rsidP="00F91078">
            <w:pPr>
              <w:jc w:val="right"/>
            </w:pPr>
            <w:r>
              <w:t>(</w:t>
            </w:r>
            <w:r w:rsidR="005A1295">
              <w:t>4,128</w:t>
            </w:r>
            <w:r>
              <w:t>)</w:t>
            </w:r>
          </w:p>
        </w:tc>
        <w:tc>
          <w:tcPr>
            <w:tcW w:w="1276" w:type="dxa"/>
            <w:tcBorders>
              <w:top w:val="single" w:sz="4" w:space="0" w:color="auto"/>
              <w:bottom w:val="single" w:sz="4" w:space="0" w:color="auto"/>
            </w:tcBorders>
            <w:shd w:val="clear" w:color="auto" w:fill="D9D9D9" w:themeFill="background1" w:themeFillShade="D9"/>
          </w:tcPr>
          <w:p w14:paraId="7B2C4A5E" w14:textId="491DC385" w:rsidR="000424DD" w:rsidRPr="008E424E" w:rsidRDefault="00B1067F" w:rsidP="00F91078">
            <w:pPr>
              <w:jc w:val="right"/>
            </w:pPr>
            <w:r>
              <w:t>(4,380)</w:t>
            </w:r>
          </w:p>
        </w:tc>
        <w:tc>
          <w:tcPr>
            <w:tcW w:w="1565" w:type="dxa"/>
            <w:gridSpan w:val="2"/>
            <w:tcBorders>
              <w:top w:val="single" w:sz="4" w:space="0" w:color="auto"/>
              <w:bottom w:val="single" w:sz="4" w:space="0" w:color="auto"/>
            </w:tcBorders>
            <w:shd w:val="clear" w:color="auto" w:fill="auto"/>
          </w:tcPr>
          <w:p w14:paraId="4658BDC7" w14:textId="015413D0" w:rsidR="000424DD" w:rsidRPr="008E424E" w:rsidRDefault="0000527A" w:rsidP="00F91078">
            <w:pPr>
              <w:jc w:val="right"/>
            </w:pPr>
            <w:r>
              <w:t>(</w:t>
            </w:r>
            <w:r w:rsidR="002C2092">
              <w:t>7</w:t>
            </w:r>
            <w:r>
              <w:t>,5</w:t>
            </w:r>
            <w:r w:rsidR="002C2092">
              <w:t>60</w:t>
            </w:r>
            <w:r>
              <w:t>)</w:t>
            </w:r>
          </w:p>
        </w:tc>
      </w:tr>
      <w:tr w:rsidR="000424DD" w:rsidRPr="000E7EED" w14:paraId="47E68247" w14:textId="65827CBE" w:rsidTr="00E30084">
        <w:tc>
          <w:tcPr>
            <w:tcW w:w="0" w:type="auto"/>
            <w:tcBorders>
              <w:top w:val="single" w:sz="4" w:space="0" w:color="auto"/>
              <w:bottom w:val="single" w:sz="4" w:space="0" w:color="auto"/>
            </w:tcBorders>
          </w:tcPr>
          <w:p w14:paraId="32B79EE6" w14:textId="77777777" w:rsidR="000424DD" w:rsidRPr="000E7EED" w:rsidRDefault="000424DD" w:rsidP="00F91078">
            <w:pPr>
              <w:rPr>
                <w:b/>
                <w:color w:val="000000" w:themeColor="text1"/>
              </w:rPr>
            </w:pPr>
            <w:r w:rsidRPr="000E7EED">
              <w:rPr>
                <w:color w:val="000000" w:themeColor="text1"/>
              </w:rPr>
              <w:t>Projects</w:t>
            </w:r>
          </w:p>
        </w:tc>
        <w:tc>
          <w:tcPr>
            <w:tcW w:w="1467" w:type="dxa"/>
            <w:tcBorders>
              <w:top w:val="single" w:sz="4" w:space="0" w:color="auto"/>
              <w:bottom w:val="single" w:sz="4" w:space="0" w:color="auto"/>
            </w:tcBorders>
          </w:tcPr>
          <w:p w14:paraId="4957B2BF" w14:textId="6A2A3152" w:rsidR="000424DD" w:rsidRPr="008E424E" w:rsidRDefault="00611F61" w:rsidP="004E0CCB">
            <w:pPr>
              <w:jc w:val="right"/>
            </w:pPr>
            <w:r>
              <w:t>(</w:t>
            </w:r>
            <w:r w:rsidR="005A1295">
              <w:t>450</w:t>
            </w:r>
            <w:r>
              <w:t>)</w:t>
            </w:r>
          </w:p>
        </w:tc>
        <w:tc>
          <w:tcPr>
            <w:tcW w:w="1276" w:type="dxa"/>
            <w:tcBorders>
              <w:top w:val="single" w:sz="4" w:space="0" w:color="auto"/>
              <w:bottom w:val="single" w:sz="4" w:space="0" w:color="auto"/>
            </w:tcBorders>
            <w:shd w:val="clear" w:color="auto" w:fill="D9D9D9" w:themeFill="background1" w:themeFillShade="D9"/>
          </w:tcPr>
          <w:p w14:paraId="44713762" w14:textId="15E2ACF2" w:rsidR="000424DD" w:rsidRPr="008E424E" w:rsidRDefault="00B1067F" w:rsidP="00F91078">
            <w:pPr>
              <w:jc w:val="right"/>
            </w:pPr>
            <w:r>
              <w:t>0</w:t>
            </w:r>
          </w:p>
        </w:tc>
        <w:tc>
          <w:tcPr>
            <w:tcW w:w="1565" w:type="dxa"/>
            <w:gridSpan w:val="2"/>
            <w:tcBorders>
              <w:top w:val="single" w:sz="4" w:space="0" w:color="auto"/>
              <w:bottom w:val="single" w:sz="4" w:space="0" w:color="auto"/>
            </w:tcBorders>
            <w:shd w:val="clear" w:color="auto" w:fill="auto"/>
          </w:tcPr>
          <w:p w14:paraId="718154E5" w14:textId="6C721604" w:rsidR="000424DD" w:rsidRPr="008E424E" w:rsidRDefault="0000527A" w:rsidP="00F91078">
            <w:pPr>
              <w:jc w:val="right"/>
            </w:pPr>
            <w:r>
              <w:t>(</w:t>
            </w:r>
            <w:r w:rsidR="002C2092">
              <w:t>233</w:t>
            </w:r>
            <w:r>
              <w:t>)</w:t>
            </w:r>
          </w:p>
        </w:tc>
      </w:tr>
      <w:tr w:rsidR="000424DD" w:rsidRPr="000E7EED" w14:paraId="50872415" w14:textId="6F759166" w:rsidTr="00E30084">
        <w:tc>
          <w:tcPr>
            <w:tcW w:w="0" w:type="auto"/>
            <w:tcBorders>
              <w:top w:val="single" w:sz="4" w:space="0" w:color="auto"/>
              <w:bottom w:val="single" w:sz="4" w:space="0" w:color="auto"/>
            </w:tcBorders>
            <w:shd w:val="clear" w:color="auto" w:fill="D9D9D9" w:themeFill="background1" w:themeFillShade="D9"/>
          </w:tcPr>
          <w:p w14:paraId="7120B54E" w14:textId="6D03CC5D" w:rsidR="000424DD" w:rsidRPr="000E7EED" w:rsidRDefault="000424DD" w:rsidP="00F91078">
            <w:pPr>
              <w:rPr>
                <w:b/>
                <w:color w:val="000000" w:themeColor="text1"/>
              </w:rPr>
            </w:pPr>
            <w:r w:rsidRPr="000E7EED">
              <w:rPr>
                <w:b/>
                <w:color w:val="000000" w:themeColor="text1"/>
              </w:rPr>
              <w:t>Total expenditure</w:t>
            </w:r>
            <w:r>
              <w:rPr>
                <w:b/>
                <w:color w:val="000000" w:themeColor="text1"/>
              </w:rPr>
              <w:t xml:space="preserve"> (Excluding COVID and Bushfire)</w:t>
            </w:r>
          </w:p>
        </w:tc>
        <w:tc>
          <w:tcPr>
            <w:tcW w:w="1467" w:type="dxa"/>
            <w:tcBorders>
              <w:top w:val="single" w:sz="4" w:space="0" w:color="auto"/>
              <w:bottom w:val="single" w:sz="4" w:space="0" w:color="auto"/>
            </w:tcBorders>
            <w:shd w:val="clear" w:color="auto" w:fill="D9D9D9" w:themeFill="background1" w:themeFillShade="D9"/>
          </w:tcPr>
          <w:p w14:paraId="0ED87789" w14:textId="42CB33DD" w:rsidR="000424DD" w:rsidRPr="00894561" w:rsidRDefault="00611F61" w:rsidP="00F91078">
            <w:pPr>
              <w:jc w:val="right"/>
              <w:rPr>
                <w:b/>
                <w:bCs/>
              </w:rPr>
            </w:pPr>
            <w:r>
              <w:rPr>
                <w:b/>
                <w:bCs/>
              </w:rPr>
              <w:t>(</w:t>
            </w:r>
            <w:r w:rsidR="005A1295">
              <w:rPr>
                <w:b/>
                <w:bCs/>
              </w:rPr>
              <w:t>59,200</w:t>
            </w:r>
            <w:r>
              <w:rPr>
                <w:b/>
                <w:bCs/>
              </w:rPr>
              <w:t>)</w:t>
            </w:r>
          </w:p>
        </w:tc>
        <w:tc>
          <w:tcPr>
            <w:tcW w:w="1276" w:type="dxa"/>
            <w:tcBorders>
              <w:top w:val="single" w:sz="4" w:space="0" w:color="auto"/>
              <w:bottom w:val="single" w:sz="4" w:space="0" w:color="auto"/>
            </w:tcBorders>
            <w:shd w:val="clear" w:color="auto" w:fill="D9D9D9" w:themeFill="background1" w:themeFillShade="D9"/>
          </w:tcPr>
          <w:p w14:paraId="216E8289" w14:textId="178AA754" w:rsidR="000424DD" w:rsidRPr="00894561" w:rsidRDefault="00B1067F" w:rsidP="00F91078">
            <w:pPr>
              <w:jc w:val="right"/>
              <w:rPr>
                <w:b/>
                <w:bCs/>
              </w:rPr>
            </w:pPr>
            <w:r>
              <w:rPr>
                <w:b/>
                <w:bCs/>
              </w:rPr>
              <w:t>(59,988)</w:t>
            </w:r>
          </w:p>
        </w:tc>
        <w:tc>
          <w:tcPr>
            <w:tcW w:w="1565" w:type="dxa"/>
            <w:gridSpan w:val="2"/>
            <w:tcBorders>
              <w:top w:val="single" w:sz="4" w:space="0" w:color="auto"/>
              <w:bottom w:val="single" w:sz="4" w:space="0" w:color="auto"/>
            </w:tcBorders>
            <w:shd w:val="clear" w:color="auto" w:fill="D9D9D9" w:themeFill="background1" w:themeFillShade="D9"/>
          </w:tcPr>
          <w:p w14:paraId="40A97117" w14:textId="4C321544" w:rsidR="000424DD" w:rsidRPr="00894561" w:rsidRDefault="0000527A" w:rsidP="00F91078">
            <w:pPr>
              <w:jc w:val="right"/>
              <w:rPr>
                <w:b/>
                <w:bCs/>
              </w:rPr>
            </w:pPr>
            <w:r>
              <w:rPr>
                <w:b/>
                <w:bCs/>
              </w:rPr>
              <w:t>(</w:t>
            </w:r>
            <w:r w:rsidR="002C2092">
              <w:rPr>
                <w:b/>
                <w:bCs/>
              </w:rPr>
              <w:t>74</w:t>
            </w:r>
            <w:r>
              <w:rPr>
                <w:b/>
                <w:bCs/>
              </w:rPr>
              <w:t>,</w:t>
            </w:r>
            <w:r w:rsidR="002C2092">
              <w:rPr>
                <w:b/>
                <w:bCs/>
              </w:rPr>
              <w:t>208</w:t>
            </w:r>
            <w:r>
              <w:rPr>
                <w:b/>
                <w:bCs/>
              </w:rPr>
              <w:t>)</w:t>
            </w:r>
          </w:p>
        </w:tc>
      </w:tr>
      <w:tr w:rsidR="000424DD" w:rsidRPr="000E7EED" w14:paraId="07F54B9E" w14:textId="605A31DC" w:rsidTr="00E30084">
        <w:tc>
          <w:tcPr>
            <w:tcW w:w="0" w:type="auto"/>
            <w:tcBorders>
              <w:top w:val="single" w:sz="4" w:space="0" w:color="auto"/>
              <w:bottom w:val="single" w:sz="4" w:space="0" w:color="auto"/>
            </w:tcBorders>
            <w:shd w:val="clear" w:color="auto" w:fill="auto"/>
          </w:tcPr>
          <w:p w14:paraId="3C82F621" w14:textId="5485D3C7" w:rsidR="000424DD" w:rsidRDefault="000424DD" w:rsidP="00B13EF6">
            <w:pPr>
              <w:rPr>
                <w:bCs/>
                <w:color w:val="000000" w:themeColor="text1"/>
              </w:rPr>
            </w:pPr>
            <w:r>
              <w:rPr>
                <w:bCs/>
                <w:color w:val="000000" w:themeColor="text1"/>
              </w:rPr>
              <w:t>Depreciation and Revaluation</w:t>
            </w:r>
          </w:p>
        </w:tc>
        <w:tc>
          <w:tcPr>
            <w:tcW w:w="1467" w:type="dxa"/>
            <w:tcBorders>
              <w:top w:val="single" w:sz="4" w:space="0" w:color="auto"/>
              <w:bottom w:val="single" w:sz="4" w:space="0" w:color="auto"/>
            </w:tcBorders>
            <w:shd w:val="clear" w:color="auto" w:fill="auto"/>
          </w:tcPr>
          <w:p w14:paraId="072936CB" w14:textId="4E14DF56" w:rsidR="000424DD" w:rsidRPr="00B13EF6" w:rsidRDefault="005A1295" w:rsidP="00B13EF6">
            <w:pPr>
              <w:jc w:val="right"/>
            </w:pPr>
            <w:r>
              <w:t>(601)</w:t>
            </w:r>
          </w:p>
        </w:tc>
        <w:tc>
          <w:tcPr>
            <w:tcW w:w="1276" w:type="dxa"/>
            <w:tcBorders>
              <w:top w:val="single" w:sz="4" w:space="0" w:color="auto"/>
              <w:bottom w:val="single" w:sz="4" w:space="0" w:color="auto"/>
            </w:tcBorders>
            <w:shd w:val="clear" w:color="auto" w:fill="D9D9D9" w:themeFill="background1" w:themeFillShade="D9"/>
          </w:tcPr>
          <w:p w14:paraId="5327C550" w14:textId="6D858406" w:rsidR="000424DD" w:rsidRPr="000A1E6F" w:rsidRDefault="00B1067F" w:rsidP="00B13EF6">
            <w:pPr>
              <w:jc w:val="right"/>
            </w:pPr>
            <w:r>
              <w:t>(41)</w:t>
            </w:r>
          </w:p>
        </w:tc>
        <w:tc>
          <w:tcPr>
            <w:tcW w:w="1565" w:type="dxa"/>
            <w:gridSpan w:val="2"/>
            <w:tcBorders>
              <w:top w:val="single" w:sz="4" w:space="0" w:color="auto"/>
              <w:bottom w:val="single" w:sz="4" w:space="0" w:color="auto"/>
            </w:tcBorders>
            <w:shd w:val="clear" w:color="auto" w:fill="auto"/>
          </w:tcPr>
          <w:p w14:paraId="092CD4EB" w14:textId="3FA47A4E" w:rsidR="000424DD" w:rsidRPr="000A1E6F" w:rsidRDefault="0000527A" w:rsidP="00B13EF6">
            <w:pPr>
              <w:jc w:val="right"/>
            </w:pPr>
            <w:r>
              <w:t>(</w:t>
            </w:r>
            <w:r w:rsidR="00F00FAB">
              <w:t>442</w:t>
            </w:r>
            <w:r>
              <w:t>)</w:t>
            </w:r>
          </w:p>
        </w:tc>
      </w:tr>
      <w:tr w:rsidR="000424DD" w:rsidRPr="000E7EED" w14:paraId="29F32F94" w14:textId="5EC9D6FE" w:rsidTr="00E30084">
        <w:tc>
          <w:tcPr>
            <w:tcW w:w="0" w:type="auto"/>
            <w:tcBorders>
              <w:top w:val="single" w:sz="4" w:space="0" w:color="auto"/>
              <w:bottom w:val="single" w:sz="4" w:space="0" w:color="auto"/>
            </w:tcBorders>
            <w:shd w:val="clear" w:color="auto" w:fill="auto"/>
          </w:tcPr>
          <w:p w14:paraId="4657D5CD" w14:textId="45029BFD" w:rsidR="000424DD" w:rsidRDefault="000424DD" w:rsidP="00B13EF6">
            <w:pPr>
              <w:rPr>
                <w:bCs/>
                <w:color w:val="000000" w:themeColor="text1"/>
              </w:rPr>
            </w:pPr>
            <w:r>
              <w:rPr>
                <w:bCs/>
                <w:color w:val="000000" w:themeColor="text1"/>
              </w:rPr>
              <w:t>Digital Legal Aid</w:t>
            </w:r>
          </w:p>
        </w:tc>
        <w:tc>
          <w:tcPr>
            <w:tcW w:w="1467" w:type="dxa"/>
            <w:tcBorders>
              <w:top w:val="single" w:sz="4" w:space="0" w:color="auto"/>
              <w:bottom w:val="single" w:sz="4" w:space="0" w:color="auto"/>
            </w:tcBorders>
            <w:shd w:val="clear" w:color="auto" w:fill="auto"/>
          </w:tcPr>
          <w:p w14:paraId="32B1F1D0" w14:textId="51279AE2" w:rsidR="000424DD" w:rsidRPr="00B13EF6" w:rsidRDefault="005A1295" w:rsidP="00B13EF6">
            <w:pPr>
              <w:jc w:val="right"/>
            </w:pPr>
            <w:r>
              <w:t>(79)</w:t>
            </w:r>
          </w:p>
        </w:tc>
        <w:tc>
          <w:tcPr>
            <w:tcW w:w="1276" w:type="dxa"/>
            <w:tcBorders>
              <w:top w:val="single" w:sz="4" w:space="0" w:color="auto"/>
              <w:bottom w:val="single" w:sz="4" w:space="0" w:color="auto"/>
            </w:tcBorders>
            <w:shd w:val="clear" w:color="auto" w:fill="D9D9D9" w:themeFill="background1" w:themeFillShade="D9"/>
          </w:tcPr>
          <w:p w14:paraId="6F969851" w14:textId="0ED5B3F1" w:rsidR="000424DD" w:rsidRPr="000A1E6F" w:rsidRDefault="00B1067F" w:rsidP="00B13EF6">
            <w:pPr>
              <w:jc w:val="right"/>
            </w:pPr>
            <w:r>
              <w:t>(181)</w:t>
            </w:r>
          </w:p>
        </w:tc>
        <w:tc>
          <w:tcPr>
            <w:tcW w:w="1565" w:type="dxa"/>
            <w:gridSpan w:val="2"/>
            <w:tcBorders>
              <w:top w:val="single" w:sz="4" w:space="0" w:color="auto"/>
              <w:bottom w:val="single" w:sz="4" w:space="0" w:color="auto"/>
            </w:tcBorders>
            <w:shd w:val="clear" w:color="auto" w:fill="auto"/>
          </w:tcPr>
          <w:p w14:paraId="61496346" w14:textId="16AD3BE9" w:rsidR="000424DD" w:rsidRPr="000A1E6F" w:rsidRDefault="00991726" w:rsidP="00B13EF6">
            <w:pPr>
              <w:jc w:val="right"/>
            </w:pPr>
            <w:r>
              <w:t>(</w:t>
            </w:r>
            <w:r w:rsidR="00DE0DF2">
              <w:t>295</w:t>
            </w:r>
            <w:r>
              <w:t>)</w:t>
            </w:r>
          </w:p>
        </w:tc>
      </w:tr>
      <w:tr w:rsidR="000424DD" w:rsidRPr="000E7EED" w14:paraId="130AFAC1" w14:textId="417EC114" w:rsidTr="00E30084">
        <w:tc>
          <w:tcPr>
            <w:tcW w:w="0" w:type="auto"/>
            <w:tcBorders>
              <w:top w:val="single" w:sz="4" w:space="0" w:color="auto"/>
              <w:bottom w:val="single" w:sz="4" w:space="0" w:color="auto"/>
            </w:tcBorders>
            <w:shd w:val="clear" w:color="auto" w:fill="auto"/>
          </w:tcPr>
          <w:p w14:paraId="5D4D3298" w14:textId="5B48BF73" w:rsidR="000424DD" w:rsidRPr="00E5707B" w:rsidRDefault="000424DD" w:rsidP="00F91078">
            <w:pPr>
              <w:rPr>
                <w:b/>
                <w:color w:val="000000" w:themeColor="text1"/>
              </w:rPr>
            </w:pPr>
            <w:r>
              <w:rPr>
                <w:bCs/>
                <w:color w:val="000000" w:themeColor="text1"/>
              </w:rPr>
              <w:t>COVID</w:t>
            </w:r>
          </w:p>
        </w:tc>
        <w:tc>
          <w:tcPr>
            <w:tcW w:w="1467" w:type="dxa"/>
            <w:tcBorders>
              <w:top w:val="single" w:sz="4" w:space="0" w:color="auto"/>
              <w:bottom w:val="single" w:sz="4" w:space="0" w:color="auto"/>
            </w:tcBorders>
            <w:shd w:val="clear" w:color="auto" w:fill="auto"/>
          </w:tcPr>
          <w:p w14:paraId="759ACDAD" w14:textId="3CC6E13F" w:rsidR="000424DD" w:rsidRPr="00B13EF6" w:rsidRDefault="008F7C21" w:rsidP="00F91078">
            <w:pPr>
              <w:jc w:val="right"/>
            </w:pPr>
            <w:r>
              <w:t>0</w:t>
            </w:r>
          </w:p>
        </w:tc>
        <w:tc>
          <w:tcPr>
            <w:tcW w:w="1276" w:type="dxa"/>
            <w:tcBorders>
              <w:top w:val="single" w:sz="4" w:space="0" w:color="auto"/>
              <w:bottom w:val="single" w:sz="4" w:space="0" w:color="auto"/>
            </w:tcBorders>
            <w:shd w:val="clear" w:color="auto" w:fill="D9D9D9" w:themeFill="background1" w:themeFillShade="D9"/>
          </w:tcPr>
          <w:p w14:paraId="4ED16B98" w14:textId="232DE68E" w:rsidR="000424DD" w:rsidRPr="000A1E6F" w:rsidRDefault="00B1067F" w:rsidP="00F91078">
            <w:pPr>
              <w:jc w:val="right"/>
            </w:pPr>
            <w:r>
              <w:t>(2,700)</w:t>
            </w:r>
          </w:p>
        </w:tc>
        <w:tc>
          <w:tcPr>
            <w:tcW w:w="1565" w:type="dxa"/>
            <w:gridSpan w:val="2"/>
            <w:tcBorders>
              <w:top w:val="single" w:sz="4" w:space="0" w:color="auto"/>
              <w:bottom w:val="single" w:sz="4" w:space="0" w:color="auto"/>
            </w:tcBorders>
            <w:shd w:val="clear" w:color="auto" w:fill="auto"/>
          </w:tcPr>
          <w:p w14:paraId="6EE33F47" w14:textId="1D1711B7" w:rsidR="000424DD" w:rsidRPr="000A1E6F" w:rsidRDefault="00991726" w:rsidP="00F91078">
            <w:pPr>
              <w:jc w:val="right"/>
            </w:pPr>
            <w:r>
              <w:t>(</w:t>
            </w:r>
            <w:r w:rsidR="001F5FC0">
              <w:t>3,</w:t>
            </w:r>
            <w:r w:rsidR="007C4B76">
              <w:t>831</w:t>
            </w:r>
            <w:r>
              <w:t>)</w:t>
            </w:r>
          </w:p>
        </w:tc>
      </w:tr>
      <w:tr w:rsidR="000424DD" w:rsidRPr="000E7EED" w14:paraId="1CE8541B" w14:textId="7C9FC905" w:rsidTr="00E30084">
        <w:tc>
          <w:tcPr>
            <w:tcW w:w="0" w:type="auto"/>
            <w:tcBorders>
              <w:top w:val="single" w:sz="4" w:space="0" w:color="auto"/>
              <w:bottom w:val="single" w:sz="4" w:space="0" w:color="auto"/>
            </w:tcBorders>
            <w:shd w:val="clear" w:color="auto" w:fill="D9D9D9" w:themeFill="background1" w:themeFillShade="D9"/>
          </w:tcPr>
          <w:p w14:paraId="18FB2D06" w14:textId="1EACFAC2" w:rsidR="000424DD" w:rsidRPr="00E5707B" w:rsidRDefault="000424DD" w:rsidP="00F91078">
            <w:pPr>
              <w:rPr>
                <w:b/>
                <w:color w:val="000000" w:themeColor="text1"/>
              </w:rPr>
            </w:pPr>
            <w:r w:rsidRPr="00E5707B">
              <w:rPr>
                <w:b/>
                <w:color w:val="000000" w:themeColor="text1"/>
              </w:rPr>
              <w:t>Total Expenditure</w:t>
            </w:r>
          </w:p>
        </w:tc>
        <w:tc>
          <w:tcPr>
            <w:tcW w:w="1467" w:type="dxa"/>
            <w:tcBorders>
              <w:top w:val="single" w:sz="4" w:space="0" w:color="auto"/>
              <w:bottom w:val="single" w:sz="4" w:space="0" w:color="auto"/>
            </w:tcBorders>
            <w:shd w:val="clear" w:color="auto" w:fill="D9D9D9" w:themeFill="background1" w:themeFillShade="D9"/>
          </w:tcPr>
          <w:p w14:paraId="76FB0562" w14:textId="5C2A868F" w:rsidR="000424DD" w:rsidRPr="00C97F8C" w:rsidRDefault="00611F61" w:rsidP="00F91078">
            <w:pPr>
              <w:jc w:val="right"/>
              <w:rPr>
                <w:b/>
                <w:bCs/>
              </w:rPr>
            </w:pPr>
            <w:r>
              <w:rPr>
                <w:b/>
                <w:bCs/>
              </w:rPr>
              <w:t>(</w:t>
            </w:r>
            <w:r w:rsidR="005A1295">
              <w:rPr>
                <w:b/>
                <w:bCs/>
              </w:rPr>
              <w:t>59,880</w:t>
            </w:r>
            <w:r>
              <w:rPr>
                <w:b/>
                <w:bCs/>
              </w:rPr>
              <w:t>)</w:t>
            </w:r>
          </w:p>
        </w:tc>
        <w:tc>
          <w:tcPr>
            <w:tcW w:w="1276" w:type="dxa"/>
            <w:tcBorders>
              <w:top w:val="single" w:sz="4" w:space="0" w:color="auto"/>
              <w:bottom w:val="single" w:sz="4" w:space="0" w:color="auto"/>
            </w:tcBorders>
            <w:shd w:val="clear" w:color="auto" w:fill="D9D9D9" w:themeFill="background1" w:themeFillShade="D9"/>
          </w:tcPr>
          <w:p w14:paraId="170A8860" w14:textId="64CB8862" w:rsidR="000424DD" w:rsidRPr="00C97F8C" w:rsidRDefault="00527CEE" w:rsidP="00F91078">
            <w:pPr>
              <w:jc w:val="right"/>
              <w:rPr>
                <w:b/>
                <w:bCs/>
              </w:rPr>
            </w:pPr>
            <w:r>
              <w:rPr>
                <w:b/>
                <w:bCs/>
              </w:rPr>
              <w:t>(62,910)</w:t>
            </w:r>
          </w:p>
        </w:tc>
        <w:tc>
          <w:tcPr>
            <w:tcW w:w="1565" w:type="dxa"/>
            <w:gridSpan w:val="2"/>
            <w:tcBorders>
              <w:top w:val="single" w:sz="4" w:space="0" w:color="auto"/>
              <w:bottom w:val="single" w:sz="4" w:space="0" w:color="auto"/>
            </w:tcBorders>
            <w:shd w:val="clear" w:color="auto" w:fill="D9D9D9" w:themeFill="background1" w:themeFillShade="D9"/>
          </w:tcPr>
          <w:p w14:paraId="4B9A8727" w14:textId="55FAB372" w:rsidR="000424DD" w:rsidRPr="00C97F8C" w:rsidRDefault="00634559" w:rsidP="00F91078">
            <w:pPr>
              <w:jc w:val="right"/>
              <w:rPr>
                <w:b/>
                <w:bCs/>
              </w:rPr>
            </w:pPr>
            <w:r>
              <w:rPr>
                <w:b/>
                <w:bCs/>
              </w:rPr>
              <w:t>(</w:t>
            </w:r>
            <w:r w:rsidR="006A6778">
              <w:rPr>
                <w:b/>
                <w:bCs/>
              </w:rPr>
              <w:t>78</w:t>
            </w:r>
            <w:r>
              <w:rPr>
                <w:b/>
                <w:bCs/>
              </w:rPr>
              <w:t>,</w:t>
            </w:r>
            <w:r w:rsidR="006A6778">
              <w:rPr>
                <w:b/>
                <w:bCs/>
              </w:rPr>
              <w:t>776</w:t>
            </w:r>
            <w:r>
              <w:rPr>
                <w:b/>
                <w:bCs/>
              </w:rPr>
              <w:t>)</w:t>
            </w:r>
          </w:p>
        </w:tc>
      </w:tr>
      <w:bookmarkEnd w:id="4"/>
      <w:bookmarkEnd w:id="5"/>
      <w:bookmarkEnd w:id="7"/>
    </w:tbl>
    <w:p w14:paraId="7AEF38E3" w14:textId="70CF0D8B" w:rsidR="00461300" w:rsidRPr="00123404" w:rsidRDefault="00461300" w:rsidP="00123404">
      <w:pPr>
        <w:spacing w:after="160" w:line="259" w:lineRule="auto"/>
        <w:rPr>
          <w:rFonts w:cs="Arial"/>
          <w:b/>
          <w:color w:val="000000" w:themeColor="text1"/>
          <w:sz w:val="28"/>
          <w:szCs w:val="28"/>
          <w:lang w:eastAsia="en-AU"/>
        </w:rPr>
      </w:pPr>
    </w:p>
    <w:sectPr w:rsidR="00461300" w:rsidRPr="00123404" w:rsidSect="0039260E">
      <w:headerReference w:type="even" r:id="rId14"/>
      <w:headerReference w:type="default" r:id="rId15"/>
      <w:footerReference w:type="even" r:id="rId16"/>
      <w:footerReference w:type="default" r:id="rId17"/>
      <w:headerReference w:type="first" r:id="rId18"/>
      <w:footerReference w:type="first" r:id="rId19"/>
      <w:pgSz w:w="11900" w:h="1682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5F159" w14:textId="77777777" w:rsidR="00BB70F8" w:rsidRDefault="00BB70F8">
      <w:pPr>
        <w:spacing w:after="0" w:line="240" w:lineRule="auto"/>
      </w:pPr>
      <w:r>
        <w:separator/>
      </w:r>
    </w:p>
  </w:endnote>
  <w:endnote w:type="continuationSeparator" w:id="0">
    <w:p w14:paraId="4ADCA1C5" w14:textId="77777777" w:rsidR="00BB70F8" w:rsidRDefault="00BB70F8">
      <w:pPr>
        <w:spacing w:after="0" w:line="240" w:lineRule="auto"/>
      </w:pPr>
      <w:r>
        <w:continuationSeparator/>
      </w:r>
    </w:p>
  </w:endnote>
  <w:endnote w:type="continuationNotice" w:id="1">
    <w:p w14:paraId="0EE5BA1C" w14:textId="77777777" w:rsidR="00BB70F8" w:rsidRDefault="00BB70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Arial Bold">
    <w:altName w:val="Arial"/>
    <w:panose1 w:val="020B07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EA587" w14:textId="77777777" w:rsidR="0095574A" w:rsidRDefault="0095574A" w:rsidP="003926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EC0D602" w14:textId="77777777" w:rsidR="0095574A" w:rsidRDefault="0095574A" w:rsidP="0039260E">
    <w:pPr>
      <w:pStyle w:val="Footer"/>
      <w:ind w:right="360" w:firstLine="360"/>
    </w:pPr>
  </w:p>
  <w:p w14:paraId="16DEB36A" w14:textId="77777777" w:rsidR="0095574A" w:rsidRDefault="0095574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4B773" w14:textId="77777777" w:rsidR="0095574A" w:rsidRDefault="0095574A" w:rsidP="0039260E">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noProof/>
        <w:lang w:val="en-US"/>
      </w:rPr>
      <mc:AlternateContent>
        <mc:Choice Requires="wps">
          <w:drawing>
            <wp:anchor distT="0" distB="0" distL="114300" distR="114300" simplePos="0" relativeHeight="251658241" behindDoc="0" locked="1" layoutInCell="1" allowOverlap="1" wp14:anchorId="07A85DE2" wp14:editId="61266657">
              <wp:simplePos x="0" y="0"/>
              <wp:positionH relativeFrom="page">
                <wp:posOffset>180340</wp:posOffset>
              </wp:positionH>
              <wp:positionV relativeFrom="page">
                <wp:posOffset>10235565</wp:posOffset>
              </wp:positionV>
              <wp:extent cx="7200265" cy="0"/>
              <wp:effectExtent l="0" t="0" r="13335" b="2540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2077EEC" id="Line 3" o:spid="_x0000_s1026" alt=" "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" strokecolor="#b1005d"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A45FC" w14:textId="77777777" w:rsidR="0095574A" w:rsidRPr="008636E1" w:rsidRDefault="0095574A" w:rsidP="0039260E">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noProof/>
        <w:lang w:val="en-US"/>
      </w:rPr>
      <mc:AlternateContent>
        <mc:Choice Requires="wps">
          <w:drawing>
            <wp:anchor distT="0" distB="0" distL="114300" distR="114300" simplePos="0" relativeHeight="251658242" behindDoc="0" locked="1" layoutInCell="1" allowOverlap="1" wp14:anchorId="5079D053" wp14:editId="6C39E275">
              <wp:simplePos x="0" y="0"/>
              <wp:positionH relativeFrom="page">
                <wp:posOffset>180340</wp:posOffset>
              </wp:positionH>
              <wp:positionV relativeFrom="page">
                <wp:posOffset>10235565</wp:posOffset>
              </wp:positionV>
              <wp:extent cx="7200265" cy="0"/>
              <wp:effectExtent l="0" t="0" r="13335" b="254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A3F2710" id="Line 3" o:spid="_x0000_s1026" alt=" " style="position:absolute;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" strokecolor="#b1005d"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13A14" w14:textId="77777777" w:rsidR="00BB70F8" w:rsidRDefault="00BB70F8">
      <w:pPr>
        <w:spacing w:after="0" w:line="240" w:lineRule="auto"/>
      </w:pPr>
      <w:r>
        <w:separator/>
      </w:r>
    </w:p>
  </w:footnote>
  <w:footnote w:type="continuationSeparator" w:id="0">
    <w:p w14:paraId="1FD5CD8E" w14:textId="77777777" w:rsidR="00BB70F8" w:rsidRDefault="00BB70F8">
      <w:pPr>
        <w:spacing w:after="0" w:line="240" w:lineRule="auto"/>
      </w:pPr>
      <w:r>
        <w:continuationSeparator/>
      </w:r>
    </w:p>
  </w:footnote>
  <w:footnote w:type="continuationNotice" w:id="1">
    <w:p w14:paraId="4CD7905D" w14:textId="77777777" w:rsidR="00BB70F8" w:rsidRDefault="00BB70F8">
      <w:pPr>
        <w:spacing w:after="0" w:line="240" w:lineRule="auto"/>
      </w:pPr>
    </w:p>
  </w:footnote>
  <w:footnote w:id="2">
    <w:p w14:paraId="393D1CF4" w14:textId="77777777" w:rsidR="009E5E1E" w:rsidRDefault="009E5E1E" w:rsidP="004175B7">
      <w:pPr>
        <w:pStyle w:val="FootnoteText"/>
      </w:pPr>
      <w:r>
        <w:rPr>
          <w:rStyle w:val="FootnoteReference"/>
        </w:rPr>
        <w:footnoteRef/>
      </w:r>
      <w:r>
        <w:t xml:space="preserve">A unique client is an individual who has accessed one or more of our legal services and a client lawyer relationship was formed. We count our unique clients the first time we see them in the year. This definition does not include those clients who received information over the phone or via our online web chat (Legal Help), from our website, in person at a court counter or those who attended one of our community legal education sessions.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F47CB" w14:textId="77777777" w:rsidR="0095574A" w:rsidRDefault="0095574A" w:rsidP="0039260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F42141A" w14:textId="77777777" w:rsidR="0095574A" w:rsidRDefault="0095574A" w:rsidP="0039260E">
    <w:pPr>
      <w:pStyle w:val="Header"/>
      <w:ind w:right="360"/>
    </w:pPr>
  </w:p>
  <w:p w14:paraId="250A3616" w14:textId="77777777" w:rsidR="0095574A" w:rsidRDefault="009557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457EE" w14:textId="77777777" w:rsidR="0095574A" w:rsidRPr="006A6FC6" w:rsidRDefault="0095574A" w:rsidP="0039260E">
    <w:pPr>
      <w:tabs>
        <w:tab w:val="left" w:pos="6893"/>
      </w:tabs>
      <w:spacing w:after="80" w:line="240" w:lineRule="auto"/>
      <w:ind w:left="-330"/>
      <w:rPr>
        <w:rFonts w:cs="Arial"/>
        <w:color w:val="B1005D"/>
        <w:sz w:val="18"/>
        <w:szCs w:val="18"/>
      </w:rPr>
    </w:pPr>
    <w:r w:rsidRPr="006A6FC6">
      <w:rPr>
        <w:rFonts w:cs="Arial"/>
        <w:color w:val="B1005D"/>
        <w:sz w:val="18"/>
        <w:szCs w:val="18"/>
      </w:rPr>
      <w:t>Victoria Legal Aid</w:t>
    </w:r>
    <w:r>
      <w:rPr>
        <w:rFonts w:cs="Arial"/>
        <w:color w:val="B1005D"/>
        <w:sz w:val="18"/>
        <w:szCs w:val="18"/>
      </w:rPr>
      <w:tab/>
    </w:r>
  </w:p>
  <w:p w14:paraId="2D7E2765" w14:textId="5745F7D9" w:rsidR="0095574A" w:rsidRPr="00B42FDE" w:rsidRDefault="0095574A" w:rsidP="00B42FDE">
    <w:pPr>
      <w:spacing w:line="240" w:lineRule="auto"/>
      <w:ind w:left="-330"/>
      <w:rPr>
        <w:rFonts w:ascii="Arial Bold" w:hAnsi="Arial Bold" w:cs="Arial"/>
        <w:b/>
        <w:color w:val="B1005D"/>
        <w:sz w:val="18"/>
        <w:szCs w:val="18"/>
      </w:rPr>
    </w:pPr>
    <w:r>
      <w:rPr>
        <w:rFonts w:ascii="Arial Bold" w:hAnsi="Arial Bold" w:cs="Arial"/>
        <w:b/>
        <w:noProof/>
        <w:color w:val="B1005D"/>
        <w:sz w:val="18"/>
        <w:szCs w:val="18"/>
        <w:lang w:val="en-US"/>
      </w:rPr>
      <mc:AlternateContent>
        <mc:Choice Requires="wps">
          <w:drawing>
            <wp:anchor distT="0" distB="0" distL="114300" distR="114300" simplePos="0" relativeHeight="251658240" behindDoc="1" locked="1" layoutInCell="1" allowOverlap="1" wp14:anchorId="0C391D93" wp14:editId="063057E3">
              <wp:simplePos x="0" y="0"/>
              <wp:positionH relativeFrom="page">
                <wp:posOffset>180340</wp:posOffset>
              </wp:positionH>
              <wp:positionV relativeFrom="page">
                <wp:posOffset>684530</wp:posOffset>
              </wp:positionV>
              <wp:extent cx="7200265" cy="0"/>
              <wp:effectExtent l="0" t="0" r="13335" b="254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B1005D"/>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850154" id="Straight Connector 3" o:spid="_x0000_s1026" alt=" "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" strokecolor="#b1005d" strokeweight=".5pt">
              <w10:wrap anchorx="page" anchory="page"/>
              <w10:anchorlock/>
            </v:line>
          </w:pict>
        </mc:Fallback>
      </mc:AlternateContent>
    </w:r>
    <w:r>
      <w:rPr>
        <w:rFonts w:ascii="Arial Bold" w:hAnsi="Arial Bold" w:cs="Arial"/>
        <w:b/>
        <w:color w:val="B1005D"/>
        <w:sz w:val="18"/>
        <w:szCs w:val="18"/>
      </w:rPr>
      <w:t>20</w:t>
    </w:r>
    <w:r w:rsidR="00AC1AEF">
      <w:rPr>
        <w:rFonts w:ascii="Arial Bold" w:hAnsi="Arial Bold" w:cs="Arial"/>
        <w:b/>
        <w:color w:val="B1005D"/>
        <w:sz w:val="18"/>
        <w:szCs w:val="18"/>
      </w:rPr>
      <w:t>20</w:t>
    </w:r>
    <w:r>
      <w:rPr>
        <w:rFonts w:ascii="Arial Bold" w:hAnsi="Arial Bold" w:cs="Arial"/>
        <w:b/>
        <w:color w:val="B1005D"/>
        <w:sz w:val="18"/>
        <w:szCs w:val="18"/>
      </w:rPr>
      <w:t>–202</w:t>
    </w:r>
    <w:r w:rsidR="00AC1AEF">
      <w:rPr>
        <w:rFonts w:ascii="Arial Bold" w:hAnsi="Arial Bold" w:cs="Arial"/>
        <w:b/>
        <w:color w:val="B1005D"/>
        <w:sz w:val="18"/>
        <w:szCs w:val="18"/>
      </w:rPr>
      <w:t>1</w:t>
    </w:r>
    <w:r>
      <w:rPr>
        <w:rFonts w:ascii="Arial Bold" w:hAnsi="Arial Bold" w:cs="Arial"/>
        <w:b/>
        <w:color w:val="B1005D"/>
        <w:sz w:val="18"/>
        <w:szCs w:val="18"/>
      </w:rPr>
      <w:t xml:space="preserve"> quarter three report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E3DE2" w14:textId="77777777" w:rsidR="0095574A" w:rsidRPr="00833658" w:rsidRDefault="0095574A" w:rsidP="0039260E">
    <w:pPr>
      <w:pStyle w:val="VLAProgram"/>
      <w:pBdr>
        <w:bottom w:val="none" w:sz="0" w:space="0" w:color="auto"/>
      </w:pBdr>
      <w:rPr>
        <w:color w:val="FFFFFF" w:themeColor="background1"/>
      </w:rPr>
    </w:pPr>
    <w:r>
      <w:rPr>
        <w:noProof/>
        <w:lang w:val="en-US"/>
      </w:rPr>
      <w:drawing>
        <wp:anchor distT="0" distB="0" distL="114300" distR="114300" simplePos="0" relativeHeight="251658243" behindDoc="1" locked="0" layoutInCell="1" allowOverlap="1" wp14:anchorId="1930FD23" wp14:editId="076BDFEA">
          <wp:simplePos x="0" y="0"/>
          <wp:positionH relativeFrom="column">
            <wp:posOffset>-389129</wp:posOffset>
          </wp:positionH>
          <wp:positionV relativeFrom="paragraph">
            <wp:posOffset>-3359</wp:posOffset>
          </wp:positionV>
          <wp:extent cx="7199983" cy="1257140"/>
          <wp:effectExtent l="0" t="0" r="127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_header.jpg"/>
                  <pic:cNvPicPr/>
                </pic:nvPicPr>
                <pic:blipFill>
                  <a:blip r:embed="rId1"/>
                  <a:stretch>
                    <a:fillRect/>
                  </a:stretch>
                </pic:blipFill>
                <pic:spPr>
                  <a:xfrm>
                    <a:off x="0" y="0"/>
                    <a:ext cx="7199983" cy="125714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p w14:paraId="4D590282" w14:textId="77777777" w:rsidR="0095574A" w:rsidRPr="00D82005" w:rsidRDefault="0095574A" w:rsidP="0039260E">
    <w:pPr>
      <w:pStyle w:val="VLAPublicationdate"/>
      <w:spacing w:before="240" w:after="1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hybridMultilevel"/>
    <w:tmpl w:val="E4E4B7D8"/>
    <w:lvl w:ilvl="0" w:tplc="73E46E96">
      <w:start w:val="1"/>
      <w:numFmt w:val="decimal"/>
      <w:pStyle w:val="ListNumber4"/>
      <w:lvlText w:val="%1."/>
      <w:lvlJc w:val="left"/>
      <w:pPr>
        <w:tabs>
          <w:tab w:val="num" w:pos="1209"/>
        </w:tabs>
        <w:ind w:left="1209" w:hanging="360"/>
      </w:pPr>
    </w:lvl>
    <w:lvl w:ilvl="1" w:tplc="F4FCF986">
      <w:numFmt w:val="decimal"/>
      <w:lvlText w:val=""/>
      <w:lvlJc w:val="left"/>
    </w:lvl>
    <w:lvl w:ilvl="2" w:tplc="48A43150">
      <w:numFmt w:val="decimal"/>
      <w:lvlText w:val=""/>
      <w:lvlJc w:val="left"/>
    </w:lvl>
    <w:lvl w:ilvl="3" w:tplc="35883310">
      <w:numFmt w:val="decimal"/>
      <w:lvlText w:val=""/>
      <w:lvlJc w:val="left"/>
    </w:lvl>
    <w:lvl w:ilvl="4" w:tplc="6A023E80">
      <w:numFmt w:val="decimal"/>
      <w:lvlText w:val=""/>
      <w:lvlJc w:val="left"/>
    </w:lvl>
    <w:lvl w:ilvl="5" w:tplc="418629C2">
      <w:numFmt w:val="decimal"/>
      <w:lvlText w:val=""/>
      <w:lvlJc w:val="left"/>
    </w:lvl>
    <w:lvl w:ilvl="6" w:tplc="6D3AEB9C">
      <w:numFmt w:val="decimal"/>
      <w:lvlText w:val=""/>
      <w:lvlJc w:val="left"/>
    </w:lvl>
    <w:lvl w:ilvl="7" w:tplc="602E60F6">
      <w:numFmt w:val="decimal"/>
      <w:lvlText w:val=""/>
      <w:lvlJc w:val="left"/>
    </w:lvl>
    <w:lvl w:ilvl="8" w:tplc="374E3D58">
      <w:numFmt w:val="decimal"/>
      <w:lvlText w:val=""/>
      <w:lvlJc w:val="left"/>
    </w:lvl>
  </w:abstractNum>
  <w:abstractNum w:abstractNumId="2" w15:restartNumberingAfterBreak="0">
    <w:nsid w:val="FFFFFF7E"/>
    <w:multiLevelType w:val="hybridMultilevel"/>
    <w:tmpl w:val="17E2918E"/>
    <w:lvl w:ilvl="0" w:tplc="D0723CC8">
      <w:start w:val="1"/>
      <w:numFmt w:val="decimal"/>
      <w:pStyle w:val="ListNumber3"/>
      <w:lvlText w:val="%1."/>
      <w:lvlJc w:val="left"/>
      <w:pPr>
        <w:tabs>
          <w:tab w:val="num" w:pos="926"/>
        </w:tabs>
        <w:ind w:left="926" w:hanging="360"/>
      </w:pPr>
    </w:lvl>
    <w:lvl w:ilvl="1" w:tplc="5992BFA0">
      <w:numFmt w:val="decimal"/>
      <w:lvlText w:val=""/>
      <w:lvlJc w:val="left"/>
    </w:lvl>
    <w:lvl w:ilvl="2" w:tplc="DA9E63D0">
      <w:numFmt w:val="decimal"/>
      <w:lvlText w:val=""/>
      <w:lvlJc w:val="left"/>
    </w:lvl>
    <w:lvl w:ilvl="3" w:tplc="BEC2D02C">
      <w:numFmt w:val="decimal"/>
      <w:lvlText w:val=""/>
      <w:lvlJc w:val="left"/>
    </w:lvl>
    <w:lvl w:ilvl="4" w:tplc="DBF296A6">
      <w:numFmt w:val="decimal"/>
      <w:lvlText w:val=""/>
      <w:lvlJc w:val="left"/>
    </w:lvl>
    <w:lvl w:ilvl="5" w:tplc="C5AAB8A0">
      <w:numFmt w:val="decimal"/>
      <w:lvlText w:val=""/>
      <w:lvlJc w:val="left"/>
    </w:lvl>
    <w:lvl w:ilvl="6" w:tplc="56567B98">
      <w:numFmt w:val="decimal"/>
      <w:lvlText w:val=""/>
      <w:lvlJc w:val="left"/>
    </w:lvl>
    <w:lvl w:ilvl="7" w:tplc="D6389F8E">
      <w:numFmt w:val="decimal"/>
      <w:lvlText w:val=""/>
      <w:lvlJc w:val="left"/>
    </w:lvl>
    <w:lvl w:ilvl="8" w:tplc="B3C666DA">
      <w:numFmt w:val="decimal"/>
      <w:lvlText w:val=""/>
      <w:lvlJc w:val="left"/>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multilevel"/>
    <w:tmpl w:val="90208B5E"/>
    <w:lvl w:ilvl="0">
      <w:start w:val="1"/>
      <w:numFmt w:val="bullet"/>
      <w:pStyle w:val="ListBullet5"/>
      <w:lvlText w:val=""/>
      <w:lvlJc w:val="left"/>
      <w:pPr>
        <w:tabs>
          <w:tab w:val="num" w:pos="1492"/>
        </w:tabs>
        <w:ind w:left="1492"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multilevel"/>
    <w:tmpl w:val="CC242A42"/>
    <w:lvl w:ilvl="0">
      <w:start w:val="1"/>
      <w:numFmt w:val="bullet"/>
      <w:lvlText w:val=""/>
      <w:lvlJc w:val="left"/>
      <w:pPr>
        <w:tabs>
          <w:tab w:val="num" w:pos="1209"/>
        </w:tabs>
        <w:ind w:left="120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2"/>
    <w:multiLevelType w:val="multilevel"/>
    <w:tmpl w:val="992489BC"/>
    <w:lvl w:ilvl="0">
      <w:start w:val="1"/>
      <w:numFmt w:val="bullet"/>
      <w:lvlText w:val=""/>
      <w:lvlJc w:val="left"/>
      <w:pPr>
        <w:tabs>
          <w:tab w:val="num" w:pos="926"/>
        </w:tabs>
        <w:ind w:left="92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3"/>
    <w:multiLevelType w:val="multilevel"/>
    <w:tmpl w:val="E4B47836"/>
    <w:lvl w:ilvl="0">
      <w:start w:val="1"/>
      <w:numFmt w:val="bullet"/>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8"/>
    <w:multiLevelType w:val="multilevel"/>
    <w:tmpl w:val="C3A653EC"/>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FFFF89"/>
    <w:multiLevelType w:val="singleLevel"/>
    <w:tmpl w:val="584608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C029DB"/>
    <w:multiLevelType w:val="hybridMultilevel"/>
    <w:tmpl w:val="E812C0F0"/>
    <w:lvl w:ilvl="0" w:tplc="0C09000F">
      <w:start w:val="1"/>
      <w:numFmt w:val="decimal"/>
      <w:lvlText w:val="%1."/>
      <w:lvlJc w:val="left"/>
      <w:pPr>
        <w:ind w:left="785" w:hanging="360"/>
      </w:p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11"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2" w15:restartNumberingAfterBreak="0">
    <w:nsid w:val="32E36096"/>
    <w:multiLevelType w:val="multilevel"/>
    <w:tmpl w:val="6AF84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CE295D"/>
    <w:multiLevelType w:val="hybridMultilevel"/>
    <w:tmpl w:val="045C9124"/>
    <w:lvl w:ilvl="0" w:tplc="145098B6">
      <w:start w:val="1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A242923"/>
    <w:multiLevelType w:val="multilevel"/>
    <w:tmpl w:val="D752E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C444B02"/>
    <w:multiLevelType w:val="hybridMultilevel"/>
    <w:tmpl w:val="FFFFFFFF"/>
    <w:lvl w:ilvl="0" w:tplc="94E8FCC0">
      <w:start w:val="1"/>
      <w:numFmt w:val="bullet"/>
      <w:lvlText w:val=""/>
      <w:lvlJc w:val="left"/>
      <w:pPr>
        <w:ind w:left="720" w:hanging="360"/>
      </w:pPr>
      <w:rPr>
        <w:rFonts w:ascii="Symbol" w:hAnsi="Symbol" w:hint="default"/>
      </w:rPr>
    </w:lvl>
    <w:lvl w:ilvl="1" w:tplc="F6AA9DA6">
      <w:start w:val="1"/>
      <w:numFmt w:val="bullet"/>
      <w:lvlText w:val="o"/>
      <w:lvlJc w:val="left"/>
      <w:pPr>
        <w:ind w:left="1440" w:hanging="360"/>
      </w:pPr>
      <w:rPr>
        <w:rFonts w:ascii="Courier New" w:hAnsi="Courier New" w:hint="default"/>
      </w:rPr>
    </w:lvl>
    <w:lvl w:ilvl="2" w:tplc="87CE8542">
      <w:start w:val="1"/>
      <w:numFmt w:val="bullet"/>
      <w:lvlText w:val=""/>
      <w:lvlJc w:val="left"/>
      <w:pPr>
        <w:ind w:left="2160" w:hanging="360"/>
      </w:pPr>
      <w:rPr>
        <w:rFonts w:ascii="Wingdings" w:hAnsi="Wingdings" w:hint="default"/>
      </w:rPr>
    </w:lvl>
    <w:lvl w:ilvl="3" w:tplc="D3445782">
      <w:start w:val="1"/>
      <w:numFmt w:val="bullet"/>
      <w:lvlText w:val=""/>
      <w:lvlJc w:val="left"/>
      <w:pPr>
        <w:ind w:left="2880" w:hanging="360"/>
      </w:pPr>
      <w:rPr>
        <w:rFonts w:ascii="Symbol" w:hAnsi="Symbol" w:hint="default"/>
      </w:rPr>
    </w:lvl>
    <w:lvl w:ilvl="4" w:tplc="B2749A82">
      <w:start w:val="1"/>
      <w:numFmt w:val="bullet"/>
      <w:lvlText w:val="o"/>
      <w:lvlJc w:val="left"/>
      <w:pPr>
        <w:ind w:left="3600" w:hanging="360"/>
      </w:pPr>
      <w:rPr>
        <w:rFonts w:ascii="Courier New" w:hAnsi="Courier New" w:hint="default"/>
      </w:rPr>
    </w:lvl>
    <w:lvl w:ilvl="5" w:tplc="0FFEDF98">
      <w:start w:val="1"/>
      <w:numFmt w:val="bullet"/>
      <w:lvlText w:val=""/>
      <w:lvlJc w:val="left"/>
      <w:pPr>
        <w:ind w:left="4320" w:hanging="360"/>
      </w:pPr>
      <w:rPr>
        <w:rFonts w:ascii="Wingdings" w:hAnsi="Wingdings" w:hint="default"/>
      </w:rPr>
    </w:lvl>
    <w:lvl w:ilvl="6" w:tplc="7DB02CF4">
      <w:start w:val="1"/>
      <w:numFmt w:val="bullet"/>
      <w:lvlText w:val=""/>
      <w:lvlJc w:val="left"/>
      <w:pPr>
        <w:ind w:left="5040" w:hanging="360"/>
      </w:pPr>
      <w:rPr>
        <w:rFonts w:ascii="Symbol" w:hAnsi="Symbol" w:hint="default"/>
      </w:rPr>
    </w:lvl>
    <w:lvl w:ilvl="7" w:tplc="1206B228">
      <w:start w:val="1"/>
      <w:numFmt w:val="bullet"/>
      <w:lvlText w:val="o"/>
      <w:lvlJc w:val="left"/>
      <w:pPr>
        <w:ind w:left="5760" w:hanging="360"/>
      </w:pPr>
      <w:rPr>
        <w:rFonts w:ascii="Courier New" w:hAnsi="Courier New" w:hint="default"/>
      </w:rPr>
    </w:lvl>
    <w:lvl w:ilvl="8" w:tplc="57167492">
      <w:start w:val="1"/>
      <w:numFmt w:val="bullet"/>
      <w:lvlText w:val=""/>
      <w:lvlJc w:val="left"/>
      <w:pPr>
        <w:ind w:left="6480" w:hanging="360"/>
      </w:pPr>
      <w:rPr>
        <w:rFonts w:ascii="Wingdings" w:hAnsi="Wingdings" w:hint="default"/>
      </w:rPr>
    </w:lvl>
  </w:abstractNum>
  <w:abstractNum w:abstractNumId="16" w15:restartNumberingAfterBreak="0">
    <w:nsid w:val="43E72683"/>
    <w:multiLevelType w:val="hybridMultilevel"/>
    <w:tmpl w:val="30127892"/>
    <w:lvl w:ilvl="0" w:tplc="E558ED6A">
      <w:start w:val="1"/>
      <w:numFmt w:val="bullet"/>
      <w:lvlText w:val="•"/>
      <w:lvlJc w:val="left"/>
      <w:pPr>
        <w:tabs>
          <w:tab w:val="num" w:pos="720"/>
        </w:tabs>
        <w:ind w:left="720" w:hanging="360"/>
      </w:pPr>
      <w:rPr>
        <w:rFonts w:ascii="Arial" w:hAnsi="Arial" w:hint="default"/>
      </w:rPr>
    </w:lvl>
    <w:lvl w:ilvl="1" w:tplc="B52ABB78" w:tentative="1">
      <w:start w:val="1"/>
      <w:numFmt w:val="bullet"/>
      <w:lvlText w:val="•"/>
      <w:lvlJc w:val="left"/>
      <w:pPr>
        <w:tabs>
          <w:tab w:val="num" w:pos="1440"/>
        </w:tabs>
        <w:ind w:left="1440" w:hanging="360"/>
      </w:pPr>
      <w:rPr>
        <w:rFonts w:ascii="Arial" w:hAnsi="Arial" w:hint="default"/>
      </w:rPr>
    </w:lvl>
    <w:lvl w:ilvl="2" w:tplc="8888445E" w:tentative="1">
      <w:start w:val="1"/>
      <w:numFmt w:val="bullet"/>
      <w:lvlText w:val="•"/>
      <w:lvlJc w:val="left"/>
      <w:pPr>
        <w:tabs>
          <w:tab w:val="num" w:pos="2160"/>
        </w:tabs>
        <w:ind w:left="2160" w:hanging="360"/>
      </w:pPr>
      <w:rPr>
        <w:rFonts w:ascii="Arial" w:hAnsi="Arial" w:hint="default"/>
      </w:rPr>
    </w:lvl>
    <w:lvl w:ilvl="3" w:tplc="2576843A" w:tentative="1">
      <w:start w:val="1"/>
      <w:numFmt w:val="bullet"/>
      <w:lvlText w:val="•"/>
      <w:lvlJc w:val="left"/>
      <w:pPr>
        <w:tabs>
          <w:tab w:val="num" w:pos="2880"/>
        </w:tabs>
        <w:ind w:left="2880" w:hanging="360"/>
      </w:pPr>
      <w:rPr>
        <w:rFonts w:ascii="Arial" w:hAnsi="Arial" w:hint="default"/>
      </w:rPr>
    </w:lvl>
    <w:lvl w:ilvl="4" w:tplc="2A4E5F3E" w:tentative="1">
      <w:start w:val="1"/>
      <w:numFmt w:val="bullet"/>
      <w:lvlText w:val="•"/>
      <w:lvlJc w:val="left"/>
      <w:pPr>
        <w:tabs>
          <w:tab w:val="num" w:pos="3600"/>
        </w:tabs>
        <w:ind w:left="3600" w:hanging="360"/>
      </w:pPr>
      <w:rPr>
        <w:rFonts w:ascii="Arial" w:hAnsi="Arial" w:hint="default"/>
      </w:rPr>
    </w:lvl>
    <w:lvl w:ilvl="5" w:tplc="488C7BE2" w:tentative="1">
      <w:start w:val="1"/>
      <w:numFmt w:val="bullet"/>
      <w:lvlText w:val="•"/>
      <w:lvlJc w:val="left"/>
      <w:pPr>
        <w:tabs>
          <w:tab w:val="num" w:pos="4320"/>
        </w:tabs>
        <w:ind w:left="4320" w:hanging="360"/>
      </w:pPr>
      <w:rPr>
        <w:rFonts w:ascii="Arial" w:hAnsi="Arial" w:hint="default"/>
      </w:rPr>
    </w:lvl>
    <w:lvl w:ilvl="6" w:tplc="0DBC53F2" w:tentative="1">
      <w:start w:val="1"/>
      <w:numFmt w:val="bullet"/>
      <w:lvlText w:val="•"/>
      <w:lvlJc w:val="left"/>
      <w:pPr>
        <w:tabs>
          <w:tab w:val="num" w:pos="5040"/>
        </w:tabs>
        <w:ind w:left="5040" w:hanging="360"/>
      </w:pPr>
      <w:rPr>
        <w:rFonts w:ascii="Arial" w:hAnsi="Arial" w:hint="default"/>
      </w:rPr>
    </w:lvl>
    <w:lvl w:ilvl="7" w:tplc="EB768B9E" w:tentative="1">
      <w:start w:val="1"/>
      <w:numFmt w:val="bullet"/>
      <w:lvlText w:val="•"/>
      <w:lvlJc w:val="left"/>
      <w:pPr>
        <w:tabs>
          <w:tab w:val="num" w:pos="5760"/>
        </w:tabs>
        <w:ind w:left="5760" w:hanging="360"/>
      </w:pPr>
      <w:rPr>
        <w:rFonts w:ascii="Arial" w:hAnsi="Arial" w:hint="default"/>
      </w:rPr>
    </w:lvl>
    <w:lvl w:ilvl="8" w:tplc="CB56570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3F542E8"/>
    <w:multiLevelType w:val="hybridMultilevel"/>
    <w:tmpl w:val="8AD0B962"/>
    <w:lvl w:ilvl="0" w:tplc="99362B76">
      <w:start w:val="1"/>
      <w:numFmt w:val="bullet"/>
      <w:pStyle w:val="Bullet1"/>
      <w:lvlText w:val=""/>
      <w:lvlJc w:val="left"/>
      <w:pPr>
        <w:ind w:left="720" w:hanging="360"/>
      </w:pPr>
      <w:rPr>
        <w:rFonts w:ascii="Symbol" w:hAnsi="Symbol" w:hint="default"/>
        <w:color w:val="auto"/>
        <w:sz w:val="1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8134211"/>
    <w:multiLevelType w:val="hybridMultilevel"/>
    <w:tmpl w:val="F2728C18"/>
    <w:lvl w:ilvl="0" w:tplc="5B6A8ECC">
      <w:start w:val="1"/>
      <w:numFmt w:val="decimal"/>
      <w:pStyle w:val="Appendix"/>
      <w:suff w:val="nothing"/>
      <w:lvlText w:val="Appendix %1 - "/>
      <w:lvlJc w:val="left"/>
      <w:pPr>
        <w:ind w:left="720" w:hanging="720"/>
      </w:pPr>
      <w:rPr>
        <w:rFonts w:ascii="Arial" w:hAnsi="Arial" w:hint="default"/>
        <w:b/>
        <w:i w:val="0"/>
      </w:rPr>
    </w:lvl>
    <w:lvl w:ilvl="1" w:tplc="9F002F82">
      <w:start w:val="1"/>
      <w:numFmt w:val="decimal"/>
      <w:lvlText w:val="%1.%2"/>
      <w:lvlJc w:val="left"/>
      <w:pPr>
        <w:tabs>
          <w:tab w:val="num" w:pos="576"/>
        </w:tabs>
        <w:ind w:left="576" w:hanging="576"/>
      </w:pPr>
      <w:rPr>
        <w:rFonts w:hint="default"/>
      </w:rPr>
    </w:lvl>
    <w:lvl w:ilvl="2" w:tplc="045EED92">
      <w:start w:val="1"/>
      <w:numFmt w:val="decimal"/>
      <w:lvlText w:val="%1.%2.%3"/>
      <w:lvlJc w:val="left"/>
      <w:pPr>
        <w:tabs>
          <w:tab w:val="num" w:pos="720"/>
        </w:tabs>
        <w:ind w:left="720" w:hanging="720"/>
      </w:pPr>
      <w:rPr>
        <w:rFonts w:hint="default"/>
      </w:rPr>
    </w:lvl>
    <w:lvl w:ilvl="3" w:tplc="A208BA10">
      <w:start w:val="1"/>
      <w:numFmt w:val="decimal"/>
      <w:lvlText w:val="%1.%2.%3.%4"/>
      <w:lvlJc w:val="left"/>
      <w:pPr>
        <w:tabs>
          <w:tab w:val="num" w:pos="864"/>
        </w:tabs>
        <w:ind w:left="864" w:hanging="864"/>
      </w:pPr>
      <w:rPr>
        <w:rFonts w:hint="default"/>
      </w:rPr>
    </w:lvl>
    <w:lvl w:ilvl="4" w:tplc="818AEA94">
      <w:start w:val="1"/>
      <w:numFmt w:val="decimal"/>
      <w:lvlText w:val="%1.%2.%3.%4.%5"/>
      <w:lvlJc w:val="left"/>
      <w:pPr>
        <w:tabs>
          <w:tab w:val="num" w:pos="1008"/>
        </w:tabs>
        <w:ind w:left="1008" w:hanging="1008"/>
      </w:pPr>
      <w:rPr>
        <w:rFonts w:hint="default"/>
      </w:rPr>
    </w:lvl>
    <w:lvl w:ilvl="5" w:tplc="D93C597A">
      <w:start w:val="1"/>
      <w:numFmt w:val="decimal"/>
      <w:lvlText w:val="%1.%2.%3.%4.%5.%6"/>
      <w:lvlJc w:val="left"/>
      <w:pPr>
        <w:tabs>
          <w:tab w:val="num" w:pos="1152"/>
        </w:tabs>
        <w:ind w:left="1152" w:hanging="1152"/>
      </w:pPr>
      <w:rPr>
        <w:rFonts w:hint="default"/>
      </w:rPr>
    </w:lvl>
    <w:lvl w:ilvl="6" w:tplc="0584D476">
      <w:start w:val="1"/>
      <w:numFmt w:val="decimal"/>
      <w:lvlText w:val="%1.%2.%3.%4.%5.%6.%7"/>
      <w:lvlJc w:val="left"/>
      <w:pPr>
        <w:tabs>
          <w:tab w:val="num" w:pos="1296"/>
        </w:tabs>
        <w:ind w:left="1296" w:hanging="1296"/>
      </w:pPr>
      <w:rPr>
        <w:rFonts w:hint="default"/>
      </w:rPr>
    </w:lvl>
    <w:lvl w:ilvl="7" w:tplc="5514365E">
      <w:start w:val="1"/>
      <w:numFmt w:val="decimal"/>
      <w:lvlText w:val="%1.%2.%3.%4.%5.%6.%7.%8"/>
      <w:lvlJc w:val="left"/>
      <w:pPr>
        <w:tabs>
          <w:tab w:val="num" w:pos="1440"/>
        </w:tabs>
        <w:ind w:left="1440" w:hanging="1440"/>
      </w:pPr>
      <w:rPr>
        <w:rFonts w:hint="default"/>
      </w:rPr>
    </w:lvl>
    <w:lvl w:ilvl="8" w:tplc="09AE9FE0">
      <w:start w:val="1"/>
      <w:numFmt w:val="decimal"/>
      <w:lvlText w:val="%1.%2.%3.%4.%5.%6.%7.%8.%9"/>
      <w:lvlJc w:val="left"/>
      <w:pPr>
        <w:tabs>
          <w:tab w:val="num" w:pos="1584"/>
        </w:tabs>
        <w:ind w:left="1584" w:hanging="1584"/>
      </w:pPr>
      <w:rPr>
        <w:rFonts w:hint="default"/>
      </w:rPr>
    </w:lvl>
  </w:abstractNum>
  <w:abstractNum w:abstractNumId="19" w15:restartNumberingAfterBreak="0">
    <w:nsid w:val="4A642531"/>
    <w:multiLevelType w:val="hybridMultilevel"/>
    <w:tmpl w:val="29143024"/>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0" w15:restartNumberingAfterBreak="0">
    <w:nsid w:val="4AD06338"/>
    <w:multiLevelType w:val="multilevel"/>
    <w:tmpl w:val="388CB4B2"/>
    <w:lvl w:ilvl="0">
      <w:start w:val="1"/>
      <w:numFmt w:val="decimal"/>
      <w:lvlRestart w:val="0"/>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21" w15:restartNumberingAfterBreak="0">
    <w:nsid w:val="5292798C"/>
    <w:multiLevelType w:val="hybridMultilevel"/>
    <w:tmpl w:val="79DEA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23" w15:restartNumberingAfterBreak="0">
    <w:nsid w:val="639E6D05"/>
    <w:multiLevelType w:val="hybridMultilevel"/>
    <w:tmpl w:val="64908578"/>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6B5492F"/>
    <w:multiLevelType w:val="hybridMultilevel"/>
    <w:tmpl w:val="3A4A7F5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A2A7E89"/>
    <w:multiLevelType w:val="hybridMultilevel"/>
    <w:tmpl w:val="2B80354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26" w15:restartNumberingAfterBreak="0">
    <w:nsid w:val="7B472774"/>
    <w:multiLevelType w:val="hybridMultilevel"/>
    <w:tmpl w:val="97F06A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F76201C"/>
    <w:multiLevelType w:val="hybridMultilevel"/>
    <w:tmpl w:val="1E54F8FE"/>
    <w:lvl w:ilvl="0" w:tplc="C66CD07C">
      <w:start w:val="1"/>
      <w:numFmt w:val="bullet"/>
      <w:lvlText w:val=""/>
      <w:lvlJc w:val="left"/>
      <w:pPr>
        <w:ind w:left="720" w:hanging="360"/>
      </w:pPr>
      <w:rPr>
        <w:rFonts w:ascii="Symbol" w:hAnsi="Symbol" w:hint="default"/>
      </w:rPr>
    </w:lvl>
    <w:lvl w:ilvl="1" w:tplc="BA7003E2">
      <w:start w:val="1"/>
      <w:numFmt w:val="bullet"/>
      <w:lvlText w:val="o"/>
      <w:lvlJc w:val="left"/>
      <w:pPr>
        <w:ind w:left="1440" w:hanging="360"/>
      </w:pPr>
      <w:rPr>
        <w:rFonts w:ascii="Courier New" w:hAnsi="Courier New" w:hint="default"/>
      </w:rPr>
    </w:lvl>
    <w:lvl w:ilvl="2" w:tplc="4C7CB3F2">
      <w:start w:val="1"/>
      <w:numFmt w:val="bullet"/>
      <w:lvlText w:val=""/>
      <w:lvlJc w:val="left"/>
      <w:pPr>
        <w:ind w:left="2160" w:hanging="360"/>
      </w:pPr>
      <w:rPr>
        <w:rFonts w:ascii="Wingdings" w:hAnsi="Wingdings" w:hint="default"/>
      </w:rPr>
    </w:lvl>
    <w:lvl w:ilvl="3" w:tplc="E274105C">
      <w:start w:val="1"/>
      <w:numFmt w:val="bullet"/>
      <w:lvlText w:val=""/>
      <w:lvlJc w:val="left"/>
      <w:pPr>
        <w:ind w:left="2880" w:hanging="360"/>
      </w:pPr>
      <w:rPr>
        <w:rFonts w:ascii="Symbol" w:hAnsi="Symbol" w:hint="default"/>
      </w:rPr>
    </w:lvl>
    <w:lvl w:ilvl="4" w:tplc="ECD404E0">
      <w:start w:val="1"/>
      <w:numFmt w:val="bullet"/>
      <w:lvlText w:val="o"/>
      <w:lvlJc w:val="left"/>
      <w:pPr>
        <w:ind w:left="3600" w:hanging="360"/>
      </w:pPr>
      <w:rPr>
        <w:rFonts w:ascii="Courier New" w:hAnsi="Courier New" w:hint="default"/>
      </w:rPr>
    </w:lvl>
    <w:lvl w:ilvl="5" w:tplc="6DBC5D52">
      <w:start w:val="1"/>
      <w:numFmt w:val="bullet"/>
      <w:lvlText w:val=""/>
      <w:lvlJc w:val="left"/>
      <w:pPr>
        <w:ind w:left="4320" w:hanging="360"/>
      </w:pPr>
      <w:rPr>
        <w:rFonts w:ascii="Wingdings" w:hAnsi="Wingdings" w:hint="default"/>
      </w:rPr>
    </w:lvl>
    <w:lvl w:ilvl="6" w:tplc="758C0DDA">
      <w:start w:val="1"/>
      <w:numFmt w:val="bullet"/>
      <w:lvlText w:val=""/>
      <w:lvlJc w:val="left"/>
      <w:pPr>
        <w:ind w:left="5040" w:hanging="360"/>
      </w:pPr>
      <w:rPr>
        <w:rFonts w:ascii="Symbol" w:hAnsi="Symbol" w:hint="default"/>
      </w:rPr>
    </w:lvl>
    <w:lvl w:ilvl="7" w:tplc="CABC2D36">
      <w:start w:val="1"/>
      <w:numFmt w:val="bullet"/>
      <w:lvlText w:val="o"/>
      <w:lvlJc w:val="left"/>
      <w:pPr>
        <w:ind w:left="5760" w:hanging="360"/>
      </w:pPr>
      <w:rPr>
        <w:rFonts w:ascii="Courier New" w:hAnsi="Courier New" w:hint="default"/>
      </w:rPr>
    </w:lvl>
    <w:lvl w:ilvl="8" w:tplc="DD1C0C44">
      <w:start w:val="1"/>
      <w:numFmt w:val="bullet"/>
      <w:lvlText w:val=""/>
      <w:lvlJc w:val="left"/>
      <w:pPr>
        <w:ind w:left="6480" w:hanging="360"/>
      </w:pPr>
      <w:rPr>
        <w:rFonts w:ascii="Wingdings" w:hAnsi="Wingdings" w:hint="default"/>
      </w:rPr>
    </w:lvl>
  </w:abstractNum>
  <w:num w:numId="1">
    <w:abstractNumId w:val="27"/>
  </w:num>
  <w:num w:numId="2">
    <w:abstractNumId w:val="18"/>
  </w:num>
  <w:num w:numId="3">
    <w:abstractNumId w:val="9"/>
  </w:num>
  <w:num w:numId="4">
    <w:abstractNumId w:val="11"/>
  </w:num>
  <w:num w:numId="5">
    <w:abstractNumId w:val="7"/>
  </w:num>
  <w:num w:numId="6">
    <w:abstractNumId w:val="22"/>
  </w:num>
  <w:num w:numId="7">
    <w:abstractNumId w:val="6"/>
  </w:num>
  <w:num w:numId="8">
    <w:abstractNumId w:val="22"/>
  </w:num>
  <w:num w:numId="9">
    <w:abstractNumId w:val="5"/>
  </w:num>
  <w:num w:numId="10">
    <w:abstractNumId w:val="4"/>
  </w:num>
  <w:num w:numId="11">
    <w:abstractNumId w:val="4"/>
  </w:num>
  <w:num w:numId="12">
    <w:abstractNumId w:val="8"/>
  </w:num>
  <w:num w:numId="13">
    <w:abstractNumId w:val="8"/>
  </w:num>
  <w:num w:numId="14">
    <w:abstractNumId w:val="3"/>
  </w:num>
  <w:num w:numId="15">
    <w:abstractNumId w:val="3"/>
  </w:num>
  <w:num w:numId="16">
    <w:abstractNumId w:val="2"/>
  </w:num>
  <w:num w:numId="17">
    <w:abstractNumId w:val="2"/>
  </w:num>
  <w:num w:numId="18">
    <w:abstractNumId w:val="1"/>
  </w:num>
  <w:num w:numId="19">
    <w:abstractNumId w:val="1"/>
  </w:num>
  <w:num w:numId="20">
    <w:abstractNumId w:val="0"/>
  </w:num>
  <w:num w:numId="21">
    <w:abstractNumId w:val="0"/>
  </w:num>
  <w:num w:numId="22">
    <w:abstractNumId w:val="20"/>
  </w:num>
  <w:num w:numId="23">
    <w:abstractNumId w:val="20"/>
  </w:num>
  <w:num w:numId="24">
    <w:abstractNumId w:val="12"/>
  </w:num>
  <w:num w:numId="25">
    <w:abstractNumId w:val="25"/>
  </w:num>
  <w:num w:numId="26">
    <w:abstractNumId w:val="17"/>
  </w:num>
  <w:num w:numId="27">
    <w:abstractNumId w:val="21"/>
  </w:num>
  <w:num w:numId="28">
    <w:abstractNumId w:val="26"/>
  </w:num>
  <w:num w:numId="29">
    <w:abstractNumId w:val="19"/>
  </w:num>
  <w:num w:numId="30">
    <w:abstractNumId w:val="10"/>
  </w:num>
  <w:num w:numId="31">
    <w:abstractNumId w:val="15"/>
  </w:num>
  <w:num w:numId="32">
    <w:abstractNumId w:val="24"/>
  </w:num>
  <w:num w:numId="33">
    <w:abstractNumId w:val="13"/>
  </w:num>
  <w:num w:numId="34">
    <w:abstractNumId w:val="16"/>
  </w:num>
  <w:num w:numId="35">
    <w:abstractNumId w:val="23"/>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5B7"/>
    <w:rsid w:val="0000020D"/>
    <w:rsid w:val="00000BAF"/>
    <w:rsid w:val="00001AA9"/>
    <w:rsid w:val="000027B7"/>
    <w:rsid w:val="000036A6"/>
    <w:rsid w:val="000036EB"/>
    <w:rsid w:val="0000378A"/>
    <w:rsid w:val="000038D1"/>
    <w:rsid w:val="00003B52"/>
    <w:rsid w:val="00003D57"/>
    <w:rsid w:val="000044FF"/>
    <w:rsid w:val="000047DA"/>
    <w:rsid w:val="00004CE9"/>
    <w:rsid w:val="00004D17"/>
    <w:rsid w:val="00004F3D"/>
    <w:rsid w:val="0000527A"/>
    <w:rsid w:val="000055D7"/>
    <w:rsid w:val="00005D79"/>
    <w:rsid w:val="00006274"/>
    <w:rsid w:val="000063FE"/>
    <w:rsid w:val="00006CCF"/>
    <w:rsid w:val="00006DF7"/>
    <w:rsid w:val="0000748F"/>
    <w:rsid w:val="00007688"/>
    <w:rsid w:val="000079A5"/>
    <w:rsid w:val="00007FD6"/>
    <w:rsid w:val="00010B52"/>
    <w:rsid w:val="00010B80"/>
    <w:rsid w:val="00011B36"/>
    <w:rsid w:val="0001343C"/>
    <w:rsid w:val="00014173"/>
    <w:rsid w:val="000141D8"/>
    <w:rsid w:val="00014F79"/>
    <w:rsid w:val="0001721A"/>
    <w:rsid w:val="00017518"/>
    <w:rsid w:val="000175F6"/>
    <w:rsid w:val="00017AED"/>
    <w:rsid w:val="00017EC1"/>
    <w:rsid w:val="000201F0"/>
    <w:rsid w:val="00020994"/>
    <w:rsid w:val="00020F26"/>
    <w:rsid w:val="00021293"/>
    <w:rsid w:val="00021580"/>
    <w:rsid w:val="00021A17"/>
    <w:rsid w:val="00021B97"/>
    <w:rsid w:val="0002219F"/>
    <w:rsid w:val="0002304F"/>
    <w:rsid w:val="00023379"/>
    <w:rsid w:val="000236FD"/>
    <w:rsid w:val="000238ED"/>
    <w:rsid w:val="00023F89"/>
    <w:rsid w:val="00024FD4"/>
    <w:rsid w:val="00025EB0"/>
    <w:rsid w:val="0002736E"/>
    <w:rsid w:val="00027BEB"/>
    <w:rsid w:val="00027F7C"/>
    <w:rsid w:val="00032B01"/>
    <w:rsid w:val="00033906"/>
    <w:rsid w:val="00033B72"/>
    <w:rsid w:val="00034264"/>
    <w:rsid w:val="0003486A"/>
    <w:rsid w:val="00034A62"/>
    <w:rsid w:val="00036024"/>
    <w:rsid w:val="00037566"/>
    <w:rsid w:val="000401FE"/>
    <w:rsid w:val="000402E2"/>
    <w:rsid w:val="000410CD"/>
    <w:rsid w:val="00041420"/>
    <w:rsid w:val="000424DD"/>
    <w:rsid w:val="00042BD8"/>
    <w:rsid w:val="00042DE4"/>
    <w:rsid w:val="00043D3D"/>
    <w:rsid w:val="00044598"/>
    <w:rsid w:val="000449C9"/>
    <w:rsid w:val="00045B31"/>
    <w:rsid w:val="00045D7C"/>
    <w:rsid w:val="000464B3"/>
    <w:rsid w:val="00046677"/>
    <w:rsid w:val="0005014C"/>
    <w:rsid w:val="00050188"/>
    <w:rsid w:val="00050A4F"/>
    <w:rsid w:val="00050C7A"/>
    <w:rsid w:val="00051FAA"/>
    <w:rsid w:val="00053FE2"/>
    <w:rsid w:val="0005532F"/>
    <w:rsid w:val="0005576E"/>
    <w:rsid w:val="000557C8"/>
    <w:rsid w:val="00055CFB"/>
    <w:rsid w:val="00055DBF"/>
    <w:rsid w:val="000562E8"/>
    <w:rsid w:val="0005677C"/>
    <w:rsid w:val="00056A93"/>
    <w:rsid w:val="00056E86"/>
    <w:rsid w:val="0006012E"/>
    <w:rsid w:val="000604A2"/>
    <w:rsid w:val="000605FF"/>
    <w:rsid w:val="00060C67"/>
    <w:rsid w:val="000612EA"/>
    <w:rsid w:val="000631DD"/>
    <w:rsid w:val="00063EF9"/>
    <w:rsid w:val="000647E4"/>
    <w:rsid w:val="00065A6F"/>
    <w:rsid w:val="000660BF"/>
    <w:rsid w:val="000672A7"/>
    <w:rsid w:val="000679DF"/>
    <w:rsid w:val="00067EE4"/>
    <w:rsid w:val="00070A47"/>
    <w:rsid w:val="000731E7"/>
    <w:rsid w:val="00073253"/>
    <w:rsid w:val="00073503"/>
    <w:rsid w:val="000738D2"/>
    <w:rsid w:val="00075D6E"/>
    <w:rsid w:val="0007605D"/>
    <w:rsid w:val="000776A9"/>
    <w:rsid w:val="00081319"/>
    <w:rsid w:val="0008238F"/>
    <w:rsid w:val="0008244C"/>
    <w:rsid w:val="000824B5"/>
    <w:rsid w:val="00082BB4"/>
    <w:rsid w:val="00082E40"/>
    <w:rsid w:val="00083758"/>
    <w:rsid w:val="00084405"/>
    <w:rsid w:val="000860F1"/>
    <w:rsid w:val="00086147"/>
    <w:rsid w:val="00086744"/>
    <w:rsid w:val="00087386"/>
    <w:rsid w:val="00087B2F"/>
    <w:rsid w:val="0009039D"/>
    <w:rsid w:val="000909C2"/>
    <w:rsid w:val="00092646"/>
    <w:rsid w:val="000930D7"/>
    <w:rsid w:val="00094331"/>
    <w:rsid w:val="0009511F"/>
    <w:rsid w:val="000967DA"/>
    <w:rsid w:val="00096D8A"/>
    <w:rsid w:val="0009711B"/>
    <w:rsid w:val="00097528"/>
    <w:rsid w:val="000A020B"/>
    <w:rsid w:val="000A0339"/>
    <w:rsid w:val="000A0349"/>
    <w:rsid w:val="000A0A68"/>
    <w:rsid w:val="000A12F5"/>
    <w:rsid w:val="000A1721"/>
    <w:rsid w:val="000A19FD"/>
    <w:rsid w:val="000A1E6F"/>
    <w:rsid w:val="000A2081"/>
    <w:rsid w:val="000A20E1"/>
    <w:rsid w:val="000A25B1"/>
    <w:rsid w:val="000A28EE"/>
    <w:rsid w:val="000A29F8"/>
    <w:rsid w:val="000A2DC9"/>
    <w:rsid w:val="000A2FBE"/>
    <w:rsid w:val="000A3C2D"/>
    <w:rsid w:val="000A3DA5"/>
    <w:rsid w:val="000A41F2"/>
    <w:rsid w:val="000A49F1"/>
    <w:rsid w:val="000A4EA9"/>
    <w:rsid w:val="000A5781"/>
    <w:rsid w:val="000A5DB4"/>
    <w:rsid w:val="000A5F3C"/>
    <w:rsid w:val="000A68E1"/>
    <w:rsid w:val="000A6B2C"/>
    <w:rsid w:val="000A6EDC"/>
    <w:rsid w:val="000A7E07"/>
    <w:rsid w:val="000B1465"/>
    <w:rsid w:val="000B185D"/>
    <w:rsid w:val="000B1E78"/>
    <w:rsid w:val="000B20DD"/>
    <w:rsid w:val="000B2F09"/>
    <w:rsid w:val="000B2F2F"/>
    <w:rsid w:val="000B40B7"/>
    <w:rsid w:val="000B432F"/>
    <w:rsid w:val="000B5DFF"/>
    <w:rsid w:val="000B6313"/>
    <w:rsid w:val="000B6A75"/>
    <w:rsid w:val="000B716A"/>
    <w:rsid w:val="000C08C0"/>
    <w:rsid w:val="000C14B8"/>
    <w:rsid w:val="000C19D5"/>
    <w:rsid w:val="000C3DD1"/>
    <w:rsid w:val="000C58B2"/>
    <w:rsid w:val="000C59E6"/>
    <w:rsid w:val="000C5E2B"/>
    <w:rsid w:val="000C645D"/>
    <w:rsid w:val="000C7FB4"/>
    <w:rsid w:val="000D008B"/>
    <w:rsid w:val="000D1243"/>
    <w:rsid w:val="000D32DA"/>
    <w:rsid w:val="000D469D"/>
    <w:rsid w:val="000D6156"/>
    <w:rsid w:val="000D61AB"/>
    <w:rsid w:val="000D64E6"/>
    <w:rsid w:val="000D73DB"/>
    <w:rsid w:val="000D771C"/>
    <w:rsid w:val="000E065B"/>
    <w:rsid w:val="000E0EF9"/>
    <w:rsid w:val="000E11BA"/>
    <w:rsid w:val="000E169E"/>
    <w:rsid w:val="000E2347"/>
    <w:rsid w:val="000E3D37"/>
    <w:rsid w:val="000E4249"/>
    <w:rsid w:val="000E5121"/>
    <w:rsid w:val="000E6B10"/>
    <w:rsid w:val="000E76E4"/>
    <w:rsid w:val="000E7883"/>
    <w:rsid w:val="000E79DC"/>
    <w:rsid w:val="000F0145"/>
    <w:rsid w:val="000F0689"/>
    <w:rsid w:val="000F07A7"/>
    <w:rsid w:val="000F122E"/>
    <w:rsid w:val="000F1368"/>
    <w:rsid w:val="000F1638"/>
    <w:rsid w:val="000F2125"/>
    <w:rsid w:val="000F2939"/>
    <w:rsid w:val="000F2EA0"/>
    <w:rsid w:val="000F3295"/>
    <w:rsid w:val="000F45D3"/>
    <w:rsid w:val="000F4900"/>
    <w:rsid w:val="000F4E75"/>
    <w:rsid w:val="000F5A64"/>
    <w:rsid w:val="000F6104"/>
    <w:rsid w:val="000F7D49"/>
    <w:rsid w:val="000F7F07"/>
    <w:rsid w:val="000F7F7C"/>
    <w:rsid w:val="00100BB7"/>
    <w:rsid w:val="00100FA7"/>
    <w:rsid w:val="0010110A"/>
    <w:rsid w:val="0010217E"/>
    <w:rsid w:val="001023C8"/>
    <w:rsid w:val="0010438C"/>
    <w:rsid w:val="00105914"/>
    <w:rsid w:val="001072B0"/>
    <w:rsid w:val="00111862"/>
    <w:rsid w:val="00111A38"/>
    <w:rsid w:val="00111F64"/>
    <w:rsid w:val="00112C54"/>
    <w:rsid w:val="00112CA5"/>
    <w:rsid w:val="00112FA9"/>
    <w:rsid w:val="00114CC7"/>
    <w:rsid w:val="00114CC9"/>
    <w:rsid w:val="00116925"/>
    <w:rsid w:val="001177BE"/>
    <w:rsid w:val="001202C1"/>
    <w:rsid w:val="00120D4C"/>
    <w:rsid w:val="00121AF4"/>
    <w:rsid w:val="00121E76"/>
    <w:rsid w:val="00123404"/>
    <w:rsid w:val="00123514"/>
    <w:rsid w:val="00123931"/>
    <w:rsid w:val="00125593"/>
    <w:rsid w:val="00126421"/>
    <w:rsid w:val="001264FA"/>
    <w:rsid w:val="0012735D"/>
    <w:rsid w:val="00130C44"/>
    <w:rsid w:val="00135929"/>
    <w:rsid w:val="00135A8A"/>
    <w:rsid w:val="00135AFA"/>
    <w:rsid w:val="00140CB0"/>
    <w:rsid w:val="00141A6D"/>
    <w:rsid w:val="00142198"/>
    <w:rsid w:val="001427B6"/>
    <w:rsid w:val="001428BB"/>
    <w:rsid w:val="0014474C"/>
    <w:rsid w:val="001450F0"/>
    <w:rsid w:val="001465E4"/>
    <w:rsid w:val="00146657"/>
    <w:rsid w:val="00146D85"/>
    <w:rsid w:val="00150917"/>
    <w:rsid w:val="0015159B"/>
    <w:rsid w:val="0015174B"/>
    <w:rsid w:val="0015181C"/>
    <w:rsid w:val="00151834"/>
    <w:rsid w:val="0015324A"/>
    <w:rsid w:val="0015392E"/>
    <w:rsid w:val="0015466E"/>
    <w:rsid w:val="00154C5A"/>
    <w:rsid w:val="00154D36"/>
    <w:rsid w:val="00155030"/>
    <w:rsid w:val="00155264"/>
    <w:rsid w:val="00155591"/>
    <w:rsid w:val="00155A08"/>
    <w:rsid w:val="001575EE"/>
    <w:rsid w:val="00157C3D"/>
    <w:rsid w:val="0016044B"/>
    <w:rsid w:val="0016078D"/>
    <w:rsid w:val="001616E6"/>
    <w:rsid w:val="00161EA7"/>
    <w:rsid w:val="00162471"/>
    <w:rsid w:val="001624FD"/>
    <w:rsid w:val="00163488"/>
    <w:rsid w:val="001634DE"/>
    <w:rsid w:val="00163592"/>
    <w:rsid w:val="00163C00"/>
    <w:rsid w:val="0016466C"/>
    <w:rsid w:val="001658A2"/>
    <w:rsid w:val="00166EBD"/>
    <w:rsid w:val="00166FF4"/>
    <w:rsid w:val="00167103"/>
    <w:rsid w:val="001677FB"/>
    <w:rsid w:val="001704A6"/>
    <w:rsid w:val="0017121F"/>
    <w:rsid w:val="00171921"/>
    <w:rsid w:val="00171B52"/>
    <w:rsid w:val="00171F24"/>
    <w:rsid w:val="001728AA"/>
    <w:rsid w:val="001739CB"/>
    <w:rsid w:val="001741E5"/>
    <w:rsid w:val="00174E39"/>
    <w:rsid w:val="00175277"/>
    <w:rsid w:val="00176A4C"/>
    <w:rsid w:val="001770F6"/>
    <w:rsid w:val="00177331"/>
    <w:rsid w:val="0017742B"/>
    <w:rsid w:val="00177673"/>
    <w:rsid w:val="00177814"/>
    <w:rsid w:val="0017798A"/>
    <w:rsid w:val="00177CA1"/>
    <w:rsid w:val="00180189"/>
    <w:rsid w:val="00181099"/>
    <w:rsid w:val="0018149D"/>
    <w:rsid w:val="001815CF"/>
    <w:rsid w:val="00182D48"/>
    <w:rsid w:val="00182EF2"/>
    <w:rsid w:val="00183C63"/>
    <w:rsid w:val="00184398"/>
    <w:rsid w:val="00185425"/>
    <w:rsid w:val="0018778B"/>
    <w:rsid w:val="00190038"/>
    <w:rsid w:val="00190822"/>
    <w:rsid w:val="00190A92"/>
    <w:rsid w:val="00191722"/>
    <w:rsid w:val="00191766"/>
    <w:rsid w:val="001927C2"/>
    <w:rsid w:val="00192F61"/>
    <w:rsid w:val="00195BEA"/>
    <w:rsid w:val="00195C61"/>
    <w:rsid w:val="0019606F"/>
    <w:rsid w:val="00196F8E"/>
    <w:rsid w:val="001A0BB4"/>
    <w:rsid w:val="001A0D32"/>
    <w:rsid w:val="001A1DBD"/>
    <w:rsid w:val="001A1DCC"/>
    <w:rsid w:val="001A27AB"/>
    <w:rsid w:val="001A3664"/>
    <w:rsid w:val="001A698A"/>
    <w:rsid w:val="001A74DE"/>
    <w:rsid w:val="001A7527"/>
    <w:rsid w:val="001A76F6"/>
    <w:rsid w:val="001A7C78"/>
    <w:rsid w:val="001B0812"/>
    <w:rsid w:val="001B0F4B"/>
    <w:rsid w:val="001B1CE3"/>
    <w:rsid w:val="001B2B1F"/>
    <w:rsid w:val="001B3FB6"/>
    <w:rsid w:val="001B4F88"/>
    <w:rsid w:val="001B52EB"/>
    <w:rsid w:val="001B6034"/>
    <w:rsid w:val="001B71AC"/>
    <w:rsid w:val="001B724E"/>
    <w:rsid w:val="001B7F0E"/>
    <w:rsid w:val="001C13AF"/>
    <w:rsid w:val="001C1875"/>
    <w:rsid w:val="001C28ED"/>
    <w:rsid w:val="001C3440"/>
    <w:rsid w:val="001C37F7"/>
    <w:rsid w:val="001C3838"/>
    <w:rsid w:val="001C6B92"/>
    <w:rsid w:val="001C7169"/>
    <w:rsid w:val="001C78D4"/>
    <w:rsid w:val="001C7CB5"/>
    <w:rsid w:val="001D0FA7"/>
    <w:rsid w:val="001D18F4"/>
    <w:rsid w:val="001D1A29"/>
    <w:rsid w:val="001D1BDD"/>
    <w:rsid w:val="001D277E"/>
    <w:rsid w:val="001D322C"/>
    <w:rsid w:val="001D42FF"/>
    <w:rsid w:val="001D4FDD"/>
    <w:rsid w:val="001D6025"/>
    <w:rsid w:val="001E1907"/>
    <w:rsid w:val="001E1C65"/>
    <w:rsid w:val="001E1EB8"/>
    <w:rsid w:val="001E2009"/>
    <w:rsid w:val="001E2863"/>
    <w:rsid w:val="001E3A98"/>
    <w:rsid w:val="001E4157"/>
    <w:rsid w:val="001E5773"/>
    <w:rsid w:val="001E5CA9"/>
    <w:rsid w:val="001E6368"/>
    <w:rsid w:val="001E65A6"/>
    <w:rsid w:val="001E705F"/>
    <w:rsid w:val="001E7B75"/>
    <w:rsid w:val="001F0B8C"/>
    <w:rsid w:val="001F0CF5"/>
    <w:rsid w:val="001F1CAF"/>
    <w:rsid w:val="001F1CD9"/>
    <w:rsid w:val="001F1FA5"/>
    <w:rsid w:val="001F21C2"/>
    <w:rsid w:val="001F30AB"/>
    <w:rsid w:val="001F3B2C"/>
    <w:rsid w:val="001F3E36"/>
    <w:rsid w:val="001F44EE"/>
    <w:rsid w:val="001F5011"/>
    <w:rsid w:val="001F5598"/>
    <w:rsid w:val="001F5FC0"/>
    <w:rsid w:val="001F613B"/>
    <w:rsid w:val="001F73D2"/>
    <w:rsid w:val="002002A6"/>
    <w:rsid w:val="00200366"/>
    <w:rsid w:val="00200CDD"/>
    <w:rsid w:val="00200FEB"/>
    <w:rsid w:val="002024CA"/>
    <w:rsid w:val="00202F23"/>
    <w:rsid w:val="0020340C"/>
    <w:rsid w:val="002044B7"/>
    <w:rsid w:val="00204ABA"/>
    <w:rsid w:val="00204CCE"/>
    <w:rsid w:val="00205D8F"/>
    <w:rsid w:val="00206DFC"/>
    <w:rsid w:val="00206E03"/>
    <w:rsid w:val="002072BC"/>
    <w:rsid w:val="00207A64"/>
    <w:rsid w:val="00207C62"/>
    <w:rsid w:val="00207E78"/>
    <w:rsid w:val="002101E6"/>
    <w:rsid w:val="00212C25"/>
    <w:rsid w:val="00213A3C"/>
    <w:rsid w:val="00213F4B"/>
    <w:rsid w:val="002141AC"/>
    <w:rsid w:val="002143D0"/>
    <w:rsid w:val="002143DC"/>
    <w:rsid w:val="00214F4D"/>
    <w:rsid w:val="00215D0D"/>
    <w:rsid w:val="0021600E"/>
    <w:rsid w:val="0021709D"/>
    <w:rsid w:val="00217775"/>
    <w:rsid w:val="00220889"/>
    <w:rsid w:val="00220F70"/>
    <w:rsid w:val="00221485"/>
    <w:rsid w:val="00221EE1"/>
    <w:rsid w:val="00222156"/>
    <w:rsid w:val="00222290"/>
    <w:rsid w:val="00222293"/>
    <w:rsid w:val="002227CE"/>
    <w:rsid w:val="0022503C"/>
    <w:rsid w:val="002252B8"/>
    <w:rsid w:val="002253CE"/>
    <w:rsid w:val="00225EEA"/>
    <w:rsid w:val="002268B3"/>
    <w:rsid w:val="002310BB"/>
    <w:rsid w:val="00231769"/>
    <w:rsid w:val="00231AA1"/>
    <w:rsid w:val="00232748"/>
    <w:rsid w:val="00232963"/>
    <w:rsid w:val="00233C99"/>
    <w:rsid w:val="00233DA3"/>
    <w:rsid w:val="00235197"/>
    <w:rsid w:val="002351A0"/>
    <w:rsid w:val="00235822"/>
    <w:rsid w:val="0023599B"/>
    <w:rsid w:val="00235A32"/>
    <w:rsid w:val="002362DC"/>
    <w:rsid w:val="00236475"/>
    <w:rsid w:val="00236C2E"/>
    <w:rsid w:val="002372AE"/>
    <w:rsid w:val="00237B26"/>
    <w:rsid w:val="0024080B"/>
    <w:rsid w:val="00240FB9"/>
    <w:rsid w:val="00241319"/>
    <w:rsid w:val="002434EF"/>
    <w:rsid w:val="002439F5"/>
    <w:rsid w:val="00244D61"/>
    <w:rsid w:val="00244E32"/>
    <w:rsid w:val="00245207"/>
    <w:rsid w:val="002454E7"/>
    <w:rsid w:val="00246649"/>
    <w:rsid w:val="00246958"/>
    <w:rsid w:val="00246DAF"/>
    <w:rsid w:val="00247002"/>
    <w:rsid w:val="002513FF"/>
    <w:rsid w:val="00251FD0"/>
    <w:rsid w:val="0025232D"/>
    <w:rsid w:val="002538F1"/>
    <w:rsid w:val="00253DED"/>
    <w:rsid w:val="00255BCF"/>
    <w:rsid w:val="002571EE"/>
    <w:rsid w:val="00257CAE"/>
    <w:rsid w:val="00260EDC"/>
    <w:rsid w:val="0026169E"/>
    <w:rsid w:val="002616C4"/>
    <w:rsid w:val="00261836"/>
    <w:rsid w:val="00263AC9"/>
    <w:rsid w:val="002645DB"/>
    <w:rsid w:val="0027091D"/>
    <w:rsid w:val="00271B49"/>
    <w:rsid w:val="0027473D"/>
    <w:rsid w:val="00276463"/>
    <w:rsid w:val="002800C6"/>
    <w:rsid w:val="00282773"/>
    <w:rsid w:val="00283968"/>
    <w:rsid w:val="0028479C"/>
    <w:rsid w:val="002862E1"/>
    <w:rsid w:val="00287D90"/>
    <w:rsid w:val="00291025"/>
    <w:rsid w:val="002915FB"/>
    <w:rsid w:val="00291777"/>
    <w:rsid w:val="00291A81"/>
    <w:rsid w:val="00291B23"/>
    <w:rsid w:val="002934BA"/>
    <w:rsid w:val="00293955"/>
    <w:rsid w:val="00294D79"/>
    <w:rsid w:val="00295C9F"/>
    <w:rsid w:val="0029741C"/>
    <w:rsid w:val="0029764C"/>
    <w:rsid w:val="002A0767"/>
    <w:rsid w:val="002A10A3"/>
    <w:rsid w:val="002A2307"/>
    <w:rsid w:val="002A2E17"/>
    <w:rsid w:val="002A4595"/>
    <w:rsid w:val="002A4D73"/>
    <w:rsid w:val="002A713F"/>
    <w:rsid w:val="002A7FC0"/>
    <w:rsid w:val="002B0B94"/>
    <w:rsid w:val="002B0DCB"/>
    <w:rsid w:val="002B16AA"/>
    <w:rsid w:val="002B1A23"/>
    <w:rsid w:val="002B260B"/>
    <w:rsid w:val="002B469D"/>
    <w:rsid w:val="002B4CD2"/>
    <w:rsid w:val="002B4D99"/>
    <w:rsid w:val="002B4DE8"/>
    <w:rsid w:val="002B5623"/>
    <w:rsid w:val="002B575F"/>
    <w:rsid w:val="002B5877"/>
    <w:rsid w:val="002B59EC"/>
    <w:rsid w:val="002B5E59"/>
    <w:rsid w:val="002B63DF"/>
    <w:rsid w:val="002B6C9B"/>
    <w:rsid w:val="002B7915"/>
    <w:rsid w:val="002B795D"/>
    <w:rsid w:val="002B7D3F"/>
    <w:rsid w:val="002B7E36"/>
    <w:rsid w:val="002C0C17"/>
    <w:rsid w:val="002C103A"/>
    <w:rsid w:val="002C1181"/>
    <w:rsid w:val="002C1325"/>
    <w:rsid w:val="002C1C38"/>
    <w:rsid w:val="002C2035"/>
    <w:rsid w:val="002C2092"/>
    <w:rsid w:val="002C3253"/>
    <w:rsid w:val="002C3387"/>
    <w:rsid w:val="002C3623"/>
    <w:rsid w:val="002C3F7D"/>
    <w:rsid w:val="002C4C15"/>
    <w:rsid w:val="002C4EF6"/>
    <w:rsid w:val="002C5A71"/>
    <w:rsid w:val="002C60D8"/>
    <w:rsid w:val="002C7FCF"/>
    <w:rsid w:val="002D1206"/>
    <w:rsid w:val="002D1528"/>
    <w:rsid w:val="002D1A7F"/>
    <w:rsid w:val="002D1EF8"/>
    <w:rsid w:val="002D2718"/>
    <w:rsid w:val="002D29D0"/>
    <w:rsid w:val="002D32DE"/>
    <w:rsid w:val="002D32FD"/>
    <w:rsid w:val="002D3848"/>
    <w:rsid w:val="002D5177"/>
    <w:rsid w:val="002D7D1A"/>
    <w:rsid w:val="002E042D"/>
    <w:rsid w:val="002E1813"/>
    <w:rsid w:val="002E2AFE"/>
    <w:rsid w:val="002E2F1D"/>
    <w:rsid w:val="002E3ECB"/>
    <w:rsid w:val="002E4189"/>
    <w:rsid w:val="002E47E3"/>
    <w:rsid w:val="002E54E1"/>
    <w:rsid w:val="002E65E7"/>
    <w:rsid w:val="002E6C79"/>
    <w:rsid w:val="002E73F7"/>
    <w:rsid w:val="002F09CB"/>
    <w:rsid w:val="002F1296"/>
    <w:rsid w:val="002F183A"/>
    <w:rsid w:val="002F1BF5"/>
    <w:rsid w:val="002F277A"/>
    <w:rsid w:val="002F2D0D"/>
    <w:rsid w:val="002F2EE9"/>
    <w:rsid w:val="002F587E"/>
    <w:rsid w:val="002F5880"/>
    <w:rsid w:val="002F6E46"/>
    <w:rsid w:val="002F6F44"/>
    <w:rsid w:val="00300639"/>
    <w:rsid w:val="0030160F"/>
    <w:rsid w:val="0030167A"/>
    <w:rsid w:val="00301727"/>
    <w:rsid w:val="003020FD"/>
    <w:rsid w:val="00303513"/>
    <w:rsid w:val="00304024"/>
    <w:rsid w:val="0030444E"/>
    <w:rsid w:val="00305DA2"/>
    <w:rsid w:val="00305EEF"/>
    <w:rsid w:val="003076A1"/>
    <w:rsid w:val="00307FB8"/>
    <w:rsid w:val="00310C74"/>
    <w:rsid w:val="0031392C"/>
    <w:rsid w:val="0031443C"/>
    <w:rsid w:val="0031670E"/>
    <w:rsid w:val="00316A23"/>
    <w:rsid w:val="00316C23"/>
    <w:rsid w:val="00316EB2"/>
    <w:rsid w:val="00317180"/>
    <w:rsid w:val="0032193B"/>
    <w:rsid w:val="00321E12"/>
    <w:rsid w:val="0032253C"/>
    <w:rsid w:val="00322A9C"/>
    <w:rsid w:val="00323AF3"/>
    <w:rsid w:val="0032480C"/>
    <w:rsid w:val="00324C66"/>
    <w:rsid w:val="00324F76"/>
    <w:rsid w:val="00325290"/>
    <w:rsid w:val="003252CE"/>
    <w:rsid w:val="00326DF4"/>
    <w:rsid w:val="003279E8"/>
    <w:rsid w:val="00327F07"/>
    <w:rsid w:val="0032A553"/>
    <w:rsid w:val="00330C70"/>
    <w:rsid w:val="0033197C"/>
    <w:rsid w:val="00332C80"/>
    <w:rsid w:val="00334883"/>
    <w:rsid w:val="00334E27"/>
    <w:rsid w:val="00334F34"/>
    <w:rsid w:val="003354CC"/>
    <w:rsid w:val="0033630B"/>
    <w:rsid w:val="00336372"/>
    <w:rsid w:val="0034037D"/>
    <w:rsid w:val="0034059D"/>
    <w:rsid w:val="00341098"/>
    <w:rsid w:val="00341964"/>
    <w:rsid w:val="00341D74"/>
    <w:rsid w:val="00341FAC"/>
    <w:rsid w:val="00342B2F"/>
    <w:rsid w:val="00343881"/>
    <w:rsid w:val="003439AB"/>
    <w:rsid w:val="00343B76"/>
    <w:rsid w:val="00344C6F"/>
    <w:rsid w:val="003459DF"/>
    <w:rsid w:val="0034666E"/>
    <w:rsid w:val="0034756C"/>
    <w:rsid w:val="00347A34"/>
    <w:rsid w:val="00347C6E"/>
    <w:rsid w:val="003501C7"/>
    <w:rsid w:val="003509A2"/>
    <w:rsid w:val="00351328"/>
    <w:rsid w:val="0035357E"/>
    <w:rsid w:val="00353F15"/>
    <w:rsid w:val="003551D9"/>
    <w:rsid w:val="00355319"/>
    <w:rsid w:val="00355D8F"/>
    <w:rsid w:val="00355F8B"/>
    <w:rsid w:val="00356572"/>
    <w:rsid w:val="00356953"/>
    <w:rsid w:val="00357A25"/>
    <w:rsid w:val="00360731"/>
    <w:rsid w:val="00360981"/>
    <w:rsid w:val="0036153F"/>
    <w:rsid w:val="0036202F"/>
    <w:rsid w:val="00363062"/>
    <w:rsid w:val="003639C7"/>
    <w:rsid w:val="00364031"/>
    <w:rsid w:val="0036490E"/>
    <w:rsid w:val="00364F03"/>
    <w:rsid w:val="003657F9"/>
    <w:rsid w:val="003664E2"/>
    <w:rsid w:val="003664EB"/>
    <w:rsid w:val="0036790B"/>
    <w:rsid w:val="00367925"/>
    <w:rsid w:val="0037087D"/>
    <w:rsid w:val="00370E8E"/>
    <w:rsid w:val="00371B0F"/>
    <w:rsid w:val="00371C8A"/>
    <w:rsid w:val="0037231C"/>
    <w:rsid w:val="00373791"/>
    <w:rsid w:val="00373A03"/>
    <w:rsid w:val="00374835"/>
    <w:rsid w:val="00376E6F"/>
    <w:rsid w:val="00377727"/>
    <w:rsid w:val="00380CEE"/>
    <w:rsid w:val="003814D4"/>
    <w:rsid w:val="00381C1B"/>
    <w:rsid w:val="00381E16"/>
    <w:rsid w:val="00384E36"/>
    <w:rsid w:val="00385D2C"/>
    <w:rsid w:val="0038617C"/>
    <w:rsid w:val="00387A99"/>
    <w:rsid w:val="00391EA0"/>
    <w:rsid w:val="0039260E"/>
    <w:rsid w:val="00392CD5"/>
    <w:rsid w:val="00393877"/>
    <w:rsid w:val="00393CD9"/>
    <w:rsid w:val="00394BFD"/>
    <w:rsid w:val="00395989"/>
    <w:rsid w:val="00396011"/>
    <w:rsid w:val="00396280"/>
    <w:rsid w:val="00396DB5"/>
    <w:rsid w:val="003A003E"/>
    <w:rsid w:val="003A05AC"/>
    <w:rsid w:val="003A1249"/>
    <w:rsid w:val="003A1661"/>
    <w:rsid w:val="003A4229"/>
    <w:rsid w:val="003A4647"/>
    <w:rsid w:val="003A4813"/>
    <w:rsid w:val="003A5C29"/>
    <w:rsid w:val="003A5EEB"/>
    <w:rsid w:val="003A660A"/>
    <w:rsid w:val="003A71B2"/>
    <w:rsid w:val="003B0100"/>
    <w:rsid w:val="003B0DC7"/>
    <w:rsid w:val="003B1D14"/>
    <w:rsid w:val="003B33FB"/>
    <w:rsid w:val="003B344F"/>
    <w:rsid w:val="003B400F"/>
    <w:rsid w:val="003B530D"/>
    <w:rsid w:val="003B60D1"/>
    <w:rsid w:val="003B659A"/>
    <w:rsid w:val="003B7E9B"/>
    <w:rsid w:val="003C0C9E"/>
    <w:rsid w:val="003C10AA"/>
    <w:rsid w:val="003C1576"/>
    <w:rsid w:val="003C180D"/>
    <w:rsid w:val="003C1C21"/>
    <w:rsid w:val="003C1E85"/>
    <w:rsid w:val="003C3902"/>
    <w:rsid w:val="003C394B"/>
    <w:rsid w:val="003C3A6C"/>
    <w:rsid w:val="003C559E"/>
    <w:rsid w:val="003C6EC2"/>
    <w:rsid w:val="003D04D4"/>
    <w:rsid w:val="003D0530"/>
    <w:rsid w:val="003D1743"/>
    <w:rsid w:val="003D1BCA"/>
    <w:rsid w:val="003D1DD8"/>
    <w:rsid w:val="003D3F45"/>
    <w:rsid w:val="003D5CB8"/>
    <w:rsid w:val="003D5F0A"/>
    <w:rsid w:val="003D6401"/>
    <w:rsid w:val="003D73C1"/>
    <w:rsid w:val="003D7CFB"/>
    <w:rsid w:val="003E03D5"/>
    <w:rsid w:val="003E05D6"/>
    <w:rsid w:val="003E0B05"/>
    <w:rsid w:val="003E0D64"/>
    <w:rsid w:val="003E16AB"/>
    <w:rsid w:val="003E2BBD"/>
    <w:rsid w:val="003E39CD"/>
    <w:rsid w:val="003E4004"/>
    <w:rsid w:val="003E4610"/>
    <w:rsid w:val="003E4AB2"/>
    <w:rsid w:val="003E51EA"/>
    <w:rsid w:val="003E520F"/>
    <w:rsid w:val="003E676A"/>
    <w:rsid w:val="003E6C61"/>
    <w:rsid w:val="003E70AF"/>
    <w:rsid w:val="003F0063"/>
    <w:rsid w:val="003F062E"/>
    <w:rsid w:val="003F084E"/>
    <w:rsid w:val="003F0C86"/>
    <w:rsid w:val="003F1000"/>
    <w:rsid w:val="003F1702"/>
    <w:rsid w:val="003F23B0"/>
    <w:rsid w:val="003F240A"/>
    <w:rsid w:val="003F26A1"/>
    <w:rsid w:val="003F35D2"/>
    <w:rsid w:val="003F37EE"/>
    <w:rsid w:val="003F3904"/>
    <w:rsid w:val="003F47FD"/>
    <w:rsid w:val="003F4B0E"/>
    <w:rsid w:val="003F56DB"/>
    <w:rsid w:val="003F5816"/>
    <w:rsid w:val="003F61E8"/>
    <w:rsid w:val="00400CFD"/>
    <w:rsid w:val="00402C43"/>
    <w:rsid w:val="00403947"/>
    <w:rsid w:val="00403BC6"/>
    <w:rsid w:val="0040603E"/>
    <w:rsid w:val="00411C22"/>
    <w:rsid w:val="0041254B"/>
    <w:rsid w:val="00412C70"/>
    <w:rsid w:val="00413498"/>
    <w:rsid w:val="00413D0B"/>
    <w:rsid w:val="0041403A"/>
    <w:rsid w:val="004147CD"/>
    <w:rsid w:val="004148F5"/>
    <w:rsid w:val="00414B89"/>
    <w:rsid w:val="00416290"/>
    <w:rsid w:val="00416C00"/>
    <w:rsid w:val="00416C26"/>
    <w:rsid w:val="004175B7"/>
    <w:rsid w:val="00417ACC"/>
    <w:rsid w:val="00421157"/>
    <w:rsid w:val="00421224"/>
    <w:rsid w:val="00421702"/>
    <w:rsid w:val="00421AF8"/>
    <w:rsid w:val="0042236B"/>
    <w:rsid w:val="00422C71"/>
    <w:rsid w:val="00423762"/>
    <w:rsid w:val="00424369"/>
    <w:rsid w:val="004252A3"/>
    <w:rsid w:val="004257D8"/>
    <w:rsid w:val="0042666D"/>
    <w:rsid w:val="00426AB6"/>
    <w:rsid w:val="00427C4B"/>
    <w:rsid w:val="00430270"/>
    <w:rsid w:val="004314E5"/>
    <w:rsid w:val="00432BE9"/>
    <w:rsid w:val="004337A3"/>
    <w:rsid w:val="00433F7C"/>
    <w:rsid w:val="00434142"/>
    <w:rsid w:val="0043564F"/>
    <w:rsid w:val="004356AE"/>
    <w:rsid w:val="00436C5F"/>
    <w:rsid w:val="00436CB4"/>
    <w:rsid w:val="00437071"/>
    <w:rsid w:val="004400AE"/>
    <w:rsid w:val="00440A28"/>
    <w:rsid w:val="00440B64"/>
    <w:rsid w:val="00442C02"/>
    <w:rsid w:val="0044409A"/>
    <w:rsid w:val="00445881"/>
    <w:rsid w:val="0044616F"/>
    <w:rsid w:val="00446445"/>
    <w:rsid w:val="004473EE"/>
    <w:rsid w:val="00450A59"/>
    <w:rsid w:val="00450B0F"/>
    <w:rsid w:val="00452060"/>
    <w:rsid w:val="004523C7"/>
    <w:rsid w:val="0045298D"/>
    <w:rsid w:val="00453F59"/>
    <w:rsid w:val="00454D77"/>
    <w:rsid w:val="00455E0A"/>
    <w:rsid w:val="00456C63"/>
    <w:rsid w:val="00457523"/>
    <w:rsid w:val="00457AA5"/>
    <w:rsid w:val="00461300"/>
    <w:rsid w:val="00461367"/>
    <w:rsid w:val="00461773"/>
    <w:rsid w:val="00463A3D"/>
    <w:rsid w:val="00463DB0"/>
    <w:rsid w:val="00466119"/>
    <w:rsid w:val="00466393"/>
    <w:rsid w:val="004702A6"/>
    <w:rsid w:val="00471EB1"/>
    <w:rsid w:val="00472066"/>
    <w:rsid w:val="00472193"/>
    <w:rsid w:val="00473625"/>
    <w:rsid w:val="0047374C"/>
    <w:rsid w:val="00473D15"/>
    <w:rsid w:val="00473E11"/>
    <w:rsid w:val="00473F45"/>
    <w:rsid w:val="00473F97"/>
    <w:rsid w:val="00475247"/>
    <w:rsid w:val="00476014"/>
    <w:rsid w:val="00476BCB"/>
    <w:rsid w:val="0048057D"/>
    <w:rsid w:val="004805F1"/>
    <w:rsid w:val="00481F6C"/>
    <w:rsid w:val="00481FC3"/>
    <w:rsid w:val="0048219A"/>
    <w:rsid w:val="0048272A"/>
    <w:rsid w:val="004828B8"/>
    <w:rsid w:val="00482964"/>
    <w:rsid w:val="00482AAC"/>
    <w:rsid w:val="00482F7F"/>
    <w:rsid w:val="004850D3"/>
    <w:rsid w:val="0048605D"/>
    <w:rsid w:val="00486435"/>
    <w:rsid w:val="00486866"/>
    <w:rsid w:val="0048694E"/>
    <w:rsid w:val="004877EB"/>
    <w:rsid w:val="00487C30"/>
    <w:rsid w:val="00490D52"/>
    <w:rsid w:val="00490DE6"/>
    <w:rsid w:val="00491598"/>
    <w:rsid w:val="00491BE4"/>
    <w:rsid w:val="00491CC2"/>
    <w:rsid w:val="00491E6D"/>
    <w:rsid w:val="00491EFA"/>
    <w:rsid w:val="00492B25"/>
    <w:rsid w:val="004935BA"/>
    <w:rsid w:val="00493BBB"/>
    <w:rsid w:val="004943C9"/>
    <w:rsid w:val="00494610"/>
    <w:rsid w:val="0049476A"/>
    <w:rsid w:val="00494884"/>
    <w:rsid w:val="004950EE"/>
    <w:rsid w:val="00495517"/>
    <w:rsid w:val="004959EF"/>
    <w:rsid w:val="00495A11"/>
    <w:rsid w:val="00497571"/>
    <w:rsid w:val="00497BEA"/>
    <w:rsid w:val="00497FF5"/>
    <w:rsid w:val="004A004C"/>
    <w:rsid w:val="004A04EB"/>
    <w:rsid w:val="004A0A3E"/>
    <w:rsid w:val="004A0AC6"/>
    <w:rsid w:val="004A1593"/>
    <w:rsid w:val="004A2273"/>
    <w:rsid w:val="004A239D"/>
    <w:rsid w:val="004A3A88"/>
    <w:rsid w:val="004A3E5F"/>
    <w:rsid w:val="004A49BE"/>
    <w:rsid w:val="004A4B2B"/>
    <w:rsid w:val="004A6DF4"/>
    <w:rsid w:val="004A71C9"/>
    <w:rsid w:val="004A7464"/>
    <w:rsid w:val="004A7A42"/>
    <w:rsid w:val="004A7A57"/>
    <w:rsid w:val="004A7DC0"/>
    <w:rsid w:val="004B067F"/>
    <w:rsid w:val="004B0854"/>
    <w:rsid w:val="004B0D92"/>
    <w:rsid w:val="004B0F3E"/>
    <w:rsid w:val="004B0FA9"/>
    <w:rsid w:val="004B1346"/>
    <w:rsid w:val="004B1FDA"/>
    <w:rsid w:val="004B210F"/>
    <w:rsid w:val="004B4628"/>
    <w:rsid w:val="004B4C38"/>
    <w:rsid w:val="004B5E81"/>
    <w:rsid w:val="004B5FFD"/>
    <w:rsid w:val="004B6243"/>
    <w:rsid w:val="004B7064"/>
    <w:rsid w:val="004C0DBD"/>
    <w:rsid w:val="004C0DF6"/>
    <w:rsid w:val="004C1A98"/>
    <w:rsid w:val="004C237C"/>
    <w:rsid w:val="004C2E2D"/>
    <w:rsid w:val="004C48DF"/>
    <w:rsid w:val="004C4EE8"/>
    <w:rsid w:val="004C5114"/>
    <w:rsid w:val="004C6480"/>
    <w:rsid w:val="004C7C08"/>
    <w:rsid w:val="004D0E80"/>
    <w:rsid w:val="004D0EAC"/>
    <w:rsid w:val="004D1472"/>
    <w:rsid w:val="004D2ACF"/>
    <w:rsid w:val="004D3373"/>
    <w:rsid w:val="004D3490"/>
    <w:rsid w:val="004D3DEB"/>
    <w:rsid w:val="004D401A"/>
    <w:rsid w:val="004D4FAA"/>
    <w:rsid w:val="004D6AC1"/>
    <w:rsid w:val="004E01A9"/>
    <w:rsid w:val="004E0666"/>
    <w:rsid w:val="004E077C"/>
    <w:rsid w:val="004E0CCB"/>
    <w:rsid w:val="004E0EF5"/>
    <w:rsid w:val="004E109E"/>
    <w:rsid w:val="004E1162"/>
    <w:rsid w:val="004E1300"/>
    <w:rsid w:val="004E183C"/>
    <w:rsid w:val="004E27A6"/>
    <w:rsid w:val="004E2AE3"/>
    <w:rsid w:val="004E2CB8"/>
    <w:rsid w:val="004E2D0A"/>
    <w:rsid w:val="004E2D8A"/>
    <w:rsid w:val="004E2FFB"/>
    <w:rsid w:val="004E3157"/>
    <w:rsid w:val="004E3234"/>
    <w:rsid w:val="004E35F9"/>
    <w:rsid w:val="004E385D"/>
    <w:rsid w:val="004E422B"/>
    <w:rsid w:val="004E485E"/>
    <w:rsid w:val="004E4DA9"/>
    <w:rsid w:val="004E4DF2"/>
    <w:rsid w:val="004E501F"/>
    <w:rsid w:val="004E58BB"/>
    <w:rsid w:val="004E64FD"/>
    <w:rsid w:val="004E6FC9"/>
    <w:rsid w:val="004E779F"/>
    <w:rsid w:val="004F16F6"/>
    <w:rsid w:val="004F1D9E"/>
    <w:rsid w:val="004F2C60"/>
    <w:rsid w:val="004F43FA"/>
    <w:rsid w:val="004F4C56"/>
    <w:rsid w:val="004F62C5"/>
    <w:rsid w:val="004F6643"/>
    <w:rsid w:val="004F7DE5"/>
    <w:rsid w:val="005007BD"/>
    <w:rsid w:val="005015F4"/>
    <w:rsid w:val="00503320"/>
    <w:rsid w:val="00503DB4"/>
    <w:rsid w:val="0050501C"/>
    <w:rsid w:val="00506769"/>
    <w:rsid w:val="00506EC4"/>
    <w:rsid w:val="00511D69"/>
    <w:rsid w:val="00512743"/>
    <w:rsid w:val="00513346"/>
    <w:rsid w:val="00515298"/>
    <w:rsid w:val="00515D96"/>
    <w:rsid w:val="00517B84"/>
    <w:rsid w:val="005205C9"/>
    <w:rsid w:val="00520735"/>
    <w:rsid w:val="00522105"/>
    <w:rsid w:val="00522BF9"/>
    <w:rsid w:val="0052319F"/>
    <w:rsid w:val="005235EA"/>
    <w:rsid w:val="00523AB7"/>
    <w:rsid w:val="00523B7C"/>
    <w:rsid w:val="005247C8"/>
    <w:rsid w:val="00524D44"/>
    <w:rsid w:val="00525332"/>
    <w:rsid w:val="00525D54"/>
    <w:rsid w:val="00525FFB"/>
    <w:rsid w:val="00526019"/>
    <w:rsid w:val="0052719A"/>
    <w:rsid w:val="005276A4"/>
    <w:rsid w:val="00527918"/>
    <w:rsid w:val="00527CEE"/>
    <w:rsid w:val="00530336"/>
    <w:rsid w:val="00530665"/>
    <w:rsid w:val="00531588"/>
    <w:rsid w:val="00535524"/>
    <w:rsid w:val="00536191"/>
    <w:rsid w:val="00536214"/>
    <w:rsid w:val="00540862"/>
    <w:rsid w:val="00542861"/>
    <w:rsid w:val="00542AD7"/>
    <w:rsid w:val="00542C0A"/>
    <w:rsid w:val="00543732"/>
    <w:rsid w:val="00543746"/>
    <w:rsid w:val="005447F0"/>
    <w:rsid w:val="00544E69"/>
    <w:rsid w:val="0054726E"/>
    <w:rsid w:val="00547822"/>
    <w:rsid w:val="00547A8B"/>
    <w:rsid w:val="00547AE4"/>
    <w:rsid w:val="00547AF0"/>
    <w:rsid w:val="00547EA2"/>
    <w:rsid w:val="00547F69"/>
    <w:rsid w:val="00551836"/>
    <w:rsid w:val="00552BF4"/>
    <w:rsid w:val="00552C8C"/>
    <w:rsid w:val="00552D48"/>
    <w:rsid w:val="00553070"/>
    <w:rsid w:val="005541E1"/>
    <w:rsid w:val="00554868"/>
    <w:rsid w:val="00555BCB"/>
    <w:rsid w:val="005565D8"/>
    <w:rsid w:val="00556FBB"/>
    <w:rsid w:val="0055777C"/>
    <w:rsid w:val="005577D5"/>
    <w:rsid w:val="00562019"/>
    <w:rsid w:val="00562207"/>
    <w:rsid w:val="00563426"/>
    <w:rsid w:val="00563590"/>
    <w:rsid w:val="00564B37"/>
    <w:rsid w:val="00565159"/>
    <w:rsid w:val="00565D82"/>
    <w:rsid w:val="00566CF6"/>
    <w:rsid w:val="00566E73"/>
    <w:rsid w:val="00567191"/>
    <w:rsid w:val="005707A5"/>
    <w:rsid w:val="00570923"/>
    <w:rsid w:val="00570B70"/>
    <w:rsid w:val="00570E61"/>
    <w:rsid w:val="005715BD"/>
    <w:rsid w:val="005724B5"/>
    <w:rsid w:val="00572622"/>
    <w:rsid w:val="005730C6"/>
    <w:rsid w:val="005740EB"/>
    <w:rsid w:val="00574958"/>
    <w:rsid w:val="00575811"/>
    <w:rsid w:val="00576246"/>
    <w:rsid w:val="00576A5C"/>
    <w:rsid w:val="00577361"/>
    <w:rsid w:val="00580223"/>
    <w:rsid w:val="00580279"/>
    <w:rsid w:val="0058112E"/>
    <w:rsid w:val="00582254"/>
    <w:rsid w:val="00583556"/>
    <w:rsid w:val="00586061"/>
    <w:rsid w:val="00587177"/>
    <w:rsid w:val="0059052A"/>
    <w:rsid w:val="0059100F"/>
    <w:rsid w:val="00591ECC"/>
    <w:rsid w:val="00591FCA"/>
    <w:rsid w:val="00592B1E"/>
    <w:rsid w:val="005934D9"/>
    <w:rsid w:val="0059377E"/>
    <w:rsid w:val="00593C5B"/>
    <w:rsid w:val="005951EE"/>
    <w:rsid w:val="00595F36"/>
    <w:rsid w:val="00596166"/>
    <w:rsid w:val="005961A3"/>
    <w:rsid w:val="00596BD2"/>
    <w:rsid w:val="00596D01"/>
    <w:rsid w:val="00596D64"/>
    <w:rsid w:val="00596FD6"/>
    <w:rsid w:val="00597600"/>
    <w:rsid w:val="005A016D"/>
    <w:rsid w:val="005A1295"/>
    <w:rsid w:val="005A2DDE"/>
    <w:rsid w:val="005A382B"/>
    <w:rsid w:val="005A3E94"/>
    <w:rsid w:val="005A465E"/>
    <w:rsid w:val="005A4A3A"/>
    <w:rsid w:val="005A4ECA"/>
    <w:rsid w:val="005A5774"/>
    <w:rsid w:val="005A5D88"/>
    <w:rsid w:val="005A5E23"/>
    <w:rsid w:val="005A6821"/>
    <w:rsid w:val="005A68CB"/>
    <w:rsid w:val="005A6A8C"/>
    <w:rsid w:val="005A7CFD"/>
    <w:rsid w:val="005A7FE6"/>
    <w:rsid w:val="005B09FF"/>
    <w:rsid w:val="005B0CF5"/>
    <w:rsid w:val="005B0D50"/>
    <w:rsid w:val="005B10B5"/>
    <w:rsid w:val="005B2C29"/>
    <w:rsid w:val="005B3048"/>
    <w:rsid w:val="005B3555"/>
    <w:rsid w:val="005B37A4"/>
    <w:rsid w:val="005B42C8"/>
    <w:rsid w:val="005B44C6"/>
    <w:rsid w:val="005B454A"/>
    <w:rsid w:val="005B468A"/>
    <w:rsid w:val="005B47A0"/>
    <w:rsid w:val="005B50D9"/>
    <w:rsid w:val="005B5119"/>
    <w:rsid w:val="005B5EE7"/>
    <w:rsid w:val="005B6218"/>
    <w:rsid w:val="005B6FBA"/>
    <w:rsid w:val="005C1248"/>
    <w:rsid w:val="005C143C"/>
    <w:rsid w:val="005C164A"/>
    <w:rsid w:val="005C2398"/>
    <w:rsid w:val="005C3514"/>
    <w:rsid w:val="005C3821"/>
    <w:rsid w:val="005C3938"/>
    <w:rsid w:val="005C3B53"/>
    <w:rsid w:val="005C3CA6"/>
    <w:rsid w:val="005C40A5"/>
    <w:rsid w:val="005C4387"/>
    <w:rsid w:val="005C521D"/>
    <w:rsid w:val="005C56DF"/>
    <w:rsid w:val="005C637A"/>
    <w:rsid w:val="005C6597"/>
    <w:rsid w:val="005C6B28"/>
    <w:rsid w:val="005C6BD8"/>
    <w:rsid w:val="005C6E39"/>
    <w:rsid w:val="005C73C2"/>
    <w:rsid w:val="005C7CDD"/>
    <w:rsid w:val="005D0F34"/>
    <w:rsid w:val="005D1B1F"/>
    <w:rsid w:val="005D2691"/>
    <w:rsid w:val="005D2BA2"/>
    <w:rsid w:val="005D2CB0"/>
    <w:rsid w:val="005D32ED"/>
    <w:rsid w:val="005D33C2"/>
    <w:rsid w:val="005D41CB"/>
    <w:rsid w:val="005D4922"/>
    <w:rsid w:val="005D7506"/>
    <w:rsid w:val="005D7755"/>
    <w:rsid w:val="005E0A41"/>
    <w:rsid w:val="005E0EBE"/>
    <w:rsid w:val="005E179E"/>
    <w:rsid w:val="005E2467"/>
    <w:rsid w:val="005E2574"/>
    <w:rsid w:val="005E38AA"/>
    <w:rsid w:val="005E3A11"/>
    <w:rsid w:val="005E41D9"/>
    <w:rsid w:val="005E566B"/>
    <w:rsid w:val="005E6284"/>
    <w:rsid w:val="005F0386"/>
    <w:rsid w:val="005F1E39"/>
    <w:rsid w:val="005F315B"/>
    <w:rsid w:val="005F358E"/>
    <w:rsid w:val="005F3B1B"/>
    <w:rsid w:val="005F51A0"/>
    <w:rsid w:val="005F7D6D"/>
    <w:rsid w:val="0060155B"/>
    <w:rsid w:val="00602283"/>
    <w:rsid w:val="0060234B"/>
    <w:rsid w:val="0060283D"/>
    <w:rsid w:val="006028CD"/>
    <w:rsid w:val="00602F3C"/>
    <w:rsid w:val="00603B58"/>
    <w:rsid w:val="00604CE9"/>
    <w:rsid w:val="00604EC1"/>
    <w:rsid w:val="0060630D"/>
    <w:rsid w:val="00606C71"/>
    <w:rsid w:val="00606EC4"/>
    <w:rsid w:val="00610767"/>
    <w:rsid w:val="006109C4"/>
    <w:rsid w:val="00610B5D"/>
    <w:rsid w:val="00610D53"/>
    <w:rsid w:val="00611F61"/>
    <w:rsid w:val="0061230D"/>
    <w:rsid w:val="0061237D"/>
    <w:rsid w:val="00612CE2"/>
    <w:rsid w:val="0061304E"/>
    <w:rsid w:val="00613D6F"/>
    <w:rsid w:val="00615722"/>
    <w:rsid w:val="006157E5"/>
    <w:rsid w:val="006204A6"/>
    <w:rsid w:val="006222D2"/>
    <w:rsid w:val="00622A45"/>
    <w:rsid w:val="006253E9"/>
    <w:rsid w:val="006256DD"/>
    <w:rsid w:val="00625DF7"/>
    <w:rsid w:val="00627A23"/>
    <w:rsid w:val="00627BED"/>
    <w:rsid w:val="006306CB"/>
    <w:rsid w:val="00631042"/>
    <w:rsid w:val="00631612"/>
    <w:rsid w:val="00631827"/>
    <w:rsid w:val="00631C71"/>
    <w:rsid w:val="00632EA2"/>
    <w:rsid w:val="0063300D"/>
    <w:rsid w:val="00633894"/>
    <w:rsid w:val="006338B1"/>
    <w:rsid w:val="0063451D"/>
    <w:rsid w:val="00634559"/>
    <w:rsid w:val="00635852"/>
    <w:rsid w:val="00635D1C"/>
    <w:rsid w:val="00636C14"/>
    <w:rsid w:val="00636D03"/>
    <w:rsid w:val="0063789E"/>
    <w:rsid w:val="00637A8A"/>
    <w:rsid w:val="00637F7E"/>
    <w:rsid w:val="006404C6"/>
    <w:rsid w:val="00640D5F"/>
    <w:rsid w:val="00641683"/>
    <w:rsid w:val="006430AF"/>
    <w:rsid w:val="00644D5F"/>
    <w:rsid w:val="00646102"/>
    <w:rsid w:val="00646330"/>
    <w:rsid w:val="00646AF4"/>
    <w:rsid w:val="0064714F"/>
    <w:rsid w:val="006472AA"/>
    <w:rsid w:val="006477FC"/>
    <w:rsid w:val="00647BAB"/>
    <w:rsid w:val="00651221"/>
    <w:rsid w:val="00651960"/>
    <w:rsid w:val="00652037"/>
    <w:rsid w:val="006532B7"/>
    <w:rsid w:val="00654575"/>
    <w:rsid w:val="006548C8"/>
    <w:rsid w:val="00654DC1"/>
    <w:rsid w:val="00654EC2"/>
    <w:rsid w:val="00655364"/>
    <w:rsid w:val="00655DA1"/>
    <w:rsid w:val="006569E6"/>
    <w:rsid w:val="00656A30"/>
    <w:rsid w:val="00656DC7"/>
    <w:rsid w:val="00657170"/>
    <w:rsid w:val="00657456"/>
    <w:rsid w:val="006577F7"/>
    <w:rsid w:val="00660A67"/>
    <w:rsid w:val="006630FE"/>
    <w:rsid w:val="006638E2"/>
    <w:rsid w:val="00664469"/>
    <w:rsid w:val="006646EA"/>
    <w:rsid w:val="00665B3A"/>
    <w:rsid w:val="00665C78"/>
    <w:rsid w:val="006663E8"/>
    <w:rsid w:val="00666725"/>
    <w:rsid w:val="00666887"/>
    <w:rsid w:val="00667366"/>
    <w:rsid w:val="006678EA"/>
    <w:rsid w:val="00667CB6"/>
    <w:rsid w:val="00667FB6"/>
    <w:rsid w:val="00667FDF"/>
    <w:rsid w:val="006702EF"/>
    <w:rsid w:val="00671474"/>
    <w:rsid w:val="006714BF"/>
    <w:rsid w:val="00671E91"/>
    <w:rsid w:val="0067215A"/>
    <w:rsid w:val="00673C52"/>
    <w:rsid w:val="00673CAC"/>
    <w:rsid w:val="00673FB0"/>
    <w:rsid w:val="006767FC"/>
    <w:rsid w:val="00676B67"/>
    <w:rsid w:val="006801D7"/>
    <w:rsid w:val="00680423"/>
    <w:rsid w:val="00681386"/>
    <w:rsid w:val="00682A88"/>
    <w:rsid w:val="006830ED"/>
    <w:rsid w:val="00683403"/>
    <w:rsid w:val="006841EB"/>
    <w:rsid w:val="00685F12"/>
    <w:rsid w:val="00686B6C"/>
    <w:rsid w:val="00687195"/>
    <w:rsid w:val="00687B48"/>
    <w:rsid w:val="00690402"/>
    <w:rsid w:val="00690676"/>
    <w:rsid w:val="006915AB"/>
    <w:rsid w:val="006935E1"/>
    <w:rsid w:val="00693917"/>
    <w:rsid w:val="00694844"/>
    <w:rsid w:val="00694EDB"/>
    <w:rsid w:val="00695B03"/>
    <w:rsid w:val="00696BAB"/>
    <w:rsid w:val="006A0CFF"/>
    <w:rsid w:val="006A1103"/>
    <w:rsid w:val="006A12B9"/>
    <w:rsid w:val="006A1EEE"/>
    <w:rsid w:val="006A3080"/>
    <w:rsid w:val="006A39F8"/>
    <w:rsid w:val="006A3B32"/>
    <w:rsid w:val="006A4CEA"/>
    <w:rsid w:val="006A4DF6"/>
    <w:rsid w:val="006A5279"/>
    <w:rsid w:val="006A6490"/>
    <w:rsid w:val="006A6778"/>
    <w:rsid w:val="006A6F38"/>
    <w:rsid w:val="006A7015"/>
    <w:rsid w:val="006A701D"/>
    <w:rsid w:val="006A7F43"/>
    <w:rsid w:val="006B0101"/>
    <w:rsid w:val="006B0326"/>
    <w:rsid w:val="006B1DFD"/>
    <w:rsid w:val="006B287D"/>
    <w:rsid w:val="006B29F7"/>
    <w:rsid w:val="006B4565"/>
    <w:rsid w:val="006B70B2"/>
    <w:rsid w:val="006C01BA"/>
    <w:rsid w:val="006C053A"/>
    <w:rsid w:val="006C0746"/>
    <w:rsid w:val="006C09E2"/>
    <w:rsid w:val="006C1C29"/>
    <w:rsid w:val="006C2FA1"/>
    <w:rsid w:val="006C31BC"/>
    <w:rsid w:val="006C3CAD"/>
    <w:rsid w:val="006C495A"/>
    <w:rsid w:val="006C497C"/>
    <w:rsid w:val="006C515A"/>
    <w:rsid w:val="006C5E29"/>
    <w:rsid w:val="006C63C0"/>
    <w:rsid w:val="006C6A0C"/>
    <w:rsid w:val="006D0C82"/>
    <w:rsid w:val="006D1B06"/>
    <w:rsid w:val="006D217B"/>
    <w:rsid w:val="006D2FD5"/>
    <w:rsid w:val="006D3BE8"/>
    <w:rsid w:val="006D50A3"/>
    <w:rsid w:val="006D54ED"/>
    <w:rsid w:val="006D5E15"/>
    <w:rsid w:val="006D5F6F"/>
    <w:rsid w:val="006D60D1"/>
    <w:rsid w:val="006D6468"/>
    <w:rsid w:val="006D690A"/>
    <w:rsid w:val="006D6ABA"/>
    <w:rsid w:val="006D6C33"/>
    <w:rsid w:val="006D6C68"/>
    <w:rsid w:val="006E00F9"/>
    <w:rsid w:val="006E0913"/>
    <w:rsid w:val="006E0929"/>
    <w:rsid w:val="006E0BFF"/>
    <w:rsid w:val="006E2A5E"/>
    <w:rsid w:val="006E3EB1"/>
    <w:rsid w:val="006E5416"/>
    <w:rsid w:val="006E64D0"/>
    <w:rsid w:val="006E6AF9"/>
    <w:rsid w:val="006E77F8"/>
    <w:rsid w:val="006E7CA2"/>
    <w:rsid w:val="006F099B"/>
    <w:rsid w:val="006F1132"/>
    <w:rsid w:val="006F2909"/>
    <w:rsid w:val="006F3368"/>
    <w:rsid w:val="006F5102"/>
    <w:rsid w:val="006F5159"/>
    <w:rsid w:val="006F63E1"/>
    <w:rsid w:val="007001F1"/>
    <w:rsid w:val="0070035E"/>
    <w:rsid w:val="00700ABD"/>
    <w:rsid w:val="00702248"/>
    <w:rsid w:val="00702680"/>
    <w:rsid w:val="00702A3E"/>
    <w:rsid w:val="00702FBA"/>
    <w:rsid w:val="00704249"/>
    <w:rsid w:val="00704555"/>
    <w:rsid w:val="00704FA2"/>
    <w:rsid w:val="00705E62"/>
    <w:rsid w:val="00705E7C"/>
    <w:rsid w:val="007066F1"/>
    <w:rsid w:val="00707052"/>
    <w:rsid w:val="00707468"/>
    <w:rsid w:val="00707C8E"/>
    <w:rsid w:val="00710505"/>
    <w:rsid w:val="0071075A"/>
    <w:rsid w:val="00710C6F"/>
    <w:rsid w:val="00711094"/>
    <w:rsid w:val="00711925"/>
    <w:rsid w:val="007125C9"/>
    <w:rsid w:val="00712C8A"/>
    <w:rsid w:val="00712F1E"/>
    <w:rsid w:val="00714A9C"/>
    <w:rsid w:val="00715C9D"/>
    <w:rsid w:val="00715CA4"/>
    <w:rsid w:val="007169E2"/>
    <w:rsid w:val="00717064"/>
    <w:rsid w:val="007171D9"/>
    <w:rsid w:val="00717213"/>
    <w:rsid w:val="007177AC"/>
    <w:rsid w:val="00717A11"/>
    <w:rsid w:val="00720798"/>
    <w:rsid w:val="00720EBA"/>
    <w:rsid w:val="00721864"/>
    <w:rsid w:val="00721AC8"/>
    <w:rsid w:val="00722469"/>
    <w:rsid w:val="00723283"/>
    <w:rsid w:val="007237D6"/>
    <w:rsid w:val="00723C8D"/>
    <w:rsid w:val="00725088"/>
    <w:rsid w:val="007266ED"/>
    <w:rsid w:val="007308F0"/>
    <w:rsid w:val="007323B4"/>
    <w:rsid w:val="00732589"/>
    <w:rsid w:val="00732DC3"/>
    <w:rsid w:val="007334BA"/>
    <w:rsid w:val="007334BB"/>
    <w:rsid w:val="00734F35"/>
    <w:rsid w:val="007360C3"/>
    <w:rsid w:val="007362F5"/>
    <w:rsid w:val="00741167"/>
    <w:rsid w:val="00741FE3"/>
    <w:rsid w:val="007424A3"/>
    <w:rsid w:val="0074413C"/>
    <w:rsid w:val="00745EA3"/>
    <w:rsid w:val="00746AFE"/>
    <w:rsid w:val="00747477"/>
    <w:rsid w:val="007505DC"/>
    <w:rsid w:val="0075141D"/>
    <w:rsid w:val="0075283E"/>
    <w:rsid w:val="00753878"/>
    <w:rsid w:val="00753D5C"/>
    <w:rsid w:val="007559BC"/>
    <w:rsid w:val="00755C4F"/>
    <w:rsid w:val="007560EF"/>
    <w:rsid w:val="00756101"/>
    <w:rsid w:val="007563B8"/>
    <w:rsid w:val="00757654"/>
    <w:rsid w:val="00757B9F"/>
    <w:rsid w:val="00757F74"/>
    <w:rsid w:val="00762544"/>
    <w:rsid w:val="007626A0"/>
    <w:rsid w:val="007630DD"/>
    <w:rsid w:val="00763CE6"/>
    <w:rsid w:val="007645ED"/>
    <w:rsid w:val="007646C5"/>
    <w:rsid w:val="00764C66"/>
    <w:rsid w:val="00764F86"/>
    <w:rsid w:val="0076709F"/>
    <w:rsid w:val="00767A97"/>
    <w:rsid w:val="0077023F"/>
    <w:rsid w:val="00770ECE"/>
    <w:rsid w:val="007729F9"/>
    <w:rsid w:val="00774119"/>
    <w:rsid w:val="00774A3A"/>
    <w:rsid w:val="00774A51"/>
    <w:rsid w:val="0077535F"/>
    <w:rsid w:val="00775380"/>
    <w:rsid w:val="00775FCB"/>
    <w:rsid w:val="00776D2E"/>
    <w:rsid w:val="007772AD"/>
    <w:rsid w:val="007772B5"/>
    <w:rsid w:val="0077737A"/>
    <w:rsid w:val="00777BD3"/>
    <w:rsid w:val="007804BD"/>
    <w:rsid w:val="007807A3"/>
    <w:rsid w:val="0078080F"/>
    <w:rsid w:val="00780E57"/>
    <w:rsid w:val="00781C94"/>
    <w:rsid w:val="007821C7"/>
    <w:rsid w:val="007834AA"/>
    <w:rsid w:val="00783C07"/>
    <w:rsid w:val="00784D9D"/>
    <w:rsid w:val="00785644"/>
    <w:rsid w:val="00786C74"/>
    <w:rsid w:val="007878A5"/>
    <w:rsid w:val="00787FBB"/>
    <w:rsid w:val="00790C26"/>
    <w:rsid w:val="00791202"/>
    <w:rsid w:val="0079266F"/>
    <w:rsid w:val="00793377"/>
    <w:rsid w:val="00793CFB"/>
    <w:rsid w:val="007942DC"/>
    <w:rsid w:val="00795F13"/>
    <w:rsid w:val="0079648B"/>
    <w:rsid w:val="00796829"/>
    <w:rsid w:val="007978DA"/>
    <w:rsid w:val="007A1268"/>
    <w:rsid w:val="007A16DE"/>
    <w:rsid w:val="007A3036"/>
    <w:rsid w:val="007A35DB"/>
    <w:rsid w:val="007A3F28"/>
    <w:rsid w:val="007A4FF1"/>
    <w:rsid w:val="007A57D0"/>
    <w:rsid w:val="007A5927"/>
    <w:rsid w:val="007A5DD8"/>
    <w:rsid w:val="007A647E"/>
    <w:rsid w:val="007A68DF"/>
    <w:rsid w:val="007A700E"/>
    <w:rsid w:val="007A7331"/>
    <w:rsid w:val="007A74B0"/>
    <w:rsid w:val="007B0C16"/>
    <w:rsid w:val="007B16EE"/>
    <w:rsid w:val="007B17FD"/>
    <w:rsid w:val="007B1F86"/>
    <w:rsid w:val="007B20CD"/>
    <w:rsid w:val="007B212C"/>
    <w:rsid w:val="007B2429"/>
    <w:rsid w:val="007B2A35"/>
    <w:rsid w:val="007B2D88"/>
    <w:rsid w:val="007B52E6"/>
    <w:rsid w:val="007B5D72"/>
    <w:rsid w:val="007B6802"/>
    <w:rsid w:val="007B6E08"/>
    <w:rsid w:val="007B7571"/>
    <w:rsid w:val="007B75EB"/>
    <w:rsid w:val="007C072A"/>
    <w:rsid w:val="007C1487"/>
    <w:rsid w:val="007C1B9D"/>
    <w:rsid w:val="007C34BB"/>
    <w:rsid w:val="007C4490"/>
    <w:rsid w:val="007C459B"/>
    <w:rsid w:val="007C4B50"/>
    <w:rsid w:val="007C4B76"/>
    <w:rsid w:val="007C5765"/>
    <w:rsid w:val="007C5FC6"/>
    <w:rsid w:val="007C615F"/>
    <w:rsid w:val="007C6423"/>
    <w:rsid w:val="007C67D7"/>
    <w:rsid w:val="007C6FAE"/>
    <w:rsid w:val="007C77B8"/>
    <w:rsid w:val="007D0193"/>
    <w:rsid w:val="007D08F4"/>
    <w:rsid w:val="007D113A"/>
    <w:rsid w:val="007D1442"/>
    <w:rsid w:val="007D25AC"/>
    <w:rsid w:val="007D2723"/>
    <w:rsid w:val="007D5151"/>
    <w:rsid w:val="007D5389"/>
    <w:rsid w:val="007D54C8"/>
    <w:rsid w:val="007D5815"/>
    <w:rsid w:val="007D5A52"/>
    <w:rsid w:val="007D5A8D"/>
    <w:rsid w:val="007D6558"/>
    <w:rsid w:val="007D6975"/>
    <w:rsid w:val="007D72ED"/>
    <w:rsid w:val="007D7D76"/>
    <w:rsid w:val="007E010B"/>
    <w:rsid w:val="007E1213"/>
    <w:rsid w:val="007E19FF"/>
    <w:rsid w:val="007E3698"/>
    <w:rsid w:val="007E4486"/>
    <w:rsid w:val="007E449E"/>
    <w:rsid w:val="007E454A"/>
    <w:rsid w:val="007E4EE0"/>
    <w:rsid w:val="007E5505"/>
    <w:rsid w:val="007E5DB7"/>
    <w:rsid w:val="007E5E2A"/>
    <w:rsid w:val="007E6815"/>
    <w:rsid w:val="007E6CD5"/>
    <w:rsid w:val="007E7526"/>
    <w:rsid w:val="007E7D3C"/>
    <w:rsid w:val="007E7F8C"/>
    <w:rsid w:val="007F045E"/>
    <w:rsid w:val="007F1BA0"/>
    <w:rsid w:val="007F2808"/>
    <w:rsid w:val="007F2B63"/>
    <w:rsid w:val="007F2BE9"/>
    <w:rsid w:val="007F3064"/>
    <w:rsid w:val="007F33FD"/>
    <w:rsid w:val="007F3FBD"/>
    <w:rsid w:val="007F5EA2"/>
    <w:rsid w:val="007F609B"/>
    <w:rsid w:val="007F72B8"/>
    <w:rsid w:val="007F7E77"/>
    <w:rsid w:val="00800000"/>
    <w:rsid w:val="00800728"/>
    <w:rsid w:val="00800885"/>
    <w:rsid w:val="00800CAE"/>
    <w:rsid w:val="00801396"/>
    <w:rsid w:val="008013DD"/>
    <w:rsid w:val="00802262"/>
    <w:rsid w:val="0080319C"/>
    <w:rsid w:val="0080435C"/>
    <w:rsid w:val="00804B1F"/>
    <w:rsid w:val="00804E26"/>
    <w:rsid w:val="00805DEE"/>
    <w:rsid w:val="00806A68"/>
    <w:rsid w:val="0080753F"/>
    <w:rsid w:val="00810938"/>
    <w:rsid w:val="0081449F"/>
    <w:rsid w:val="00820402"/>
    <w:rsid w:val="0082079D"/>
    <w:rsid w:val="008209E9"/>
    <w:rsid w:val="0082142A"/>
    <w:rsid w:val="0082168E"/>
    <w:rsid w:val="008216A7"/>
    <w:rsid w:val="00821A60"/>
    <w:rsid w:val="00821FD5"/>
    <w:rsid w:val="00823989"/>
    <w:rsid w:val="0082650A"/>
    <w:rsid w:val="00827E5E"/>
    <w:rsid w:val="00830051"/>
    <w:rsid w:val="00830C7B"/>
    <w:rsid w:val="00831165"/>
    <w:rsid w:val="008325D0"/>
    <w:rsid w:val="0083386D"/>
    <w:rsid w:val="00833FFB"/>
    <w:rsid w:val="0083442E"/>
    <w:rsid w:val="008346F4"/>
    <w:rsid w:val="00834B59"/>
    <w:rsid w:val="008359C3"/>
    <w:rsid w:val="00836906"/>
    <w:rsid w:val="00836CC5"/>
    <w:rsid w:val="008400B5"/>
    <w:rsid w:val="008409F4"/>
    <w:rsid w:val="00841E04"/>
    <w:rsid w:val="00842198"/>
    <w:rsid w:val="00842639"/>
    <w:rsid w:val="00842682"/>
    <w:rsid w:val="00843EF7"/>
    <w:rsid w:val="008448F7"/>
    <w:rsid w:val="00844B56"/>
    <w:rsid w:val="00844B62"/>
    <w:rsid w:val="00844BD8"/>
    <w:rsid w:val="00844D97"/>
    <w:rsid w:val="00845793"/>
    <w:rsid w:val="008463CC"/>
    <w:rsid w:val="0084671A"/>
    <w:rsid w:val="0084696D"/>
    <w:rsid w:val="00846F80"/>
    <w:rsid w:val="008502C8"/>
    <w:rsid w:val="00850911"/>
    <w:rsid w:val="00851227"/>
    <w:rsid w:val="008516D7"/>
    <w:rsid w:val="00852F8D"/>
    <w:rsid w:val="008540B8"/>
    <w:rsid w:val="0085420E"/>
    <w:rsid w:val="00854AF1"/>
    <w:rsid w:val="00854CB2"/>
    <w:rsid w:val="00854F7B"/>
    <w:rsid w:val="00855771"/>
    <w:rsid w:val="00855E03"/>
    <w:rsid w:val="008570B8"/>
    <w:rsid w:val="008572B2"/>
    <w:rsid w:val="00857534"/>
    <w:rsid w:val="0085783B"/>
    <w:rsid w:val="00860738"/>
    <w:rsid w:val="00861729"/>
    <w:rsid w:val="00861BA5"/>
    <w:rsid w:val="00862576"/>
    <w:rsid w:val="0086279F"/>
    <w:rsid w:val="00863C18"/>
    <w:rsid w:val="00863E11"/>
    <w:rsid w:val="00865F69"/>
    <w:rsid w:val="00867C1D"/>
    <w:rsid w:val="00867D79"/>
    <w:rsid w:val="00867E6A"/>
    <w:rsid w:val="008709B6"/>
    <w:rsid w:val="008718E8"/>
    <w:rsid w:val="00871954"/>
    <w:rsid w:val="0087240D"/>
    <w:rsid w:val="008737D6"/>
    <w:rsid w:val="00873A29"/>
    <w:rsid w:val="00873F84"/>
    <w:rsid w:val="0087445C"/>
    <w:rsid w:val="0087507C"/>
    <w:rsid w:val="0087662F"/>
    <w:rsid w:val="00876AFD"/>
    <w:rsid w:val="00876B5E"/>
    <w:rsid w:val="008802FF"/>
    <w:rsid w:val="00880C8B"/>
    <w:rsid w:val="00880D4D"/>
    <w:rsid w:val="00881695"/>
    <w:rsid w:val="008818FE"/>
    <w:rsid w:val="0088200B"/>
    <w:rsid w:val="00882115"/>
    <w:rsid w:val="0088284D"/>
    <w:rsid w:val="00882C68"/>
    <w:rsid w:val="0088348B"/>
    <w:rsid w:val="00883643"/>
    <w:rsid w:val="00883FB1"/>
    <w:rsid w:val="008912B8"/>
    <w:rsid w:val="008913D1"/>
    <w:rsid w:val="0089161C"/>
    <w:rsid w:val="00891904"/>
    <w:rsid w:val="00892206"/>
    <w:rsid w:val="008944C3"/>
    <w:rsid w:val="0089452F"/>
    <w:rsid w:val="008954AA"/>
    <w:rsid w:val="008954F3"/>
    <w:rsid w:val="00895822"/>
    <w:rsid w:val="00895D08"/>
    <w:rsid w:val="00895E8F"/>
    <w:rsid w:val="00895EB9"/>
    <w:rsid w:val="00895FE8"/>
    <w:rsid w:val="0089674D"/>
    <w:rsid w:val="00896DCF"/>
    <w:rsid w:val="00897A78"/>
    <w:rsid w:val="008A0838"/>
    <w:rsid w:val="008A0BA7"/>
    <w:rsid w:val="008A109B"/>
    <w:rsid w:val="008A190F"/>
    <w:rsid w:val="008A1A12"/>
    <w:rsid w:val="008A1D09"/>
    <w:rsid w:val="008A220F"/>
    <w:rsid w:val="008A2C8A"/>
    <w:rsid w:val="008A321C"/>
    <w:rsid w:val="008A36F2"/>
    <w:rsid w:val="008A4958"/>
    <w:rsid w:val="008A4971"/>
    <w:rsid w:val="008A761C"/>
    <w:rsid w:val="008A7803"/>
    <w:rsid w:val="008A78B3"/>
    <w:rsid w:val="008A7CD8"/>
    <w:rsid w:val="008B215E"/>
    <w:rsid w:val="008B2194"/>
    <w:rsid w:val="008B3108"/>
    <w:rsid w:val="008B5074"/>
    <w:rsid w:val="008B51FC"/>
    <w:rsid w:val="008B54BB"/>
    <w:rsid w:val="008B68D9"/>
    <w:rsid w:val="008B7B57"/>
    <w:rsid w:val="008C00E5"/>
    <w:rsid w:val="008C0DFB"/>
    <w:rsid w:val="008C13C0"/>
    <w:rsid w:val="008C2F98"/>
    <w:rsid w:val="008C4051"/>
    <w:rsid w:val="008C6205"/>
    <w:rsid w:val="008C6582"/>
    <w:rsid w:val="008D051A"/>
    <w:rsid w:val="008D2FEB"/>
    <w:rsid w:val="008D3456"/>
    <w:rsid w:val="008D39D8"/>
    <w:rsid w:val="008D3BDC"/>
    <w:rsid w:val="008D47F1"/>
    <w:rsid w:val="008D4BA9"/>
    <w:rsid w:val="008D658E"/>
    <w:rsid w:val="008D6CE7"/>
    <w:rsid w:val="008D7135"/>
    <w:rsid w:val="008E0BC4"/>
    <w:rsid w:val="008E145A"/>
    <w:rsid w:val="008E20CB"/>
    <w:rsid w:val="008E49CD"/>
    <w:rsid w:val="008E4A41"/>
    <w:rsid w:val="008E5945"/>
    <w:rsid w:val="008E59C3"/>
    <w:rsid w:val="008E6B93"/>
    <w:rsid w:val="008E6FDB"/>
    <w:rsid w:val="008F02EB"/>
    <w:rsid w:val="008F1298"/>
    <w:rsid w:val="008F19C1"/>
    <w:rsid w:val="008F1B38"/>
    <w:rsid w:val="008F2E0B"/>
    <w:rsid w:val="008F36EC"/>
    <w:rsid w:val="008F38EA"/>
    <w:rsid w:val="008F3942"/>
    <w:rsid w:val="008F3A8B"/>
    <w:rsid w:val="008F3ABE"/>
    <w:rsid w:val="008F3CA9"/>
    <w:rsid w:val="008F54A6"/>
    <w:rsid w:val="008F5F04"/>
    <w:rsid w:val="008F68A4"/>
    <w:rsid w:val="008F75E3"/>
    <w:rsid w:val="008F7C21"/>
    <w:rsid w:val="009003CD"/>
    <w:rsid w:val="009006C1"/>
    <w:rsid w:val="00900BD3"/>
    <w:rsid w:val="00900C4F"/>
    <w:rsid w:val="00901299"/>
    <w:rsid w:val="009016E9"/>
    <w:rsid w:val="00901C25"/>
    <w:rsid w:val="00902D29"/>
    <w:rsid w:val="00902F15"/>
    <w:rsid w:val="009036FA"/>
    <w:rsid w:val="00903F35"/>
    <w:rsid w:val="00904855"/>
    <w:rsid w:val="00906ABC"/>
    <w:rsid w:val="00906B50"/>
    <w:rsid w:val="00906C12"/>
    <w:rsid w:val="00906FB2"/>
    <w:rsid w:val="00907BE3"/>
    <w:rsid w:val="0091106D"/>
    <w:rsid w:val="009116DC"/>
    <w:rsid w:val="00911A74"/>
    <w:rsid w:val="009124B6"/>
    <w:rsid w:val="0091426E"/>
    <w:rsid w:val="00915D51"/>
    <w:rsid w:val="00917170"/>
    <w:rsid w:val="00920F21"/>
    <w:rsid w:val="00923C0D"/>
    <w:rsid w:val="00923CA6"/>
    <w:rsid w:val="00923DED"/>
    <w:rsid w:val="00924636"/>
    <w:rsid w:val="00925006"/>
    <w:rsid w:val="0092714B"/>
    <w:rsid w:val="00930942"/>
    <w:rsid w:val="009314C8"/>
    <w:rsid w:val="00931712"/>
    <w:rsid w:val="0093276F"/>
    <w:rsid w:val="009340FD"/>
    <w:rsid w:val="00936A17"/>
    <w:rsid w:val="00936ACB"/>
    <w:rsid w:val="00936B63"/>
    <w:rsid w:val="00936C2A"/>
    <w:rsid w:val="00937739"/>
    <w:rsid w:val="009402D9"/>
    <w:rsid w:val="00940326"/>
    <w:rsid w:val="0094105F"/>
    <w:rsid w:val="0094208C"/>
    <w:rsid w:val="00942F03"/>
    <w:rsid w:val="0094370B"/>
    <w:rsid w:val="009442A9"/>
    <w:rsid w:val="00945A77"/>
    <w:rsid w:val="00945E28"/>
    <w:rsid w:val="00946F17"/>
    <w:rsid w:val="009472E3"/>
    <w:rsid w:val="00947AD9"/>
    <w:rsid w:val="00947BA0"/>
    <w:rsid w:val="0095075A"/>
    <w:rsid w:val="00950B63"/>
    <w:rsid w:val="00950DBF"/>
    <w:rsid w:val="00952480"/>
    <w:rsid w:val="00952591"/>
    <w:rsid w:val="00955321"/>
    <w:rsid w:val="0095574A"/>
    <w:rsid w:val="00956FC1"/>
    <w:rsid w:val="00957739"/>
    <w:rsid w:val="0096190E"/>
    <w:rsid w:val="00961B68"/>
    <w:rsid w:val="00962084"/>
    <w:rsid w:val="0096228B"/>
    <w:rsid w:val="00962CBC"/>
    <w:rsid w:val="00964BC6"/>
    <w:rsid w:val="00965C14"/>
    <w:rsid w:val="00966A85"/>
    <w:rsid w:val="0096755F"/>
    <w:rsid w:val="0096773F"/>
    <w:rsid w:val="0096789B"/>
    <w:rsid w:val="00967EF9"/>
    <w:rsid w:val="0097154A"/>
    <w:rsid w:val="009718E9"/>
    <w:rsid w:val="00972CB5"/>
    <w:rsid w:val="0097416B"/>
    <w:rsid w:val="009749F0"/>
    <w:rsid w:val="00977647"/>
    <w:rsid w:val="00977AD5"/>
    <w:rsid w:val="0098002D"/>
    <w:rsid w:val="009818C1"/>
    <w:rsid w:val="009833D2"/>
    <w:rsid w:val="00984176"/>
    <w:rsid w:val="0098501E"/>
    <w:rsid w:val="00985345"/>
    <w:rsid w:val="009854E2"/>
    <w:rsid w:val="0098552A"/>
    <w:rsid w:val="0098607E"/>
    <w:rsid w:val="009866F5"/>
    <w:rsid w:val="00986F10"/>
    <w:rsid w:val="009878D0"/>
    <w:rsid w:val="00990F07"/>
    <w:rsid w:val="00991726"/>
    <w:rsid w:val="00992BCF"/>
    <w:rsid w:val="0099400E"/>
    <w:rsid w:val="00994DE8"/>
    <w:rsid w:val="00996B2C"/>
    <w:rsid w:val="0099734F"/>
    <w:rsid w:val="009A0608"/>
    <w:rsid w:val="009A0838"/>
    <w:rsid w:val="009A0CD1"/>
    <w:rsid w:val="009A2380"/>
    <w:rsid w:val="009A279C"/>
    <w:rsid w:val="009A3E7F"/>
    <w:rsid w:val="009A413A"/>
    <w:rsid w:val="009A57B7"/>
    <w:rsid w:val="009A5AFD"/>
    <w:rsid w:val="009A5E76"/>
    <w:rsid w:val="009A6AF1"/>
    <w:rsid w:val="009A6FC5"/>
    <w:rsid w:val="009A75B7"/>
    <w:rsid w:val="009A7877"/>
    <w:rsid w:val="009A7DB6"/>
    <w:rsid w:val="009B0249"/>
    <w:rsid w:val="009B03DC"/>
    <w:rsid w:val="009B0818"/>
    <w:rsid w:val="009B121F"/>
    <w:rsid w:val="009B1280"/>
    <w:rsid w:val="009B171E"/>
    <w:rsid w:val="009B2CE3"/>
    <w:rsid w:val="009B353A"/>
    <w:rsid w:val="009B35DA"/>
    <w:rsid w:val="009B53CD"/>
    <w:rsid w:val="009B6176"/>
    <w:rsid w:val="009B6C04"/>
    <w:rsid w:val="009B6CEA"/>
    <w:rsid w:val="009B70BB"/>
    <w:rsid w:val="009C07B5"/>
    <w:rsid w:val="009C2C6B"/>
    <w:rsid w:val="009C2FF1"/>
    <w:rsid w:val="009C49F3"/>
    <w:rsid w:val="009C5117"/>
    <w:rsid w:val="009C513E"/>
    <w:rsid w:val="009C52A3"/>
    <w:rsid w:val="009C61A2"/>
    <w:rsid w:val="009C6412"/>
    <w:rsid w:val="009C695D"/>
    <w:rsid w:val="009C7C58"/>
    <w:rsid w:val="009D11EB"/>
    <w:rsid w:val="009D1A11"/>
    <w:rsid w:val="009D1CF7"/>
    <w:rsid w:val="009D3C85"/>
    <w:rsid w:val="009D412E"/>
    <w:rsid w:val="009D5662"/>
    <w:rsid w:val="009D5D17"/>
    <w:rsid w:val="009D6AEB"/>
    <w:rsid w:val="009D6B4F"/>
    <w:rsid w:val="009D6C99"/>
    <w:rsid w:val="009D6F02"/>
    <w:rsid w:val="009E00AD"/>
    <w:rsid w:val="009E0D7C"/>
    <w:rsid w:val="009E1143"/>
    <w:rsid w:val="009E1F02"/>
    <w:rsid w:val="009E2509"/>
    <w:rsid w:val="009E363F"/>
    <w:rsid w:val="009E3A4C"/>
    <w:rsid w:val="009E41B3"/>
    <w:rsid w:val="009E41F6"/>
    <w:rsid w:val="009E5B50"/>
    <w:rsid w:val="009E5C83"/>
    <w:rsid w:val="009E5D42"/>
    <w:rsid w:val="009E5E1E"/>
    <w:rsid w:val="009E65CF"/>
    <w:rsid w:val="009E7A0C"/>
    <w:rsid w:val="009F0163"/>
    <w:rsid w:val="009F0BCC"/>
    <w:rsid w:val="009F1357"/>
    <w:rsid w:val="009F236F"/>
    <w:rsid w:val="009F2880"/>
    <w:rsid w:val="009F3CE0"/>
    <w:rsid w:val="009F3EBE"/>
    <w:rsid w:val="009F4267"/>
    <w:rsid w:val="009F4A2E"/>
    <w:rsid w:val="009F4CBB"/>
    <w:rsid w:val="009F5715"/>
    <w:rsid w:val="009F5D11"/>
    <w:rsid w:val="00A00587"/>
    <w:rsid w:val="00A01194"/>
    <w:rsid w:val="00A012AC"/>
    <w:rsid w:val="00A04458"/>
    <w:rsid w:val="00A05C65"/>
    <w:rsid w:val="00A06AC2"/>
    <w:rsid w:val="00A070B4"/>
    <w:rsid w:val="00A072EB"/>
    <w:rsid w:val="00A07D04"/>
    <w:rsid w:val="00A10087"/>
    <w:rsid w:val="00A1054A"/>
    <w:rsid w:val="00A10F62"/>
    <w:rsid w:val="00A11066"/>
    <w:rsid w:val="00A11218"/>
    <w:rsid w:val="00A1147A"/>
    <w:rsid w:val="00A115A2"/>
    <w:rsid w:val="00A12091"/>
    <w:rsid w:val="00A1247C"/>
    <w:rsid w:val="00A12F56"/>
    <w:rsid w:val="00A133B7"/>
    <w:rsid w:val="00A149DB"/>
    <w:rsid w:val="00A14EDF"/>
    <w:rsid w:val="00A1673E"/>
    <w:rsid w:val="00A167DB"/>
    <w:rsid w:val="00A17C65"/>
    <w:rsid w:val="00A17CBF"/>
    <w:rsid w:val="00A212AB"/>
    <w:rsid w:val="00A21B42"/>
    <w:rsid w:val="00A22671"/>
    <w:rsid w:val="00A22BA1"/>
    <w:rsid w:val="00A234AC"/>
    <w:rsid w:val="00A23A09"/>
    <w:rsid w:val="00A23F5E"/>
    <w:rsid w:val="00A2406E"/>
    <w:rsid w:val="00A24105"/>
    <w:rsid w:val="00A248E3"/>
    <w:rsid w:val="00A25AC5"/>
    <w:rsid w:val="00A2633B"/>
    <w:rsid w:val="00A267DC"/>
    <w:rsid w:val="00A26CE0"/>
    <w:rsid w:val="00A2723B"/>
    <w:rsid w:val="00A274F0"/>
    <w:rsid w:val="00A27D7B"/>
    <w:rsid w:val="00A315DB"/>
    <w:rsid w:val="00A31C97"/>
    <w:rsid w:val="00A31E1A"/>
    <w:rsid w:val="00A32050"/>
    <w:rsid w:val="00A32C13"/>
    <w:rsid w:val="00A34293"/>
    <w:rsid w:val="00A356A8"/>
    <w:rsid w:val="00A35B76"/>
    <w:rsid w:val="00A361F6"/>
    <w:rsid w:val="00A366A9"/>
    <w:rsid w:val="00A36737"/>
    <w:rsid w:val="00A36806"/>
    <w:rsid w:val="00A3749F"/>
    <w:rsid w:val="00A3768E"/>
    <w:rsid w:val="00A37B91"/>
    <w:rsid w:val="00A40B30"/>
    <w:rsid w:val="00A41A71"/>
    <w:rsid w:val="00A450DC"/>
    <w:rsid w:val="00A45423"/>
    <w:rsid w:val="00A46EAF"/>
    <w:rsid w:val="00A50BB4"/>
    <w:rsid w:val="00A50FD6"/>
    <w:rsid w:val="00A50FEF"/>
    <w:rsid w:val="00A51593"/>
    <w:rsid w:val="00A51B94"/>
    <w:rsid w:val="00A53A76"/>
    <w:rsid w:val="00A53CD9"/>
    <w:rsid w:val="00A54851"/>
    <w:rsid w:val="00A54E94"/>
    <w:rsid w:val="00A553D4"/>
    <w:rsid w:val="00A55BFB"/>
    <w:rsid w:val="00A5602B"/>
    <w:rsid w:val="00A563AD"/>
    <w:rsid w:val="00A57F78"/>
    <w:rsid w:val="00A611A0"/>
    <w:rsid w:val="00A61578"/>
    <w:rsid w:val="00A61AC1"/>
    <w:rsid w:val="00A625D7"/>
    <w:rsid w:val="00A62D07"/>
    <w:rsid w:val="00A637E4"/>
    <w:rsid w:val="00A6458C"/>
    <w:rsid w:val="00A64FA4"/>
    <w:rsid w:val="00A65922"/>
    <w:rsid w:val="00A65E1E"/>
    <w:rsid w:val="00A66CE0"/>
    <w:rsid w:val="00A70CDB"/>
    <w:rsid w:val="00A7122A"/>
    <w:rsid w:val="00A72FC0"/>
    <w:rsid w:val="00A7312D"/>
    <w:rsid w:val="00A74543"/>
    <w:rsid w:val="00A74E1F"/>
    <w:rsid w:val="00A75AE2"/>
    <w:rsid w:val="00A75D82"/>
    <w:rsid w:val="00A779B5"/>
    <w:rsid w:val="00A80500"/>
    <w:rsid w:val="00A80CB5"/>
    <w:rsid w:val="00A81F04"/>
    <w:rsid w:val="00A82677"/>
    <w:rsid w:val="00A82D18"/>
    <w:rsid w:val="00A83942"/>
    <w:rsid w:val="00A83C9A"/>
    <w:rsid w:val="00A85D11"/>
    <w:rsid w:val="00A86293"/>
    <w:rsid w:val="00A87EBA"/>
    <w:rsid w:val="00A931AF"/>
    <w:rsid w:val="00A937FA"/>
    <w:rsid w:val="00A9428A"/>
    <w:rsid w:val="00A95890"/>
    <w:rsid w:val="00A95E3E"/>
    <w:rsid w:val="00A96A3B"/>
    <w:rsid w:val="00A96EA4"/>
    <w:rsid w:val="00A97DED"/>
    <w:rsid w:val="00AA0021"/>
    <w:rsid w:val="00AA01BD"/>
    <w:rsid w:val="00AA0414"/>
    <w:rsid w:val="00AA1F64"/>
    <w:rsid w:val="00AA2562"/>
    <w:rsid w:val="00AA2B4A"/>
    <w:rsid w:val="00AA3C8D"/>
    <w:rsid w:val="00AA3D04"/>
    <w:rsid w:val="00AA4B3D"/>
    <w:rsid w:val="00AA4FA1"/>
    <w:rsid w:val="00AA56E6"/>
    <w:rsid w:val="00AA675E"/>
    <w:rsid w:val="00AA68F9"/>
    <w:rsid w:val="00AA6BC2"/>
    <w:rsid w:val="00AB0613"/>
    <w:rsid w:val="00AB1951"/>
    <w:rsid w:val="00AB2A59"/>
    <w:rsid w:val="00AB3956"/>
    <w:rsid w:val="00AB3AD5"/>
    <w:rsid w:val="00AB3CC4"/>
    <w:rsid w:val="00AB3E64"/>
    <w:rsid w:val="00AB4000"/>
    <w:rsid w:val="00AB4652"/>
    <w:rsid w:val="00AB591B"/>
    <w:rsid w:val="00AB6617"/>
    <w:rsid w:val="00AB67BE"/>
    <w:rsid w:val="00AB6B24"/>
    <w:rsid w:val="00AB7203"/>
    <w:rsid w:val="00AB7C4E"/>
    <w:rsid w:val="00AC0708"/>
    <w:rsid w:val="00AC1AEF"/>
    <w:rsid w:val="00AC3744"/>
    <w:rsid w:val="00AC4057"/>
    <w:rsid w:val="00AC4C3E"/>
    <w:rsid w:val="00AC5807"/>
    <w:rsid w:val="00AC5CCF"/>
    <w:rsid w:val="00AC6AFA"/>
    <w:rsid w:val="00AC6E86"/>
    <w:rsid w:val="00AC6F42"/>
    <w:rsid w:val="00AC7186"/>
    <w:rsid w:val="00AC7C47"/>
    <w:rsid w:val="00AD1E53"/>
    <w:rsid w:val="00AD35C7"/>
    <w:rsid w:val="00AD35EF"/>
    <w:rsid w:val="00AD40B8"/>
    <w:rsid w:val="00AD4491"/>
    <w:rsid w:val="00AD5DFC"/>
    <w:rsid w:val="00AD6F89"/>
    <w:rsid w:val="00AE0822"/>
    <w:rsid w:val="00AE10D6"/>
    <w:rsid w:val="00AE1769"/>
    <w:rsid w:val="00AE19F2"/>
    <w:rsid w:val="00AE3495"/>
    <w:rsid w:val="00AE353B"/>
    <w:rsid w:val="00AE3592"/>
    <w:rsid w:val="00AE38CF"/>
    <w:rsid w:val="00AE392A"/>
    <w:rsid w:val="00AE55BE"/>
    <w:rsid w:val="00AE5B76"/>
    <w:rsid w:val="00AE67E5"/>
    <w:rsid w:val="00AE6900"/>
    <w:rsid w:val="00AF0683"/>
    <w:rsid w:val="00AF1431"/>
    <w:rsid w:val="00AF254C"/>
    <w:rsid w:val="00AF2E07"/>
    <w:rsid w:val="00AF2F51"/>
    <w:rsid w:val="00AF32C1"/>
    <w:rsid w:val="00AF4537"/>
    <w:rsid w:val="00AF51C1"/>
    <w:rsid w:val="00AF5478"/>
    <w:rsid w:val="00AF54AD"/>
    <w:rsid w:val="00AF5F22"/>
    <w:rsid w:val="00AF62AA"/>
    <w:rsid w:val="00AF6F99"/>
    <w:rsid w:val="00AF7DFE"/>
    <w:rsid w:val="00B002F2"/>
    <w:rsid w:val="00B00C0E"/>
    <w:rsid w:val="00B01A05"/>
    <w:rsid w:val="00B021CD"/>
    <w:rsid w:val="00B02491"/>
    <w:rsid w:val="00B02E59"/>
    <w:rsid w:val="00B03011"/>
    <w:rsid w:val="00B04913"/>
    <w:rsid w:val="00B05C66"/>
    <w:rsid w:val="00B06FA1"/>
    <w:rsid w:val="00B078C2"/>
    <w:rsid w:val="00B0791A"/>
    <w:rsid w:val="00B1067F"/>
    <w:rsid w:val="00B10B84"/>
    <w:rsid w:val="00B11417"/>
    <w:rsid w:val="00B11ADC"/>
    <w:rsid w:val="00B122BF"/>
    <w:rsid w:val="00B13EF6"/>
    <w:rsid w:val="00B150D3"/>
    <w:rsid w:val="00B15BE5"/>
    <w:rsid w:val="00B16950"/>
    <w:rsid w:val="00B16A95"/>
    <w:rsid w:val="00B16C95"/>
    <w:rsid w:val="00B174BE"/>
    <w:rsid w:val="00B20CBC"/>
    <w:rsid w:val="00B21573"/>
    <w:rsid w:val="00B21B07"/>
    <w:rsid w:val="00B228CD"/>
    <w:rsid w:val="00B22E64"/>
    <w:rsid w:val="00B23717"/>
    <w:rsid w:val="00B2379E"/>
    <w:rsid w:val="00B24351"/>
    <w:rsid w:val="00B24460"/>
    <w:rsid w:val="00B2482C"/>
    <w:rsid w:val="00B25075"/>
    <w:rsid w:val="00B25312"/>
    <w:rsid w:val="00B25E37"/>
    <w:rsid w:val="00B25F62"/>
    <w:rsid w:val="00B26049"/>
    <w:rsid w:val="00B269C3"/>
    <w:rsid w:val="00B27D66"/>
    <w:rsid w:val="00B30A8C"/>
    <w:rsid w:val="00B31486"/>
    <w:rsid w:val="00B31D4F"/>
    <w:rsid w:val="00B31F98"/>
    <w:rsid w:val="00B346DC"/>
    <w:rsid w:val="00B355E6"/>
    <w:rsid w:val="00B364AF"/>
    <w:rsid w:val="00B37242"/>
    <w:rsid w:val="00B4180C"/>
    <w:rsid w:val="00B42776"/>
    <w:rsid w:val="00B42B9B"/>
    <w:rsid w:val="00B42FDE"/>
    <w:rsid w:val="00B43047"/>
    <w:rsid w:val="00B43115"/>
    <w:rsid w:val="00B43ADD"/>
    <w:rsid w:val="00B4576C"/>
    <w:rsid w:val="00B457A7"/>
    <w:rsid w:val="00B46100"/>
    <w:rsid w:val="00B47651"/>
    <w:rsid w:val="00B50235"/>
    <w:rsid w:val="00B51B98"/>
    <w:rsid w:val="00B527E8"/>
    <w:rsid w:val="00B52F7D"/>
    <w:rsid w:val="00B53480"/>
    <w:rsid w:val="00B53606"/>
    <w:rsid w:val="00B53761"/>
    <w:rsid w:val="00B5476C"/>
    <w:rsid w:val="00B55008"/>
    <w:rsid w:val="00B5543D"/>
    <w:rsid w:val="00B55BEB"/>
    <w:rsid w:val="00B5603F"/>
    <w:rsid w:val="00B5665D"/>
    <w:rsid w:val="00B56E03"/>
    <w:rsid w:val="00B61DBA"/>
    <w:rsid w:val="00B62604"/>
    <w:rsid w:val="00B6283F"/>
    <w:rsid w:val="00B6290D"/>
    <w:rsid w:val="00B62911"/>
    <w:rsid w:val="00B62DF0"/>
    <w:rsid w:val="00B63711"/>
    <w:rsid w:val="00B6487E"/>
    <w:rsid w:val="00B64B54"/>
    <w:rsid w:val="00B65B03"/>
    <w:rsid w:val="00B66871"/>
    <w:rsid w:val="00B67115"/>
    <w:rsid w:val="00B671D1"/>
    <w:rsid w:val="00B70E08"/>
    <w:rsid w:val="00B713A1"/>
    <w:rsid w:val="00B714C4"/>
    <w:rsid w:val="00B72129"/>
    <w:rsid w:val="00B735D5"/>
    <w:rsid w:val="00B73E6B"/>
    <w:rsid w:val="00B749ED"/>
    <w:rsid w:val="00B74DAC"/>
    <w:rsid w:val="00B7573B"/>
    <w:rsid w:val="00B7629C"/>
    <w:rsid w:val="00B77129"/>
    <w:rsid w:val="00B77476"/>
    <w:rsid w:val="00B8030D"/>
    <w:rsid w:val="00B804F5"/>
    <w:rsid w:val="00B81DE1"/>
    <w:rsid w:val="00B821AD"/>
    <w:rsid w:val="00B82BBC"/>
    <w:rsid w:val="00B83649"/>
    <w:rsid w:val="00B83A54"/>
    <w:rsid w:val="00B83CE2"/>
    <w:rsid w:val="00B83E61"/>
    <w:rsid w:val="00B83E78"/>
    <w:rsid w:val="00B84476"/>
    <w:rsid w:val="00B85508"/>
    <w:rsid w:val="00B85892"/>
    <w:rsid w:val="00B85C26"/>
    <w:rsid w:val="00B868C7"/>
    <w:rsid w:val="00B87D8D"/>
    <w:rsid w:val="00B90645"/>
    <w:rsid w:val="00B906F9"/>
    <w:rsid w:val="00B91D15"/>
    <w:rsid w:val="00B925F5"/>
    <w:rsid w:val="00B92BF0"/>
    <w:rsid w:val="00B932C1"/>
    <w:rsid w:val="00B937A3"/>
    <w:rsid w:val="00B94207"/>
    <w:rsid w:val="00B94BB9"/>
    <w:rsid w:val="00B94C63"/>
    <w:rsid w:val="00B957C1"/>
    <w:rsid w:val="00B95F82"/>
    <w:rsid w:val="00B9606E"/>
    <w:rsid w:val="00BA08AA"/>
    <w:rsid w:val="00BA112E"/>
    <w:rsid w:val="00BA165E"/>
    <w:rsid w:val="00BA2214"/>
    <w:rsid w:val="00BA315E"/>
    <w:rsid w:val="00BA3404"/>
    <w:rsid w:val="00BA3647"/>
    <w:rsid w:val="00BA373E"/>
    <w:rsid w:val="00BA3808"/>
    <w:rsid w:val="00BA4552"/>
    <w:rsid w:val="00BA474C"/>
    <w:rsid w:val="00BA64EF"/>
    <w:rsid w:val="00BA73F2"/>
    <w:rsid w:val="00BA74AC"/>
    <w:rsid w:val="00BA75B6"/>
    <w:rsid w:val="00BB122C"/>
    <w:rsid w:val="00BB172F"/>
    <w:rsid w:val="00BB18C2"/>
    <w:rsid w:val="00BB1B95"/>
    <w:rsid w:val="00BB27A1"/>
    <w:rsid w:val="00BB283E"/>
    <w:rsid w:val="00BB38D3"/>
    <w:rsid w:val="00BB48A7"/>
    <w:rsid w:val="00BB52B2"/>
    <w:rsid w:val="00BB53D1"/>
    <w:rsid w:val="00BB5416"/>
    <w:rsid w:val="00BB5A52"/>
    <w:rsid w:val="00BB6A74"/>
    <w:rsid w:val="00BB6D9B"/>
    <w:rsid w:val="00BB70F8"/>
    <w:rsid w:val="00BC108F"/>
    <w:rsid w:val="00BC10E5"/>
    <w:rsid w:val="00BC14A2"/>
    <w:rsid w:val="00BC1939"/>
    <w:rsid w:val="00BC1D09"/>
    <w:rsid w:val="00BC23E2"/>
    <w:rsid w:val="00BC3A2F"/>
    <w:rsid w:val="00BC3DA9"/>
    <w:rsid w:val="00BC4DE4"/>
    <w:rsid w:val="00BC55A8"/>
    <w:rsid w:val="00BC5992"/>
    <w:rsid w:val="00BC6A16"/>
    <w:rsid w:val="00BC7280"/>
    <w:rsid w:val="00BC7A53"/>
    <w:rsid w:val="00BC7B2C"/>
    <w:rsid w:val="00BD07E3"/>
    <w:rsid w:val="00BD11FA"/>
    <w:rsid w:val="00BD19D4"/>
    <w:rsid w:val="00BD2D84"/>
    <w:rsid w:val="00BD3E37"/>
    <w:rsid w:val="00BD400C"/>
    <w:rsid w:val="00BD4664"/>
    <w:rsid w:val="00BD5089"/>
    <w:rsid w:val="00BD529B"/>
    <w:rsid w:val="00BD5A3C"/>
    <w:rsid w:val="00BD6245"/>
    <w:rsid w:val="00BD6BD0"/>
    <w:rsid w:val="00BD72C0"/>
    <w:rsid w:val="00BE091B"/>
    <w:rsid w:val="00BE0C56"/>
    <w:rsid w:val="00BE0E64"/>
    <w:rsid w:val="00BE18AB"/>
    <w:rsid w:val="00BE327E"/>
    <w:rsid w:val="00BE390D"/>
    <w:rsid w:val="00BE3D0F"/>
    <w:rsid w:val="00BE52BA"/>
    <w:rsid w:val="00BE6548"/>
    <w:rsid w:val="00BE73E3"/>
    <w:rsid w:val="00BE787C"/>
    <w:rsid w:val="00BF1E92"/>
    <w:rsid w:val="00BF29CF"/>
    <w:rsid w:val="00BF37B8"/>
    <w:rsid w:val="00BF4FC3"/>
    <w:rsid w:val="00BF5FF0"/>
    <w:rsid w:val="00BF6B21"/>
    <w:rsid w:val="00BF7CF4"/>
    <w:rsid w:val="00C00391"/>
    <w:rsid w:val="00C00904"/>
    <w:rsid w:val="00C01216"/>
    <w:rsid w:val="00C015FC"/>
    <w:rsid w:val="00C01E4B"/>
    <w:rsid w:val="00C02BDE"/>
    <w:rsid w:val="00C02D5B"/>
    <w:rsid w:val="00C033AD"/>
    <w:rsid w:val="00C03C96"/>
    <w:rsid w:val="00C040D2"/>
    <w:rsid w:val="00C05B62"/>
    <w:rsid w:val="00C05C20"/>
    <w:rsid w:val="00C05FA4"/>
    <w:rsid w:val="00C062BA"/>
    <w:rsid w:val="00C11059"/>
    <w:rsid w:val="00C1187E"/>
    <w:rsid w:val="00C134E6"/>
    <w:rsid w:val="00C135EB"/>
    <w:rsid w:val="00C1360B"/>
    <w:rsid w:val="00C139AF"/>
    <w:rsid w:val="00C145C0"/>
    <w:rsid w:val="00C14A2D"/>
    <w:rsid w:val="00C14E34"/>
    <w:rsid w:val="00C15842"/>
    <w:rsid w:val="00C1715C"/>
    <w:rsid w:val="00C1763E"/>
    <w:rsid w:val="00C21640"/>
    <w:rsid w:val="00C22D6B"/>
    <w:rsid w:val="00C2432A"/>
    <w:rsid w:val="00C24EC9"/>
    <w:rsid w:val="00C25E75"/>
    <w:rsid w:val="00C27358"/>
    <w:rsid w:val="00C277F3"/>
    <w:rsid w:val="00C27AFF"/>
    <w:rsid w:val="00C30CA4"/>
    <w:rsid w:val="00C30D4A"/>
    <w:rsid w:val="00C3289A"/>
    <w:rsid w:val="00C33118"/>
    <w:rsid w:val="00C33317"/>
    <w:rsid w:val="00C3346C"/>
    <w:rsid w:val="00C3436B"/>
    <w:rsid w:val="00C35DFC"/>
    <w:rsid w:val="00C36181"/>
    <w:rsid w:val="00C374D9"/>
    <w:rsid w:val="00C40FBA"/>
    <w:rsid w:val="00C43BD0"/>
    <w:rsid w:val="00C448FC"/>
    <w:rsid w:val="00C44D93"/>
    <w:rsid w:val="00C45858"/>
    <w:rsid w:val="00C4633F"/>
    <w:rsid w:val="00C47B1C"/>
    <w:rsid w:val="00C47D84"/>
    <w:rsid w:val="00C50344"/>
    <w:rsid w:val="00C50D42"/>
    <w:rsid w:val="00C514C3"/>
    <w:rsid w:val="00C51BAE"/>
    <w:rsid w:val="00C51F2B"/>
    <w:rsid w:val="00C52050"/>
    <w:rsid w:val="00C531E8"/>
    <w:rsid w:val="00C5402C"/>
    <w:rsid w:val="00C552C5"/>
    <w:rsid w:val="00C55665"/>
    <w:rsid w:val="00C55CA2"/>
    <w:rsid w:val="00C565F4"/>
    <w:rsid w:val="00C56A2B"/>
    <w:rsid w:val="00C56A87"/>
    <w:rsid w:val="00C570F8"/>
    <w:rsid w:val="00C57788"/>
    <w:rsid w:val="00C57B42"/>
    <w:rsid w:val="00C60C95"/>
    <w:rsid w:val="00C61003"/>
    <w:rsid w:val="00C61552"/>
    <w:rsid w:val="00C621F3"/>
    <w:rsid w:val="00C629E0"/>
    <w:rsid w:val="00C62C70"/>
    <w:rsid w:val="00C63C9F"/>
    <w:rsid w:val="00C66274"/>
    <w:rsid w:val="00C66A8F"/>
    <w:rsid w:val="00C66F76"/>
    <w:rsid w:val="00C67A3B"/>
    <w:rsid w:val="00C72857"/>
    <w:rsid w:val="00C72EAE"/>
    <w:rsid w:val="00C734CA"/>
    <w:rsid w:val="00C73D59"/>
    <w:rsid w:val="00C743E5"/>
    <w:rsid w:val="00C75305"/>
    <w:rsid w:val="00C753E3"/>
    <w:rsid w:val="00C77830"/>
    <w:rsid w:val="00C80531"/>
    <w:rsid w:val="00C8088D"/>
    <w:rsid w:val="00C80E0F"/>
    <w:rsid w:val="00C81BAD"/>
    <w:rsid w:val="00C839B3"/>
    <w:rsid w:val="00C849C2"/>
    <w:rsid w:val="00C87043"/>
    <w:rsid w:val="00C871A4"/>
    <w:rsid w:val="00C8737B"/>
    <w:rsid w:val="00C90767"/>
    <w:rsid w:val="00C90AC8"/>
    <w:rsid w:val="00C911C2"/>
    <w:rsid w:val="00C91CD1"/>
    <w:rsid w:val="00C921DE"/>
    <w:rsid w:val="00C92FB0"/>
    <w:rsid w:val="00C948CD"/>
    <w:rsid w:val="00C94A44"/>
    <w:rsid w:val="00C9670D"/>
    <w:rsid w:val="00C96764"/>
    <w:rsid w:val="00C9762D"/>
    <w:rsid w:val="00C97F8C"/>
    <w:rsid w:val="00CA0E0C"/>
    <w:rsid w:val="00CA1D1A"/>
    <w:rsid w:val="00CA3874"/>
    <w:rsid w:val="00CA517F"/>
    <w:rsid w:val="00CA54A5"/>
    <w:rsid w:val="00CA6091"/>
    <w:rsid w:val="00CA71CC"/>
    <w:rsid w:val="00CB0900"/>
    <w:rsid w:val="00CB1C6D"/>
    <w:rsid w:val="00CB2824"/>
    <w:rsid w:val="00CB2A50"/>
    <w:rsid w:val="00CB5225"/>
    <w:rsid w:val="00CB6A08"/>
    <w:rsid w:val="00CB75C3"/>
    <w:rsid w:val="00CC015D"/>
    <w:rsid w:val="00CC09A3"/>
    <w:rsid w:val="00CC0B65"/>
    <w:rsid w:val="00CC225D"/>
    <w:rsid w:val="00CC2D20"/>
    <w:rsid w:val="00CC366D"/>
    <w:rsid w:val="00CC44FD"/>
    <w:rsid w:val="00CC4582"/>
    <w:rsid w:val="00CC4CA2"/>
    <w:rsid w:val="00CC529D"/>
    <w:rsid w:val="00CC5BCD"/>
    <w:rsid w:val="00CC6303"/>
    <w:rsid w:val="00CC65B3"/>
    <w:rsid w:val="00CC65E8"/>
    <w:rsid w:val="00CC7D1A"/>
    <w:rsid w:val="00CC7E7B"/>
    <w:rsid w:val="00CD1669"/>
    <w:rsid w:val="00CD1CF8"/>
    <w:rsid w:val="00CD2635"/>
    <w:rsid w:val="00CD2A50"/>
    <w:rsid w:val="00CD2D98"/>
    <w:rsid w:val="00CD49F5"/>
    <w:rsid w:val="00CD572D"/>
    <w:rsid w:val="00CD5C6D"/>
    <w:rsid w:val="00CD67A7"/>
    <w:rsid w:val="00CD75DA"/>
    <w:rsid w:val="00CE0B67"/>
    <w:rsid w:val="00CE0FC2"/>
    <w:rsid w:val="00CE10C2"/>
    <w:rsid w:val="00CE11BF"/>
    <w:rsid w:val="00CE1E07"/>
    <w:rsid w:val="00CE1ED6"/>
    <w:rsid w:val="00CE31F4"/>
    <w:rsid w:val="00CE3392"/>
    <w:rsid w:val="00CE5FDA"/>
    <w:rsid w:val="00CE6738"/>
    <w:rsid w:val="00CE6A8D"/>
    <w:rsid w:val="00CF026A"/>
    <w:rsid w:val="00CF0E63"/>
    <w:rsid w:val="00CF1FE4"/>
    <w:rsid w:val="00CF29BE"/>
    <w:rsid w:val="00CF3026"/>
    <w:rsid w:val="00CF3A24"/>
    <w:rsid w:val="00CF4AA2"/>
    <w:rsid w:val="00CF53EB"/>
    <w:rsid w:val="00CF68CF"/>
    <w:rsid w:val="00CF6CE2"/>
    <w:rsid w:val="00CF71AF"/>
    <w:rsid w:val="00CF727F"/>
    <w:rsid w:val="00D00349"/>
    <w:rsid w:val="00D00857"/>
    <w:rsid w:val="00D02AF2"/>
    <w:rsid w:val="00D030E8"/>
    <w:rsid w:val="00D034BA"/>
    <w:rsid w:val="00D037E7"/>
    <w:rsid w:val="00D03DFA"/>
    <w:rsid w:val="00D045C6"/>
    <w:rsid w:val="00D05534"/>
    <w:rsid w:val="00D0584F"/>
    <w:rsid w:val="00D05FE6"/>
    <w:rsid w:val="00D062F0"/>
    <w:rsid w:val="00D06345"/>
    <w:rsid w:val="00D06532"/>
    <w:rsid w:val="00D070E6"/>
    <w:rsid w:val="00D073ED"/>
    <w:rsid w:val="00D11789"/>
    <w:rsid w:val="00D12AC8"/>
    <w:rsid w:val="00D13858"/>
    <w:rsid w:val="00D13A90"/>
    <w:rsid w:val="00D14550"/>
    <w:rsid w:val="00D14A33"/>
    <w:rsid w:val="00D162CB"/>
    <w:rsid w:val="00D168F5"/>
    <w:rsid w:val="00D16AA5"/>
    <w:rsid w:val="00D17731"/>
    <w:rsid w:val="00D178C8"/>
    <w:rsid w:val="00D21C96"/>
    <w:rsid w:val="00D22275"/>
    <w:rsid w:val="00D2230C"/>
    <w:rsid w:val="00D2316B"/>
    <w:rsid w:val="00D24404"/>
    <w:rsid w:val="00D25B31"/>
    <w:rsid w:val="00D262E1"/>
    <w:rsid w:val="00D26743"/>
    <w:rsid w:val="00D26759"/>
    <w:rsid w:val="00D274A0"/>
    <w:rsid w:val="00D276F8"/>
    <w:rsid w:val="00D2775C"/>
    <w:rsid w:val="00D27DFD"/>
    <w:rsid w:val="00D27F10"/>
    <w:rsid w:val="00D30D0E"/>
    <w:rsid w:val="00D30E79"/>
    <w:rsid w:val="00D30EA7"/>
    <w:rsid w:val="00D32663"/>
    <w:rsid w:val="00D32EE4"/>
    <w:rsid w:val="00D33913"/>
    <w:rsid w:val="00D33BB2"/>
    <w:rsid w:val="00D33CA2"/>
    <w:rsid w:val="00D33F50"/>
    <w:rsid w:val="00D340BF"/>
    <w:rsid w:val="00D340F1"/>
    <w:rsid w:val="00D34225"/>
    <w:rsid w:val="00D346AC"/>
    <w:rsid w:val="00D41298"/>
    <w:rsid w:val="00D414EB"/>
    <w:rsid w:val="00D417A9"/>
    <w:rsid w:val="00D418FF"/>
    <w:rsid w:val="00D446A9"/>
    <w:rsid w:val="00D44A70"/>
    <w:rsid w:val="00D473DF"/>
    <w:rsid w:val="00D47985"/>
    <w:rsid w:val="00D47F39"/>
    <w:rsid w:val="00D51194"/>
    <w:rsid w:val="00D51F47"/>
    <w:rsid w:val="00D528BA"/>
    <w:rsid w:val="00D53016"/>
    <w:rsid w:val="00D53753"/>
    <w:rsid w:val="00D5388A"/>
    <w:rsid w:val="00D5468C"/>
    <w:rsid w:val="00D5488A"/>
    <w:rsid w:val="00D552A5"/>
    <w:rsid w:val="00D56EB5"/>
    <w:rsid w:val="00D578C1"/>
    <w:rsid w:val="00D57D56"/>
    <w:rsid w:val="00D60A4B"/>
    <w:rsid w:val="00D60D13"/>
    <w:rsid w:val="00D60D33"/>
    <w:rsid w:val="00D618E3"/>
    <w:rsid w:val="00D6243D"/>
    <w:rsid w:val="00D64BA2"/>
    <w:rsid w:val="00D6512D"/>
    <w:rsid w:val="00D66354"/>
    <w:rsid w:val="00D66AE3"/>
    <w:rsid w:val="00D66C7B"/>
    <w:rsid w:val="00D70488"/>
    <w:rsid w:val="00D70B4E"/>
    <w:rsid w:val="00D714FE"/>
    <w:rsid w:val="00D717F9"/>
    <w:rsid w:val="00D720B0"/>
    <w:rsid w:val="00D72404"/>
    <w:rsid w:val="00D749AE"/>
    <w:rsid w:val="00D75A8A"/>
    <w:rsid w:val="00D761F4"/>
    <w:rsid w:val="00D77A03"/>
    <w:rsid w:val="00D80175"/>
    <w:rsid w:val="00D8058B"/>
    <w:rsid w:val="00D808AE"/>
    <w:rsid w:val="00D80A3B"/>
    <w:rsid w:val="00D80F18"/>
    <w:rsid w:val="00D81348"/>
    <w:rsid w:val="00D81478"/>
    <w:rsid w:val="00D81821"/>
    <w:rsid w:val="00D83854"/>
    <w:rsid w:val="00D83D47"/>
    <w:rsid w:val="00D84831"/>
    <w:rsid w:val="00D85523"/>
    <w:rsid w:val="00D85AF6"/>
    <w:rsid w:val="00D86194"/>
    <w:rsid w:val="00D86F8A"/>
    <w:rsid w:val="00D87CD5"/>
    <w:rsid w:val="00D87F87"/>
    <w:rsid w:val="00D90992"/>
    <w:rsid w:val="00D91004"/>
    <w:rsid w:val="00D9209F"/>
    <w:rsid w:val="00D930FE"/>
    <w:rsid w:val="00D93495"/>
    <w:rsid w:val="00D95AFC"/>
    <w:rsid w:val="00D96436"/>
    <w:rsid w:val="00D96A4A"/>
    <w:rsid w:val="00DA040A"/>
    <w:rsid w:val="00DA0D01"/>
    <w:rsid w:val="00DA1ABA"/>
    <w:rsid w:val="00DA1B6B"/>
    <w:rsid w:val="00DA22E8"/>
    <w:rsid w:val="00DA2859"/>
    <w:rsid w:val="00DA287B"/>
    <w:rsid w:val="00DA4110"/>
    <w:rsid w:val="00DA5655"/>
    <w:rsid w:val="00DA56EC"/>
    <w:rsid w:val="00DA6070"/>
    <w:rsid w:val="00DA6D6B"/>
    <w:rsid w:val="00DA74F0"/>
    <w:rsid w:val="00DB07D1"/>
    <w:rsid w:val="00DB0EB5"/>
    <w:rsid w:val="00DB1041"/>
    <w:rsid w:val="00DB124C"/>
    <w:rsid w:val="00DB1852"/>
    <w:rsid w:val="00DB1A42"/>
    <w:rsid w:val="00DB1D34"/>
    <w:rsid w:val="00DB2ED0"/>
    <w:rsid w:val="00DB36A3"/>
    <w:rsid w:val="00DB431B"/>
    <w:rsid w:val="00DB4A7B"/>
    <w:rsid w:val="00DB7ADC"/>
    <w:rsid w:val="00DB7B2F"/>
    <w:rsid w:val="00DC02E7"/>
    <w:rsid w:val="00DC0E4E"/>
    <w:rsid w:val="00DC1197"/>
    <w:rsid w:val="00DC21B5"/>
    <w:rsid w:val="00DC3741"/>
    <w:rsid w:val="00DC387A"/>
    <w:rsid w:val="00DC4B6D"/>
    <w:rsid w:val="00DC52C6"/>
    <w:rsid w:val="00DC55C3"/>
    <w:rsid w:val="00DC5F2E"/>
    <w:rsid w:val="00DC6C12"/>
    <w:rsid w:val="00DC779E"/>
    <w:rsid w:val="00DD1159"/>
    <w:rsid w:val="00DD3988"/>
    <w:rsid w:val="00DD3B75"/>
    <w:rsid w:val="00DD401E"/>
    <w:rsid w:val="00DD5383"/>
    <w:rsid w:val="00DD649C"/>
    <w:rsid w:val="00DD7876"/>
    <w:rsid w:val="00DE0029"/>
    <w:rsid w:val="00DE081A"/>
    <w:rsid w:val="00DE0DF2"/>
    <w:rsid w:val="00DE0E90"/>
    <w:rsid w:val="00DE1393"/>
    <w:rsid w:val="00DE1F1D"/>
    <w:rsid w:val="00DE33E5"/>
    <w:rsid w:val="00DE36E1"/>
    <w:rsid w:val="00DE3F34"/>
    <w:rsid w:val="00DE4222"/>
    <w:rsid w:val="00DE4CF6"/>
    <w:rsid w:val="00DE4EC7"/>
    <w:rsid w:val="00DE557C"/>
    <w:rsid w:val="00DE60B1"/>
    <w:rsid w:val="00DE65FC"/>
    <w:rsid w:val="00DE6C81"/>
    <w:rsid w:val="00DE6D45"/>
    <w:rsid w:val="00DF014E"/>
    <w:rsid w:val="00DF0E5A"/>
    <w:rsid w:val="00DF1616"/>
    <w:rsid w:val="00DF21D2"/>
    <w:rsid w:val="00DF270A"/>
    <w:rsid w:val="00DF2EE1"/>
    <w:rsid w:val="00DF5642"/>
    <w:rsid w:val="00DF7CEC"/>
    <w:rsid w:val="00E0076C"/>
    <w:rsid w:val="00E02743"/>
    <w:rsid w:val="00E032FE"/>
    <w:rsid w:val="00E03E58"/>
    <w:rsid w:val="00E04D79"/>
    <w:rsid w:val="00E05330"/>
    <w:rsid w:val="00E05C4F"/>
    <w:rsid w:val="00E0625E"/>
    <w:rsid w:val="00E07878"/>
    <w:rsid w:val="00E119B0"/>
    <w:rsid w:val="00E120A4"/>
    <w:rsid w:val="00E124B5"/>
    <w:rsid w:val="00E13E8F"/>
    <w:rsid w:val="00E140D0"/>
    <w:rsid w:val="00E144FD"/>
    <w:rsid w:val="00E14BE5"/>
    <w:rsid w:val="00E14D45"/>
    <w:rsid w:val="00E15071"/>
    <w:rsid w:val="00E157DC"/>
    <w:rsid w:val="00E15921"/>
    <w:rsid w:val="00E15A27"/>
    <w:rsid w:val="00E15E80"/>
    <w:rsid w:val="00E160AA"/>
    <w:rsid w:val="00E160EB"/>
    <w:rsid w:val="00E16FCC"/>
    <w:rsid w:val="00E20B2A"/>
    <w:rsid w:val="00E21A57"/>
    <w:rsid w:val="00E25624"/>
    <w:rsid w:val="00E26615"/>
    <w:rsid w:val="00E27365"/>
    <w:rsid w:val="00E30084"/>
    <w:rsid w:val="00E30DFC"/>
    <w:rsid w:val="00E31297"/>
    <w:rsid w:val="00E31FA7"/>
    <w:rsid w:val="00E32E28"/>
    <w:rsid w:val="00E33AD6"/>
    <w:rsid w:val="00E354D0"/>
    <w:rsid w:val="00E355F3"/>
    <w:rsid w:val="00E35698"/>
    <w:rsid w:val="00E35784"/>
    <w:rsid w:val="00E362E8"/>
    <w:rsid w:val="00E36427"/>
    <w:rsid w:val="00E36EEB"/>
    <w:rsid w:val="00E417A1"/>
    <w:rsid w:val="00E4212F"/>
    <w:rsid w:val="00E4220A"/>
    <w:rsid w:val="00E429ED"/>
    <w:rsid w:val="00E43EE2"/>
    <w:rsid w:val="00E4627E"/>
    <w:rsid w:val="00E462CA"/>
    <w:rsid w:val="00E46627"/>
    <w:rsid w:val="00E46959"/>
    <w:rsid w:val="00E46AF5"/>
    <w:rsid w:val="00E4729F"/>
    <w:rsid w:val="00E50B26"/>
    <w:rsid w:val="00E50B4D"/>
    <w:rsid w:val="00E50F69"/>
    <w:rsid w:val="00E510C7"/>
    <w:rsid w:val="00E5157C"/>
    <w:rsid w:val="00E52072"/>
    <w:rsid w:val="00E521F4"/>
    <w:rsid w:val="00E52DFE"/>
    <w:rsid w:val="00E545D4"/>
    <w:rsid w:val="00E5615B"/>
    <w:rsid w:val="00E564C4"/>
    <w:rsid w:val="00E56B4C"/>
    <w:rsid w:val="00E56E62"/>
    <w:rsid w:val="00E5707B"/>
    <w:rsid w:val="00E57631"/>
    <w:rsid w:val="00E6127D"/>
    <w:rsid w:val="00E61767"/>
    <w:rsid w:val="00E61E86"/>
    <w:rsid w:val="00E61E9F"/>
    <w:rsid w:val="00E62EA4"/>
    <w:rsid w:val="00E63153"/>
    <w:rsid w:val="00E65170"/>
    <w:rsid w:val="00E662C1"/>
    <w:rsid w:val="00E66ACA"/>
    <w:rsid w:val="00E67F29"/>
    <w:rsid w:val="00E70562"/>
    <w:rsid w:val="00E7068F"/>
    <w:rsid w:val="00E70EBA"/>
    <w:rsid w:val="00E7109D"/>
    <w:rsid w:val="00E7227D"/>
    <w:rsid w:val="00E72901"/>
    <w:rsid w:val="00E7326F"/>
    <w:rsid w:val="00E73605"/>
    <w:rsid w:val="00E73A6C"/>
    <w:rsid w:val="00E7488F"/>
    <w:rsid w:val="00E76EA1"/>
    <w:rsid w:val="00E77B65"/>
    <w:rsid w:val="00E80FE7"/>
    <w:rsid w:val="00E81D03"/>
    <w:rsid w:val="00E82779"/>
    <w:rsid w:val="00E82C7F"/>
    <w:rsid w:val="00E82E15"/>
    <w:rsid w:val="00E83E9F"/>
    <w:rsid w:val="00E84672"/>
    <w:rsid w:val="00E84C5B"/>
    <w:rsid w:val="00E85609"/>
    <w:rsid w:val="00E85699"/>
    <w:rsid w:val="00E8576D"/>
    <w:rsid w:val="00E862D9"/>
    <w:rsid w:val="00E866A7"/>
    <w:rsid w:val="00E86749"/>
    <w:rsid w:val="00E87B9D"/>
    <w:rsid w:val="00E90607"/>
    <w:rsid w:val="00E90ACC"/>
    <w:rsid w:val="00E90D94"/>
    <w:rsid w:val="00E91653"/>
    <w:rsid w:val="00E91F9C"/>
    <w:rsid w:val="00E91FF5"/>
    <w:rsid w:val="00E93B69"/>
    <w:rsid w:val="00E93C34"/>
    <w:rsid w:val="00E93F90"/>
    <w:rsid w:val="00E942EF"/>
    <w:rsid w:val="00E964BC"/>
    <w:rsid w:val="00E96692"/>
    <w:rsid w:val="00E966C7"/>
    <w:rsid w:val="00E968A0"/>
    <w:rsid w:val="00E973BE"/>
    <w:rsid w:val="00EA0C91"/>
    <w:rsid w:val="00EA14EC"/>
    <w:rsid w:val="00EA18E2"/>
    <w:rsid w:val="00EA2341"/>
    <w:rsid w:val="00EA253E"/>
    <w:rsid w:val="00EA25B8"/>
    <w:rsid w:val="00EA3781"/>
    <w:rsid w:val="00EA7EB2"/>
    <w:rsid w:val="00EB01EE"/>
    <w:rsid w:val="00EB021B"/>
    <w:rsid w:val="00EB02F2"/>
    <w:rsid w:val="00EB0701"/>
    <w:rsid w:val="00EB1186"/>
    <w:rsid w:val="00EB1B22"/>
    <w:rsid w:val="00EB25E6"/>
    <w:rsid w:val="00EB2CF8"/>
    <w:rsid w:val="00EB4C59"/>
    <w:rsid w:val="00EB58AE"/>
    <w:rsid w:val="00EB6022"/>
    <w:rsid w:val="00EB6186"/>
    <w:rsid w:val="00EB6D57"/>
    <w:rsid w:val="00EC03D8"/>
    <w:rsid w:val="00EC0A60"/>
    <w:rsid w:val="00EC13C7"/>
    <w:rsid w:val="00EC3516"/>
    <w:rsid w:val="00EC3983"/>
    <w:rsid w:val="00EC4B7C"/>
    <w:rsid w:val="00EC4D49"/>
    <w:rsid w:val="00EC5140"/>
    <w:rsid w:val="00EC57A4"/>
    <w:rsid w:val="00ED100C"/>
    <w:rsid w:val="00ED1376"/>
    <w:rsid w:val="00ED361B"/>
    <w:rsid w:val="00ED429C"/>
    <w:rsid w:val="00ED48DB"/>
    <w:rsid w:val="00ED537D"/>
    <w:rsid w:val="00ED6732"/>
    <w:rsid w:val="00ED7CF0"/>
    <w:rsid w:val="00EE11AE"/>
    <w:rsid w:val="00EE1C5B"/>
    <w:rsid w:val="00EE24BC"/>
    <w:rsid w:val="00EE26F5"/>
    <w:rsid w:val="00EE2EFB"/>
    <w:rsid w:val="00EE37A5"/>
    <w:rsid w:val="00EE3C60"/>
    <w:rsid w:val="00EE4612"/>
    <w:rsid w:val="00EE675D"/>
    <w:rsid w:val="00EE6C98"/>
    <w:rsid w:val="00EE74E7"/>
    <w:rsid w:val="00EE773B"/>
    <w:rsid w:val="00EF015F"/>
    <w:rsid w:val="00EF1771"/>
    <w:rsid w:val="00EF1ACA"/>
    <w:rsid w:val="00EF2C6C"/>
    <w:rsid w:val="00EF551B"/>
    <w:rsid w:val="00EF5BA0"/>
    <w:rsid w:val="00EF6D93"/>
    <w:rsid w:val="00F006CC"/>
    <w:rsid w:val="00F0088D"/>
    <w:rsid w:val="00F00902"/>
    <w:rsid w:val="00F00A82"/>
    <w:rsid w:val="00F00FAB"/>
    <w:rsid w:val="00F012BA"/>
    <w:rsid w:val="00F01C79"/>
    <w:rsid w:val="00F01DEC"/>
    <w:rsid w:val="00F031B7"/>
    <w:rsid w:val="00F03541"/>
    <w:rsid w:val="00F054E9"/>
    <w:rsid w:val="00F06949"/>
    <w:rsid w:val="00F06D05"/>
    <w:rsid w:val="00F0704F"/>
    <w:rsid w:val="00F07302"/>
    <w:rsid w:val="00F10A0C"/>
    <w:rsid w:val="00F123D5"/>
    <w:rsid w:val="00F12C26"/>
    <w:rsid w:val="00F13503"/>
    <w:rsid w:val="00F13910"/>
    <w:rsid w:val="00F14045"/>
    <w:rsid w:val="00F146F5"/>
    <w:rsid w:val="00F14B0B"/>
    <w:rsid w:val="00F20626"/>
    <w:rsid w:val="00F209A6"/>
    <w:rsid w:val="00F20DAD"/>
    <w:rsid w:val="00F218E0"/>
    <w:rsid w:val="00F2208D"/>
    <w:rsid w:val="00F224DB"/>
    <w:rsid w:val="00F22D86"/>
    <w:rsid w:val="00F23B80"/>
    <w:rsid w:val="00F24149"/>
    <w:rsid w:val="00F2433C"/>
    <w:rsid w:val="00F24761"/>
    <w:rsid w:val="00F24F55"/>
    <w:rsid w:val="00F25992"/>
    <w:rsid w:val="00F259A7"/>
    <w:rsid w:val="00F266EA"/>
    <w:rsid w:val="00F2690D"/>
    <w:rsid w:val="00F26BEA"/>
    <w:rsid w:val="00F3076A"/>
    <w:rsid w:val="00F309FB"/>
    <w:rsid w:val="00F3213F"/>
    <w:rsid w:val="00F3234B"/>
    <w:rsid w:val="00F32A69"/>
    <w:rsid w:val="00F33B80"/>
    <w:rsid w:val="00F35AAA"/>
    <w:rsid w:val="00F36F66"/>
    <w:rsid w:val="00F371F6"/>
    <w:rsid w:val="00F37C55"/>
    <w:rsid w:val="00F4000A"/>
    <w:rsid w:val="00F41EEE"/>
    <w:rsid w:val="00F423AD"/>
    <w:rsid w:val="00F43598"/>
    <w:rsid w:val="00F44345"/>
    <w:rsid w:val="00F44595"/>
    <w:rsid w:val="00F46044"/>
    <w:rsid w:val="00F50429"/>
    <w:rsid w:val="00F51931"/>
    <w:rsid w:val="00F525DE"/>
    <w:rsid w:val="00F52C0D"/>
    <w:rsid w:val="00F53104"/>
    <w:rsid w:val="00F53DD8"/>
    <w:rsid w:val="00F543E2"/>
    <w:rsid w:val="00F54D02"/>
    <w:rsid w:val="00F54EBD"/>
    <w:rsid w:val="00F55636"/>
    <w:rsid w:val="00F562DA"/>
    <w:rsid w:val="00F570FC"/>
    <w:rsid w:val="00F57121"/>
    <w:rsid w:val="00F57126"/>
    <w:rsid w:val="00F5731D"/>
    <w:rsid w:val="00F573FB"/>
    <w:rsid w:val="00F611C3"/>
    <w:rsid w:val="00F611DA"/>
    <w:rsid w:val="00F61339"/>
    <w:rsid w:val="00F6235E"/>
    <w:rsid w:val="00F62A38"/>
    <w:rsid w:val="00F658F9"/>
    <w:rsid w:val="00F65EE6"/>
    <w:rsid w:val="00F6648B"/>
    <w:rsid w:val="00F66BAE"/>
    <w:rsid w:val="00F67B9D"/>
    <w:rsid w:val="00F704EB"/>
    <w:rsid w:val="00F719F3"/>
    <w:rsid w:val="00F72411"/>
    <w:rsid w:val="00F72CE1"/>
    <w:rsid w:val="00F745FC"/>
    <w:rsid w:val="00F74D7B"/>
    <w:rsid w:val="00F75474"/>
    <w:rsid w:val="00F76183"/>
    <w:rsid w:val="00F7696B"/>
    <w:rsid w:val="00F771A9"/>
    <w:rsid w:val="00F77366"/>
    <w:rsid w:val="00F77566"/>
    <w:rsid w:val="00F77A9C"/>
    <w:rsid w:val="00F77EF8"/>
    <w:rsid w:val="00F80805"/>
    <w:rsid w:val="00F80991"/>
    <w:rsid w:val="00F811F6"/>
    <w:rsid w:val="00F813FD"/>
    <w:rsid w:val="00F8184A"/>
    <w:rsid w:val="00F81DE7"/>
    <w:rsid w:val="00F82246"/>
    <w:rsid w:val="00F822C9"/>
    <w:rsid w:val="00F8258B"/>
    <w:rsid w:val="00F834EF"/>
    <w:rsid w:val="00F846D2"/>
    <w:rsid w:val="00F84913"/>
    <w:rsid w:val="00F85383"/>
    <w:rsid w:val="00F85389"/>
    <w:rsid w:val="00F856DD"/>
    <w:rsid w:val="00F85BFF"/>
    <w:rsid w:val="00F873B4"/>
    <w:rsid w:val="00F87FD7"/>
    <w:rsid w:val="00F91078"/>
    <w:rsid w:val="00F914E0"/>
    <w:rsid w:val="00F9156F"/>
    <w:rsid w:val="00F917C1"/>
    <w:rsid w:val="00F91B56"/>
    <w:rsid w:val="00F9272E"/>
    <w:rsid w:val="00F92C94"/>
    <w:rsid w:val="00F9301D"/>
    <w:rsid w:val="00F938A7"/>
    <w:rsid w:val="00F93EBC"/>
    <w:rsid w:val="00F93F81"/>
    <w:rsid w:val="00F946A9"/>
    <w:rsid w:val="00F9485B"/>
    <w:rsid w:val="00F948A6"/>
    <w:rsid w:val="00F961F0"/>
    <w:rsid w:val="00F96E7C"/>
    <w:rsid w:val="00F97511"/>
    <w:rsid w:val="00FA09CC"/>
    <w:rsid w:val="00FA0EED"/>
    <w:rsid w:val="00FA1822"/>
    <w:rsid w:val="00FA21AD"/>
    <w:rsid w:val="00FA23EF"/>
    <w:rsid w:val="00FA2EF1"/>
    <w:rsid w:val="00FA2F86"/>
    <w:rsid w:val="00FA369E"/>
    <w:rsid w:val="00FA36A8"/>
    <w:rsid w:val="00FA542D"/>
    <w:rsid w:val="00FA5667"/>
    <w:rsid w:val="00FA59AA"/>
    <w:rsid w:val="00FA5ED3"/>
    <w:rsid w:val="00FA5EEB"/>
    <w:rsid w:val="00FA6205"/>
    <w:rsid w:val="00FA65F0"/>
    <w:rsid w:val="00FA783D"/>
    <w:rsid w:val="00FA7C63"/>
    <w:rsid w:val="00FB23BC"/>
    <w:rsid w:val="00FB3EDF"/>
    <w:rsid w:val="00FB4D8D"/>
    <w:rsid w:val="00FB510D"/>
    <w:rsid w:val="00FB6622"/>
    <w:rsid w:val="00FB67AE"/>
    <w:rsid w:val="00FB6F06"/>
    <w:rsid w:val="00FB7484"/>
    <w:rsid w:val="00FB75AC"/>
    <w:rsid w:val="00FB7749"/>
    <w:rsid w:val="00FC1ABE"/>
    <w:rsid w:val="00FC3F3F"/>
    <w:rsid w:val="00FC4862"/>
    <w:rsid w:val="00FC4968"/>
    <w:rsid w:val="00FC5205"/>
    <w:rsid w:val="00FC5DF3"/>
    <w:rsid w:val="00FC6066"/>
    <w:rsid w:val="00FC6649"/>
    <w:rsid w:val="00FC6C2C"/>
    <w:rsid w:val="00FC6E1D"/>
    <w:rsid w:val="00FD06A4"/>
    <w:rsid w:val="00FD06EC"/>
    <w:rsid w:val="00FD1119"/>
    <w:rsid w:val="00FD12B3"/>
    <w:rsid w:val="00FD133D"/>
    <w:rsid w:val="00FD1A16"/>
    <w:rsid w:val="00FD281E"/>
    <w:rsid w:val="00FD2A4F"/>
    <w:rsid w:val="00FD2BA1"/>
    <w:rsid w:val="00FD2F48"/>
    <w:rsid w:val="00FD35AA"/>
    <w:rsid w:val="00FD4589"/>
    <w:rsid w:val="00FD4653"/>
    <w:rsid w:val="00FD60F5"/>
    <w:rsid w:val="00FD6A5A"/>
    <w:rsid w:val="00FD6D90"/>
    <w:rsid w:val="00FD7CFB"/>
    <w:rsid w:val="00FD7D4A"/>
    <w:rsid w:val="00FD7F9A"/>
    <w:rsid w:val="00FD7FFE"/>
    <w:rsid w:val="00FE0636"/>
    <w:rsid w:val="00FE0ED8"/>
    <w:rsid w:val="00FE18B7"/>
    <w:rsid w:val="00FE29E2"/>
    <w:rsid w:val="00FE3EFE"/>
    <w:rsid w:val="00FE431A"/>
    <w:rsid w:val="00FE4526"/>
    <w:rsid w:val="00FE48F0"/>
    <w:rsid w:val="00FE5147"/>
    <w:rsid w:val="00FE6DB7"/>
    <w:rsid w:val="00FF0727"/>
    <w:rsid w:val="00FF1952"/>
    <w:rsid w:val="00FF2237"/>
    <w:rsid w:val="00FF22C1"/>
    <w:rsid w:val="00FF2EA1"/>
    <w:rsid w:val="00FF3E14"/>
    <w:rsid w:val="00FF4127"/>
    <w:rsid w:val="00FF422B"/>
    <w:rsid w:val="00FF5320"/>
    <w:rsid w:val="00FF56B4"/>
    <w:rsid w:val="00FF5E54"/>
    <w:rsid w:val="00FF60EC"/>
    <w:rsid w:val="01063575"/>
    <w:rsid w:val="01087A2D"/>
    <w:rsid w:val="012F162B"/>
    <w:rsid w:val="0150476F"/>
    <w:rsid w:val="0179A29F"/>
    <w:rsid w:val="018B9220"/>
    <w:rsid w:val="0194DF1D"/>
    <w:rsid w:val="01E9DDF1"/>
    <w:rsid w:val="0256E06F"/>
    <w:rsid w:val="025C4C4B"/>
    <w:rsid w:val="027670D1"/>
    <w:rsid w:val="03021B42"/>
    <w:rsid w:val="03481FBD"/>
    <w:rsid w:val="03EA3103"/>
    <w:rsid w:val="03EF2E9C"/>
    <w:rsid w:val="043B2F16"/>
    <w:rsid w:val="043D8B23"/>
    <w:rsid w:val="04704748"/>
    <w:rsid w:val="04744FC1"/>
    <w:rsid w:val="04BAA921"/>
    <w:rsid w:val="0534A627"/>
    <w:rsid w:val="053D855E"/>
    <w:rsid w:val="06185CCF"/>
    <w:rsid w:val="06219647"/>
    <w:rsid w:val="06332ECE"/>
    <w:rsid w:val="0682079D"/>
    <w:rsid w:val="078B334C"/>
    <w:rsid w:val="07D2D759"/>
    <w:rsid w:val="07DFB964"/>
    <w:rsid w:val="07F0BC6E"/>
    <w:rsid w:val="08090FAE"/>
    <w:rsid w:val="08C2E595"/>
    <w:rsid w:val="08FA0D5A"/>
    <w:rsid w:val="09471E32"/>
    <w:rsid w:val="09739A67"/>
    <w:rsid w:val="099D4A26"/>
    <w:rsid w:val="09C26A0E"/>
    <w:rsid w:val="09C27316"/>
    <w:rsid w:val="09CB52FB"/>
    <w:rsid w:val="09CF3FD9"/>
    <w:rsid w:val="0A2BA226"/>
    <w:rsid w:val="0A2EA914"/>
    <w:rsid w:val="0A93A510"/>
    <w:rsid w:val="0AC6697B"/>
    <w:rsid w:val="0B54E9EA"/>
    <w:rsid w:val="0B9BFFBD"/>
    <w:rsid w:val="0BF8ABF1"/>
    <w:rsid w:val="0CBB8579"/>
    <w:rsid w:val="0CC2A0E9"/>
    <w:rsid w:val="0D15A6FA"/>
    <w:rsid w:val="0D9E337C"/>
    <w:rsid w:val="0E3FA96B"/>
    <w:rsid w:val="0E614809"/>
    <w:rsid w:val="0EC9BF96"/>
    <w:rsid w:val="0EF9D3EC"/>
    <w:rsid w:val="0F610426"/>
    <w:rsid w:val="0F64678E"/>
    <w:rsid w:val="0F652C30"/>
    <w:rsid w:val="0F6BB646"/>
    <w:rsid w:val="0FBD010A"/>
    <w:rsid w:val="110449ED"/>
    <w:rsid w:val="112486BA"/>
    <w:rsid w:val="113614E7"/>
    <w:rsid w:val="11E31AD4"/>
    <w:rsid w:val="11F54A52"/>
    <w:rsid w:val="12804C83"/>
    <w:rsid w:val="12D310AC"/>
    <w:rsid w:val="12F8545B"/>
    <w:rsid w:val="130AC8D4"/>
    <w:rsid w:val="131CF05B"/>
    <w:rsid w:val="1364F78C"/>
    <w:rsid w:val="137D7083"/>
    <w:rsid w:val="13977659"/>
    <w:rsid w:val="13EFFFA4"/>
    <w:rsid w:val="13F00A5B"/>
    <w:rsid w:val="13FC5829"/>
    <w:rsid w:val="14092696"/>
    <w:rsid w:val="1439B604"/>
    <w:rsid w:val="14466FFB"/>
    <w:rsid w:val="147A580A"/>
    <w:rsid w:val="14BBE067"/>
    <w:rsid w:val="14CC34AB"/>
    <w:rsid w:val="1511A99C"/>
    <w:rsid w:val="151443DE"/>
    <w:rsid w:val="152C9CCD"/>
    <w:rsid w:val="1531D389"/>
    <w:rsid w:val="15469508"/>
    <w:rsid w:val="1557A2FA"/>
    <w:rsid w:val="158A5AE7"/>
    <w:rsid w:val="15A33C25"/>
    <w:rsid w:val="15BE460C"/>
    <w:rsid w:val="15E7BF2D"/>
    <w:rsid w:val="16A89947"/>
    <w:rsid w:val="16C15054"/>
    <w:rsid w:val="16F28A62"/>
    <w:rsid w:val="17039E65"/>
    <w:rsid w:val="1750A695"/>
    <w:rsid w:val="176545C3"/>
    <w:rsid w:val="179F6CB1"/>
    <w:rsid w:val="17B02ED0"/>
    <w:rsid w:val="17E88B84"/>
    <w:rsid w:val="1864FAF2"/>
    <w:rsid w:val="186AFA3D"/>
    <w:rsid w:val="18C4068B"/>
    <w:rsid w:val="199871A3"/>
    <w:rsid w:val="19B7D4D4"/>
    <w:rsid w:val="19DAFECD"/>
    <w:rsid w:val="1A273076"/>
    <w:rsid w:val="1A2B7C67"/>
    <w:rsid w:val="1A590AEB"/>
    <w:rsid w:val="1A9DFBB3"/>
    <w:rsid w:val="1AB15E45"/>
    <w:rsid w:val="1AB628F7"/>
    <w:rsid w:val="1B0A6A39"/>
    <w:rsid w:val="1B143381"/>
    <w:rsid w:val="1B77C2D0"/>
    <w:rsid w:val="1BA4D981"/>
    <w:rsid w:val="1BEE8105"/>
    <w:rsid w:val="1C5C39B2"/>
    <w:rsid w:val="1C7929D1"/>
    <w:rsid w:val="1C8EF74A"/>
    <w:rsid w:val="1CC999BA"/>
    <w:rsid w:val="1CD504FC"/>
    <w:rsid w:val="1CF41711"/>
    <w:rsid w:val="1D116AA6"/>
    <w:rsid w:val="1D335FDC"/>
    <w:rsid w:val="1D797D1C"/>
    <w:rsid w:val="1DEC7ADA"/>
    <w:rsid w:val="1DEE311B"/>
    <w:rsid w:val="1E29F501"/>
    <w:rsid w:val="1EB8BF44"/>
    <w:rsid w:val="1EBCAAAD"/>
    <w:rsid w:val="1EC64C79"/>
    <w:rsid w:val="1F3FDB9F"/>
    <w:rsid w:val="1F5E112B"/>
    <w:rsid w:val="1F8B7DEF"/>
    <w:rsid w:val="2049C0F2"/>
    <w:rsid w:val="205D3B38"/>
    <w:rsid w:val="206859B6"/>
    <w:rsid w:val="2103A345"/>
    <w:rsid w:val="2104143B"/>
    <w:rsid w:val="216E5AC5"/>
    <w:rsid w:val="218FD1CC"/>
    <w:rsid w:val="21C1BD07"/>
    <w:rsid w:val="21CD52BB"/>
    <w:rsid w:val="21EF4C6D"/>
    <w:rsid w:val="22105083"/>
    <w:rsid w:val="22168275"/>
    <w:rsid w:val="22A1F119"/>
    <w:rsid w:val="234C2B2B"/>
    <w:rsid w:val="235C49A1"/>
    <w:rsid w:val="236C9673"/>
    <w:rsid w:val="237EFFBA"/>
    <w:rsid w:val="23B68713"/>
    <w:rsid w:val="2415DD3F"/>
    <w:rsid w:val="2432CCAE"/>
    <w:rsid w:val="244EDBAA"/>
    <w:rsid w:val="2480464C"/>
    <w:rsid w:val="24E87FAF"/>
    <w:rsid w:val="252300F4"/>
    <w:rsid w:val="2556E82F"/>
    <w:rsid w:val="255C3081"/>
    <w:rsid w:val="2577963E"/>
    <w:rsid w:val="257D7E61"/>
    <w:rsid w:val="25B14D1C"/>
    <w:rsid w:val="25BF1B06"/>
    <w:rsid w:val="25CCBA6E"/>
    <w:rsid w:val="25FEC758"/>
    <w:rsid w:val="263E0D75"/>
    <w:rsid w:val="265EBBFA"/>
    <w:rsid w:val="268CD47D"/>
    <w:rsid w:val="26A31412"/>
    <w:rsid w:val="26A3E900"/>
    <w:rsid w:val="26BBA98C"/>
    <w:rsid w:val="26E54BE6"/>
    <w:rsid w:val="26FDAE94"/>
    <w:rsid w:val="270E2E09"/>
    <w:rsid w:val="272CB3C1"/>
    <w:rsid w:val="27DC8E35"/>
    <w:rsid w:val="2816F173"/>
    <w:rsid w:val="2874D237"/>
    <w:rsid w:val="288F1017"/>
    <w:rsid w:val="2900C54A"/>
    <w:rsid w:val="2970265A"/>
    <w:rsid w:val="29B1683E"/>
    <w:rsid w:val="2A33B6AC"/>
    <w:rsid w:val="2A496DB7"/>
    <w:rsid w:val="2A590BAC"/>
    <w:rsid w:val="2AE139BB"/>
    <w:rsid w:val="2AECE575"/>
    <w:rsid w:val="2B27938B"/>
    <w:rsid w:val="2B3C4141"/>
    <w:rsid w:val="2B7BCEDD"/>
    <w:rsid w:val="2C148960"/>
    <w:rsid w:val="2C287950"/>
    <w:rsid w:val="2CC0874A"/>
    <w:rsid w:val="2CFB12ED"/>
    <w:rsid w:val="2D5323EC"/>
    <w:rsid w:val="2D56BFE9"/>
    <w:rsid w:val="2DA03AD0"/>
    <w:rsid w:val="2DAFE0C7"/>
    <w:rsid w:val="2DCC46B9"/>
    <w:rsid w:val="2DE3E233"/>
    <w:rsid w:val="2DEA7E8E"/>
    <w:rsid w:val="2DF7BDAF"/>
    <w:rsid w:val="2E39433E"/>
    <w:rsid w:val="2E567FE2"/>
    <w:rsid w:val="2EE3FA80"/>
    <w:rsid w:val="2F145E6E"/>
    <w:rsid w:val="2F40F683"/>
    <w:rsid w:val="2F551A61"/>
    <w:rsid w:val="2F56DC4F"/>
    <w:rsid w:val="2F58753B"/>
    <w:rsid w:val="2F692FD8"/>
    <w:rsid w:val="2F835EC8"/>
    <w:rsid w:val="2FC4942D"/>
    <w:rsid w:val="2FDC21A0"/>
    <w:rsid w:val="306D8536"/>
    <w:rsid w:val="30E22E7D"/>
    <w:rsid w:val="3166FDE8"/>
    <w:rsid w:val="3168DB98"/>
    <w:rsid w:val="31713A35"/>
    <w:rsid w:val="317CEA4F"/>
    <w:rsid w:val="318120C4"/>
    <w:rsid w:val="31A486F4"/>
    <w:rsid w:val="31D6FE52"/>
    <w:rsid w:val="31DE99DC"/>
    <w:rsid w:val="31DF96D1"/>
    <w:rsid w:val="31E55379"/>
    <w:rsid w:val="31F254F0"/>
    <w:rsid w:val="322D097C"/>
    <w:rsid w:val="326B51ED"/>
    <w:rsid w:val="327465D3"/>
    <w:rsid w:val="32753B3E"/>
    <w:rsid w:val="32A0CFF6"/>
    <w:rsid w:val="32F160F0"/>
    <w:rsid w:val="331B0A3D"/>
    <w:rsid w:val="33938258"/>
    <w:rsid w:val="339FE1AC"/>
    <w:rsid w:val="33B0B6BD"/>
    <w:rsid w:val="33C3E176"/>
    <w:rsid w:val="346D6F8C"/>
    <w:rsid w:val="3498ADF4"/>
    <w:rsid w:val="35153716"/>
    <w:rsid w:val="354FECCC"/>
    <w:rsid w:val="3594478A"/>
    <w:rsid w:val="35EA136D"/>
    <w:rsid w:val="35F2F67E"/>
    <w:rsid w:val="361DA809"/>
    <w:rsid w:val="362D90F7"/>
    <w:rsid w:val="363204CC"/>
    <w:rsid w:val="3692D43B"/>
    <w:rsid w:val="3710D37D"/>
    <w:rsid w:val="3726B5CD"/>
    <w:rsid w:val="376C6C59"/>
    <w:rsid w:val="3789F92C"/>
    <w:rsid w:val="380562C7"/>
    <w:rsid w:val="38308C13"/>
    <w:rsid w:val="38359477"/>
    <w:rsid w:val="38487D73"/>
    <w:rsid w:val="38719E40"/>
    <w:rsid w:val="38734BE6"/>
    <w:rsid w:val="387DFC27"/>
    <w:rsid w:val="38AEDA36"/>
    <w:rsid w:val="38E30F60"/>
    <w:rsid w:val="38E863E2"/>
    <w:rsid w:val="39078BD9"/>
    <w:rsid w:val="398E66C9"/>
    <w:rsid w:val="39A66344"/>
    <w:rsid w:val="39A75426"/>
    <w:rsid w:val="39F41808"/>
    <w:rsid w:val="39FB8250"/>
    <w:rsid w:val="3A5DFF3F"/>
    <w:rsid w:val="3A9F05E2"/>
    <w:rsid w:val="3B01C6FD"/>
    <w:rsid w:val="3B0A34D6"/>
    <w:rsid w:val="3B1E6D38"/>
    <w:rsid w:val="3B2277E6"/>
    <w:rsid w:val="3B362480"/>
    <w:rsid w:val="3B3854B5"/>
    <w:rsid w:val="3B467907"/>
    <w:rsid w:val="3B479929"/>
    <w:rsid w:val="3B715CFB"/>
    <w:rsid w:val="3B7796DB"/>
    <w:rsid w:val="3BA2347E"/>
    <w:rsid w:val="3CAD6EF9"/>
    <w:rsid w:val="3CD798EB"/>
    <w:rsid w:val="3CDB203E"/>
    <w:rsid w:val="3CFEB980"/>
    <w:rsid w:val="3D70BB04"/>
    <w:rsid w:val="3DBE9054"/>
    <w:rsid w:val="3E03E464"/>
    <w:rsid w:val="3E41497A"/>
    <w:rsid w:val="3E4C9FCE"/>
    <w:rsid w:val="3E51B8E5"/>
    <w:rsid w:val="3E874B1C"/>
    <w:rsid w:val="3E878879"/>
    <w:rsid w:val="3EDE33A7"/>
    <w:rsid w:val="3EE7D729"/>
    <w:rsid w:val="3EFECFF0"/>
    <w:rsid w:val="3FA7FC9A"/>
    <w:rsid w:val="3FF922DF"/>
    <w:rsid w:val="4061C06D"/>
    <w:rsid w:val="40898F7C"/>
    <w:rsid w:val="40D6E5C2"/>
    <w:rsid w:val="41154428"/>
    <w:rsid w:val="412665F5"/>
    <w:rsid w:val="41279FD4"/>
    <w:rsid w:val="4157552C"/>
    <w:rsid w:val="4180817A"/>
    <w:rsid w:val="41B5D04E"/>
    <w:rsid w:val="41BE2393"/>
    <w:rsid w:val="42C4E2F0"/>
    <w:rsid w:val="438B0B8D"/>
    <w:rsid w:val="43B47571"/>
    <w:rsid w:val="4403A191"/>
    <w:rsid w:val="4418F7F6"/>
    <w:rsid w:val="4424B1F1"/>
    <w:rsid w:val="442EBE57"/>
    <w:rsid w:val="4455E053"/>
    <w:rsid w:val="44781C8D"/>
    <w:rsid w:val="44E538FD"/>
    <w:rsid w:val="44F07E68"/>
    <w:rsid w:val="44FA42EF"/>
    <w:rsid w:val="45065F5E"/>
    <w:rsid w:val="458A94B0"/>
    <w:rsid w:val="459B56EC"/>
    <w:rsid w:val="45BB1B0C"/>
    <w:rsid w:val="46304122"/>
    <w:rsid w:val="46439E93"/>
    <w:rsid w:val="4655D07D"/>
    <w:rsid w:val="466C05C6"/>
    <w:rsid w:val="46749DD6"/>
    <w:rsid w:val="4674B32E"/>
    <w:rsid w:val="46962EE2"/>
    <w:rsid w:val="46A49225"/>
    <w:rsid w:val="46D994D5"/>
    <w:rsid w:val="46F42BBD"/>
    <w:rsid w:val="47118AC2"/>
    <w:rsid w:val="472569CF"/>
    <w:rsid w:val="47373C51"/>
    <w:rsid w:val="47565D14"/>
    <w:rsid w:val="4782362F"/>
    <w:rsid w:val="47BC6759"/>
    <w:rsid w:val="47F9F6CB"/>
    <w:rsid w:val="483EB5F3"/>
    <w:rsid w:val="48B24B71"/>
    <w:rsid w:val="48C8E4B4"/>
    <w:rsid w:val="490AA981"/>
    <w:rsid w:val="4952F718"/>
    <w:rsid w:val="49645835"/>
    <w:rsid w:val="497BCE3F"/>
    <w:rsid w:val="4995611A"/>
    <w:rsid w:val="49C86C3B"/>
    <w:rsid w:val="49D754D7"/>
    <w:rsid w:val="49F7E010"/>
    <w:rsid w:val="4A59C3B1"/>
    <w:rsid w:val="4AD2423C"/>
    <w:rsid w:val="4B461659"/>
    <w:rsid w:val="4B8EE060"/>
    <w:rsid w:val="4B924352"/>
    <w:rsid w:val="4BBCC0C8"/>
    <w:rsid w:val="4BEA1829"/>
    <w:rsid w:val="4C0F8EC6"/>
    <w:rsid w:val="4C441ABA"/>
    <w:rsid w:val="4C729A4E"/>
    <w:rsid w:val="4CA81462"/>
    <w:rsid w:val="4CC11D8E"/>
    <w:rsid w:val="4D0930E4"/>
    <w:rsid w:val="4D1BDAAC"/>
    <w:rsid w:val="4D6FF0BC"/>
    <w:rsid w:val="4D84887A"/>
    <w:rsid w:val="4E48F670"/>
    <w:rsid w:val="4E8C1F86"/>
    <w:rsid w:val="4E8DC3E2"/>
    <w:rsid w:val="4E94EB1A"/>
    <w:rsid w:val="4EAD197B"/>
    <w:rsid w:val="4ECF9CC7"/>
    <w:rsid w:val="4EF17771"/>
    <w:rsid w:val="4F177560"/>
    <w:rsid w:val="4F2FF5F5"/>
    <w:rsid w:val="4F36CF6B"/>
    <w:rsid w:val="4F4EFFD4"/>
    <w:rsid w:val="4F66330C"/>
    <w:rsid w:val="4F7CEB62"/>
    <w:rsid w:val="4F97CC36"/>
    <w:rsid w:val="4FB2E4D5"/>
    <w:rsid w:val="4FC7DC62"/>
    <w:rsid w:val="5024313E"/>
    <w:rsid w:val="503EE4F6"/>
    <w:rsid w:val="50402EB1"/>
    <w:rsid w:val="5050CD9F"/>
    <w:rsid w:val="50C32761"/>
    <w:rsid w:val="50F72EC0"/>
    <w:rsid w:val="50FA6ECA"/>
    <w:rsid w:val="5104089E"/>
    <w:rsid w:val="510DDA2D"/>
    <w:rsid w:val="512C2D0D"/>
    <w:rsid w:val="51A37481"/>
    <w:rsid w:val="51B632D5"/>
    <w:rsid w:val="5215C140"/>
    <w:rsid w:val="5231806A"/>
    <w:rsid w:val="52353AC6"/>
    <w:rsid w:val="525D8866"/>
    <w:rsid w:val="52F8023D"/>
    <w:rsid w:val="530D1348"/>
    <w:rsid w:val="5399E754"/>
    <w:rsid w:val="53CFD82B"/>
    <w:rsid w:val="53D7856A"/>
    <w:rsid w:val="53EB8021"/>
    <w:rsid w:val="543AB9DE"/>
    <w:rsid w:val="546271EF"/>
    <w:rsid w:val="549E7CF4"/>
    <w:rsid w:val="54C0BFEA"/>
    <w:rsid w:val="55084553"/>
    <w:rsid w:val="550FD613"/>
    <w:rsid w:val="55245693"/>
    <w:rsid w:val="55A5464F"/>
    <w:rsid w:val="561AE09A"/>
    <w:rsid w:val="56585D15"/>
    <w:rsid w:val="56622819"/>
    <w:rsid w:val="566697ED"/>
    <w:rsid w:val="5667D21F"/>
    <w:rsid w:val="568C61E1"/>
    <w:rsid w:val="569296E3"/>
    <w:rsid w:val="573485E2"/>
    <w:rsid w:val="573960B7"/>
    <w:rsid w:val="57550329"/>
    <w:rsid w:val="57650901"/>
    <w:rsid w:val="576C6966"/>
    <w:rsid w:val="577F09D6"/>
    <w:rsid w:val="57A551F7"/>
    <w:rsid w:val="580CC875"/>
    <w:rsid w:val="58A7E900"/>
    <w:rsid w:val="58AC182B"/>
    <w:rsid w:val="58CD8211"/>
    <w:rsid w:val="58CDA930"/>
    <w:rsid w:val="58D22F23"/>
    <w:rsid w:val="58EC3DB7"/>
    <w:rsid w:val="5990C82C"/>
    <w:rsid w:val="59CB8E59"/>
    <w:rsid w:val="59DCE919"/>
    <w:rsid w:val="59EFC636"/>
    <w:rsid w:val="5A01FBC4"/>
    <w:rsid w:val="5A2FFDC0"/>
    <w:rsid w:val="5A4B2150"/>
    <w:rsid w:val="5A904C62"/>
    <w:rsid w:val="5AA39EC1"/>
    <w:rsid w:val="5ABAF880"/>
    <w:rsid w:val="5B5A0769"/>
    <w:rsid w:val="5C196AE5"/>
    <w:rsid w:val="5C61FA22"/>
    <w:rsid w:val="5C6834BE"/>
    <w:rsid w:val="5C6FE508"/>
    <w:rsid w:val="5CD1BF16"/>
    <w:rsid w:val="5D6A6C87"/>
    <w:rsid w:val="5DE33F8A"/>
    <w:rsid w:val="5DE3E972"/>
    <w:rsid w:val="5E1F1BD5"/>
    <w:rsid w:val="5E54EE63"/>
    <w:rsid w:val="5E76C978"/>
    <w:rsid w:val="5EB3C6C3"/>
    <w:rsid w:val="5EC3C158"/>
    <w:rsid w:val="5F055704"/>
    <w:rsid w:val="5F32A96B"/>
    <w:rsid w:val="5F572696"/>
    <w:rsid w:val="5F5CE01A"/>
    <w:rsid w:val="5FC7ACB3"/>
    <w:rsid w:val="5FCD17EA"/>
    <w:rsid w:val="6094B1EB"/>
    <w:rsid w:val="609F7FD1"/>
    <w:rsid w:val="60AFFF03"/>
    <w:rsid w:val="60E6FBAF"/>
    <w:rsid w:val="617561ED"/>
    <w:rsid w:val="62845D5F"/>
    <w:rsid w:val="628A3B9A"/>
    <w:rsid w:val="63D17ABE"/>
    <w:rsid w:val="642990FC"/>
    <w:rsid w:val="646DFA1D"/>
    <w:rsid w:val="64EE9F8B"/>
    <w:rsid w:val="64F29C28"/>
    <w:rsid w:val="650F45D0"/>
    <w:rsid w:val="65184A55"/>
    <w:rsid w:val="65535495"/>
    <w:rsid w:val="657A19E5"/>
    <w:rsid w:val="65953F0E"/>
    <w:rsid w:val="65C2E52E"/>
    <w:rsid w:val="66070A7F"/>
    <w:rsid w:val="66425C61"/>
    <w:rsid w:val="664B370F"/>
    <w:rsid w:val="665458CB"/>
    <w:rsid w:val="667D3770"/>
    <w:rsid w:val="66F33720"/>
    <w:rsid w:val="678034D3"/>
    <w:rsid w:val="68093B55"/>
    <w:rsid w:val="681D4DCF"/>
    <w:rsid w:val="68645168"/>
    <w:rsid w:val="688E0B40"/>
    <w:rsid w:val="68959810"/>
    <w:rsid w:val="68DF9697"/>
    <w:rsid w:val="69205CCB"/>
    <w:rsid w:val="6929A108"/>
    <w:rsid w:val="692C18BB"/>
    <w:rsid w:val="6939B83F"/>
    <w:rsid w:val="696C1845"/>
    <w:rsid w:val="696E1247"/>
    <w:rsid w:val="697B58F1"/>
    <w:rsid w:val="69A90056"/>
    <w:rsid w:val="6A166C7D"/>
    <w:rsid w:val="6A1CE860"/>
    <w:rsid w:val="6A32D12F"/>
    <w:rsid w:val="6A860412"/>
    <w:rsid w:val="6A9CC2A5"/>
    <w:rsid w:val="6AA80AF1"/>
    <w:rsid w:val="6AE6B95B"/>
    <w:rsid w:val="6AEB26CF"/>
    <w:rsid w:val="6AECA9EC"/>
    <w:rsid w:val="6B149CF1"/>
    <w:rsid w:val="6B158881"/>
    <w:rsid w:val="6B1A660D"/>
    <w:rsid w:val="6B2E336B"/>
    <w:rsid w:val="6B562A68"/>
    <w:rsid w:val="6B8ABD5E"/>
    <w:rsid w:val="6BB7BB53"/>
    <w:rsid w:val="6C675B3A"/>
    <w:rsid w:val="6CBCEC18"/>
    <w:rsid w:val="6CC992EB"/>
    <w:rsid w:val="6D00CD4D"/>
    <w:rsid w:val="6D0A4796"/>
    <w:rsid w:val="6D4800A1"/>
    <w:rsid w:val="6D9E9AA1"/>
    <w:rsid w:val="6DB48648"/>
    <w:rsid w:val="6E1662A8"/>
    <w:rsid w:val="6E2BF25F"/>
    <w:rsid w:val="6ED0E7C5"/>
    <w:rsid w:val="6F43B2DA"/>
    <w:rsid w:val="6F803610"/>
    <w:rsid w:val="6F933ED6"/>
    <w:rsid w:val="6FC5E190"/>
    <w:rsid w:val="7002F348"/>
    <w:rsid w:val="70280E54"/>
    <w:rsid w:val="702F0BF4"/>
    <w:rsid w:val="704B322B"/>
    <w:rsid w:val="707DF129"/>
    <w:rsid w:val="70C84CE6"/>
    <w:rsid w:val="716AF493"/>
    <w:rsid w:val="720FAABC"/>
    <w:rsid w:val="722A22DD"/>
    <w:rsid w:val="72723725"/>
    <w:rsid w:val="72A45446"/>
    <w:rsid w:val="7316D814"/>
    <w:rsid w:val="73196021"/>
    <w:rsid w:val="7347854F"/>
    <w:rsid w:val="73563EF8"/>
    <w:rsid w:val="73CC9E15"/>
    <w:rsid w:val="746EFFBD"/>
    <w:rsid w:val="74BCB0AC"/>
    <w:rsid w:val="74DC413A"/>
    <w:rsid w:val="752E6AF1"/>
    <w:rsid w:val="7541EDF6"/>
    <w:rsid w:val="754702AE"/>
    <w:rsid w:val="757AB2F3"/>
    <w:rsid w:val="757AD398"/>
    <w:rsid w:val="7585A98F"/>
    <w:rsid w:val="75A77407"/>
    <w:rsid w:val="75DDF443"/>
    <w:rsid w:val="762249C5"/>
    <w:rsid w:val="7658A405"/>
    <w:rsid w:val="76AC4D72"/>
    <w:rsid w:val="76B0D29B"/>
    <w:rsid w:val="76B5D40F"/>
    <w:rsid w:val="76BD055B"/>
    <w:rsid w:val="76C16E0A"/>
    <w:rsid w:val="76E0C63B"/>
    <w:rsid w:val="76E3C25C"/>
    <w:rsid w:val="771723A2"/>
    <w:rsid w:val="776BBE1E"/>
    <w:rsid w:val="77D3E841"/>
    <w:rsid w:val="78496ABE"/>
    <w:rsid w:val="787974ED"/>
    <w:rsid w:val="78BBD896"/>
    <w:rsid w:val="78CAAE62"/>
    <w:rsid w:val="79073701"/>
    <w:rsid w:val="793B455B"/>
    <w:rsid w:val="794AFB26"/>
    <w:rsid w:val="79C6C240"/>
    <w:rsid w:val="79D5C5DC"/>
    <w:rsid w:val="79DAA64C"/>
    <w:rsid w:val="7A112D0B"/>
    <w:rsid w:val="7A2E3046"/>
    <w:rsid w:val="7A43884B"/>
    <w:rsid w:val="7A5A3949"/>
    <w:rsid w:val="7A5E5876"/>
    <w:rsid w:val="7A79CC79"/>
    <w:rsid w:val="7AB14C47"/>
    <w:rsid w:val="7ABAC4B6"/>
    <w:rsid w:val="7AC26C0D"/>
    <w:rsid w:val="7AF0BCA8"/>
    <w:rsid w:val="7AF496DF"/>
    <w:rsid w:val="7B23FB27"/>
    <w:rsid w:val="7B264AA6"/>
    <w:rsid w:val="7B2D5B55"/>
    <w:rsid w:val="7B6F79A2"/>
    <w:rsid w:val="7B885158"/>
    <w:rsid w:val="7B950621"/>
    <w:rsid w:val="7BAD5062"/>
    <w:rsid w:val="7CB983D1"/>
    <w:rsid w:val="7CD425ED"/>
    <w:rsid w:val="7CDA70E9"/>
    <w:rsid w:val="7CEBB621"/>
    <w:rsid w:val="7CFBBDD8"/>
    <w:rsid w:val="7D7A0756"/>
    <w:rsid w:val="7DFE2431"/>
    <w:rsid w:val="7E2E8D92"/>
    <w:rsid w:val="7E6BD5D9"/>
    <w:rsid w:val="7E728F32"/>
    <w:rsid w:val="7E87CC2A"/>
    <w:rsid w:val="7EA68C60"/>
    <w:rsid w:val="7EB72C85"/>
    <w:rsid w:val="7EBBBB4E"/>
    <w:rsid w:val="7ECA38B9"/>
    <w:rsid w:val="7EE8C803"/>
    <w:rsid w:val="7F14CCD2"/>
    <w:rsid w:val="7FA96EE3"/>
    <w:rsid w:val="7FB59F3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C7F906"/>
  <w14:defaultImageDpi w14:val="32767"/>
  <w15:chartTrackingRefBased/>
  <w15:docId w15:val="{B4F32C9F-1FCD-425D-A804-4941D989C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8737B"/>
    <w:pPr>
      <w:spacing w:after="120" w:line="300" w:lineRule="atLeast"/>
    </w:pPr>
    <w:rPr>
      <w:rFonts w:ascii="Arial" w:eastAsia="Times New Roman" w:hAnsi="Arial" w:cs="Times New Roman"/>
      <w:sz w:val="22"/>
      <w:lang w:val="en-AU"/>
    </w:rPr>
  </w:style>
  <w:style w:type="paragraph" w:styleId="Heading1">
    <w:name w:val="heading 1"/>
    <w:next w:val="Normal"/>
    <w:link w:val="Heading1Char"/>
    <w:qFormat/>
    <w:rsid w:val="00C8737B"/>
    <w:pPr>
      <w:keepNext/>
      <w:spacing w:before="240" w:after="120" w:line="300" w:lineRule="atLeast"/>
      <w:outlineLvl w:val="0"/>
    </w:pPr>
    <w:rPr>
      <w:rFonts w:ascii="Arial" w:eastAsia="Times New Roman" w:hAnsi="Arial" w:cs="Arial"/>
      <w:b/>
      <w:bCs/>
      <w:color w:val="971A4B"/>
      <w:kern w:val="32"/>
      <w:sz w:val="32"/>
      <w:szCs w:val="32"/>
      <w:lang w:val="en-AU" w:eastAsia="en-AU"/>
    </w:rPr>
  </w:style>
  <w:style w:type="paragraph" w:styleId="Heading2">
    <w:name w:val="heading 2"/>
    <w:next w:val="Normal"/>
    <w:link w:val="Heading2Char"/>
    <w:qFormat/>
    <w:rsid w:val="00C8737B"/>
    <w:pPr>
      <w:keepNext/>
      <w:spacing w:before="240" w:after="120" w:line="300" w:lineRule="atLeast"/>
      <w:outlineLvl w:val="1"/>
    </w:pPr>
    <w:rPr>
      <w:rFonts w:ascii="Arial" w:eastAsia="Times New Roman" w:hAnsi="Arial" w:cs="Arial"/>
      <w:b/>
      <w:bCs/>
      <w:iCs/>
      <w:color w:val="971A4B"/>
      <w:sz w:val="28"/>
      <w:szCs w:val="28"/>
      <w:lang w:val="en-AU" w:eastAsia="en-AU"/>
    </w:rPr>
  </w:style>
  <w:style w:type="paragraph" w:styleId="Heading3">
    <w:name w:val="heading 3"/>
    <w:next w:val="Normal"/>
    <w:link w:val="Heading3Char"/>
    <w:qFormat/>
    <w:rsid w:val="00C8737B"/>
    <w:pPr>
      <w:keepNext/>
      <w:spacing w:before="240" w:after="120" w:line="300" w:lineRule="atLeast"/>
      <w:outlineLvl w:val="2"/>
    </w:pPr>
    <w:rPr>
      <w:rFonts w:ascii="Arial" w:eastAsia="Times New Roman" w:hAnsi="Arial" w:cs="Arial"/>
      <w:b/>
      <w:bCs/>
      <w:sz w:val="26"/>
      <w:szCs w:val="26"/>
      <w:lang w:val="en-AU" w:eastAsia="en-AU"/>
    </w:rPr>
  </w:style>
  <w:style w:type="paragraph" w:styleId="Heading4">
    <w:name w:val="heading 4"/>
    <w:basedOn w:val="Heading3"/>
    <w:link w:val="Heading4Char"/>
    <w:qFormat/>
    <w:rsid w:val="00C8737B"/>
    <w:pPr>
      <w:outlineLvl w:val="3"/>
    </w:pPr>
    <w:rPr>
      <w:sz w:val="24"/>
      <w:szCs w:val="24"/>
    </w:rPr>
  </w:style>
  <w:style w:type="paragraph" w:styleId="Heading5">
    <w:name w:val="heading 5"/>
    <w:basedOn w:val="Normal"/>
    <w:link w:val="Heading5Char"/>
    <w:qFormat/>
    <w:rsid w:val="00C8737B"/>
    <w:pPr>
      <w:spacing w:before="240"/>
      <w:outlineLvl w:val="4"/>
    </w:pPr>
    <w:rPr>
      <w:b/>
    </w:rPr>
  </w:style>
  <w:style w:type="paragraph" w:styleId="Heading6">
    <w:name w:val="heading 6"/>
    <w:basedOn w:val="Heading5"/>
    <w:next w:val="Normal"/>
    <w:link w:val="Heading6Char"/>
    <w:qFormat/>
    <w:rsid w:val="00C8737B"/>
    <w:pPr>
      <w:outlineLvl w:val="5"/>
    </w:pPr>
  </w:style>
  <w:style w:type="paragraph" w:styleId="Heading7">
    <w:name w:val="heading 7"/>
    <w:basedOn w:val="Heading6"/>
    <w:next w:val="Normal"/>
    <w:link w:val="Heading7Char"/>
    <w:qFormat/>
    <w:rsid w:val="00C8737B"/>
    <w:pPr>
      <w:outlineLvl w:val="6"/>
    </w:pPr>
  </w:style>
  <w:style w:type="paragraph" w:styleId="Heading8">
    <w:name w:val="heading 8"/>
    <w:basedOn w:val="Heading7"/>
    <w:next w:val="Normal"/>
    <w:link w:val="Heading8Char"/>
    <w:qFormat/>
    <w:rsid w:val="00C8737B"/>
    <w:pPr>
      <w:outlineLvl w:val="7"/>
    </w:pPr>
  </w:style>
  <w:style w:type="paragraph" w:styleId="Heading9">
    <w:name w:val="heading 9"/>
    <w:basedOn w:val="Heading8"/>
    <w:next w:val="Normal"/>
    <w:link w:val="Heading9Char"/>
    <w:qFormat/>
    <w:rsid w:val="00C8737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8737B"/>
    <w:pPr>
      <w:tabs>
        <w:tab w:val="center" w:pos="4153"/>
        <w:tab w:val="right" w:pos="8306"/>
      </w:tabs>
    </w:pPr>
  </w:style>
  <w:style w:type="character" w:customStyle="1" w:styleId="FooterChar">
    <w:name w:val="Footer Char"/>
    <w:basedOn w:val="DefaultParagraphFont"/>
    <w:link w:val="Footer"/>
    <w:rsid w:val="00BC1939"/>
    <w:rPr>
      <w:rFonts w:ascii="Arial" w:eastAsia="Times New Roman" w:hAnsi="Arial" w:cs="Times New Roman"/>
      <w:sz w:val="22"/>
      <w:lang w:val="en-AU"/>
    </w:rPr>
  </w:style>
  <w:style w:type="paragraph" w:styleId="Header">
    <w:name w:val="header"/>
    <w:link w:val="HeaderChar"/>
    <w:rsid w:val="00C8737B"/>
    <w:pPr>
      <w:pBdr>
        <w:bottom w:val="single" w:sz="4" w:space="1" w:color="B1005D"/>
      </w:pBdr>
      <w:tabs>
        <w:tab w:val="center" w:pos="4604"/>
        <w:tab w:val="right" w:pos="9214"/>
      </w:tabs>
      <w:spacing w:line="240" w:lineRule="atLeast"/>
    </w:pPr>
    <w:rPr>
      <w:rFonts w:ascii="Arial" w:eastAsia="Times New Roman" w:hAnsi="Arial" w:cs="Times New Roman"/>
      <w:sz w:val="22"/>
      <w:lang w:val="en-AU"/>
    </w:rPr>
  </w:style>
  <w:style w:type="character" w:customStyle="1" w:styleId="HeaderChar">
    <w:name w:val="Header Char"/>
    <w:basedOn w:val="DefaultParagraphFont"/>
    <w:link w:val="Header"/>
    <w:rsid w:val="00BC1939"/>
    <w:rPr>
      <w:rFonts w:ascii="Arial" w:eastAsia="Times New Roman" w:hAnsi="Arial" w:cs="Times New Roman"/>
      <w:sz w:val="22"/>
      <w:lang w:val="en-AU"/>
    </w:rPr>
  </w:style>
  <w:style w:type="character" w:customStyle="1" w:styleId="Heading1Char">
    <w:name w:val="Heading 1 Char"/>
    <w:basedOn w:val="DefaultParagraphFont"/>
    <w:link w:val="Heading1"/>
    <w:rsid w:val="00BC1939"/>
    <w:rPr>
      <w:rFonts w:ascii="Arial" w:eastAsia="Times New Roman" w:hAnsi="Arial" w:cs="Arial"/>
      <w:b/>
      <w:bCs/>
      <w:color w:val="971A4B"/>
      <w:kern w:val="32"/>
      <w:sz w:val="32"/>
      <w:szCs w:val="32"/>
      <w:lang w:val="en-AU" w:eastAsia="en-AU"/>
    </w:rPr>
  </w:style>
  <w:style w:type="character" w:styleId="PageNumber">
    <w:name w:val="page number"/>
    <w:semiHidden/>
    <w:rsid w:val="00C8737B"/>
    <w:rPr>
      <w:rFonts w:ascii="Arial" w:hAnsi="Arial"/>
      <w:sz w:val="18"/>
    </w:rPr>
  </w:style>
  <w:style w:type="paragraph" w:customStyle="1" w:styleId="VLAProgram">
    <w:name w:val="VLA Program"/>
    <w:basedOn w:val="Header"/>
    <w:next w:val="Normal"/>
    <w:rsid w:val="00C8737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C8737B"/>
    <w:pPr>
      <w:spacing w:before="120" w:after="960" w:line="240" w:lineRule="auto"/>
      <w:ind w:left="-329"/>
    </w:pPr>
    <w:rPr>
      <w:color w:val="FFFFFF"/>
      <w:sz w:val="18"/>
      <w:szCs w:val="18"/>
    </w:rPr>
  </w:style>
  <w:style w:type="paragraph" w:customStyle="1" w:styleId="Appendix">
    <w:name w:val="Appendix"/>
    <w:next w:val="Normal"/>
    <w:rsid w:val="00C8737B"/>
    <w:pPr>
      <w:numPr>
        <w:numId w:val="2"/>
      </w:numPr>
      <w:spacing w:before="240" w:line="280" w:lineRule="exact"/>
    </w:pPr>
    <w:rPr>
      <w:rFonts w:ascii="Arial" w:eastAsia="Times New Roman" w:hAnsi="Arial" w:cs="Arial"/>
      <w:b/>
      <w:bCs/>
      <w:color w:val="971A4B"/>
      <w:kern w:val="32"/>
      <w:sz w:val="28"/>
      <w:szCs w:val="32"/>
      <w:lang w:val="en-AU" w:eastAsia="en-AU"/>
    </w:rPr>
  </w:style>
  <w:style w:type="paragraph" w:customStyle="1" w:styleId="AppendixH1">
    <w:name w:val="Appendix H1"/>
    <w:next w:val="Normal"/>
    <w:rsid w:val="00C8737B"/>
    <w:pPr>
      <w:spacing w:before="240" w:after="240" w:line="300" w:lineRule="atLeast"/>
    </w:pPr>
    <w:rPr>
      <w:rFonts w:ascii="Arial" w:eastAsia="Times New Roman" w:hAnsi="Arial" w:cs="Arial"/>
      <w:b/>
      <w:bCs/>
      <w:color w:val="971A4B"/>
      <w:kern w:val="32"/>
      <w:sz w:val="28"/>
      <w:szCs w:val="26"/>
      <w:lang w:val="en-AU" w:eastAsia="en-AU"/>
    </w:rPr>
  </w:style>
  <w:style w:type="paragraph" w:customStyle="1" w:styleId="AppendixH2">
    <w:name w:val="Appendix H2"/>
    <w:next w:val="Normal"/>
    <w:rsid w:val="00C8737B"/>
    <w:pPr>
      <w:spacing w:before="160" w:after="40" w:line="300" w:lineRule="atLeast"/>
    </w:pPr>
    <w:rPr>
      <w:rFonts w:ascii="Arial" w:eastAsia="Times New Roman" w:hAnsi="Arial" w:cs="Arial"/>
      <w:b/>
      <w:bCs/>
      <w:iCs/>
      <w:color w:val="971A4B"/>
      <w:sz w:val="26"/>
      <w:szCs w:val="28"/>
      <w:lang w:val="en-AU" w:eastAsia="en-AU"/>
    </w:rPr>
  </w:style>
  <w:style w:type="paragraph" w:customStyle="1" w:styleId="AppendixH3">
    <w:name w:val="Appendix H3"/>
    <w:next w:val="Normal"/>
    <w:rsid w:val="00C8737B"/>
    <w:pPr>
      <w:spacing w:before="120" w:after="40" w:line="300" w:lineRule="atLeast"/>
    </w:pPr>
    <w:rPr>
      <w:rFonts w:ascii="Arial" w:eastAsia="Times New Roman" w:hAnsi="Arial" w:cs="Arial"/>
      <w:b/>
      <w:bCs/>
      <w:szCs w:val="26"/>
      <w:lang w:val="en-AU" w:eastAsia="en-AU"/>
    </w:rPr>
  </w:style>
  <w:style w:type="paragraph" w:customStyle="1" w:styleId="Confidentialityclause">
    <w:name w:val="Confidentiality clause"/>
    <w:rsid w:val="00C8737B"/>
    <w:pPr>
      <w:spacing w:after="120"/>
    </w:pPr>
    <w:rPr>
      <w:rFonts w:ascii="Arial" w:eastAsia="Times New Roman" w:hAnsi="Arial" w:cs="Times New Roman"/>
      <w:bCs/>
      <w:kern w:val="28"/>
      <w:sz w:val="18"/>
      <w:szCs w:val="20"/>
      <w:lang w:val="en-AU"/>
    </w:rPr>
  </w:style>
  <w:style w:type="paragraph" w:customStyle="1" w:styleId="VLAdivision">
    <w:name w:val="VLA division"/>
    <w:basedOn w:val="Normal"/>
    <w:next w:val="Normal"/>
    <w:rsid w:val="00C8737B"/>
    <w:pPr>
      <w:spacing w:before="60" w:after="240"/>
    </w:pPr>
    <w:rPr>
      <w:b/>
      <w:color w:val="971A4B"/>
      <w:sz w:val="28"/>
      <w:szCs w:val="28"/>
      <w:lang w:eastAsia="en-AU"/>
    </w:rPr>
  </w:style>
  <w:style w:type="paragraph" w:customStyle="1" w:styleId="Contents">
    <w:name w:val="Contents"/>
    <w:basedOn w:val="VLAdivision"/>
    <w:next w:val="Normal"/>
    <w:rsid w:val="00C8737B"/>
  </w:style>
  <w:style w:type="paragraph" w:customStyle="1" w:styleId="Filename">
    <w:name w:val="Filename"/>
    <w:basedOn w:val="Normal"/>
    <w:rsid w:val="00C8737B"/>
    <w:pPr>
      <w:pBdr>
        <w:top w:val="single" w:sz="4" w:space="1" w:color="B1005D"/>
      </w:pBdr>
      <w:tabs>
        <w:tab w:val="right" w:pos="9240"/>
      </w:tabs>
    </w:pPr>
    <w:rPr>
      <w:sz w:val="18"/>
    </w:rPr>
  </w:style>
  <w:style w:type="character" w:styleId="FootnoteReference">
    <w:name w:val="footnote reference"/>
    <w:aliases w:val="Footnotes refss,4_G,Footnote number,Stinking Styles,Nota a pie,NO,Style 30,Style 20"/>
    <w:uiPriority w:val="99"/>
    <w:qFormat/>
    <w:rsid w:val="00C8737B"/>
    <w:rPr>
      <w:rFonts w:ascii="Arial" w:hAnsi="Arial"/>
      <w:position w:val="2"/>
      <w:sz w:val="18"/>
      <w:vertAlign w:val="superscript"/>
    </w:rPr>
  </w:style>
  <w:style w:type="paragraph" w:styleId="FootnoteText">
    <w:name w:val="footnote text"/>
    <w:aliases w:val="Footnote text 1 Char Char,Footnote text 1,Footnote Text Char Char,Kneebone1,Footnote,Text Char Char Char,Text Char,Footnote Text Char Char Char Char Char,Text Char Char Char Char,Footnote text 1 Char,5_G,Char,Cha,C,FN,fn,Ca"/>
    <w:basedOn w:val="Normal"/>
    <w:link w:val="FootnoteTextChar"/>
    <w:qFormat/>
    <w:rsid w:val="00C8737B"/>
    <w:pPr>
      <w:ind w:left="284" w:hanging="284"/>
    </w:pPr>
    <w:rPr>
      <w:sz w:val="18"/>
      <w:szCs w:val="20"/>
    </w:rPr>
  </w:style>
  <w:style w:type="character" w:customStyle="1" w:styleId="FootnoteTextChar">
    <w:name w:val="Footnote Text Char"/>
    <w:aliases w:val="Footnote text 1 Char Char Char,Footnote text 1 Char1,Footnote Text Char Char Char,Kneebone1 Char,Footnote Char,Text Char Char Char Char1,Text Char Char,Footnote Text Char Char Char Char Char Char,Text Char Char Char Char Char,5_G Char"/>
    <w:basedOn w:val="DefaultParagraphFont"/>
    <w:link w:val="FootnoteText"/>
    <w:rsid w:val="00C8737B"/>
    <w:rPr>
      <w:rFonts w:ascii="Arial" w:eastAsia="Times New Roman" w:hAnsi="Arial" w:cs="Times New Roman"/>
      <w:sz w:val="18"/>
      <w:szCs w:val="20"/>
      <w:lang w:val="en-AU"/>
    </w:rPr>
  </w:style>
  <w:style w:type="character" w:customStyle="1" w:styleId="Heading2Char">
    <w:name w:val="Heading 2 Char"/>
    <w:basedOn w:val="DefaultParagraphFont"/>
    <w:link w:val="Heading2"/>
    <w:rsid w:val="00C8737B"/>
    <w:rPr>
      <w:rFonts w:ascii="Arial" w:eastAsia="Times New Roman" w:hAnsi="Arial" w:cs="Arial"/>
      <w:b/>
      <w:bCs/>
      <w:iCs/>
      <w:color w:val="971A4B"/>
      <w:sz w:val="28"/>
      <w:szCs w:val="28"/>
      <w:lang w:val="en-AU" w:eastAsia="en-AU"/>
    </w:rPr>
  </w:style>
  <w:style w:type="character" w:customStyle="1" w:styleId="Heading3Char">
    <w:name w:val="Heading 3 Char"/>
    <w:basedOn w:val="DefaultParagraphFont"/>
    <w:link w:val="Heading3"/>
    <w:rsid w:val="00C8737B"/>
    <w:rPr>
      <w:rFonts w:ascii="Arial" w:eastAsia="Times New Roman" w:hAnsi="Arial" w:cs="Arial"/>
      <w:b/>
      <w:bCs/>
      <w:sz w:val="26"/>
      <w:szCs w:val="26"/>
      <w:lang w:val="en-AU" w:eastAsia="en-AU"/>
    </w:rPr>
  </w:style>
  <w:style w:type="character" w:customStyle="1" w:styleId="Heading4Char">
    <w:name w:val="Heading 4 Char"/>
    <w:basedOn w:val="DefaultParagraphFont"/>
    <w:link w:val="Heading4"/>
    <w:rsid w:val="00C8737B"/>
    <w:rPr>
      <w:rFonts w:ascii="Arial" w:eastAsia="Times New Roman" w:hAnsi="Arial" w:cs="Arial"/>
      <w:b/>
      <w:bCs/>
      <w:lang w:val="en-AU" w:eastAsia="en-AU"/>
    </w:rPr>
  </w:style>
  <w:style w:type="character" w:customStyle="1" w:styleId="Heading5Char">
    <w:name w:val="Heading 5 Char"/>
    <w:basedOn w:val="DefaultParagraphFont"/>
    <w:link w:val="Heading5"/>
    <w:rsid w:val="00C8737B"/>
    <w:rPr>
      <w:rFonts w:ascii="Arial" w:eastAsia="Times New Roman" w:hAnsi="Arial" w:cs="Times New Roman"/>
      <w:b/>
      <w:sz w:val="22"/>
      <w:lang w:val="en-AU"/>
    </w:rPr>
  </w:style>
  <w:style w:type="character" w:customStyle="1" w:styleId="Heading6Char">
    <w:name w:val="Heading 6 Char"/>
    <w:link w:val="Heading6"/>
    <w:rsid w:val="00C8737B"/>
    <w:rPr>
      <w:rFonts w:ascii="Arial" w:eastAsia="Times New Roman" w:hAnsi="Arial" w:cs="Times New Roman"/>
      <w:b/>
      <w:sz w:val="22"/>
      <w:lang w:val="en-AU"/>
    </w:rPr>
  </w:style>
  <w:style w:type="character" w:customStyle="1" w:styleId="Heading7Char">
    <w:name w:val="Heading 7 Char"/>
    <w:basedOn w:val="DefaultParagraphFont"/>
    <w:link w:val="Heading7"/>
    <w:rsid w:val="00C8737B"/>
    <w:rPr>
      <w:rFonts w:ascii="Arial" w:eastAsia="Times New Roman" w:hAnsi="Arial" w:cs="Times New Roman"/>
      <w:b/>
      <w:sz w:val="22"/>
      <w:lang w:val="en-AU"/>
    </w:rPr>
  </w:style>
  <w:style w:type="character" w:customStyle="1" w:styleId="Heading8Char">
    <w:name w:val="Heading 8 Char"/>
    <w:basedOn w:val="DefaultParagraphFont"/>
    <w:link w:val="Heading8"/>
    <w:rsid w:val="00C8737B"/>
    <w:rPr>
      <w:rFonts w:ascii="Arial" w:eastAsia="Times New Roman" w:hAnsi="Arial" w:cs="Times New Roman"/>
      <w:b/>
      <w:sz w:val="22"/>
      <w:lang w:val="en-AU"/>
    </w:rPr>
  </w:style>
  <w:style w:type="character" w:customStyle="1" w:styleId="Heading9Char">
    <w:name w:val="Heading 9 Char"/>
    <w:basedOn w:val="DefaultParagraphFont"/>
    <w:link w:val="Heading9"/>
    <w:rsid w:val="00C8737B"/>
    <w:rPr>
      <w:rFonts w:ascii="Arial" w:eastAsia="Times New Roman" w:hAnsi="Arial" w:cs="Times New Roman"/>
      <w:b/>
      <w:sz w:val="22"/>
      <w:lang w:val="en-AU"/>
    </w:rPr>
  </w:style>
  <w:style w:type="character" w:styleId="Hyperlink">
    <w:name w:val="Hyperlink"/>
    <w:rsid w:val="00C8737B"/>
    <w:rPr>
      <w:rFonts w:ascii="Arial" w:hAnsi="Arial"/>
      <w:color w:val="0000FF"/>
      <w:u w:val="single"/>
      <w:lang w:val="en-AU"/>
    </w:rPr>
  </w:style>
  <w:style w:type="paragraph" w:styleId="Index1">
    <w:name w:val="index 1"/>
    <w:basedOn w:val="Normal"/>
    <w:next w:val="Normal"/>
    <w:autoRedefine/>
    <w:rsid w:val="00C8737B"/>
    <w:pPr>
      <w:spacing w:after="0" w:line="240" w:lineRule="auto"/>
      <w:ind w:left="220" w:hanging="220"/>
    </w:pPr>
  </w:style>
  <w:style w:type="paragraph" w:styleId="Index2">
    <w:name w:val="index 2"/>
    <w:basedOn w:val="Normal"/>
    <w:next w:val="Normal"/>
    <w:autoRedefine/>
    <w:rsid w:val="00C8737B"/>
    <w:pPr>
      <w:spacing w:after="0" w:line="240" w:lineRule="auto"/>
      <w:ind w:left="440" w:hanging="220"/>
    </w:pPr>
  </w:style>
  <w:style w:type="paragraph" w:styleId="ListBullet">
    <w:name w:val="List Bullet"/>
    <w:rsid w:val="00D070E6"/>
    <w:pPr>
      <w:numPr>
        <w:numId w:val="4"/>
      </w:numPr>
      <w:spacing w:before="120" w:line="300" w:lineRule="atLeast"/>
    </w:pPr>
    <w:rPr>
      <w:rFonts w:ascii="Arial" w:eastAsia="Times New Roman" w:hAnsi="Arial" w:cs="Times New Roman"/>
      <w:sz w:val="22"/>
      <w:lang w:val="en-AU"/>
    </w:rPr>
  </w:style>
  <w:style w:type="paragraph" w:styleId="ListBullet2">
    <w:name w:val="List Bullet 2"/>
    <w:rsid w:val="00C8737B"/>
    <w:pPr>
      <w:numPr>
        <w:ilvl w:val="1"/>
        <w:numId w:val="8"/>
      </w:numPr>
      <w:spacing w:line="300" w:lineRule="atLeast"/>
    </w:pPr>
    <w:rPr>
      <w:rFonts w:ascii="Arial" w:eastAsia="Times New Roman" w:hAnsi="Arial" w:cs="Times New Roman"/>
      <w:sz w:val="22"/>
      <w:lang w:val="en-AU"/>
    </w:rPr>
  </w:style>
  <w:style w:type="paragraph" w:styleId="ListBullet3">
    <w:name w:val="List Bullet 3"/>
    <w:rsid w:val="00C8737B"/>
    <w:pPr>
      <w:numPr>
        <w:ilvl w:val="2"/>
        <w:numId w:val="8"/>
      </w:numPr>
      <w:spacing w:line="300" w:lineRule="atLeast"/>
    </w:pPr>
    <w:rPr>
      <w:rFonts w:ascii="Arial" w:eastAsia="Times New Roman" w:hAnsi="Arial" w:cs="Times New Roman"/>
      <w:sz w:val="22"/>
      <w:lang w:val="en-AU"/>
    </w:rPr>
  </w:style>
  <w:style w:type="paragraph" w:styleId="ListBullet4">
    <w:name w:val="List Bullet 4"/>
    <w:basedOn w:val="Normal"/>
    <w:semiHidden/>
    <w:rsid w:val="00C8737B"/>
    <w:pPr>
      <w:spacing w:after="80"/>
    </w:pPr>
  </w:style>
  <w:style w:type="paragraph" w:styleId="ListBullet5">
    <w:name w:val="List Bullet 5"/>
    <w:basedOn w:val="Normal"/>
    <w:rsid w:val="00C8737B"/>
    <w:pPr>
      <w:numPr>
        <w:numId w:val="11"/>
      </w:numPr>
      <w:tabs>
        <w:tab w:val="clear" w:pos="1492"/>
        <w:tab w:val="left" w:pos="1304"/>
      </w:tabs>
    </w:pPr>
  </w:style>
  <w:style w:type="paragraph" w:styleId="ListNumber">
    <w:name w:val="List Number"/>
    <w:basedOn w:val="Normal"/>
    <w:rsid w:val="00C8737B"/>
    <w:pPr>
      <w:numPr>
        <w:numId w:val="13"/>
      </w:numPr>
    </w:pPr>
  </w:style>
  <w:style w:type="paragraph" w:styleId="ListNumber2">
    <w:name w:val="List Number 2"/>
    <w:basedOn w:val="Normal"/>
    <w:rsid w:val="00C8737B"/>
    <w:pPr>
      <w:numPr>
        <w:numId w:val="15"/>
      </w:numPr>
    </w:pPr>
  </w:style>
  <w:style w:type="paragraph" w:styleId="ListNumber3">
    <w:name w:val="List Number 3"/>
    <w:basedOn w:val="Normal"/>
    <w:rsid w:val="00C8737B"/>
    <w:pPr>
      <w:numPr>
        <w:numId w:val="17"/>
      </w:numPr>
    </w:pPr>
  </w:style>
  <w:style w:type="paragraph" w:styleId="ListNumber4">
    <w:name w:val="List Number 4"/>
    <w:basedOn w:val="Normal"/>
    <w:rsid w:val="00C8737B"/>
    <w:pPr>
      <w:numPr>
        <w:numId w:val="19"/>
      </w:numPr>
    </w:pPr>
  </w:style>
  <w:style w:type="paragraph" w:styleId="ListNumber5">
    <w:name w:val="List Number 5"/>
    <w:basedOn w:val="Normal"/>
    <w:rsid w:val="00C8737B"/>
    <w:pPr>
      <w:numPr>
        <w:numId w:val="21"/>
      </w:numPr>
    </w:pPr>
  </w:style>
  <w:style w:type="paragraph" w:customStyle="1" w:styleId="Normalbold">
    <w:name w:val="Normal bold"/>
    <w:basedOn w:val="Normal"/>
    <w:next w:val="Normal"/>
    <w:rsid w:val="00C8737B"/>
    <w:rPr>
      <w:b/>
      <w:lang w:eastAsia="en-AU"/>
    </w:rPr>
  </w:style>
  <w:style w:type="paragraph" w:styleId="NormalIndent">
    <w:name w:val="Normal Indent"/>
    <w:basedOn w:val="Normal"/>
    <w:rsid w:val="00C8737B"/>
    <w:pPr>
      <w:ind w:left="720"/>
    </w:pPr>
  </w:style>
  <w:style w:type="paragraph" w:customStyle="1" w:styleId="Normalwithgreyhighlightbox">
    <w:name w:val="Normal with grey highlight box"/>
    <w:basedOn w:val="Normal"/>
    <w:qFormat/>
    <w:rsid w:val="00C8737B"/>
    <w:pPr>
      <w:pBdr>
        <w:top w:val="single" w:sz="24" w:space="3" w:color="D9D9D9" w:themeColor="background1" w:themeShade="D9"/>
        <w:left w:val="single" w:sz="24" w:space="4" w:color="D9D9D9" w:themeColor="background1" w:themeShade="D9"/>
        <w:bottom w:val="single" w:sz="24" w:space="3" w:color="D9D9D9" w:themeColor="background1" w:themeShade="D9"/>
        <w:right w:val="single" w:sz="24" w:space="4" w:color="D9D9D9" w:themeColor="background1" w:themeShade="D9"/>
      </w:pBdr>
      <w:shd w:val="pct15" w:color="auto" w:fill="auto"/>
      <w:spacing w:before="160"/>
      <w:ind w:left="454" w:right="454"/>
    </w:pPr>
  </w:style>
  <w:style w:type="paragraph" w:customStyle="1" w:styleId="Normalwithborder">
    <w:name w:val="Normal with border"/>
    <w:basedOn w:val="Normalwithgreyhighlightbox"/>
    <w:qFormat/>
    <w:rsid w:val="00C8737B"/>
    <w:pPr>
      <w:pBdr>
        <w:top w:val="single" w:sz="8" w:space="7" w:color="0D0D0D" w:themeColor="text1" w:themeTint="F2"/>
        <w:left w:val="single" w:sz="8" w:space="7" w:color="0D0D0D" w:themeColor="text1" w:themeTint="F2"/>
        <w:bottom w:val="single" w:sz="8" w:space="7" w:color="0D0D0D" w:themeColor="text1" w:themeTint="F2"/>
        <w:right w:val="single" w:sz="8" w:space="7" w:color="0D0D0D" w:themeColor="text1" w:themeTint="F2"/>
      </w:pBdr>
      <w:shd w:val="clear" w:color="auto" w:fill="auto"/>
    </w:pPr>
  </w:style>
  <w:style w:type="paragraph" w:styleId="NoteHeading">
    <w:name w:val="Note Heading"/>
    <w:basedOn w:val="Normal"/>
    <w:next w:val="Normal"/>
    <w:link w:val="NoteHeadingChar"/>
    <w:rsid w:val="00C8737B"/>
    <w:pPr>
      <w:spacing w:after="0" w:line="240" w:lineRule="auto"/>
    </w:pPr>
  </w:style>
  <w:style w:type="character" w:customStyle="1" w:styleId="NoteHeadingChar">
    <w:name w:val="Note Heading Char"/>
    <w:basedOn w:val="DefaultParagraphFont"/>
    <w:link w:val="NoteHeading"/>
    <w:rsid w:val="00C8737B"/>
    <w:rPr>
      <w:rFonts w:ascii="Arial" w:eastAsia="Times New Roman" w:hAnsi="Arial" w:cs="Times New Roman"/>
      <w:sz w:val="22"/>
      <w:lang w:val="en-AU"/>
    </w:rPr>
  </w:style>
  <w:style w:type="character" w:styleId="Strong">
    <w:name w:val="Strong"/>
    <w:uiPriority w:val="22"/>
    <w:qFormat/>
    <w:rsid w:val="00C8737B"/>
    <w:rPr>
      <w:b/>
      <w:bCs/>
    </w:rPr>
  </w:style>
  <w:style w:type="paragraph" w:styleId="Subtitle">
    <w:name w:val="Subtitle"/>
    <w:basedOn w:val="Normal"/>
    <w:next w:val="Normal"/>
    <w:link w:val="SubtitleChar"/>
    <w:qFormat/>
    <w:rsid w:val="00C8737B"/>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C8737B"/>
    <w:rPr>
      <w:rFonts w:eastAsiaTheme="minorEastAsia"/>
      <w:color w:val="5A5A5A" w:themeColor="text1" w:themeTint="A5"/>
      <w:spacing w:val="15"/>
      <w:sz w:val="22"/>
      <w:szCs w:val="22"/>
      <w:lang w:val="en-AU"/>
    </w:rPr>
  </w:style>
  <w:style w:type="table" w:styleId="TableGrid">
    <w:name w:val="Table Grid"/>
    <w:basedOn w:val="TableNormal"/>
    <w:rsid w:val="00C8737B"/>
    <w:pPr>
      <w:spacing w:before="60" w:after="60" w:line="240" w:lineRule="atLeast"/>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link w:val="TitleChar"/>
    <w:qFormat/>
    <w:rsid w:val="00C8737B"/>
    <w:pPr>
      <w:spacing w:before="2000" w:after="240" w:line="400" w:lineRule="exact"/>
      <w:outlineLvl w:val="0"/>
    </w:pPr>
    <w:rPr>
      <w:rFonts w:ascii="Arial Bold" w:eastAsia="Times New Roman" w:hAnsi="Arial Bold" w:cs="Arial"/>
      <w:b/>
      <w:bCs/>
      <w:color w:val="971A4B"/>
      <w:kern w:val="28"/>
      <w:sz w:val="36"/>
      <w:szCs w:val="32"/>
      <w:lang w:val="en-AU"/>
    </w:rPr>
  </w:style>
  <w:style w:type="character" w:customStyle="1" w:styleId="TitleChar">
    <w:name w:val="Title Char"/>
    <w:link w:val="Title"/>
    <w:rsid w:val="00C8737B"/>
    <w:rPr>
      <w:rFonts w:ascii="Arial Bold" w:eastAsia="Times New Roman" w:hAnsi="Arial Bold" w:cs="Arial"/>
      <w:b/>
      <w:bCs/>
      <w:color w:val="971A4B"/>
      <w:kern w:val="28"/>
      <w:sz w:val="36"/>
      <w:szCs w:val="32"/>
      <w:lang w:val="en-AU"/>
    </w:rPr>
  </w:style>
  <w:style w:type="paragraph" w:styleId="TOC1">
    <w:name w:val="toc 1"/>
    <w:next w:val="Normal"/>
    <w:rsid w:val="00C8737B"/>
    <w:pPr>
      <w:tabs>
        <w:tab w:val="right" w:leader="dot" w:pos="9790"/>
      </w:tabs>
      <w:spacing w:before="60" w:after="60"/>
      <w:ind w:left="567" w:right="760" w:hanging="567"/>
    </w:pPr>
    <w:rPr>
      <w:rFonts w:ascii="Arial" w:eastAsia="Times New Roman" w:hAnsi="Arial" w:cs="Times New Roman"/>
      <w:b/>
      <w:sz w:val="20"/>
      <w:lang w:val="en-AU"/>
    </w:rPr>
  </w:style>
  <w:style w:type="paragraph" w:styleId="TOC2">
    <w:name w:val="toc 2"/>
    <w:basedOn w:val="Normal"/>
    <w:next w:val="Normal"/>
    <w:rsid w:val="00C8737B"/>
    <w:pPr>
      <w:tabs>
        <w:tab w:val="right" w:leader="dot" w:pos="9790"/>
      </w:tabs>
      <w:spacing w:before="60" w:after="60"/>
      <w:ind w:left="330" w:right="650"/>
    </w:pPr>
    <w:rPr>
      <w:noProof/>
      <w:sz w:val="20"/>
    </w:rPr>
  </w:style>
  <w:style w:type="paragraph" w:styleId="TOC3">
    <w:name w:val="toc 3"/>
    <w:basedOn w:val="Normal"/>
    <w:next w:val="Normal"/>
    <w:rsid w:val="00C8737B"/>
    <w:pPr>
      <w:tabs>
        <w:tab w:val="right" w:leader="dot" w:pos="9790"/>
      </w:tabs>
      <w:spacing w:before="60" w:after="60"/>
      <w:ind w:left="550" w:right="760"/>
    </w:pPr>
    <w:rPr>
      <w:noProof/>
      <w:sz w:val="20"/>
    </w:rPr>
  </w:style>
  <w:style w:type="paragraph" w:customStyle="1" w:styleId="VLA1">
    <w:name w:val="VLA 1."/>
    <w:aliases w:val="2.,3."/>
    <w:rsid w:val="00C8737B"/>
    <w:pPr>
      <w:numPr>
        <w:ilvl w:val="1"/>
        <w:numId w:val="23"/>
      </w:numPr>
      <w:spacing w:line="300" w:lineRule="atLeast"/>
    </w:pPr>
    <w:rPr>
      <w:rFonts w:ascii="Arial" w:eastAsia="Times New Roman" w:hAnsi="Arial" w:cs="Times New Roman"/>
      <w:sz w:val="22"/>
      <w:lang w:val="en-AU"/>
    </w:rPr>
  </w:style>
  <w:style w:type="paragraph" w:customStyle="1" w:styleId="VLAa">
    <w:name w:val="VLA a."/>
    <w:aliases w:val="b.,c."/>
    <w:rsid w:val="00C8737B"/>
    <w:pPr>
      <w:tabs>
        <w:tab w:val="num" w:pos="714"/>
      </w:tabs>
      <w:spacing w:after="120" w:line="300" w:lineRule="atLeast"/>
      <w:ind w:left="714" w:hanging="357"/>
    </w:pPr>
    <w:rPr>
      <w:rFonts w:ascii="Arial" w:eastAsia="Times New Roman" w:hAnsi="Arial" w:cs="Times New Roman"/>
      <w:sz w:val="22"/>
      <w:lang w:val="en-AU"/>
    </w:rPr>
  </w:style>
  <w:style w:type="paragraph" w:customStyle="1" w:styleId="VLAauthor">
    <w:name w:val="VLA author"/>
    <w:basedOn w:val="Normal"/>
    <w:next w:val="VLAdivision"/>
    <w:rsid w:val="00C8737B"/>
    <w:pPr>
      <w:spacing w:before="240" w:after="60"/>
    </w:pPr>
    <w:rPr>
      <w:b/>
      <w:color w:val="971A4B"/>
      <w:sz w:val="28"/>
      <w:szCs w:val="28"/>
      <w:lang w:eastAsia="en-AU"/>
    </w:rPr>
  </w:style>
  <w:style w:type="paragraph" w:customStyle="1" w:styleId="VLAcaption">
    <w:name w:val="VLA caption"/>
    <w:basedOn w:val="Normal"/>
    <w:next w:val="Normal"/>
    <w:rsid w:val="00C8737B"/>
    <w:rPr>
      <w:i/>
      <w:sz w:val="20"/>
    </w:rPr>
  </w:style>
  <w:style w:type="paragraph" w:customStyle="1" w:styleId="VLAdate">
    <w:name w:val="VLA date"/>
    <w:basedOn w:val="Normal"/>
    <w:qFormat/>
    <w:rsid w:val="00C8737B"/>
    <w:pPr>
      <w:spacing w:before="240" w:after="240" w:line="240" w:lineRule="atLeast"/>
    </w:pPr>
    <w:rPr>
      <w:bCs/>
      <w:sz w:val="24"/>
      <w:szCs w:val="28"/>
    </w:rPr>
  </w:style>
  <w:style w:type="paragraph" w:customStyle="1" w:styleId="VLAdefinition">
    <w:name w:val="VLA definition"/>
    <w:basedOn w:val="Normal"/>
    <w:rsid w:val="00C8737B"/>
    <w:pPr>
      <w:tabs>
        <w:tab w:val="left" w:pos="2268"/>
      </w:tabs>
      <w:spacing w:before="60"/>
      <w:ind w:left="2268" w:hanging="2268"/>
    </w:pPr>
    <w:rPr>
      <w:szCs w:val="22"/>
    </w:rPr>
  </w:style>
  <w:style w:type="paragraph" w:customStyle="1" w:styleId="VLADocumentText">
    <w:name w:val="VLA Document Text"/>
    <w:rsid w:val="00C8737B"/>
    <w:pPr>
      <w:spacing w:after="120" w:line="300" w:lineRule="atLeast"/>
    </w:pPr>
    <w:rPr>
      <w:rFonts w:ascii="Arial" w:eastAsia="Times New Roman" w:hAnsi="Arial" w:cs="Times New Roman"/>
      <w:sz w:val="22"/>
      <w:lang w:val="en-AU"/>
    </w:rPr>
  </w:style>
  <w:style w:type="character" w:customStyle="1" w:styleId="VLAHiddenText">
    <w:name w:val="VLA Hidden Text"/>
    <w:rsid w:val="00C8737B"/>
    <w:rPr>
      <w:rFonts w:ascii="Arial" w:hAnsi="Arial"/>
      <w:vanish/>
      <w:color w:val="3366FF"/>
    </w:rPr>
  </w:style>
  <w:style w:type="paragraph" w:customStyle="1" w:styleId="VLAi">
    <w:name w:val="VLA i."/>
    <w:aliases w:val="ii.,iii."/>
    <w:rsid w:val="00C8737B"/>
    <w:pPr>
      <w:numPr>
        <w:ilvl w:val="2"/>
        <w:numId w:val="23"/>
      </w:numPr>
      <w:spacing w:line="300" w:lineRule="atLeast"/>
    </w:pPr>
    <w:rPr>
      <w:rFonts w:ascii="Arial" w:eastAsia="Times New Roman" w:hAnsi="Arial" w:cs="Times New Roman"/>
      <w:sz w:val="22"/>
      <w:lang w:val="en-AU"/>
    </w:rPr>
  </w:style>
  <w:style w:type="paragraph" w:customStyle="1" w:styleId="VLALetterHeading">
    <w:name w:val="VLA Letter Heading"/>
    <w:next w:val="Normal"/>
    <w:rsid w:val="00C8737B"/>
    <w:pPr>
      <w:keepNext/>
      <w:spacing w:after="200" w:line="300" w:lineRule="atLeast"/>
    </w:pPr>
    <w:rPr>
      <w:rFonts w:ascii="Arial" w:eastAsia="Times New Roman" w:hAnsi="Arial" w:cs="Times New Roman"/>
      <w:b/>
      <w:sz w:val="22"/>
      <w:lang w:val="en-AU"/>
    </w:rPr>
  </w:style>
  <w:style w:type="paragraph" w:customStyle="1" w:styleId="VLALetterText">
    <w:name w:val="VLA Letter Text"/>
    <w:uiPriority w:val="1"/>
    <w:qFormat/>
    <w:rsid w:val="00C8737B"/>
    <w:pPr>
      <w:spacing w:after="120" w:line="300" w:lineRule="atLeast"/>
    </w:pPr>
    <w:rPr>
      <w:rFonts w:ascii="Arial" w:eastAsia="Times New Roman" w:hAnsi="Arial" w:cs="Times New Roman"/>
      <w:sz w:val="22"/>
      <w:lang w:val="en-AU"/>
    </w:rPr>
  </w:style>
  <w:style w:type="paragraph" w:customStyle="1" w:styleId="VLApicture">
    <w:name w:val="VLA picture"/>
    <w:next w:val="Normal"/>
    <w:rsid w:val="00C8737B"/>
    <w:pPr>
      <w:spacing w:after="120" w:line="300" w:lineRule="atLeast"/>
    </w:pPr>
    <w:rPr>
      <w:rFonts w:ascii="Arial" w:eastAsia="Times New Roman" w:hAnsi="Arial" w:cs="Times New Roman"/>
      <w:sz w:val="22"/>
      <w:lang w:val="en-AU"/>
    </w:rPr>
  </w:style>
  <w:style w:type="paragraph" w:customStyle="1" w:styleId="VLApublicationdate0">
    <w:name w:val="VLA publication date"/>
    <w:basedOn w:val="Normal"/>
    <w:rsid w:val="00C8737B"/>
    <w:pPr>
      <w:spacing w:before="1000"/>
    </w:pPr>
    <w:rPr>
      <w:b/>
      <w:sz w:val="28"/>
      <w:szCs w:val="20"/>
      <w:lang w:eastAsia="en-AU"/>
    </w:rPr>
  </w:style>
  <w:style w:type="paragraph" w:customStyle="1" w:styleId="VLAquotation">
    <w:name w:val="VLA quotation"/>
    <w:basedOn w:val="VLApicture"/>
    <w:rsid w:val="00C8737B"/>
    <w:pPr>
      <w:ind w:left="720"/>
    </w:pPr>
    <w:rPr>
      <w:i/>
    </w:rPr>
  </w:style>
  <w:style w:type="character" w:styleId="UnresolvedMention">
    <w:name w:val="Unresolved Mention"/>
    <w:basedOn w:val="DefaultParagraphFont"/>
    <w:uiPriority w:val="99"/>
    <w:rsid w:val="0031443C"/>
    <w:rPr>
      <w:color w:val="605E5C"/>
      <w:shd w:val="clear" w:color="auto" w:fill="E1DFDD"/>
    </w:rPr>
  </w:style>
  <w:style w:type="paragraph" w:styleId="BalloonText">
    <w:name w:val="Balloon Text"/>
    <w:basedOn w:val="Normal"/>
    <w:link w:val="BalloonTextChar"/>
    <w:uiPriority w:val="99"/>
    <w:semiHidden/>
    <w:unhideWhenUsed/>
    <w:rsid w:val="00473E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E11"/>
    <w:rPr>
      <w:rFonts w:ascii="Segoe UI" w:eastAsia="Times New Roman" w:hAnsi="Segoe UI" w:cs="Segoe UI"/>
      <w:sz w:val="18"/>
      <w:szCs w:val="18"/>
      <w:lang w:val="en-AU"/>
    </w:rPr>
  </w:style>
  <w:style w:type="paragraph" w:styleId="ListParagraph">
    <w:name w:val="List Paragraph"/>
    <w:basedOn w:val="Normal"/>
    <w:uiPriority w:val="34"/>
    <w:qFormat/>
    <w:rsid w:val="00627BED"/>
    <w:pPr>
      <w:ind w:left="720"/>
      <w:contextualSpacing/>
    </w:pPr>
  </w:style>
  <w:style w:type="paragraph" w:styleId="Revision">
    <w:name w:val="Revision"/>
    <w:hidden/>
    <w:uiPriority w:val="99"/>
    <w:semiHidden/>
    <w:rsid w:val="00F3213F"/>
    <w:rPr>
      <w:rFonts w:ascii="Arial" w:eastAsia="Times New Roman" w:hAnsi="Arial" w:cs="Times New Roman"/>
      <w:sz w:val="22"/>
      <w:lang w:val="en-AU"/>
    </w:rPr>
  </w:style>
  <w:style w:type="character" w:styleId="CommentReference">
    <w:name w:val="annotation reference"/>
    <w:basedOn w:val="DefaultParagraphFont"/>
    <w:unhideWhenUsed/>
    <w:rsid w:val="004175B7"/>
    <w:rPr>
      <w:sz w:val="16"/>
      <w:szCs w:val="16"/>
    </w:rPr>
  </w:style>
  <w:style w:type="paragraph" w:styleId="CommentText">
    <w:name w:val="annotation text"/>
    <w:basedOn w:val="Normal"/>
    <w:link w:val="CommentTextChar"/>
    <w:unhideWhenUsed/>
    <w:rsid w:val="004175B7"/>
    <w:pPr>
      <w:spacing w:line="240" w:lineRule="auto"/>
    </w:pPr>
    <w:rPr>
      <w:sz w:val="20"/>
      <w:szCs w:val="20"/>
    </w:rPr>
  </w:style>
  <w:style w:type="character" w:customStyle="1" w:styleId="CommentTextChar">
    <w:name w:val="Comment Text Char"/>
    <w:basedOn w:val="DefaultParagraphFont"/>
    <w:link w:val="CommentText"/>
    <w:rsid w:val="004175B7"/>
    <w:rPr>
      <w:rFonts w:ascii="Arial" w:eastAsia="Times New Roman" w:hAnsi="Arial" w:cs="Times New Roman"/>
      <w:sz w:val="20"/>
      <w:szCs w:val="20"/>
      <w:lang w:val="en-AU"/>
    </w:rPr>
  </w:style>
  <w:style w:type="paragraph" w:customStyle="1" w:styleId="Tableheader">
    <w:name w:val="Table header"/>
    <w:basedOn w:val="Heading4"/>
    <w:qFormat/>
    <w:rsid w:val="004175B7"/>
  </w:style>
  <w:style w:type="table" w:styleId="PlainTable2">
    <w:name w:val="Plain Table 2"/>
    <w:basedOn w:val="TableNormal"/>
    <w:uiPriority w:val="42"/>
    <w:rsid w:val="004175B7"/>
    <w:rPr>
      <w:rFonts w:ascii="Times New Roman" w:eastAsia="Times New Roman" w:hAnsi="Times New Roman" w:cs="Times New Roman"/>
      <w:sz w:val="20"/>
      <w:szCs w:val="20"/>
      <w:lang w:val="en-AU" w:eastAsia="en-AU"/>
    </w:rPr>
    <w:tblPr>
      <w:tblStyleRowBandSize w:val="1"/>
      <w:tblStyleColBandSize w:val="1"/>
      <w:tblBorders>
        <w:bottom w:val="single" w:sz="4" w:space="0" w:color="000000" w:themeColor="text1"/>
        <w:insideH w:val="single" w:sz="4" w:space="0" w:color="000000" w:themeColor="text1"/>
      </w:tblBorders>
    </w:tblPr>
    <w:tblStylePr w:type="firstRow">
      <w:rPr>
        <w:b w:val="0"/>
        <w:bCs/>
        <w:color w:val="44546A" w:themeColor="text2"/>
      </w:rPr>
      <w:tblPr/>
      <w:trPr>
        <w:cantSplit/>
        <w:tblHeader/>
      </w:trPr>
      <w:tcPr>
        <w:tcBorders>
          <w:top w:val="single" w:sz="4" w:space="0" w:color="44546A" w:themeColor="text2"/>
          <w:bottom w:val="single" w:sz="4" w:space="0" w:color="44546A" w:themeColor="text2"/>
        </w:tcBorders>
        <w:shd w:val="clear" w:color="auto" w:fill="E7E6E6" w:themeFill="background2"/>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000000" w:themeColor="text1"/>
          <w:insideH w:val="single" w:sz="4" w:space="0" w:color="000000" w:themeColor="text1"/>
        </w:tcBorders>
      </w:tcPr>
    </w:tblStylePr>
    <w:tblStylePr w:type="band2Horz">
      <w:tblPr/>
      <w:tcPr>
        <w:tcBorders>
          <w:bottom w:val="single" w:sz="4" w:space="0" w:color="000000" w:themeColor="text1"/>
          <w:insideH w:val="single" w:sz="4" w:space="0" w:color="000000" w:themeColor="text1"/>
        </w:tcBorders>
      </w:tcPr>
    </w:tblStylePr>
  </w:style>
  <w:style w:type="paragraph" w:styleId="NoSpacing">
    <w:name w:val="No Spacing"/>
    <w:uiPriority w:val="1"/>
    <w:qFormat/>
    <w:rsid w:val="004175B7"/>
    <w:rPr>
      <w:rFonts w:ascii="Arial" w:eastAsia="Times New Roman" w:hAnsi="Arial" w:cs="Times New Roman"/>
      <w:sz w:val="22"/>
      <w:lang w:val="en-AU"/>
    </w:rPr>
  </w:style>
  <w:style w:type="paragraph" w:styleId="CommentSubject">
    <w:name w:val="annotation subject"/>
    <w:basedOn w:val="CommentText"/>
    <w:next w:val="CommentText"/>
    <w:link w:val="CommentSubjectChar"/>
    <w:uiPriority w:val="99"/>
    <w:semiHidden/>
    <w:unhideWhenUsed/>
    <w:rsid w:val="004175B7"/>
    <w:rPr>
      <w:b/>
      <w:bCs/>
    </w:rPr>
  </w:style>
  <w:style w:type="character" w:customStyle="1" w:styleId="CommentSubjectChar">
    <w:name w:val="Comment Subject Char"/>
    <w:basedOn w:val="CommentTextChar"/>
    <w:link w:val="CommentSubject"/>
    <w:uiPriority w:val="99"/>
    <w:semiHidden/>
    <w:rsid w:val="004175B7"/>
    <w:rPr>
      <w:rFonts w:ascii="Arial" w:eastAsia="Times New Roman" w:hAnsi="Arial" w:cs="Times New Roman"/>
      <w:b/>
      <w:bCs/>
      <w:sz w:val="20"/>
      <w:szCs w:val="20"/>
      <w:lang w:val="en-AU"/>
    </w:rPr>
  </w:style>
  <w:style w:type="character" w:styleId="Mention">
    <w:name w:val="Mention"/>
    <w:basedOn w:val="DefaultParagraphFont"/>
    <w:uiPriority w:val="99"/>
    <w:unhideWhenUsed/>
    <w:rsid w:val="00A35B76"/>
    <w:rPr>
      <w:color w:val="2B579A"/>
      <w:shd w:val="clear" w:color="auto" w:fill="E1DFDD"/>
    </w:rPr>
  </w:style>
  <w:style w:type="paragraph" w:customStyle="1" w:styleId="Bullet1">
    <w:name w:val="Bullet 1"/>
    <w:basedOn w:val="Normal"/>
    <w:uiPriority w:val="1"/>
    <w:qFormat/>
    <w:rsid w:val="00AF32C1"/>
    <w:pPr>
      <w:numPr>
        <w:numId w:val="26"/>
      </w:numPr>
      <w:ind w:left="170" w:hanging="170"/>
    </w:pPr>
  </w:style>
  <w:style w:type="character" w:styleId="FollowedHyperlink">
    <w:name w:val="FollowedHyperlink"/>
    <w:basedOn w:val="DefaultParagraphFont"/>
    <w:uiPriority w:val="99"/>
    <w:semiHidden/>
    <w:unhideWhenUsed/>
    <w:rsid w:val="003E39CD"/>
    <w:rPr>
      <w:color w:val="954F72" w:themeColor="followedHyperlink"/>
      <w:u w:val="single"/>
    </w:rPr>
  </w:style>
  <w:style w:type="paragraph" w:styleId="NormalWeb">
    <w:name w:val="Normal (Web)"/>
    <w:basedOn w:val="Normal"/>
    <w:uiPriority w:val="99"/>
    <w:unhideWhenUsed/>
    <w:rsid w:val="00F22D86"/>
    <w:pPr>
      <w:spacing w:before="100" w:beforeAutospacing="1" w:after="100" w:afterAutospacing="1" w:line="240" w:lineRule="auto"/>
    </w:pPr>
    <w:rPr>
      <w:rFonts w:ascii="Times New Roman" w:hAnsi="Times New Roman"/>
      <w:sz w:val="24"/>
      <w:lang w:eastAsia="en-AU"/>
    </w:rPr>
  </w:style>
  <w:style w:type="paragraph" w:customStyle="1" w:styleId="Default">
    <w:name w:val="Default"/>
    <w:rsid w:val="00770ECE"/>
    <w:pPr>
      <w:autoSpaceDE w:val="0"/>
      <w:autoSpaceDN w:val="0"/>
      <w:adjustRightInd w:val="0"/>
    </w:pPr>
    <w:rPr>
      <w:rFonts w:ascii="Arial" w:hAnsi="Arial" w:cs="Arial"/>
      <w:color w:val="000000"/>
      <w:lang w:val="en-AU"/>
    </w:rPr>
  </w:style>
  <w:style w:type="character" w:styleId="PlaceholderText">
    <w:name w:val="Placeholder Text"/>
    <w:basedOn w:val="DefaultParagraphFont"/>
    <w:uiPriority w:val="99"/>
    <w:semiHidden/>
    <w:rsid w:val="00566CF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0736">
      <w:bodyDiv w:val="1"/>
      <w:marLeft w:val="0"/>
      <w:marRight w:val="0"/>
      <w:marTop w:val="0"/>
      <w:marBottom w:val="0"/>
      <w:divBdr>
        <w:top w:val="none" w:sz="0" w:space="0" w:color="auto"/>
        <w:left w:val="none" w:sz="0" w:space="0" w:color="auto"/>
        <w:bottom w:val="none" w:sz="0" w:space="0" w:color="auto"/>
        <w:right w:val="none" w:sz="0" w:space="0" w:color="auto"/>
      </w:divBdr>
    </w:div>
    <w:div w:id="145559393">
      <w:bodyDiv w:val="1"/>
      <w:marLeft w:val="0"/>
      <w:marRight w:val="0"/>
      <w:marTop w:val="0"/>
      <w:marBottom w:val="0"/>
      <w:divBdr>
        <w:top w:val="none" w:sz="0" w:space="0" w:color="auto"/>
        <w:left w:val="none" w:sz="0" w:space="0" w:color="auto"/>
        <w:bottom w:val="none" w:sz="0" w:space="0" w:color="auto"/>
        <w:right w:val="none" w:sz="0" w:space="0" w:color="auto"/>
      </w:divBdr>
    </w:div>
    <w:div w:id="186142332">
      <w:bodyDiv w:val="1"/>
      <w:marLeft w:val="0"/>
      <w:marRight w:val="0"/>
      <w:marTop w:val="0"/>
      <w:marBottom w:val="0"/>
      <w:divBdr>
        <w:top w:val="none" w:sz="0" w:space="0" w:color="auto"/>
        <w:left w:val="none" w:sz="0" w:space="0" w:color="auto"/>
        <w:bottom w:val="none" w:sz="0" w:space="0" w:color="auto"/>
        <w:right w:val="none" w:sz="0" w:space="0" w:color="auto"/>
      </w:divBdr>
    </w:div>
    <w:div w:id="367068661">
      <w:bodyDiv w:val="1"/>
      <w:marLeft w:val="0"/>
      <w:marRight w:val="0"/>
      <w:marTop w:val="0"/>
      <w:marBottom w:val="0"/>
      <w:divBdr>
        <w:top w:val="none" w:sz="0" w:space="0" w:color="auto"/>
        <w:left w:val="none" w:sz="0" w:space="0" w:color="auto"/>
        <w:bottom w:val="none" w:sz="0" w:space="0" w:color="auto"/>
        <w:right w:val="none" w:sz="0" w:space="0" w:color="auto"/>
      </w:divBdr>
    </w:div>
    <w:div w:id="446968212">
      <w:bodyDiv w:val="1"/>
      <w:marLeft w:val="0"/>
      <w:marRight w:val="0"/>
      <w:marTop w:val="0"/>
      <w:marBottom w:val="0"/>
      <w:divBdr>
        <w:top w:val="none" w:sz="0" w:space="0" w:color="auto"/>
        <w:left w:val="none" w:sz="0" w:space="0" w:color="auto"/>
        <w:bottom w:val="none" w:sz="0" w:space="0" w:color="auto"/>
        <w:right w:val="none" w:sz="0" w:space="0" w:color="auto"/>
      </w:divBdr>
    </w:div>
    <w:div w:id="471293574">
      <w:bodyDiv w:val="1"/>
      <w:marLeft w:val="0"/>
      <w:marRight w:val="0"/>
      <w:marTop w:val="0"/>
      <w:marBottom w:val="0"/>
      <w:divBdr>
        <w:top w:val="none" w:sz="0" w:space="0" w:color="auto"/>
        <w:left w:val="none" w:sz="0" w:space="0" w:color="auto"/>
        <w:bottom w:val="none" w:sz="0" w:space="0" w:color="auto"/>
        <w:right w:val="none" w:sz="0" w:space="0" w:color="auto"/>
      </w:divBdr>
    </w:div>
    <w:div w:id="472866211">
      <w:bodyDiv w:val="1"/>
      <w:marLeft w:val="0"/>
      <w:marRight w:val="0"/>
      <w:marTop w:val="0"/>
      <w:marBottom w:val="0"/>
      <w:divBdr>
        <w:top w:val="none" w:sz="0" w:space="0" w:color="auto"/>
        <w:left w:val="none" w:sz="0" w:space="0" w:color="auto"/>
        <w:bottom w:val="none" w:sz="0" w:space="0" w:color="auto"/>
        <w:right w:val="none" w:sz="0" w:space="0" w:color="auto"/>
      </w:divBdr>
    </w:div>
    <w:div w:id="550919559">
      <w:bodyDiv w:val="1"/>
      <w:marLeft w:val="0"/>
      <w:marRight w:val="0"/>
      <w:marTop w:val="0"/>
      <w:marBottom w:val="0"/>
      <w:divBdr>
        <w:top w:val="none" w:sz="0" w:space="0" w:color="auto"/>
        <w:left w:val="none" w:sz="0" w:space="0" w:color="auto"/>
        <w:bottom w:val="none" w:sz="0" w:space="0" w:color="auto"/>
        <w:right w:val="none" w:sz="0" w:space="0" w:color="auto"/>
      </w:divBdr>
    </w:div>
    <w:div w:id="650905954">
      <w:bodyDiv w:val="1"/>
      <w:marLeft w:val="0"/>
      <w:marRight w:val="0"/>
      <w:marTop w:val="0"/>
      <w:marBottom w:val="0"/>
      <w:divBdr>
        <w:top w:val="none" w:sz="0" w:space="0" w:color="auto"/>
        <w:left w:val="none" w:sz="0" w:space="0" w:color="auto"/>
        <w:bottom w:val="none" w:sz="0" w:space="0" w:color="auto"/>
        <w:right w:val="none" w:sz="0" w:space="0" w:color="auto"/>
      </w:divBdr>
    </w:div>
    <w:div w:id="678776745">
      <w:bodyDiv w:val="1"/>
      <w:marLeft w:val="0"/>
      <w:marRight w:val="0"/>
      <w:marTop w:val="0"/>
      <w:marBottom w:val="0"/>
      <w:divBdr>
        <w:top w:val="none" w:sz="0" w:space="0" w:color="auto"/>
        <w:left w:val="none" w:sz="0" w:space="0" w:color="auto"/>
        <w:bottom w:val="none" w:sz="0" w:space="0" w:color="auto"/>
        <w:right w:val="none" w:sz="0" w:space="0" w:color="auto"/>
      </w:divBdr>
    </w:div>
    <w:div w:id="736978153">
      <w:bodyDiv w:val="1"/>
      <w:marLeft w:val="0"/>
      <w:marRight w:val="0"/>
      <w:marTop w:val="0"/>
      <w:marBottom w:val="0"/>
      <w:divBdr>
        <w:top w:val="none" w:sz="0" w:space="0" w:color="auto"/>
        <w:left w:val="none" w:sz="0" w:space="0" w:color="auto"/>
        <w:bottom w:val="none" w:sz="0" w:space="0" w:color="auto"/>
        <w:right w:val="none" w:sz="0" w:space="0" w:color="auto"/>
      </w:divBdr>
    </w:div>
    <w:div w:id="823158798">
      <w:bodyDiv w:val="1"/>
      <w:marLeft w:val="0"/>
      <w:marRight w:val="0"/>
      <w:marTop w:val="0"/>
      <w:marBottom w:val="0"/>
      <w:divBdr>
        <w:top w:val="none" w:sz="0" w:space="0" w:color="auto"/>
        <w:left w:val="none" w:sz="0" w:space="0" w:color="auto"/>
        <w:bottom w:val="none" w:sz="0" w:space="0" w:color="auto"/>
        <w:right w:val="none" w:sz="0" w:space="0" w:color="auto"/>
      </w:divBdr>
      <w:divsChild>
        <w:div w:id="1537278697">
          <w:marLeft w:val="547"/>
          <w:marRight w:val="0"/>
          <w:marTop w:val="0"/>
          <w:marBottom w:val="0"/>
          <w:divBdr>
            <w:top w:val="none" w:sz="0" w:space="0" w:color="auto"/>
            <w:left w:val="none" w:sz="0" w:space="0" w:color="auto"/>
            <w:bottom w:val="none" w:sz="0" w:space="0" w:color="auto"/>
            <w:right w:val="none" w:sz="0" w:space="0" w:color="auto"/>
          </w:divBdr>
        </w:div>
      </w:divsChild>
    </w:div>
    <w:div w:id="834303676">
      <w:bodyDiv w:val="1"/>
      <w:marLeft w:val="0"/>
      <w:marRight w:val="0"/>
      <w:marTop w:val="0"/>
      <w:marBottom w:val="0"/>
      <w:divBdr>
        <w:top w:val="none" w:sz="0" w:space="0" w:color="auto"/>
        <w:left w:val="none" w:sz="0" w:space="0" w:color="auto"/>
        <w:bottom w:val="none" w:sz="0" w:space="0" w:color="auto"/>
        <w:right w:val="none" w:sz="0" w:space="0" w:color="auto"/>
      </w:divBdr>
    </w:div>
    <w:div w:id="871452699">
      <w:bodyDiv w:val="1"/>
      <w:marLeft w:val="0"/>
      <w:marRight w:val="0"/>
      <w:marTop w:val="0"/>
      <w:marBottom w:val="0"/>
      <w:divBdr>
        <w:top w:val="none" w:sz="0" w:space="0" w:color="auto"/>
        <w:left w:val="none" w:sz="0" w:space="0" w:color="auto"/>
        <w:bottom w:val="none" w:sz="0" w:space="0" w:color="auto"/>
        <w:right w:val="none" w:sz="0" w:space="0" w:color="auto"/>
      </w:divBdr>
    </w:div>
    <w:div w:id="885068949">
      <w:bodyDiv w:val="1"/>
      <w:marLeft w:val="0"/>
      <w:marRight w:val="0"/>
      <w:marTop w:val="0"/>
      <w:marBottom w:val="0"/>
      <w:divBdr>
        <w:top w:val="none" w:sz="0" w:space="0" w:color="auto"/>
        <w:left w:val="none" w:sz="0" w:space="0" w:color="auto"/>
        <w:bottom w:val="none" w:sz="0" w:space="0" w:color="auto"/>
        <w:right w:val="none" w:sz="0" w:space="0" w:color="auto"/>
      </w:divBdr>
    </w:div>
    <w:div w:id="886451186">
      <w:bodyDiv w:val="1"/>
      <w:marLeft w:val="0"/>
      <w:marRight w:val="0"/>
      <w:marTop w:val="0"/>
      <w:marBottom w:val="0"/>
      <w:divBdr>
        <w:top w:val="none" w:sz="0" w:space="0" w:color="auto"/>
        <w:left w:val="none" w:sz="0" w:space="0" w:color="auto"/>
        <w:bottom w:val="none" w:sz="0" w:space="0" w:color="auto"/>
        <w:right w:val="none" w:sz="0" w:space="0" w:color="auto"/>
      </w:divBdr>
    </w:div>
    <w:div w:id="957106971">
      <w:bodyDiv w:val="1"/>
      <w:marLeft w:val="0"/>
      <w:marRight w:val="0"/>
      <w:marTop w:val="0"/>
      <w:marBottom w:val="0"/>
      <w:divBdr>
        <w:top w:val="none" w:sz="0" w:space="0" w:color="auto"/>
        <w:left w:val="none" w:sz="0" w:space="0" w:color="auto"/>
        <w:bottom w:val="none" w:sz="0" w:space="0" w:color="auto"/>
        <w:right w:val="none" w:sz="0" w:space="0" w:color="auto"/>
      </w:divBdr>
    </w:div>
    <w:div w:id="987899567">
      <w:bodyDiv w:val="1"/>
      <w:marLeft w:val="0"/>
      <w:marRight w:val="0"/>
      <w:marTop w:val="0"/>
      <w:marBottom w:val="0"/>
      <w:divBdr>
        <w:top w:val="none" w:sz="0" w:space="0" w:color="auto"/>
        <w:left w:val="none" w:sz="0" w:space="0" w:color="auto"/>
        <w:bottom w:val="none" w:sz="0" w:space="0" w:color="auto"/>
        <w:right w:val="none" w:sz="0" w:space="0" w:color="auto"/>
      </w:divBdr>
    </w:div>
    <w:div w:id="1113401951">
      <w:bodyDiv w:val="1"/>
      <w:marLeft w:val="0"/>
      <w:marRight w:val="0"/>
      <w:marTop w:val="0"/>
      <w:marBottom w:val="0"/>
      <w:divBdr>
        <w:top w:val="none" w:sz="0" w:space="0" w:color="auto"/>
        <w:left w:val="none" w:sz="0" w:space="0" w:color="auto"/>
        <w:bottom w:val="none" w:sz="0" w:space="0" w:color="auto"/>
        <w:right w:val="none" w:sz="0" w:space="0" w:color="auto"/>
      </w:divBdr>
    </w:div>
    <w:div w:id="1206017748">
      <w:bodyDiv w:val="1"/>
      <w:marLeft w:val="0"/>
      <w:marRight w:val="0"/>
      <w:marTop w:val="0"/>
      <w:marBottom w:val="0"/>
      <w:divBdr>
        <w:top w:val="none" w:sz="0" w:space="0" w:color="auto"/>
        <w:left w:val="none" w:sz="0" w:space="0" w:color="auto"/>
        <w:bottom w:val="none" w:sz="0" w:space="0" w:color="auto"/>
        <w:right w:val="none" w:sz="0" w:space="0" w:color="auto"/>
      </w:divBdr>
    </w:div>
    <w:div w:id="1291471866">
      <w:bodyDiv w:val="1"/>
      <w:marLeft w:val="0"/>
      <w:marRight w:val="0"/>
      <w:marTop w:val="0"/>
      <w:marBottom w:val="0"/>
      <w:divBdr>
        <w:top w:val="none" w:sz="0" w:space="0" w:color="auto"/>
        <w:left w:val="none" w:sz="0" w:space="0" w:color="auto"/>
        <w:bottom w:val="none" w:sz="0" w:space="0" w:color="auto"/>
        <w:right w:val="none" w:sz="0" w:space="0" w:color="auto"/>
      </w:divBdr>
    </w:div>
    <w:div w:id="1340892527">
      <w:bodyDiv w:val="1"/>
      <w:marLeft w:val="0"/>
      <w:marRight w:val="0"/>
      <w:marTop w:val="0"/>
      <w:marBottom w:val="0"/>
      <w:divBdr>
        <w:top w:val="none" w:sz="0" w:space="0" w:color="auto"/>
        <w:left w:val="none" w:sz="0" w:space="0" w:color="auto"/>
        <w:bottom w:val="none" w:sz="0" w:space="0" w:color="auto"/>
        <w:right w:val="none" w:sz="0" w:space="0" w:color="auto"/>
      </w:divBdr>
    </w:div>
    <w:div w:id="1359700280">
      <w:bodyDiv w:val="1"/>
      <w:marLeft w:val="0"/>
      <w:marRight w:val="0"/>
      <w:marTop w:val="0"/>
      <w:marBottom w:val="0"/>
      <w:divBdr>
        <w:top w:val="none" w:sz="0" w:space="0" w:color="auto"/>
        <w:left w:val="none" w:sz="0" w:space="0" w:color="auto"/>
        <w:bottom w:val="none" w:sz="0" w:space="0" w:color="auto"/>
        <w:right w:val="none" w:sz="0" w:space="0" w:color="auto"/>
      </w:divBdr>
    </w:div>
    <w:div w:id="1518933424">
      <w:bodyDiv w:val="1"/>
      <w:marLeft w:val="0"/>
      <w:marRight w:val="0"/>
      <w:marTop w:val="0"/>
      <w:marBottom w:val="0"/>
      <w:divBdr>
        <w:top w:val="none" w:sz="0" w:space="0" w:color="auto"/>
        <w:left w:val="none" w:sz="0" w:space="0" w:color="auto"/>
        <w:bottom w:val="none" w:sz="0" w:space="0" w:color="auto"/>
        <w:right w:val="none" w:sz="0" w:space="0" w:color="auto"/>
      </w:divBdr>
    </w:div>
    <w:div w:id="1541091940">
      <w:bodyDiv w:val="1"/>
      <w:marLeft w:val="0"/>
      <w:marRight w:val="0"/>
      <w:marTop w:val="0"/>
      <w:marBottom w:val="0"/>
      <w:divBdr>
        <w:top w:val="none" w:sz="0" w:space="0" w:color="auto"/>
        <w:left w:val="none" w:sz="0" w:space="0" w:color="auto"/>
        <w:bottom w:val="none" w:sz="0" w:space="0" w:color="auto"/>
        <w:right w:val="none" w:sz="0" w:space="0" w:color="auto"/>
      </w:divBdr>
    </w:div>
    <w:div w:id="1574586477">
      <w:bodyDiv w:val="1"/>
      <w:marLeft w:val="0"/>
      <w:marRight w:val="0"/>
      <w:marTop w:val="0"/>
      <w:marBottom w:val="0"/>
      <w:divBdr>
        <w:top w:val="none" w:sz="0" w:space="0" w:color="auto"/>
        <w:left w:val="none" w:sz="0" w:space="0" w:color="auto"/>
        <w:bottom w:val="none" w:sz="0" w:space="0" w:color="auto"/>
        <w:right w:val="none" w:sz="0" w:space="0" w:color="auto"/>
      </w:divBdr>
    </w:div>
    <w:div w:id="1610969286">
      <w:bodyDiv w:val="1"/>
      <w:marLeft w:val="0"/>
      <w:marRight w:val="0"/>
      <w:marTop w:val="0"/>
      <w:marBottom w:val="0"/>
      <w:divBdr>
        <w:top w:val="none" w:sz="0" w:space="0" w:color="auto"/>
        <w:left w:val="none" w:sz="0" w:space="0" w:color="auto"/>
        <w:bottom w:val="none" w:sz="0" w:space="0" w:color="auto"/>
        <w:right w:val="none" w:sz="0" w:space="0" w:color="auto"/>
      </w:divBdr>
    </w:div>
    <w:div w:id="1731147264">
      <w:bodyDiv w:val="1"/>
      <w:marLeft w:val="0"/>
      <w:marRight w:val="0"/>
      <w:marTop w:val="0"/>
      <w:marBottom w:val="0"/>
      <w:divBdr>
        <w:top w:val="none" w:sz="0" w:space="0" w:color="auto"/>
        <w:left w:val="none" w:sz="0" w:space="0" w:color="auto"/>
        <w:bottom w:val="none" w:sz="0" w:space="0" w:color="auto"/>
        <w:right w:val="none" w:sz="0" w:space="0" w:color="auto"/>
      </w:divBdr>
    </w:div>
    <w:div w:id="1826971866">
      <w:bodyDiv w:val="1"/>
      <w:marLeft w:val="0"/>
      <w:marRight w:val="0"/>
      <w:marTop w:val="0"/>
      <w:marBottom w:val="0"/>
      <w:divBdr>
        <w:top w:val="none" w:sz="0" w:space="0" w:color="auto"/>
        <w:left w:val="none" w:sz="0" w:space="0" w:color="auto"/>
        <w:bottom w:val="none" w:sz="0" w:space="0" w:color="auto"/>
        <w:right w:val="none" w:sz="0" w:space="0" w:color="auto"/>
      </w:divBdr>
    </w:div>
    <w:div w:id="208741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alaid.vic.gov.au/about-us/news/help-before-court-opportunity-to-rethink-summary-crime-hearing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legalaid.vic.gov.au/about-us/news/putting-words-into-action-towards-inclusive-and-anti-racist-workplac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alaid.vic.gov.au/about-us/news/compassion-and-respect-to-guide-creation-of-new-mental-health-syste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BBC6DB36EDF94C89C7B7A43F71F587" ma:contentTypeVersion="12" ma:contentTypeDescription="Create a new document." ma:contentTypeScope="" ma:versionID="002948fa9efb7937a0a64f984f44d7e9">
  <xsd:schema xmlns:xsd="http://www.w3.org/2001/XMLSchema" xmlns:xs="http://www.w3.org/2001/XMLSchema" xmlns:p="http://schemas.microsoft.com/office/2006/metadata/properties" xmlns:ns2="68c7d542-4e7f-4a13-a678-0dc97ca94df5" xmlns:ns3="e90065c7-7f7f-4df0-a469-5749d80eada3" targetNamespace="http://schemas.microsoft.com/office/2006/metadata/properties" ma:root="true" ma:fieldsID="0b0576d949ddaa184346a470b0d69075" ns2:_="" ns3:_="">
    <xsd:import namespace="68c7d542-4e7f-4a13-a678-0dc97ca94df5"/>
    <xsd:import namespace="e90065c7-7f7f-4df0-a469-5749d80eada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c7d542-4e7f-4a13-a678-0dc97ca94d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0065c7-7f7f-4df0-a469-5749d80eada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e90065c7-7f7f-4df0-a469-5749d80eada3">
      <UserInfo>
        <DisplayName>Sean Kierce</DisplayName>
        <AccountId>25</AccountId>
        <AccountType/>
      </UserInfo>
      <UserInfo>
        <DisplayName>Jeremy Huntley</DisplayName>
        <AccountId>17</AccountId>
        <AccountType/>
      </UserInfo>
      <UserInfo>
        <DisplayName>Cameron Hume</DisplayName>
        <AccountId>21</AccountId>
        <AccountType/>
      </UserInfo>
      <UserInfo>
        <DisplayName>Christine Concha</DisplayName>
        <AccountId>105</AccountId>
        <AccountType/>
      </UserInfo>
      <UserInfo>
        <DisplayName>Chris Sheard</DisplayName>
        <AccountId>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4FCDF-C4EC-420D-A041-931E0F0521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c7d542-4e7f-4a13-a678-0dc97ca94df5"/>
    <ds:schemaRef ds:uri="e90065c7-7f7f-4df0-a469-5749d80ead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1A29B2-146B-4362-9462-0EA11FBBE540}">
  <ds:schemaRefs>
    <ds:schemaRef ds:uri="http://schemas.microsoft.com/office/2006/metadata/properties"/>
    <ds:schemaRef ds:uri="http://schemas.microsoft.com/office/infopath/2007/PartnerControls"/>
    <ds:schemaRef ds:uri="e90065c7-7f7f-4df0-a469-5749d80eada3"/>
  </ds:schemaRefs>
</ds:datastoreItem>
</file>

<file path=customXml/itemProps3.xml><?xml version="1.0" encoding="utf-8"?>
<ds:datastoreItem xmlns:ds="http://schemas.openxmlformats.org/officeDocument/2006/customXml" ds:itemID="{1155BD34-4C78-4625-B136-09FD1AD3B37F}">
  <ds:schemaRefs>
    <ds:schemaRef ds:uri="http://schemas.microsoft.com/sharepoint/v3/contenttype/forms"/>
  </ds:schemaRefs>
</ds:datastoreItem>
</file>

<file path=customXml/itemProps4.xml><?xml version="1.0" encoding="utf-8"?>
<ds:datastoreItem xmlns:ds="http://schemas.openxmlformats.org/officeDocument/2006/customXml" ds:itemID="{9D2917E8-0BD7-45B1-987B-6179B3619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2012</Words>
  <Characters>11472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13458</CharactersWithSpaces>
  <SharedDoc>false</SharedDoc>
  <HLinks>
    <vt:vector size="18" baseType="variant">
      <vt:variant>
        <vt:i4>5963794</vt:i4>
      </vt:variant>
      <vt:variant>
        <vt:i4>9</vt:i4>
      </vt:variant>
      <vt:variant>
        <vt:i4>0</vt:i4>
      </vt:variant>
      <vt:variant>
        <vt:i4>5</vt:i4>
      </vt:variant>
      <vt:variant>
        <vt:lpwstr>https://www.legalaid.vic.gov.au/about-us/news/help-before-court-opportunity-to-rethink-summary-crime-hearings</vt:lpwstr>
      </vt:variant>
      <vt:variant>
        <vt:lpwstr/>
      </vt:variant>
      <vt:variant>
        <vt:i4>2293801</vt:i4>
      </vt:variant>
      <vt:variant>
        <vt:i4>6</vt:i4>
      </vt:variant>
      <vt:variant>
        <vt:i4>0</vt:i4>
      </vt:variant>
      <vt:variant>
        <vt:i4>5</vt:i4>
      </vt:variant>
      <vt:variant>
        <vt:lpwstr>https://www.legalaid.vic.gov.au/about-us/news/putting-words-into-action-towards-inclusive-and-anti-racist-workplace</vt:lpwstr>
      </vt:variant>
      <vt:variant>
        <vt:lpwstr/>
      </vt:variant>
      <vt:variant>
        <vt:i4>3407971</vt:i4>
      </vt:variant>
      <vt:variant>
        <vt:i4>0</vt:i4>
      </vt:variant>
      <vt:variant>
        <vt:i4>0</vt:i4>
      </vt:variant>
      <vt:variant>
        <vt:i4>5</vt:i4>
      </vt:variant>
      <vt:variant>
        <vt:lpwstr>https://www.legalaid.vic.gov.au/about-us/news/compassion-and-respect-to-guide-creation-of-new-mental-health-system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Bottomley</dc:creator>
  <cp:keywords/>
  <dc:description/>
  <cp:lastModifiedBy/>
  <cp:revision>1</cp:revision>
  <dcterms:created xsi:type="dcterms:W3CDTF">2021-05-31T00:39:00Z</dcterms:created>
  <dcterms:modified xsi:type="dcterms:W3CDTF">2021-05-31T00:39:00Z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ontentTypeId">
    <vt:lpwstr>0x01010034BBC6DB36EDF94C89C7B7A43F71F587</vt:lpwstr>
  </op:property>
  <op:property fmtid="{D5CDD505-2E9C-101B-9397-08002B2CF9AE}" pid="3" name="_MarkAsFinal">
    <vt:bool>true</vt:bool>
  </op:property>
</op:Properties>
</file>