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761CE" w14:textId="1CAF2A0F" w:rsidR="00B378A2" w:rsidRDefault="00341D34" w:rsidP="00B378A2">
      <w:pPr>
        <w:pStyle w:val="VLAtitle"/>
      </w:pPr>
      <w:r>
        <w:t>Child P</w:t>
      </w:r>
      <w:r w:rsidR="00226EB1">
        <w:t xml:space="preserve">rotection </w:t>
      </w:r>
      <w:r>
        <w:t>R</w:t>
      </w:r>
      <w:r w:rsidR="00226EB1">
        <w:t>eview</w:t>
      </w:r>
    </w:p>
    <w:p w14:paraId="49E01C7D" w14:textId="3E9761BA" w:rsidR="00B378A2" w:rsidRDefault="00823807" w:rsidP="00B378A2">
      <w:pPr>
        <w:pStyle w:val="VLAsubtitle"/>
      </w:pPr>
      <w:r>
        <w:t>Environmental s</w:t>
      </w:r>
      <w:r w:rsidR="00226EB1">
        <w:t>can</w:t>
      </w:r>
    </w:p>
    <w:p w14:paraId="35B1BC88" w14:textId="639661D1" w:rsidR="00B378A2" w:rsidRDefault="00910196" w:rsidP="00B378A2">
      <w:pPr>
        <w:pStyle w:val="VLAdate"/>
      </w:pPr>
      <w:r>
        <w:t xml:space="preserve">October </w:t>
      </w:r>
      <w:r w:rsidR="00226EB1">
        <w:t>2016</w:t>
      </w:r>
    </w:p>
    <w:p w14:paraId="7E9A6E11" w14:textId="77777777" w:rsidR="00226EB1" w:rsidRDefault="00226EB1" w:rsidP="00B378A2">
      <w:pPr>
        <w:pStyle w:val="VLAdate"/>
      </w:pPr>
    </w:p>
    <w:p w14:paraId="057D7904" w14:textId="77777777" w:rsidR="00226EB1" w:rsidRPr="00A55182" w:rsidRDefault="00226EB1" w:rsidP="00A55182">
      <w:pPr>
        <w:rPr>
          <w:b/>
        </w:rPr>
      </w:pPr>
      <w:r w:rsidRPr="00A55182">
        <w:rPr>
          <w:b/>
        </w:rPr>
        <w:t>Abstract</w:t>
      </w:r>
    </w:p>
    <w:p w14:paraId="3998453A" w14:textId="6F6CECE4" w:rsidR="00226EB1" w:rsidRPr="00A55182" w:rsidRDefault="00226EB1" w:rsidP="00A55182">
      <w:r w:rsidRPr="00A55182">
        <w:t xml:space="preserve">An overview of current issues </w:t>
      </w:r>
      <w:r w:rsidR="002D1A5B" w:rsidRPr="00A55182">
        <w:t>in</w:t>
      </w:r>
      <w:r w:rsidRPr="00A55182">
        <w:t xml:space="preserve"> child protection and the context in which legal services are provided to people in the Victorian child protection system. </w:t>
      </w:r>
    </w:p>
    <w:p w14:paraId="21A49372" w14:textId="77777777" w:rsidR="00226EB1" w:rsidRDefault="00226EB1" w:rsidP="00946548"/>
    <w:p w14:paraId="41B939EE" w14:textId="77777777" w:rsidR="003E679D" w:rsidRDefault="003E679D" w:rsidP="00946548">
      <w:pPr>
        <w:sectPr w:rsidR="003E679D" w:rsidSect="005D44EA">
          <w:headerReference w:type="even" r:id="rId8"/>
          <w:headerReference w:type="default" r:id="rId9"/>
          <w:footerReference w:type="default" r:id="rId10"/>
          <w:headerReference w:type="first" r:id="rId11"/>
          <w:type w:val="oddPage"/>
          <w:pgSz w:w="11906" w:h="16838" w:code="9"/>
          <w:pgMar w:top="1418" w:right="992" w:bottom="1134" w:left="1134" w:header="851" w:footer="2835" w:gutter="0"/>
          <w:paperSrc w:first="7" w:other="7"/>
          <w:cols w:space="720"/>
          <w:titlePg/>
          <w:docGrid w:linePitch="299"/>
        </w:sectPr>
      </w:pPr>
    </w:p>
    <w:p w14:paraId="79F03E2B" w14:textId="163702DE" w:rsidR="00022C83" w:rsidRPr="006E2882" w:rsidRDefault="002A7402" w:rsidP="00B378A2">
      <w:pPr>
        <w:pStyle w:val="Confidentialityclause"/>
        <w:spacing w:before="12300"/>
        <w:rPr>
          <w:bCs w:val="0"/>
        </w:rPr>
      </w:pPr>
      <w:r w:rsidRPr="00674E45">
        <w:rPr>
          <w:rFonts w:cs="Arial"/>
          <w:color w:val="971A4B"/>
        </w:rPr>
        <w:lastRenderedPageBreak/>
        <w:t>©</w:t>
      </w:r>
      <w:r w:rsidRPr="00674E45">
        <w:rPr>
          <w:color w:val="971A4B"/>
        </w:rPr>
        <w:t xml:space="preserve"> </w:t>
      </w:r>
      <w:r w:rsidRPr="00674E45">
        <w:rPr>
          <w:color w:val="971A4B"/>
        </w:rPr>
        <w:fldChar w:fldCharType="begin"/>
      </w:r>
      <w:r w:rsidRPr="00674E45">
        <w:rPr>
          <w:color w:val="971A4B"/>
        </w:rPr>
        <w:instrText xml:space="preserve"> DATE  \@ "yyyy"  \* MERGEFORMAT </w:instrText>
      </w:r>
      <w:r w:rsidRPr="00674E45">
        <w:rPr>
          <w:color w:val="971A4B"/>
        </w:rPr>
        <w:fldChar w:fldCharType="separate"/>
      </w:r>
      <w:r w:rsidR="008F37FD">
        <w:rPr>
          <w:noProof/>
          <w:color w:val="971A4B"/>
        </w:rPr>
        <w:t>2016</w:t>
      </w:r>
      <w:r w:rsidRPr="00674E45">
        <w:rPr>
          <w:color w:val="971A4B"/>
        </w:rPr>
        <w:fldChar w:fldCharType="end"/>
      </w:r>
      <w:r w:rsidRPr="00674E45">
        <w:rPr>
          <w:color w:val="971A4B"/>
        </w:rPr>
        <w:t xml:space="preserve"> Victoria Legal Aid.</w:t>
      </w:r>
      <w:r>
        <w:t xml:space="preserve"> </w:t>
      </w:r>
      <w:r w:rsidR="006E2882" w:rsidRPr="006E2882">
        <w:rPr>
          <w:bCs w:val="0"/>
        </w:rPr>
        <w:t xml:space="preserve">Reproduction without express written permission is prohibited. Written requests should be directed to Victoria Legal Aid, </w:t>
      </w:r>
      <w:r w:rsidR="00E42BD1">
        <w:rPr>
          <w:bCs w:val="0"/>
        </w:rPr>
        <w:t>Corporate Affairs</w:t>
      </w:r>
      <w:r w:rsidR="006E2882" w:rsidRPr="006E2882">
        <w:rPr>
          <w:bCs w:val="0"/>
        </w:rPr>
        <w:t>, 350 Queen Street, Melbourne Vic</w:t>
      </w:r>
      <w:r w:rsidR="006E2882">
        <w:rPr>
          <w:bCs w:val="0"/>
        </w:rPr>
        <w:t> </w:t>
      </w:r>
      <w:r w:rsidR="006E2882" w:rsidRPr="006E2882">
        <w:rPr>
          <w:bCs w:val="0"/>
        </w:rPr>
        <w:t>3000.</w:t>
      </w:r>
    </w:p>
    <w:p w14:paraId="108DE83E" w14:textId="185C6BC5" w:rsidR="00CC0C03" w:rsidRPr="00E24A08" w:rsidRDefault="00022C83" w:rsidP="002A7402">
      <w:pPr>
        <w:pStyle w:val="Confidentialityclause"/>
        <w:rPr>
          <w:bCs w:val="0"/>
        </w:rPr>
      </w:pPr>
      <w:r w:rsidRPr="002A7402">
        <w:rPr>
          <w:color w:val="B1005D"/>
        </w:rPr>
        <w:t>Disclaimer.</w:t>
      </w:r>
      <w:r>
        <w:t xml:space="preserve"> </w:t>
      </w:r>
      <w:r w:rsidRPr="00022C83">
        <w:rPr>
          <w:bCs w:val="0"/>
        </w:rPr>
        <w:t xml:space="preserve">The material in this publication </w:t>
      </w:r>
      <w:bookmarkStart w:id="0" w:name="Text12"/>
      <w:r>
        <w:rPr>
          <w:bCs w:val="0"/>
        </w:rPr>
        <w:fldChar w:fldCharType="begin">
          <w:ffData>
            <w:name w:val="Text12"/>
            <w:enabled/>
            <w:calcOnExit w:val="0"/>
            <w:textInput>
              <w:default w:val="is intended as a general guide only"/>
            </w:textInput>
          </w:ffData>
        </w:fldChar>
      </w:r>
      <w:r>
        <w:rPr>
          <w:bCs w:val="0"/>
        </w:rPr>
        <w:instrText xml:space="preserve"> FORMTEXT </w:instrText>
      </w:r>
      <w:r>
        <w:rPr>
          <w:bCs w:val="0"/>
        </w:rPr>
      </w:r>
      <w:r>
        <w:rPr>
          <w:bCs w:val="0"/>
        </w:rPr>
        <w:fldChar w:fldCharType="separate"/>
      </w:r>
      <w:r w:rsidR="00DD6DAD">
        <w:rPr>
          <w:bCs w:val="0"/>
          <w:noProof/>
        </w:rPr>
        <w:t>is intended as a general guide only</w:t>
      </w:r>
      <w:r>
        <w:rPr>
          <w:bCs w:val="0"/>
        </w:rPr>
        <w:fldChar w:fldCharType="end"/>
      </w:r>
      <w:bookmarkEnd w:id="0"/>
      <w:r w:rsidRPr="00022C83">
        <w:rPr>
          <w:bCs w:val="0"/>
        </w:rPr>
        <w:t xml:space="preserve">. The information contained should not be relied upon as legal advice, and should be checked carefully before being relied upon in any context. Victoria Legal Aid expressly disclaims any liability howsoever caused to any person in respect of any legal advice given or any action taken in </w:t>
      </w:r>
      <w:r w:rsidR="00226EB1">
        <w:rPr>
          <w:bCs w:val="0"/>
        </w:rPr>
        <w:t xml:space="preserve">reliance on the contents of </w:t>
      </w:r>
      <w:r w:rsidR="00777B46">
        <w:rPr>
          <w:bCs w:val="0"/>
        </w:rPr>
        <w:t>the</w:t>
      </w:r>
      <w:r w:rsidR="00777B46" w:rsidRPr="00022C83">
        <w:rPr>
          <w:bCs w:val="0"/>
        </w:rPr>
        <w:t xml:space="preserve"> publication</w:t>
      </w:r>
      <w:r w:rsidRPr="00022C83">
        <w:rPr>
          <w:bCs w:val="0"/>
        </w:rPr>
        <w:t>.</w:t>
      </w:r>
    </w:p>
    <w:p w14:paraId="2F13464D" w14:textId="77777777" w:rsidR="00CE4C2F" w:rsidRPr="00CC0C03" w:rsidRDefault="00CE4C2F" w:rsidP="00CC0C03">
      <w:pPr>
        <w:sectPr w:rsidR="00CE4C2F" w:rsidRPr="00CC0C03" w:rsidSect="005D44EA">
          <w:headerReference w:type="default" r:id="rId12"/>
          <w:footerReference w:type="default" r:id="rId13"/>
          <w:type w:val="evenPage"/>
          <w:pgSz w:w="11906" w:h="16838" w:code="9"/>
          <w:pgMar w:top="1418" w:right="992" w:bottom="1134" w:left="1134" w:header="851" w:footer="284" w:gutter="0"/>
          <w:paperSrc w:first="7" w:other="7"/>
          <w:pgNumType w:start="1"/>
          <w:cols w:space="720"/>
          <w:docGrid w:linePitch="299"/>
        </w:sectPr>
      </w:pPr>
    </w:p>
    <w:p w14:paraId="117CBF28" w14:textId="77777777" w:rsidR="002B4970" w:rsidRPr="00B673FA" w:rsidRDefault="002B4970" w:rsidP="00B378A2">
      <w:pPr>
        <w:pStyle w:val="Contents"/>
      </w:pPr>
      <w:r>
        <w:lastRenderedPageBreak/>
        <w:t>Contents</w:t>
      </w:r>
    </w:p>
    <w:p w14:paraId="77CF7047" w14:textId="2C042CDB" w:rsidR="00F01728" w:rsidRDefault="004E0688">
      <w:pPr>
        <w:pStyle w:val="TOC1"/>
        <w:rPr>
          <w:rFonts w:asciiTheme="minorHAnsi" w:eastAsiaTheme="minorEastAsia" w:hAnsiTheme="minorHAnsi" w:cstheme="minorBidi"/>
          <w:b w:val="0"/>
          <w:noProof/>
          <w:sz w:val="22"/>
          <w:szCs w:val="22"/>
          <w:lang w:eastAsia="en-AU"/>
        </w:rPr>
      </w:pPr>
      <w:r w:rsidRPr="00037357">
        <w:rPr>
          <w:b w:val="0"/>
          <w:noProof/>
        </w:rPr>
        <w:fldChar w:fldCharType="begin"/>
      </w:r>
      <w:r w:rsidRPr="00037357">
        <w:instrText xml:space="preserve"> TOC \h \z \t "Heading 1,1,Heading 2,2,Heading 3,3,Appendix,1" </w:instrText>
      </w:r>
      <w:r w:rsidRPr="00037357">
        <w:rPr>
          <w:b w:val="0"/>
          <w:noProof/>
        </w:rPr>
        <w:fldChar w:fldCharType="separate"/>
      </w:r>
      <w:hyperlink w:anchor="_Toc465244392" w:history="1">
        <w:r w:rsidR="001B0AAA">
          <w:rPr>
            <w:rStyle w:val="Hyperlink"/>
            <w:noProof/>
          </w:rPr>
          <w:t>Executive s</w:t>
        </w:r>
        <w:r w:rsidR="00F01728" w:rsidRPr="00242CB9">
          <w:rPr>
            <w:rStyle w:val="Hyperlink"/>
            <w:noProof/>
          </w:rPr>
          <w:t>ummary</w:t>
        </w:r>
        <w:r w:rsidR="00F01728">
          <w:rPr>
            <w:noProof/>
            <w:webHidden/>
          </w:rPr>
          <w:tab/>
        </w:r>
        <w:r w:rsidR="00F01728">
          <w:rPr>
            <w:noProof/>
            <w:webHidden/>
          </w:rPr>
          <w:fldChar w:fldCharType="begin"/>
        </w:r>
        <w:r w:rsidR="00F01728">
          <w:rPr>
            <w:noProof/>
            <w:webHidden/>
          </w:rPr>
          <w:instrText xml:space="preserve"> PAGEREF _Toc465244392 \h </w:instrText>
        </w:r>
        <w:r w:rsidR="00F01728">
          <w:rPr>
            <w:noProof/>
            <w:webHidden/>
          </w:rPr>
        </w:r>
        <w:r w:rsidR="00F01728">
          <w:rPr>
            <w:noProof/>
            <w:webHidden/>
          </w:rPr>
          <w:fldChar w:fldCharType="separate"/>
        </w:r>
        <w:r w:rsidR="001B0AAA">
          <w:rPr>
            <w:noProof/>
            <w:webHidden/>
          </w:rPr>
          <w:t>1</w:t>
        </w:r>
        <w:r w:rsidR="00F01728">
          <w:rPr>
            <w:noProof/>
            <w:webHidden/>
          </w:rPr>
          <w:fldChar w:fldCharType="end"/>
        </w:r>
      </w:hyperlink>
    </w:p>
    <w:p w14:paraId="6C134EE6" w14:textId="54ADD45B" w:rsidR="00F01728" w:rsidRDefault="00883212">
      <w:pPr>
        <w:pStyle w:val="TOC2"/>
        <w:rPr>
          <w:rFonts w:asciiTheme="minorHAnsi" w:eastAsiaTheme="minorEastAsia" w:hAnsiTheme="minorHAnsi" w:cstheme="minorBidi"/>
          <w:sz w:val="22"/>
          <w:szCs w:val="22"/>
          <w:lang w:eastAsia="en-AU"/>
        </w:rPr>
      </w:pPr>
      <w:hyperlink w:anchor="_Toc465244393" w:history="1">
        <w:r w:rsidR="001B0AAA">
          <w:rPr>
            <w:rStyle w:val="Hyperlink"/>
          </w:rPr>
          <w:t>Reports, i</w:t>
        </w:r>
        <w:r w:rsidR="00F01728" w:rsidRPr="00242CB9">
          <w:rPr>
            <w:rStyle w:val="Hyperlink"/>
          </w:rPr>
          <w:t xml:space="preserve">nquiries and </w:t>
        </w:r>
        <w:r w:rsidR="001B0AAA">
          <w:rPr>
            <w:rStyle w:val="Hyperlink"/>
          </w:rPr>
          <w:t>r</w:t>
        </w:r>
        <w:r w:rsidR="00F01728" w:rsidRPr="00242CB9">
          <w:rPr>
            <w:rStyle w:val="Hyperlink"/>
          </w:rPr>
          <w:t>eviews</w:t>
        </w:r>
        <w:r w:rsidR="00F01728">
          <w:rPr>
            <w:webHidden/>
          </w:rPr>
          <w:tab/>
        </w:r>
        <w:r w:rsidR="00F01728">
          <w:rPr>
            <w:webHidden/>
          </w:rPr>
          <w:fldChar w:fldCharType="begin"/>
        </w:r>
        <w:r w:rsidR="00F01728">
          <w:rPr>
            <w:webHidden/>
          </w:rPr>
          <w:instrText xml:space="preserve"> PAGEREF _Toc465244393 \h </w:instrText>
        </w:r>
        <w:r w:rsidR="00F01728">
          <w:rPr>
            <w:webHidden/>
          </w:rPr>
        </w:r>
        <w:r w:rsidR="00F01728">
          <w:rPr>
            <w:webHidden/>
          </w:rPr>
          <w:fldChar w:fldCharType="separate"/>
        </w:r>
        <w:r w:rsidR="001B0AAA">
          <w:rPr>
            <w:webHidden/>
          </w:rPr>
          <w:t>2</w:t>
        </w:r>
        <w:r w:rsidR="00F01728">
          <w:rPr>
            <w:webHidden/>
          </w:rPr>
          <w:fldChar w:fldCharType="end"/>
        </w:r>
      </w:hyperlink>
    </w:p>
    <w:p w14:paraId="3BC6B82E" w14:textId="7CECF559" w:rsidR="00F01728" w:rsidRDefault="00883212">
      <w:pPr>
        <w:pStyle w:val="TOC2"/>
        <w:rPr>
          <w:rFonts w:asciiTheme="minorHAnsi" w:eastAsiaTheme="minorEastAsia" w:hAnsiTheme="minorHAnsi" w:cstheme="minorBidi"/>
          <w:sz w:val="22"/>
          <w:szCs w:val="22"/>
          <w:lang w:eastAsia="en-AU"/>
        </w:rPr>
      </w:pPr>
      <w:hyperlink w:anchor="_Toc465244394" w:history="1">
        <w:r w:rsidR="00F01728" w:rsidRPr="00242CB9">
          <w:rPr>
            <w:rStyle w:val="Hyperlink"/>
          </w:rPr>
          <w:t>The child protection framework</w:t>
        </w:r>
        <w:r w:rsidR="00F01728">
          <w:rPr>
            <w:webHidden/>
          </w:rPr>
          <w:tab/>
        </w:r>
        <w:r w:rsidR="00F01728">
          <w:rPr>
            <w:webHidden/>
          </w:rPr>
          <w:fldChar w:fldCharType="begin"/>
        </w:r>
        <w:r w:rsidR="00F01728">
          <w:rPr>
            <w:webHidden/>
          </w:rPr>
          <w:instrText xml:space="preserve"> PAGEREF _Toc465244394 \h </w:instrText>
        </w:r>
        <w:r w:rsidR="00F01728">
          <w:rPr>
            <w:webHidden/>
          </w:rPr>
        </w:r>
        <w:r w:rsidR="00F01728">
          <w:rPr>
            <w:webHidden/>
          </w:rPr>
          <w:fldChar w:fldCharType="separate"/>
        </w:r>
        <w:r w:rsidR="001B0AAA">
          <w:rPr>
            <w:webHidden/>
          </w:rPr>
          <w:t>2</w:t>
        </w:r>
        <w:r w:rsidR="00F01728">
          <w:rPr>
            <w:webHidden/>
          </w:rPr>
          <w:fldChar w:fldCharType="end"/>
        </w:r>
      </w:hyperlink>
    </w:p>
    <w:p w14:paraId="51948278" w14:textId="2D054FD6" w:rsidR="00F01728" w:rsidRDefault="00883212">
      <w:pPr>
        <w:pStyle w:val="TOC2"/>
        <w:rPr>
          <w:rFonts w:asciiTheme="minorHAnsi" w:eastAsiaTheme="minorEastAsia" w:hAnsiTheme="minorHAnsi" w:cstheme="minorBidi"/>
          <w:sz w:val="22"/>
          <w:szCs w:val="22"/>
          <w:lang w:eastAsia="en-AU"/>
        </w:rPr>
      </w:pPr>
      <w:hyperlink w:anchor="_Toc465244395" w:history="1">
        <w:r w:rsidR="00F01728" w:rsidRPr="00242CB9">
          <w:rPr>
            <w:rStyle w:val="Hyperlink"/>
          </w:rPr>
          <w:t>Victoria Legal Aid’s role in the child protection system</w:t>
        </w:r>
        <w:r w:rsidR="00F01728">
          <w:rPr>
            <w:webHidden/>
          </w:rPr>
          <w:tab/>
        </w:r>
        <w:r w:rsidR="00F01728">
          <w:rPr>
            <w:webHidden/>
          </w:rPr>
          <w:fldChar w:fldCharType="begin"/>
        </w:r>
        <w:r w:rsidR="00F01728">
          <w:rPr>
            <w:webHidden/>
          </w:rPr>
          <w:instrText xml:space="preserve"> PAGEREF _Toc465244395 \h </w:instrText>
        </w:r>
        <w:r w:rsidR="00F01728">
          <w:rPr>
            <w:webHidden/>
          </w:rPr>
        </w:r>
        <w:r w:rsidR="00F01728">
          <w:rPr>
            <w:webHidden/>
          </w:rPr>
          <w:fldChar w:fldCharType="separate"/>
        </w:r>
        <w:r w:rsidR="001B0AAA">
          <w:rPr>
            <w:webHidden/>
          </w:rPr>
          <w:t>3</w:t>
        </w:r>
        <w:r w:rsidR="00F01728">
          <w:rPr>
            <w:webHidden/>
          </w:rPr>
          <w:fldChar w:fldCharType="end"/>
        </w:r>
      </w:hyperlink>
    </w:p>
    <w:p w14:paraId="495E138E" w14:textId="5681DD97" w:rsidR="00F01728" w:rsidRDefault="00883212">
      <w:pPr>
        <w:pStyle w:val="TOC2"/>
        <w:rPr>
          <w:rFonts w:asciiTheme="minorHAnsi" w:eastAsiaTheme="minorEastAsia" w:hAnsiTheme="minorHAnsi" w:cstheme="minorBidi"/>
          <w:sz w:val="22"/>
          <w:szCs w:val="22"/>
          <w:lang w:eastAsia="en-AU"/>
        </w:rPr>
      </w:pPr>
      <w:hyperlink w:anchor="_Toc465244396" w:history="1">
        <w:r w:rsidR="00F01728" w:rsidRPr="00242CB9">
          <w:rPr>
            <w:rStyle w:val="Hyperlink"/>
          </w:rPr>
          <w:t>Current demand for services and future demand</w:t>
        </w:r>
        <w:r w:rsidR="00F01728">
          <w:rPr>
            <w:webHidden/>
          </w:rPr>
          <w:tab/>
        </w:r>
        <w:r w:rsidR="00F01728">
          <w:rPr>
            <w:webHidden/>
          </w:rPr>
          <w:fldChar w:fldCharType="begin"/>
        </w:r>
        <w:r w:rsidR="00F01728">
          <w:rPr>
            <w:webHidden/>
          </w:rPr>
          <w:instrText xml:space="preserve"> PAGEREF _Toc465244396 \h </w:instrText>
        </w:r>
        <w:r w:rsidR="00F01728">
          <w:rPr>
            <w:webHidden/>
          </w:rPr>
        </w:r>
        <w:r w:rsidR="00F01728">
          <w:rPr>
            <w:webHidden/>
          </w:rPr>
          <w:fldChar w:fldCharType="separate"/>
        </w:r>
        <w:r w:rsidR="001B0AAA">
          <w:rPr>
            <w:webHidden/>
          </w:rPr>
          <w:t>3</w:t>
        </w:r>
        <w:r w:rsidR="00F01728">
          <w:rPr>
            <w:webHidden/>
          </w:rPr>
          <w:fldChar w:fldCharType="end"/>
        </w:r>
      </w:hyperlink>
    </w:p>
    <w:p w14:paraId="3920FFE2" w14:textId="6C431E71" w:rsidR="00F01728" w:rsidRDefault="00883212">
      <w:pPr>
        <w:pStyle w:val="TOC2"/>
        <w:rPr>
          <w:rFonts w:asciiTheme="minorHAnsi" w:eastAsiaTheme="minorEastAsia" w:hAnsiTheme="minorHAnsi" w:cstheme="minorBidi"/>
          <w:sz w:val="22"/>
          <w:szCs w:val="22"/>
          <w:lang w:eastAsia="en-AU"/>
        </w:rPr>
      </w:pPr>
      <w:hyperlink w:anchor="_Toc465244397" w:history="1">
        <w:r w:rsidR="00F01728" w:rsidRPr="00242CB9">
          <w:rPr>
            <w:rStyle w:val="Hyperlink"/>
          </w:rPr>
          <w:t>Legal service provision across Victoria and social disadvantage</w:t>
        </w:r>
        <w:r w:rsidR="00F01728">
          <w:rPr>
            <w:webHidden/>
          </w:rPr>
          <w:tab/>
        </w:r>
        <w:r w:rsidR="00F01728">
          <w:rPr>
            <w:webHidden/>
          </w:rPr>
          <w:fldChar w:fldCharType="begin"/>
        </w:r>
        <w:r w:rsidR="00F01728">
          <w:rPr>
            <w:webHidden/>
          </w:rPr>
          <w:instrText xml:space="preserve"> PAGEREF _Toc465244397 \h </w:instrText>
        </w:r>
        <w:r w:rsidR="00F01728">
          <w:rPr>
            <w:webHidden/>
          </w:rPr>
        </w:r>
        <w:r w:rsidR="00F01728">
          <w:rPr>
            <w:webHidden/>
          </w:rPr>
          <w:fldChar w:fldCharType="separate"/>
        </w:r>
        <w:r w:rsidR="001B0AAA">
          <w:rPr>
            <w:webHidden/>
          </w:rPr>
          <w:t>4</w:t>
        </w:r>
        <w:r w:rsidR="00F01728">
          <w:rPr>
            <w:webHidden/>
          </w:rPr>
          <w:fldChar w:fldCharType="end"/>
        </w:r>
      </w:hyperlink>
    </w:p>
    <w:p w14:paraId="42055E03" w14:textId="5623921D" w:rsidR="00F01728" w:rsidRDefault="00883212">
      <w:pPr>
        <w:pStyle w:val="TOC2"/>
        <w:rPr>
          <w:rFonts w:asciiTheme="minorHAnsi" w:eastAsiaTheme="minorEastAsia" w:hAnsiTheme="minorHAnsi" w:cstheme="minorBidi"/>
          <w:sz w:val="22"/>
          <w:szCs w:val="22"/>
          <w:lang w:eastAsia="en-AU"/>
        </w:rPr>
      </w:pPr>
      <w:hyperlink w:anchor="_Toc465244398" w:history="1">
        <w:r w:rsidR="00F01728" w:rsidRPr="00242CB9">
          <w:rPr>
            <w:rStyle w:val="Hyperlink"/>
          </w:rPr>
          <w:t>Gaps in service provision</w:t>
        </w:r>
        <w:r w:rsidR="00F01728">
          <w:rPr>
            <w:webHidden/>
          </w:rPr>
          <w:tab/>
        </w:r>
        <w:r w:rsidR="00F01728">
          <w:rPr>
            <w:webHidden/>
          </w:rPr>
          <w:fldChar w:fldCharType="begin"/>
        </w:r>
        <w:r w:rsidR="00F01728">
          <w:rPr>
            <w:webHidden/>
          </w:rPr>
          <w:instrText xml:space="preserve"> PAGEREF _Toc465244398 \h </w:instrText>
        </w:r>
        <w:r w:rsidR="00F01728">
          <w:rPr>
            <w:webHidden/>
          </w:rPr>
        </w:r>
        <w:r w:rsidR="00F01728">
          <w:rPr>
            <w:webHidden/>
          </w:rPr>
          <w:fldChar w:fldCharType="separate"/>
        </w:r>
        <w:r w:rsidR="001B0AAA">
          <w:rPr>
            <w:webHidden/>
          </w:rPr>
          <w:t>4</w:t>
        </w:r>
        <w:r w:rsidR="00F01728">
          <w:rPr>
            <w:webHidden/>
          </w:rPr>
          <w:fldChar w:fldCharType="end"/>
        </w:r>
      </w:hyperlink>
    </w:p>
    <w:p w14:paraId="62F47BEB" w14:textId="54CAEF04" w:rsidR="00F01728" w:rsidRDefault="00883212">
      <w:pPr>
        <w:pStyle w:val="TOC2"/>
        <w:rPr>
          <w:rFonts w:asciiTheme="minorHAnsi" w:eastAsiaTheme="minorEastAsia" w:hAnsiTheme="minorHAnsi" w:cstheme="minorBidi"/>
          <w:sz w:val="22"/>
          <w:szCs w:val="22"/>
          <w:lang w:eastAsia="en-AU"/>
        </w:rPr>
      </w:pPr>
      <w:hyperlink w:anchor="_Toc465244399" w:history="1">
        <w:r w:rsidR="00F01728" w:rsidRPr="00242CB9">
          <w:rPr>
            <w:rStyle w:val="Hyperlink"/>
          </w:rPr>
          <w:t>Client experience</w:t>
        </w:r>
        <w:r w:rsidR="00F01728">
          <w:rPr>
            <w:webHidden/>
          </w:rPr>
          <w:tab/>
        </w:r>
        <w:r w:rsidR="00F01728">
          <w:rPr>
            <w:webHidden/>
          </w:rPr>
          <w:fldChar w:fldCharType="begin"/>
        </w:r>
        <w:r w:rsidR="00F01728">
          <w:rPr>
            <w:webHidden/>
          </w:rPr>
          <w:instrText xml:space="preserve"> PAGEREF _Toc465244399 \h </w:instrText>
        </w:r>
        <w:r w:rsidR="00F01728">
          <w:rPr>
            <w:webHidden/>
          </w:rPr>
        </w:r>
        <w:r w:rsidR="00F01728">
          <w:rPr>
            <w:webHidden/>
          </w:rPr>
          <w:fldChar w:fldCharType="separate"/>
        </w:r>
        <w:r w:rsidR="001B0AAA">
          <w:rPr>
            <w:webHidden/>
          </w:rPr>
          <w:t>5</w:t>
        </w:r>
        <w:r w:rsidR="00F01728">
          <w:rPr>
            <w:webHidden/>
          </w:rPr>
          <w:fldChar w:fldCharType="end"/>
        </w:r>
      </w:hyperlink>
    </w:p>
    <w:p w14:paraId="5842D69D" w14:textId="23F26723" w:rsidR="00F01728" w:rsidRDefault="00883212">
      <w:pPr>
        <w:pStyle w:val="TOC2"/>
        <w:rPr>
          <w:rFonts w:asciiTheme="minorHAnsi" w:eastAsiaTheme="minorEastAsia" w:hAnsiTheme="minorHAnsi" w:cstheme="minorBidi"/>
          <w:sz w:val="22"/>
          <w:szCs w:val="22"/>
          <w:lang w:eastAsia="en-AU"/>
        </w:rPr>
      </w:pPr>
      <w:hyperlink w:anchor="_Toc465244400" w:history="1">
        <w:r w:rsidR="00F01728" w:rsidRPr="00242CB9">
          <w:rPr>
            <w:rStyle w:val="Hyperlink"/>
          </w:rPr>
          <w:t>Service provision across Australia</w:t>
        </w:r>
        <w:r w:rsidR="00F01728">
          <w:rPr>
            <w:webHidden/>
          </w:rPr>
          <w:tab/>
        </w:r>
        <w:r w:rsidR="00F01728">
          <w:rPr>
            <w:webHidden/>
          </w:rPr>
          <w:fldChar w:fldCharType="begin"/>
        </w:r>
        <w:r w:rsidR="00F01728">
          <w:rPr>
            <w:webHidden/>
          </w:rPr>
          <w:instrText xml:space="preserve"> PAGEREF _Toc465244400 \h </w:instrText>
        </w:r>
        <w:r w:rsidR="00F01728">
          <w:rPr>
            <w:webHidden/>
          </w:rPr>
        </w:r>
        <w:r w:rsidR="00F01728">
          <w:rPr>
            <w:webHidden/>
          </w:rPr>
          <w:fldChar w:fldCharType="separate"/>
        </w:r>
        <w:r w:rsidR="001B0AAA">
          <w:rPr>
            <w:webHidden/>
          </w:rPr>
          <w:t>5</w:t>
        </w:r>
        <w:r w:rsidR="00F01728">
          <w:rPr>
            <w:webHidden/>
          </w:rPr>
          <w:fldChar w:fldCharType="end"/>
        </w:r>
      </w:hyperlink>
    </w:p>
    <w:p w14:paraId="173022A0" w14:textId="259D730C" w:rsidR="00F01728" w:rsidRDefault="00883212">
      <w:pPr>
        <w:pStyle w:val="TOC2"/>
        <w:rPr>
          <w:rFonts w:asciiTheme="minorHAnsi" w:eastAsiaTheme="minorEastAsia" w:hAnsiTheme="minorHAnsi" w:cstheme="minorBidi"/>
          <w:sz w:val="22"/>
          <w:szCs w:val="22"/>
          <w:lang w:eastAsia="en-AU"/>
        </w:rPr>
      </w:pPr>
      <w:hyperlink w:anchor="_Toc465244401" w:history="1">
        <w:r w:rsidR="00F01728" w:rsidRPr="00242CB9">
          <w:rPr>
            <w:rStyle w:val="Hyperlink"/>
          </w:rPr>
          <w:t>International comparisons of service provision</w:t>
        </w:r>
        <w:r w:rsidR="00F01728">
          <w:rPr>
            <w:webHidden/>
          </w:rPr>
          <w:tab/>
        </w:r>
        <w:r w:rsidR="00F01728">
          <w:rPr>
            <w:webHidden/>
          </w:rPr>
          <w:fldChar w:fldCharType="begin"/>
        </w:r>
        <w:r w:rsidR="00F01728">
          <w:rPr>
            <w:webHidden/>
          </w:rPr>
          <w:instrText xml:space="preserve"> PAGEREF _Toc465244401 \h </w:instrText>
        </w:r>
        <w:r w:rsidR="00F01728">
          <w:rPr>
            <w:webHidden/>
          </w:rPr>
        </w:r>
        <w:r w:rsidR="00F01728">
          <w:rPr>
            <w:webHidden/>
          </w:rPr>
          <w:fldChar w:fldCharType="separate"/>
        </w:r>
        <w:r w:rsidR="001B0AAA">
          <w:rPr>
            <w:webHidden/>
          </w:rPr>
          <w:t>5</w:t>
        </w:r>
        <w:r w:rsidR="00F01728">
          <w:rPr>
            <w:webHidden/>
          </w:rPr>
          <w:fldChar w:fldCharType="end"/>
        </w:r>
      </w:hyperlink>
    </w:p>
    <w:p w14:paraId="2CAD0295" w14:textId="2EE776D5" w:rsidR="00F01728" w:rsidRDefault="00883212">
      <w:pPr>
        <w:pStyle w:val="TOC1"/>
        <w:rPr>
          <w:rFonts w:asciiTheme="minorHAnsi" w:eastAsiaTheme="minorEastAsia" w:hAnsiTheme="minorHAnsi" w:cstheme="minorBidi"/>
          <w:b w:val="0"/>
          <w:noProof/>
          <w:sz w:val="22"/>
          <w:szCs w:val="22"/>
          <w:lang w:eastAsia="en-AU"/>
        </w:rPr>
      </w:pPr>
      <w:hyperlink w:anchor="_Toc465244402" w:history="1">
        <w:r w:rsidR="00F01728" w:rsidRPr="00242CB9">
          <w:rPr>
            <w:rStyle w:val="Hyperlink"/>
            <w:noProof/>
          </w:rPr>
          <w:t>Glossary of abbreviations</w:t>
        </w:r>
        <w:r w:rsidR="00F01728">
          <w:rPr>
            <w:noProof/>
            <w:webHidden/>
          </w:rPr>
          <w:tab/>
        </w:r>
        <w:r w:rsidR="00F01728">
          <w:rPr>
            <w:noProof/>
            <w:webHidden/>
          </w:rPr>
          <w:fldChar w:fldCharType="begin"/>
        </w:r>
        <w:r w:rsidR="00F01728">
          <w:rPr>
            <w:noProof/>
            <w:webHidden/>
          </w:rPr>
          <w:instrText xml:space="preserve"> PAGEREF _Toc465244402 \h </w:instrText>
        </w:r>
        <w:r w:rsidR="00F01728">
          <w:rPr>
            <w:noProof/>
            <w:webHidden/>
          </w:rPr>
        </w:r>
        <w:r w:rsidR="00F01728">
          <w:rPr>
            <w:noProof/>
            <w:webHidden/>
          </w:rPr>
          <w:fldChar w:fldCharType="separate"/>
        </w:r>
        <w:r w:rsidR="001B0AAA">
          <w:rPr>
            <w:noProof/>
            <w:webHidden/>
          </w:rPr>
          <w:t>7</w:t>
        </w:r>
        <w:r w:rsidR="00F01728">
          <w:rPr>
            <w:noProof/>
            <w:webHidden/>
          </w:rPr>
          <w:fldChar w:fldCharType="end"/>
        </w:r>
      </w:hyperlink>
    </w:p>
    <w:p w14:paraId="0448D949" w14:textId="37DDD957" w:rsidR="00F01728" w:rsidRDefault="00883212">
      <w:pPr>
        <w:pStyle w:val="TOC1"/>
        <w:rPr>
          <w:rFonts w:asciiTheme="minorHAnsi" w:eastAsiaTheme="minorEastAsia" w:hAnsiTheme="minorHAnsi" w:cstheme="minorBidi"/>
          <w:b w:val="0"/>
          <w:noProof/>
          <w:sz w:val="22"/>
          <w:szCs w:val="22"/>
          <w:lang w:eastAsia="en-AU"/>
        </w:rPr>
      </w:pPr>
      <w:hyperlink w:anchor="_Toc465244403" w:history="1">
        <w:r w:rsidR="00F01728" w:rsidRPr="00242CB9">
          <w:rPr>
            <w:rStyle w:val="Hyperlink"/>
            <w:noProof/>
          </w:rPr>
          <w:t>1.</w:t>
        </w:r>
        <w:r w:rsidR="00F01728">
          <w:rPr>
            <w:rFonts w:asciiTheme="minorHAnsi" w:eastAsiaTheme="minorEastAsia" w:hAnsiTheme="minorHAnsi" w:cstheme="minorBidi"/>
            <w:b w:val="0"/>
            <w:noProof/>
            <w:sz w:val="22"/>
            <w:szCs w:val="22"/>
            <w:lang w:eastAsia="en-AU"/>
          </w:rPr>
          <w:tab/>
        </w:r>
        <w:r w:rsidR="001B0AAA">
          <w:rPr>
            <w:rStyle w:val="Hyperlink"/>
            <w:noProof/>
          </w:rPr>
          <w:t>Reports, i</w:t>
        </w:r>
        <w:r w:rsidR="00F01728" w:rsidRPr="00242CB9">
          <w:rPr>
            <w:rStyle w:val="Hyperlink"/>
            <w:noProof/>
          </w:rPr>
          <w:t xml:space="preserve">nquiries and </w:t>
        </w:r>
        <w:r w:rsidR="001B0AAA">
          <w:rPr>
            <w:rStyle w:val="Hyperlink"/>
            <w:noProof/>
          </w:rPr>
          <w:t>r</w:t>
        </w:r>
        <w:r w:rsidR="00F01728" w:rsidRPr="00242CB9">
          <w:rPr>
            <w:rStyle w:val="Hyperlink"/>
            <w:noProof/>
          </w:rPr>
          <w:t>eviews</w:t>
        </w:r>
        <w:r w:rsidR="00F01728">
          <w:rPr>
            <w:noProof/>
            <w:webHidden/>
          </w:rPr>
          <w:tab/>
        </w:r>
        <w:r w:rsidR="00F01728">
          <w:rPr>
            <w:noProof/>
            <w:webHidden/>
          </w:rPr>
          <w:fldChar w:fldCharType="begin"/>
        </w:r>
        <w:r w:rsidR="00F01728">
          <w:rPr>
            <w:noProof/>
            <w:webHidden/>
          </w:rPr>
          <w:instrText xml:space="preserve"> PAGEREF _Toc465244403 \h </w:instrText>
        </w:r>
        <w:r w:rsidR="00F01728">
          <w:rPr>
            <w:noProof/>
            <w:webHidden/>
          </w:rPr>
        </w:r>
        <w:r w:rsidR="00F01728">
          <w:rPr>
            <w:noProof/>
            <w:webHidden/>
          </w:rPr>
          <w:fldChar w:fldCharType="separate"/>
        </w:r>
        <w:r w:rsidR="001B0AAA">
          <w:rPr>
            <w:noProof/>
            <w:webHidden/>
          </w:rPr>
          <w:t>8</w:t>
        </w:r>
        <w:r w:rsidR="00F01728">
          <w:rPr>
            <w:noProof/>
            <w:webHidden/>
          </w:rPr>
          <w:fldChar w:fldCharType="end"/>
        </w:r>
      </w:hyperlink>
    </w:p>
    <w:p w14:paraId="79C4801C" w14:textId="3EE22134" w:rsidR="00F01728" w:rsidRDefault="00883212">
      <w:pPr>
        <w:pStyle w:val="TOC1"/>
        <w:rPr>
          <w:rFonts w:asciiTheme="minorHAnsi" w:eastAsiaTheme="minorEastAsia" w:hAnsiTheme="minorHAnsi" w:cstheme="minorBidi"/>
          <w:b w:val="0"/>
          <w:noProof/>
          <w:sz w:val="22"/>
          <w:szCs w:val="22"/>
          <w:lang w:eastAsia="en-AU"/>
        </w:rPr>
      </w:pPr>
      <w:hyperlink w:anchor="_Toc465244404" w:history="1">
        <w:r w:rsidR="00F01728" w:rsidRPr="00242CB9">
          <w:rPr>
            <w:rStyle w:val="Hyperlink"/>
            <w:noProof/>
          </w:rPr>
          <w:t>2.</w:t>
        </w:r>
        <w:r w:rsidR="00F01728">
          <w:rPr>
            <w:rFonts w:asciiTheme="minorHAnsi" w:eastAsiaTheme="minorEastAsia" w:hAnsiTheme="minorHAnsi" w:cstheme="minorBidi"/>
            <w:b w:val="0"/>
            <w:noProof/>
            <w:sz w:val="22"/>
            <w:szCs w:val="22"/>
            <w:lang w:eastAsia="en-AU"/>
          </w:rPr>
          <w:tab/>
        </w:r>
        <w:r w:rsidR="00F01728" w:rsidRPr="00242CB9">
          <w:rPr>
            <w:rStyle w:val="Hyperlink"/>
            <w:noProof/>
          </w:rPr>
          <w:t>The child protection framework and the legal service response</w:t>
        </w:r>
        <w:r w:rsidR="00F01728">
          <w:rPr>
            <w:noProof/>
            <w:webHidden/>
          </w:rPr>
          <w:tab/>
        </w:r>
        <w:r w:rsidR="00F01728">
          <w:rPr>
            <w:noProof/>
            <w:webHidden/>
          </w:rPr>
          <w:fldChar w:fldCharType="begin"/>
        </w:r>
        <w:r w:rsidR="00F01728">
          <w:rPr>
            <w:noProof/>
            <w:webHidden/>
          </w:rPr>
          <w:instrText xml:space="preserve"> PAGEREF _Toc465244404 \h </w:instrText>
        </w:r>
        <w:r w:rsidR="00F01728">
          <w:rPr>
            <w:noProof/>
            <w:webHidden/>
          </w:rPr>
        </w:r>
        <w:r w:rsidR="00F01728">
          <w:rPr>
            <w:noProof/>
            <w:webHidden/>
          </w:rPr>
          <w:fldChar w:fldCharType="separate"/>
        </w:r>
        <w:r w:rsidR="001B0AAA">
          <w:rPr>
            <w:noProof/>
            <w:webHidden/>
          </w:rPr>
          <w:t>12</w:t>
        </w:r>
        <w:r w:rsidR="00F01728">
          <w:rPr>
            <w:noProof/>
            <w:webHidden/>
          </w:rPr>
          <w:fldChar w:fldCharType="end"/>
        </w:r>
      </w:hyperlink>
    </w:p>
    <w:p w14:paraId="0273B407" w14:textId="73734E65" w:rsidR="00F01728" w:rsidRDefault="00883212">
      <w:pPr>
        <w:pStyle w:val="TOC2"/>
        <w:tabs>
          <w:tab w:val="left" w:pos="880"/>
        </w:tabs>
        <w:rPr>
          <w:rFonts w:asciiTheme="minorHAnsi" w:eastAsiaTheme="minorEastAsia" w:hAnsiTheme="minorHAnsi" w:cstheme="minorBidi"/>
          <w:sz w:val="22"/>
          <w:szCs w:val="22"/>
          <w:lang w:eastAsia="en-AU"/>
        </w:rPr>
      </w:pPr>
      <w:hyperlink w:anchor="_Toc465244405" w:history="1">
        <w:r w:rsidR="00F01728" w:rsidRPr="00242CB9">
          <w:rPr>
            <w:rStyle w:val="Hyperlink"/>
          </w:rPr>
          <w:t>a.</w:t>
        </w:r>
        <w:r w:rsidR="00F01728">
          <w:rPr>
            <w:rFonts w:asciiTheme="minorHAnsi" w:eastAsiaTheme="minorEastAsia" w:hAnsiTheme="minorHAnsi" w:cstheme="minorBidi"/>
            <w:sz w:val="22"/>
            <w:szCs w:val="22"/>
            <w:lang w:eastAsia="en-AU"/>
          </w:rPr>
          <w:tab/>
        </w:r>
        <w:r w:rsidR="00F01728" w:rsidRPr="00242CB9">
          <w:rPr>
            <w:rStyle w:val="Hyperlink"/>
          </w:rPr>
          <w:t>VLA Child Protection Program</w:t>
        </w:r>
        <w:r w:rsidR="00F01728">
          <w:rPr>
            <w:webHidden/>
          </w:rPr>
          <w:tab/>
        </w:r>
        <w:r w:rsidR="00F01728">
          <w:rPr>
            <w:webHidden/>
          </w:rPr>
          <w:fldChar w:fldCharType="begin"/>
        </w:r>
        <w:r w:rsidR="00F01728">
          <w:rPr>
            <w:webHidden/>
          </w:rPr>
          <w:instrText xml:space="preserve"> PAGEREF _Toc465244405 \h </w:instrText>
        </w:r>
        <w:r w:rsidR="00F01728">
          <w:rPr>
            <w:webHidden/>
          </w:rPr>
        </w:r>
        <w:r w:rsidR="00F01728">
          <w:rPr>
            <w:webHidden/>
          </w:rPr>
          <w:fldChar w:fldCharType="separate"/>
        </w:r>
        <w:r w:rsidR="001B0AAA">
          <w:rPr>
            <w:webHidden/>
          </w:rPr>
          <w:t>12</w:t>
        </w:r>
        <w:r w:rsidR="00F01728">
          <w:rPr>
            <w:webHidden/>
          </w:rPr>
          <w:fldChar w:fldCharType="end"/>
        </w:r>
      </w:hyperlink>
    </w:p>
    <w:p w14:paraId="2BCE1BC7" w14:textId="189A8610" w:rsidR="00F01728" w:rsidRDefault="00883212">
      <w:pPr>
        <w:pStyle w:val="TOC2"/>
        <w:tabs>
          <w:tab w:val="left" w:pos="880"/>
        </w:tabs>
        <w:rPr>
          <w:rFonts w:asciiTheme="minorHAnsi" w:eastAsiaTheme="minorEastAsia" w:hAnsiTheme="minorHAnsi" w:cstheme="minorBidi"/>
          <w:sz w:val="22"/>
          <w:szCs w:val="22"/>
          <w:lang w:eastAsia="en-AU"/>
        </w:rPr>
      </w:pPr>
      <w:hyperlink w:anchor="_Toc465244406" w:history="1">
        <w:r w:rsidR="00F01728" w:rsidRPr="00242CB9">
          <w:rPr>
            <w:rStyle w:val="Hyperlink"/>
          </w:rPr>
          <w:t>b.</w:t>
        </w:r>
        <w:r w:rsidR="00F01728">
          <w:rPr>
            <w:rFonts w:asciiTheme="minorHAnsi" w:eastAsiaTheme="minorEastAsia" w:hAnsiTheme="minorHAnsi" w:cstheme="minorBidi"/>
            <w:sz w:val="22"/>
            <w:szCs w:val="22"/>
            <w:lang w:eastAsia="en-AU"/>
          </w:rPr>
          <w:tab/>
        </w:r>
        <w:r w:rsidR="00F01728" w:rsidRPr="00242CB9">
          <w:rPr>
            <w:rStyle w:val="Hyperlink"/>
          </w:rPr>
          <w:t>Scope of services</w:t>
        </w:r>
        <w:r w:rsidR="00F01728">
          <w:rPr>
            <w:webHidden/>
          </w:rPr>
          <w:tab/>
        </w:r>
        <w:r w:rsidR="00F01728">
          <w:rPr>
            <w:webHidden/>
          </w:rPr>
          <w:fldChar w:fldCharType="begin"/>
        </w:r>
        <w:r w:rsidR="00F01728">
          <w:rPr>
            <w:webHidden/>
          </w:rPr>
          <w:instrText xml:space="preserve"> PAGEREF _Toc465244406 \h </w:instrText>
        </w:r>
        <w:r w:rsidR="00F01728">
          <w:rPr>
            <w:webHidden/>
          </w:rPr>
        </w:r>
        <w:r w:rsidR="00F01728">
          <w:rPr>
            <w:webHidden/>
          </w:rPr>
          <w:fldChar w:fldCharType="separate"/>
        </w:r>
        <w:r w:rsidR="001B0AAA">
          <w:rPr>
            <w:webHidden/>
          </w:rPr>
          <w:t>14</w:t>
        </w:r>
        <w:r w:rsidR="00F01728">
          <w:rPr>
            <w:webHidden/>
          </w:rPr>
          <w:fldChar w:fldCharType="end"/>
        </w:r>
      </w:hyperlink>
    </w:p>
    <w:p w14:paraId="1D0C73B8" w14:textId="0FE3F887" w:rsidR="00F01728" w:rsidRDefault="00883212">
      <w:pPr>
        <w:pStyle w:val="TOC1"/>
        <w:rPr>
          <w:rFonts w:asciiTheme="minorHAnsi" w:eastAsiaTheme="minorEastAsia" w:hAnsiTheme="minorHAnsi" w:cstheme="minorBidi"/>
          <w:b w:val="0"/>
          <w:noProof/>
          <w:sz w:val="22"/>
          <w:szCs w:val="22"/>
          <w:lang w:eastAsia="en-AU"/>
        </w:rPr>
      </w:pPr>
      <w:hyperlink w:anchor="_Toc465244407" w:history="1">
        <w:r w:rsidR="00F01728" w:rsidRPr="00242CB9">
          <w:rPr>
            <w:rStyle w:val="Hyperlink"/>
            <w:noProof/>
          </w:rPr>
          <w:t>3.</w:t>
        </w:r>
        <w:r w:rsidR="00F01728">
          <w:rPr>
            <w:rFonts w:asciiTheme="minorHAnsi" w:eastAsiaTheme="minorEastAsia" w:hAnsiTheme="minorHAnsi" w:cstheme="minorBidi"/>
            <w:b w:val="0"/>
            <w:noProof/>
            <w:sz w:val="22"/>
            <w:szCs w:val="22"/>
            <w:lang w:eastAsia="en-AU"/>
          </w:rPr>
          <w:tab/>
        </w:r>
        <w:r w:rsidR="00F01728" w:rsidRPr="00242CB9">
          <w:rPr>
            <w:rStyle w:val="Hyperlink"/>
            <w:noProof/>
          </w:rPr>
          <w:t>Current demand for services and predicted future demand</w:t>
        </w:r>
        <w:r w:rsidR="00F01728">
          <w:rPr>
            <w:noProof/>
            <w:webHidden/>
          </w:rPr>
          <w:tab/>
        </w:r>
        <w:r w:rsidR="00F01728">
          <w:rPr>
            <w:noProof/>
            <w:webHidden/>
          </w:rPr>
          <w:fldChar w:fldCharType="begin"/>
        </w:r>
        <w:r w:rsidR="00F01728">
          <w:rPr>
            <w:noProof/>
            <w:webHidden/>
          </w:rPr>
          <w:instrText xml:space="preserve"> PAGEREF _Toc465244407 \h </w:instrText>
        </w:r>
        <w:r w:rsidR="00F01728">
          <w:rPr>
            <w:noProof/>
            <w:webHidden/>
          </w:rPr>
        </w:r>
        <w:r w:rsidR="00F01728">
          <w:rPr>
            <w:noProof/>
            <w:webHidden/>
          </w:rPr>
          <w:fldChar w:fldCharType="separate"/>
        </w:r>
        <w:r w:rsidR="001B0AAA">
          <w:rPr>
            <w:noProof/>
            <w:webHidden/>
          </w:rPr>
          <w:t>16</w:t>
        </w:r>
        <w:r w:rsidR="00F01728">
          <w:rPr>
            <w:noProof/>
            <w:webHidden/>
          </w:rPr>
          <w:fldChar w:fldCharType="end"/>
        </w:r>
      </w:hyperlink>
    </w:p>
    <w:p w14:paraId="01C01CD5" w14:textId="7C018785" w:rsidR="00F01728" w:rsidRDefault="00883212">
      <w:pPr>
        <w:pStyle w:val="TOC2"/>
        <w:tabs>
          <w:tab w:val="left" w:pos="880"/>
        </w:tabs>
        <w:rPr>
          <w:rFonts w:asciiTheme="minorHAnsi" w:eastAsiaTheme="minorEastAsia" w:hAnsiTheme="minorHAnsi" w:cstheme="minorBidi"/>
          <w:sz w:val="22"/>
          <w:szCs w:val="22"/>
          <w:lang w:eastAsia="en-AU"/>
        </w:rPr>
      </w:pPr>
      <w:hyperlink w:anchor="_Toc465244408" w:history="1">
        <w:r w:rsidR="00F01728" w:rsidRPr="00242CB9">
          <w:rPr>
            <w:rStyle w:val="Hyperlink"/>
          </w:rPr>
          <w:t>a.</w:t>
        </w:r>
        <w:r w:rsidR="00F01728">
          <w:rPr>
            <w:rFonts w:asciiTheme="minorHAnsi" w:eastAsiaTheme="minorEastAsia" w:hAnsiTheme="minorHAnsi" w:cstheme="minorBidi"/>
            <w:sz w:val="22"/>
            <w:szCs w:val="22"/>
            <w:lang w:eastAsia="en-AU"/>
          </w:rPr>
          <w:tab/>
        </w:r>
        <w:r w:rsidR="001B0AAA">
          <w:rPr>
            <w:rStyle w:val="Hyperlink"/>
          </w:rPr>
          <w:t>Children and young people in ‘out-of-h</w:t>
        </w:r>
        <w:r w:rsidR="00F01728" w:rsidRPr="00242CB9">
          <w:rPr>
            <w:rStyle w:val="Hyperlink"/>
          </w:rPr>
          <w:t xml:space="preserve">ome </w:t>
        </w:r>
        <w:r w:rsidR="001B0AAA">
          <w:rPr>
            <w:rStyle w:val="Hyperlink"/>
          </w:rPr>
          <w:t>c</w:t>
        </w:r>
        <w:r w:rsidR="00F01728" w:rsidRPr="00242CB9">
          <w:rPr>
            <w:rStyle w:val="Hyperlink"/>
          </w:rPr>
          <w:t>are’</w:t>
        </w:r>
        <w:r w:rsidR="00F01728">
          <w:rPr>
            <w:webHidden/>
          </w:rPr>
          <w:tab/>
        </w:r>
        <w:r w:rsidR="00F01728">
          <w:rPr>
            <w:webHidden/>
          </w:rPr>
          <w:fldChar w:fldCharType="begin"/>
        </w:r>
        <w:r w:rsidR="00F01728">
          <w:rPr>
            <w:webHidden/>
          </w:rPr>
          <w:instrText xml:space="preserve"> PAGEREF _Toc465244408 \h </w:instrText>
        </w:r>
        <w:r w:rsidR="00F01728">
          <w:rPr>
            <w:webHidden/>
          </w:rPr>
        </w:r>
        <w:r w:rsidR="00F01728">
          <w:rPr>
            <w:webHidden/>
          </w:rPr>
          <w:fldChar w:fldCharType="separate"/>
        </w:r>
        <w:r w:rsidR="001B0AAA">
          <w:rPr>
            <w:webHidden/>
          </w:rPr>
          <w:t>19</w:t>
        </w:r>
        <w:r w:rsidR="00F01728">
          <w:rPr>
            <w:webHidden/>
          </w:rPr>
          <w:fldChar w:fldCharType="end"/>
        </w:r>
      </w:hyperlink>
    </w:p>
    <w:p w14:paraId="421ED9B1" w14:textId="2BF4BC2A" w:rsidR="00F01728" w:rsidRDefault="00883212">
      <w:pPr>
        <w:pStyle w:val="TOC1"/>
        <w:rPr>
          <w:rFonts w:asciiTheme="minorHAnsi" w:eastAsiaTheme="minorEastAsia" w:hAnsiTheme="minorHAnsi" w:cstheme="minorBidi"/>
          <w:b w:val="0"/>
          <w:noProof/>
          <w:sz w:val="22"/>
          <w:szCs w:val="22"/>
          <w:lang w:eastAsia="en-AU"/>
        </w:rPr>
      </w:pPr>
      <w:hyperlink w:anchor="_Toc465244409" w:history="1">
        <w:r w:rsidR="00F01728" w:rsidRPr="00242CB9">
          <w:rPr>
            <w:rStyle w:val="Hyperlink"/>
            <w:noProof/>
          </w:rPr>
          <w:t>4.</w:t>
        </w:r>
        <w:r w:rsidR="00F01728">
          <w:rPr>
            <w:rFonts w:asciiTheme="minorHAnsi" w:eastAsiaTheme="minorEastAsia" w:hAnsiTheme="minorHAnsi" w:cstheme="minorBidi"/>
            <w:b w:val="0"/>
            <w:noProof/>
            <w:sz w:val="22"/>
            <w:szCs w:val="22"/>
            <w:lang w:eastAsia="en-AU"/>
          </w:rPr>
          <w:tab/>
        </w:r>
        <w:r w:rsidR="00F01728" w:rsidRPr="00242CB9">
          <w:rPr>
            <w:rStyle w:val="Hyperlink"/>
            <w:noProof/>
          </w:rPr>
          <w:t>Geographical service gaps</w:t>
        </w:r>
        <w:r w:rsidR="00F01728">
          <w:rPr>
            <w:noProof/>
            <w:webHidden/>
          </w:rPr>
          <w:tab/>
        </w:r>
        <w:r w:rsidR="00F01728">
          <w:rPr>
            <w:noProof/>
            <w:webHidden/>
          </w:rPr>
          <w:fldChar w:fldCharType="begin"/>
        </w:r>
        <w:r w:rsidR="00F01728">
          <w:rPr>
            <w:noProof/>
            <w:webHidden/>
          </w:rPr>
          <w:instrText xml:space="preserve"> PAGEREF _Toc465244409 \h </w:instrText>
        </w:r>
        <w:r w:rsidR="00F01728">
          <w:rPr>
            <w:noProof/>
            <w:webHidden/>
          </w:rPr>
        </w:r>
        <w:r w:rsidR="00F01728">
          <w:rPr>
            <w:noProof/>
            <w:webHidden/>
          </w:rPr>
          <w:fldChar w:fldCharType="separate"/>
        </w:r>
        <w:r w:rsidR="001B0AAA">
          <w:rPr>
            <w:noProof/>
            <w:webHidden/>
          </w:rPr>
          <w:t>20</w:t>
        </w:r>
        <w:r w:rsidR="00F01728">
          <w:rPr>
            <w:noProof/>
            <w:webHidden/>
          </w:rPr>
          <w:fldChar w:fldCharType="end"/>
        </w:r>
      </w:hyperlink>
    </w:p>
    <w:p w14:paraId="34922BA1" w14:textId="3A6BCC50" w:rsidR="00F01728" w:rsidRDefault="00883212">
      <w:pPr>
        <w:pStyle w:val="TOC2"/>
        <w:tabs>
          <w:tab w:val="left" w:pos="880"/>
        </w:tabs>
        <w:rPr>
          <w:rFonts w:asciiTheme="minorHAnsi" w:eastAsiaTheme="minorEastAsia" w:hAnsiTheme="minorHAnsi" w:cstheme="minorBidi"/>
          <w:sz w:val="22"/>
          <w:szCs w:val="22"/>
          <w:lang w:eastAsia="en-AU"/>
        </w:rPr>
      </w:pPr>
      <w:hyperlink w:anchor="_Toc465244410" w:history="1">
        <w:r w:rsidR="00F01728" w:rsidRPr="00242CB9">
          <w:rPr>
            <w:rStyle w:val="Hyperlink"/>
          </w:rPr>
          <w:t>a.</w:t>
        </w:r>
        <w:r w:rsidR="00F01728">
          <w:rPr>
            <w:rFonts w:asciiTheme="minorHAnsi" w:eastAsiaTheme="minorEastAsia" w:hAnsiTheme="minorHAnsi" w:cstheme="minorBidi"/>
            <w:sz w:val="22"/>
            <w:szCs w:val="22"/>
            <w:lang w:eastAsia="en-AU"/>
          </w:rPr>
          <w:tab/>
        </w:r>
        <w:r w:rsidR="00F01728" w:rsidRPr="00242CB9">
          <w:rPr>
            <w:rStyle w:val="Hyperlink"/>
          </w:rPr>
          <w:t>Geographical measures</w:t>
        </w:r>
        <w:r w:rsidR="00F01728">
          <w:rPr>
            <w:webHidden/>
          </w:rPr>
          <w:tab/>
        </w:r>
        <w:r w:rsidR="00F01728">
          <w:rPr>
            <w:webHidden/>
          </w:rPr>
          <w:fldChar w:fldCharType="begin"/>
        </w:r>
        <w:r w:rsidR="00F01728">
          <w:rPr>
            <w:webHidden/>
          </w:rPr>
          <w:instrText xml:space="preserve"> PAGEREF _Toc465244410 \h </w:instrText>
        </w:r>
        <w:r w:rsidR="00F01728">
          <w:rPr>
            <w:webHidden/>
          </w:rPr>
        </w:r>
        <w:r w:rsidR="00F01728">
          <w:rPr>
            <w:webHidden/>
          </w:rPr>
          <w:fldChar w:fldCharType="separate"/>
        </w:r>
        <w:r w:rsidR="001B0AAA">
          <w:rPr>
            <w:webHidden/>
          </w:rPr>
          <w:t>20</w:t>
        </w:r>
        <w:r w:rsidR="00F01728">
          <w:rPr>
            <w:webHidden/>
          </w:rPr>
          <w:fldChar w:fldCharType="end"/>
        </w:r>
      </w:hyperlink>
    </w:p>
    <w:p w14:paraId="66A07F2D" w14:textId="49443018" w:rsidR="00F01728" w:rsidRDefault="00883212">
      <w:pPr>
        <w:pStyle w:val="TOC2"/>
        <w:tabs>
          <w:tab w:val="left" w:pos="880"/>
        </w:tabs>
        <w:rPr>
          <w:rFonts w:asciiTheme="minorHAnsi" w:eastAsiaTheme="minorEastAsia" w:hAnsiTheme="minorHAnsi" w:cstheme="minorBidi"/>
          <w:sz w:val="22"/>
          <w:szCs w:val="22"/>
          <w:lang w:eastAsia="en-AU"/>
        </w:rPr>
      </w:pPr>
      <w:hyperlink w:anchor="_Toc465244411" w:history="1">
        <w:r w:rsidR="00F01728" w:rsidRPr="00242CB9">
          <w:rPr>
            <w:rStyle w:val="Hyperlink"/>
          </w:rPr>
          <w:t>b.</w:t>
        </w:r>
        <w:r w:rsidR="00F01728">
          <w:rPr>
            <w:rFonts w:asciiTheme="minorHAnsi" w:eastAsiaTheme="minorEastAsia" w:hAnsiTheme="minorHAnsi" w:cstheme="minorBidi"/>
            <w:sz w:val="22"/>
            <w:szCs w:val="22"/>
            <w:lang w:eastAsia="en-AU"/>
          </w:rPr>
          <w:tab/>
        </w:r>
        <w:r w:rsidR="00F01728" w:rsidRPr="00242CB9">
          <w:rPr>
            <w:rStyle w:val="Hyperlink"/>
          </w:rPr>
          <w:t>Ascertaining demand in regional and rural Victoria</w:t>
        </w:r>
        <w:r w:rsidR="00F01728">
          <w:rPr>
            <w:webHidden/>
          </w:rPr>
          <w:tab/>
        </w:r>
        <w:r w:rsidR="00F01728">
          <w:rPr>
            <w:webHidden/>
          </w:rPr>
          <w:fldChar w:fldCharType="begin"/>
        </w:r>
        <w:r w:rsidR="00F01728">
          <w:rPr>
            <w:webHidden/>
          </w:rPr>
          <w:instrText xml:space="preserve"> PAGEREF _Toc465244411 \h </w:instrText>
        </w:r>
        <w:r w:rsidR="00F01728">
          <w:rPr>
            <w:webHidden/>
          </w:rPr>
        </w:r>
        <w:r w:rsidR="00F01728">
          <w:rPr>
            <w:webHidden/>
          </w:rPr>
          <w:fldChar w:fldCharType="separate"/>
        </w:r>
        <w:r w:rsidR="001B0AAA">
          <w:rPr>
            <w:webHidden/>
          </w:rPr>
          <w:t>21</w:t>
        </w:r>
        <w:r w:rsidR="00F01728">
          <w:rPr>
            <w:webHidden/>
          </w:rPr>
          <w:fldChar w:fldCharType="end"/>
        </w:r>
      </w:hyperlink>
    </w:p>
    <w:p w14:paraId="363BCA53" w14:textId="0D29EED5" w:rsidR="00F01728" w:rsidRDefault="00883212">
      <w:pPr>
        <w:pStyle w:val="TOC2"/>
        <w:tabs>
          <w:tab w:val="left" w:pos="880"/>
        </w:tabs>
        <w:rPr>
          <w:rFonts w:asciiTheme="minorHAnsi" w:eastAsiaTheme="minorEastAsia" w:hAnsiTheme="minorHAnsi" w:cstheme="minorBidi"/>
          <w:sz w:val="22"/>
          <w:szCs w:val="22"/>
          <w:lang w:eastAsia="en-AU"/>
        </w:rPr>
      </w:pPr>
      <w:hyperlink w:anchor="_Toc465244412" w:history="1">
        <w:r w:rsidR="00F01728" w:rsidRPr="00242CB9">
          <w:rPr>
            <w:rStyle w:val="Hyperlink"/>
          </w:rPr>
          <w:t>c.</w:t>
        </w:r>
        <w:r w:rsidR="00F01728">
          <w:rPr>
            <w:rFonts w:asciiTheme="minorHAnsi" w:eastAsiaTheme="minorEastAsia" w:hAnsiTheme="minorHAnsi" w:cstheme="minorBidi"/>
            <w:sz w:val="22"/>
            <w:szCs w:val="22"/>
            <w:lang w:eastAsia="en-AU"/>
          </w:rPr>
          <w:tab/>
        </w:r>
        <w:r w:rsidR="00F01728" w:rsidRPr="00242CB9">
          <w:rPr>
            <w:rStyle w:val="Hyperlink"/>
          </w:rPr>
          <w:t>Nexus between socioeconomic disadvantage and child protection</w:t>
        </w:r>
        <w:r w:rsidR="00F01728">
          <w:rPr>
            <w:webHidden/>
          </w:rPr>
          <w:tab/>
        </w:r>
        <w:r w:rsidR="00F01728">
          <w:rPr>
            <w:webHidden/>
          </w:rPr>
          <w:fldChar w:fldCharType="begin"/>
        </w:r>
        <w:r w:rsidR="00F01728">
          <w:rPr>
            <w:webHidden/>
          </w:rPr>
          <w:instrText xml:space="preserve"> PAGEREF _Toc465244412 \h </w:instrText>
        </w:r>
        <w:r w:rsidR="00F01728">
          <w:rPr>
            <w:webHidden/>
          </w:rPr>
        </w:r>
        <w:r w:rsidR="00F01728">
          <w:rPr>
            <w:webHidden/>
          </w:rPr>
          <w:fldChar w:fldCharType="separate"/>
        </w:r>
        <w:r w:rsidR="001B0AAA">
          <w:rPr>
            <w:webHidden/>
          </w:rPr>
          <w:t>23</w:t>
        </w:r>
        <w:r w:rsidR="00F01728">
          <w:rPr>
            <w:webHidden/>
          </w:rPr>
          <w:fldChar w:fldCharType="end"/>
        </w:r>
      </w:hyperlink>
    </w:p>
    <w:p w14:paraId="2ECD97FD" w14:textId="79F3FF23" w:rsidR="00F01728" w:rsidRDefault="00883212">
      <w:pPr>
        <w:pStyle w:val="TOC2"/>
        <w:tabs>
          <w:tab w:val="left" w:pos="880"/>
        </w:tabs>
        <w:rPr>
          <w:rFonts w:asciiTheme="minorHAnsi" w:eastAsiaTheme="minorEastAsia" w:hAnsiTheme="minorHAnsi" w:cstheme="minorBidi"/>
          <w:sz w:val="22"/>
          <w:szCs w:val="22"/>
          <w:lang w:eastAsia="en-AU"/>
        </w:rPr>
      </w:pPr>
      <w:hyperlink w:anchor="_Toc465244413" w:history="1">
        <w:r w:rsidR="00F01728" w:rsidRPr="00242CB9">
          <w:rPr>
            <w:rStyle w:val="Hyperlink"/>
          </w:rPr>
          <w:t>d.</w:t>
        </w:r>
        <w:r w:rsidR="00F01728">
          <w:rPr>
            <w:rFonts w:asciiTheme="minorHAnsi" w:eastAsiaTheme="minorEastAsia" w:hAnsiTheme="minorHAnsi" w:cstheme="minorBidi"/>
            <w:sz w:val="22"/>
            <w:szCs w:val="22"/>
            <w:lang w:eastAsia="en-AU"/>
          </w:rPr>
          <w:tab/>
        </w:r>
        <w:r w:rsidR="00F01728" w:rsidRPr="00242CB9">
          <w:rPr>
            <w:rStyle w:val="Hyperlink"/>
          </w:rPr>
          <w:t>A snapshot of regional services:</w:t>
        </w:r>
        <w:r w:rsidR="00F01728">
          <w:rPr>
            <w:webHidden/>
          </w:rPr>
          <w:tab/>
        </w:r>
        <w:r w:rsidR="00F01728">
          <w:rPr>
            <w:webHidden/>
          </w:rPr>
          <w:fldChar w:fldCharType="begin"/>
        </w:r>
        <w:r w:rsidR="00F01728">
          <w:rPr>
            <w:webHidden/>
          </w:rPr>
          <w:instrText xml:space="preserve"> PAGEREF _Toc465244413 \h </w:instrText>
        </w:r>
        <w:r w:rsidR="00F01728">
          <w:rPr>
            <w:webHidden/>
          </w:rPr>
        </w:r>
        <w:r w:rsidR="00F01728">
          <w:rPr>
            <w:webHidden/>
          </w:rPr>
          <w:fldChar w:fldCharType="separate"/>
        </w:r>
        <w:r w:rsidR="001B0AAA">
          <w:rPr>
            <w:webHidden/>
          </w:rPr>
          <w:t>25</w:t>
        </w:r>
        <w:r w:rsidR="00F01728">
          <w:rPr>
            <w:webHidden/>
          </w:rPr>
          <w:fldChar w:fldCharType="end"/>
        </w:r>
      </w:hyperlink>
    </w:p>
    <w:p w14:paraId="204C837A" w14:textId="490EDACF" w:rsidR="00F01728" w:rsidRDefault="00883212">
      <w:pPr>
        <w:pStyle w:val="TOC1"/>
        <w:rPr>
          <w:rFonts w:asciiTheme="minorHAnsi" w:eastAsiaTheme="minorEastAsia" w:hAnsiTheme="minorHAnsi" w:cstheme="minorBidi"/>
          <w:b w:val="0"/>
          <w:noProof/>
          <w:sz w:val="22"/>
          <w:szCs w:val="22"/>
          <w:lang w:eastAsia="en-AU"/>
        </w:rPr>
      </w:pPr>
      <w:hyperlink w:anchor="_Toc465244414" w:history="1">
        <w:r w:rsidR="00F01728" w:rsidRPr="00242CB9">
          <w:rPr>
            <w:rStyle w:val="Hyperlink"/>
            <w:noProof/>
          </w:rPr>
          <w:t>5.</w:t>
        </w:r>
        <w:r w:rsidR="00F01728">
          <w:rPr>
            <w:rFonts w:asciiTheme="minorHAnsi" w:eastAsiaTheme="minorEastAsia" w:hAnsiTheme="minorHAnsi" w:cstheme="minorBidi"/>
            <w:b w:val="0"/>
            <w:noProof/>
            <w:sz w:val="22"/>
            <w:szCs w:val="22"/>
            <w:lang w:eastAsia="en-AU"/>
          </w:rPr>
          <w:tab/>
        </w:r>
        <w:r w:rsidR="00F01728" w:rsidRPr="00242CB9">
          <w:rPr>
            <w:rStyle w:val="Hyperlink"/>
            <w:noProof/>
          </w:rPr>
          <w:t>Gaps in access to legal assistance</w:t>
        </w:r>
        <w:r w:rsidR="00F01728">
          <w:rPr>
            <w:noProof/>
            <w:webHidden/>
          </w:rPr>
          <w:tab/>
        </w:r>
        <w:r w:rsidR="00F01728">
          <w:rPr>
            <w:noProof/>
            <w:webHidden/>
          </w:rPr>
          <w:fldChar w:fldCharType="begin"/>
        </w:r>
        <w:r w:rsidR="00F01728">
          <w:rPr>
            <w:noProof/>
            <w:webHidden/>
          </w:rPr>
          <w:instrText xml:space="preserve"> PAGEREF _Toc465244414 \h </w:instrText>
        </w:r>
        <w:r w:rsidR="00F01728">
          <w:rPr>
            <w:noProof/>
            <w:webHidden/>
          </w:rPr>
        </w:r>
        <w:r w:rsidR="00F01728">
          <w:rPr>
            <w:noProof/>
            <w:webHidden/>
          </w:rPr>
          <w:fldChar w:fldCharType="separate"/>
        </w:r>
        <w:r w:rsidR="001B0AAA">
          <w:rPr>
            <w:noProof/>
            <w:webHidden/>
          </w:rPr>
          <w:t>28</w:t>
        </w:r>
        <w:r w:rsidR="00F01728">
          <w:rPr>
            <w:noProof/>
            <w:webHidden/>
          </w:rPr>
          <w:fldChar w:fldCharType="end"/>
        </w:r>
      </w:hyperlink>
    </w:p>
    <w:p w14:paraId="325CAC7F" w14:textId="526FB27C" w:rsidR="00F01728" w:rsidRDefault="00883212">
      <w:pPr>
        <w:pStyle w:val="TOC2"/>
        <w:rPr>
          <w:rFonts w:asciiTheme="minorHAnsi" w:eastAsiaTheme="minorEastAsia" w:hAnsiTheme="minorHAnsi" w:cstheme="minorBidi"/>
          <w:sz w:val="22"/>
          <w:szCs w:val="22"/>
          <w:lang w:eastAsia="en-AU"/>
        </w:rPr>
      </w:pPr>
      <w:hyperlink w:anchor="_Toc465244415" w:history="1">
        <w:r w:rsidR="00F01728" w:rsidRPr="00242CB9">
          <w:rPr>
            <w:rStyle w:val="Hyperlink"/>
          </w:rPr>
          <w:t>a</w:t>
        </w:r>
        <w:r w:rsidR="001B0AAA">
          <w:rPr>
            <w:rStyle w:val="Hyperlink"/>
          </w:rPr>
          <w:t>.</w:t>
        </w:r>
        <w:r w:rsidR="00F01728" w:rsidRPr="00242CB9">
          <w:rPr>
            <w:rStyle w:val="Hyperlink"/>
          </w:rPr>
          <w:t xml:space="preserve"> Gaps within the current funding guidelines</w:t>
        </w:r>
        <w:r w:rsidR="00F01728">
          <w:rPr>
            <w:webHidden/>
          </w:rPr>
          <w:tab/>
        </w:r>
        <w:r w:rsidR="00F01728">
          <w:rPr>
            <w:webHidden/>
          </w:rPr>
          <w:fldChar w:fldCharType="begin"/>
        </w:r>
        <w:r w:rsidR="00F01728">
          <w:rPr>
            <w:webHidden/>
          </w:rPr>
          <w:instrText xml:space="preserve"> PAGEREF _Toc465244415 \h </w:instrText>
        </w:r>
        <w:r w:rsidR="00F01728">
          <w:rPr>
            <w:webHidden/>
          </w:rPr>
        </w:r>
        <w:r w:rsidR="00F01728">
          <w:rPr>
            <w:webHidden/>
          </w:rPr>
          <w:fldChar w:fldCharType="separate"/>
        </w:r>
        <w:r w:rsidR="001B0AAA">
          <w:rPr>
            <w:webHidden/>
          </w:rPr>
          <w:t>28</w:t>
        </w:r>
        <w:r w:rsidR="00F01728">
          <w:rPr>
            <w:webHidden/>
          </w:rPr>
          <w:fldChar w:fldCharType="end"/>
        </w:r>
      </w:hyperlink>
    </w:p>
    <w:p w14:paraId="2852616D" w14:textId="6E24544B" w:rsidR="00F01728" w:rsidRDefault="00883212">
      <w:pPr>
        <w:pStyle w:val="TOC2"/>
        <w:rPr>
          <w:rFonts w:asciiTheme="minorHAnsi" w:eastAsiaTheme="minorEastAsia" w:hAnsiTheme="minorHAnsi" w:cstheme="minorBidi"/>
          <w:sz w:val="22"/>
          <w:szCs w:val="22"/>
          <w:lang w:eastAsia="en-AU"/>
        </w:rPr>
      </w:pPr>
      <w:hyperlink w:anchor="_Toc465244416" w:history="1">
        <w:r w:rsidR="00F01728" w:rsidRPr="00242CB9">
          <w:rPr>
            <w:rStyle w:val="Hyperlink"/>
          </w:rPr>
          <w:t>b</w:t>
        </w:r>
        <w:r w:rsidR="001B0AAA">
          <w:rPr>
            <w:rStyle w:val="Hyperlink"/>
          </w:rPr>
          <w:t>.</w:t>
        </w:r>
        <w:r w:rsidR="00F01728" w:rsidRPr="00242CB9">
          <w:rPr>
            <w:rStyle w:val="Hyperlink"/>
          </w:rPr>
          <w:t xml:space="preserve"> Gaps in service provision before and after court</w:t>
        </w:r>
        <w:r w:rsidR="00F01728">
          <w:rPr>
            <w:webHidden/>
          </w:rPr>
          <w:tab/>
        </w:r>
        <w:r w:rsidR="00F01728">
          <w:rPr>
            <w:webHidden/>
          </w:rPr>
          <w:fldChar w:fldCharType="begin"/>
        </w:r>
        <w:r w:rsidR="00F01728">
          <w:rPr>
            <w:webHidden/>
          </w:rPr>
          <w:instrText xml:space="preserve"> PAGEREF _Toc465244416 \h </w:instrText>
        </w:r>
        <w:r w:rsidR="00F01728">
          <w:rPr>
            <w:webHidden/>
          </w:rPr>
        </w:r>
        <w:r w:rsidR="00F01728">
          <w:rPr>
            <w:webHidden/>
          </w:rPr>
          <w:fldChar w:fldCharType="separate"/>
        </w:r>
        <w:r w:rsidR="001B0AAA">
          <w:rPr>
            <w:webHidden/>
          </w:rPr>
          <w:t>30</w:t>
        </w:r>
        <w:r w:rsidR="00F01728">
          <w:rPr>
            <w:webHidden/>
          </w:rPr>
          <w:fldChar w:fldCharType="end"/>
        </w:r>
      </w:hyperlink>
    </w:p>
    <w:p w14:paraId="7B704B8A" w14:textId="5829A6F4" w:rsidR="00F01728" w:rsidRDefault="00883212">
      <w:pPr>
        <w:pStyle w:val="TOC2"/>
        <w:rPr>
          <w:rFonts w:asciiTheme="minorHAnsi" w:eastAsiaTheme="minorEastAsia" w:hAnsiTheme="minorHAnsi" w:cstheme="minorBidi"/>
          <w:sz w:val="22"/>
          <w:szCs w:val="22"/>
          <w:lang w:eastAsia="en-AU"/>
        </w:rPr>
      </w:pPr>
      <w:hyperlink w:anchor="_Toc465244417" w:history="1">
        <w:r w:rsidR="00F01728" w:rsidRPr="00242CB9">
          <w:rPr>
            <w:rStyle w:val="Hyperlink"/>
          </w:rPr>
          <w:t>c</w:t>
        </w:r>
        <w:r w:rsidR="001B0AAA">
          <w:rPr>
            <w:rStyle w:val="Hyperlink"/>
          </w:rPr>
          <w:t>.</w:t>
        </w:r>
        <w:r w:rsidR="00F01728" w:rsidRPr="00242CB9">
          <w:rPr>
            <w:rStyle w:val="Hyperlink"/>
          </w:rPr>
          <w:t xml:space="preserve"> Gaps that may arise within the broader legislative framework</w:t>
        </w:r>
        <w:r w:rsidR="00F01728">
          <w:rPr>
            <w:webHidden/>
          </w:rPr>
          <w:tab/>
        </w:r>
        <w:r w:rsidR="00F01728">
          <w:rPr>
            <w:webHidden/>
          </w:rPr>
          <w:fldChar w:fldCharType="begin"/>
        </w:r>
        <w:r w:rsidR="00F01728">
          <w:rPr>
            <w:webHidden/>
          </w:rPr>
          <w:instrText xml:space="preserve"> PAGEREF _Toc465244417 \h </w:instrText>
        </w:r>
        <w:r w:rsidR="00F01728">
          <w:rPr>
            <w:webHidden/>
          </w:rPr>
        </w:r>
        <w:r w:rsidR="00F01728">
          <w:rPr>
            <w:webHidden/>
          </w:rPr>
          <w:fldChar w:fldCharType="separate"/>
        </w:r>
        <w:r w:rsidR="001B0AAA">
          <w:rPr>
            <w:webHidden/>
          </w:rPr>
          <w:t>30</w:t>
        </w:r>
        <w:r w:rsidR="00F01728">
          <w:rPr>
            <w:webHidden/>
          </w:rPr>
          <w:fldChar w:fldCharType="end"/>
        </w:r>
      </w:hyperlink>
    </w:p>
    <w:p w14:paraId="1E0EEF23" w14:textId="29D94628" w:rsidR="00F01728" w:rsidRDefault="00883212">
      <w:pPr>
        <w:pStyle w:val="TOC2"/>
        <w:rPr>
          <w:rFonts w:asciiTheme="minorHAnsi" w:eastAsiaTheme="minorEastAsia" w:hAnsiTheme="minorHAnsi" w:cstheme="minorBidi"/>
          <w:sz w:val="22"/>
          <w:szCs w:val="22"/>
          <w:lang w:eastAsia="en-AU"/>
        </w:rPr>
      </w:pPr>
      <w:hyperlink w:anchor="_Toc465244418" w:history="1">
        <w:r w:rsidR="00F01728" w:rsidRPr="00242CB9">
          <w:rPr>
            <w:rStyle w:val="Hyperlink"/>
          </w:rPr>
          <w:t>Example 1: Family Law</w:t>
        </w:r>
        <w:r w:rsidR="00F01728">
          <w:rPr>
            <w:webHidden/>
          </w:rPr>
          <w:tab/>
        </w:r>
        <w:r w:rsidR="00F01728">
          <w:rPr>
            <w:webHidden/>
          </w:rPr>
          <w:fldChar w:fldCharType="begin"/>
        </w:r>
        <w:r w:rsidR="00F01728">
          <w:rPr>
            <w:webHidden/>
          </w:rPr>
          <w:instrText xml:space="preserve"> PAGEREF _Toc465244418 \h </w:instrText>
        </w:r>
        <w:r w:rsidR="00F01728">
          <w:rPr>
            <w:webHidden/>
          </w:rPr>
        </w:r>
        <w:r w:rsidR="00F01728">
          <w:rPr>
            <w:webHidden/>
          </w:rPr>
          <w:fldChar w:fldCharType="separate"/>
        </w:r>
        <w:r w:rsidR="001B0AAA">
          <w:rPr>
            <w:webHidden/>
          </w:rPr>
          <w:t>30</w:t>
        </w:r>
        <w:r w:rsidR="00F01728">
          <w:rPr>
            <w:webHidden/>
          </w:rPr>
          <w:fldChar w:fldCharType="end"/>
        </w:r>
      </w:hyperlink>
    </w:p>
    <w:p w14:paraId="3DF8CAE3" w14:textId="380AC18F" w:rsidR="00F01728" w:rsidRDefault="00883212">
      <w:pPr>
        <w:pStyle w:val="TOC2"/>
        <w:rPr>
          <w:rFonts w:asciiTheme="minorHAnsi" w:eastAsiaTheme="minorEastAsia" w:hAnsiTheme="minorHAnsi" w:cstheme="minorBidi"/>
          <w:sz w:val="22"/>
          <w:szCs w:val="22"/>
          <w:lang w:eastAsia="en-AU"/>
        </w:rPr>
      </w:pPr>
      <w:hyperlink w:anchor="_Toc465244419" w:history="1">
        <w:r w:rsidR="00F01728" w:rsidRPr="00242CB9">
          <w:rPr>
            <w:rStyle w:val="Hyperlink"/>
          </w:rPr>
          <w:t>Example 2: Mental Health and disability law</w:t>
        </w:r>
        <w:r w:rsidR="00F01728">
          <w:rPr>
            <w:webHidden/>
          </w:rPr>
          <w:tab/>
        </w:r>
        <w:r w:rsidR="00F01728">
          <w:rPr>
            <w:webHidden/>
          </w:rPr>
          <w:fldChar w:fldCharType="begin"/>
        </w:r>
        <w:r w:rsidR="00F01728">
          <w:rPr>
            <w:webHidden/>
          </w:rPr>
          <w:instrText xml:space="preserve"> PAGEREF _Toc465244419 \h </w:instrText>
        </w:r>
        <w:r w:rsidR="00F01728">
          <w:rPr>
            <w:webHidden/>
          </w:rPr>
        </w:r>
        <w:r w:rsidR="00F01728">
          <w:rPr>
            <w:webHidden/>
          </w:rPr>
          <w:fldChar w:fldCharType="separate"/>
        </w:r>
        <w:r w:rsidR="001B0AAA">
          <w:rPr>
            <w:webHidden/>
          </w:rPr>
          <w:t>33</w:t>
        </w:r>
        <w:r w:rsidR="00F01728">
          <w:rPr>
            <w:webHidden/>
          </w:rPr>
          <w:fldChar w:fldCharType="end"/>
        </w:r>
      </w:hyperlink>
    </w:p>
    <w:p w14:paraId="0C8C30A6" w14:textId="6E21EADB" w:rsidR="00F01728" w:rsidRDefault="00883212">
      <w:pPr>
        <w:pStyle w:val="TOC1"/>
        <w:rPr>
          <w:rFonts w:asciiTheme="minorHAnsi" w:eastAsiaTheme="minorEastAsia" w:hAnsiTheme="minorHAnsi" w:cstheme="minorBidi"/>
          <w:b w:val="0"/>
          <w:noProof/>
          <w:sz w:val="22"/>
          <w:szCs w:val="22"/>
          <w:lang w:eastAsia="en-AU"/>
        </w:rPr>
      </w:pPr>
      <w:hyperlink w:anchor="_Toc465244420" w:history="1">
        <w:r w:rsidR="00F01728" w:rsidRPr="00242CB9">
          <w:rPr>
            <w:rStyle w:val="Hyperlink"/>
            <w:noProof/>
          </w:rPr>
          <w:t>6.</w:t>
        </w:r>
        <w:r w:rsidR="00F01728">
          <w:rPr>
            <w:rFonts w:asciiTheme="minorHAnsi" w:eastAsiaTheme="minorEastAsia" w:hAnsiTheme="minorHAnsi" w:cstheme="minorBidi"/>
            <w:b w:val="0"/>
            <w:noProof/>
            <w:sz w:val="22"/>
            <w:szCs w:val="22"/>
            <w:lang w:eastAsia="en-AU"/>
          </w:rPr>
          <w:tab/>
        </w:r>
        <w:r w:rsidR="00A04F1D">
          <w:rPr>
            <w:rStyle w:val="Hyperlink"/>
            <w:noProof/>
          </w:rPr>
          <w:t>Client e</w:t>
        </w:r>
        <w:r w:rsidR="00F01728" w:rsidRPr="00242CB9">
          <w:rPr>
            <w:rStyle w:val="Hyperlink"/>
            <w:noProof/>
          </w:rPr>
          <w:t>xperiences</w:t>
        </w:r>
        <w:r w:rsidR="00F01728">
          <w:rPr>
            <w:noProof/>
            <w:webHidden/>
          </w:rPr>
          <w:tab/>
        </w:r>
        <w:r w:rsidR="00F01728">
          <w:rPr>
            <w:noProof/>
            <w:webHidden/>
          </w:rPr>
          <w:fldChar w:fldCharType="begin"/>
        </w:r>
        <w:r w:rsidR="00F01728">
          <w:rPr>
            <w:noProof/>
            <w:webHidden/>
          </w:rPr>
          <w:instrText xml:space="preserve"> PAGEREF _Toc465244420 \h </w:instrText>
        </w:r>
        <w:r w:rsidR="00F01728">
          <w:rPr>
            <w:noProof/>
            <w:webHidden/>
          </w:rPr>
        </w:r>
        <w:r w:rsidR="00F01728">
          <w:rPr>
            <w:noProof/>
            <w:webHidden/>
          </w:rPr>
          <w:fldChar w:fldCharType="separate"/>
        </w:r>
        <w:r w:rsidR="001B0AAA">
          <w:rPr>
            <w:noProof/>
            <w:webHidden/>
          </w:rPr>
          <w:t>34</w:t>
        </w:r>
        <w:r w:rsidR="00F01728">
          <w:rPr>
            <w:noProof/>
            <w:webHidden/>
          </w:rPr>
          <w:fldChar w:fldCharType="end"/>
        </w:r>
      </w:hyperlink>
    </w:p>
    <w:p w14:paraId="7932FD09" w14:textId="1B3C6601" w:rsidR="00F01728" w:rsidRDefault="00883212">
      <w:pPr>
        <w:pStyle w:val="TOC1"/>
        <w:rPr>
          <w:rFonts w:asciiTheme="minorHAnsi" w:eastAsiaTheme="minorEastAsia" w:hAnsiTheme="minorHAnsi" w:cstheme="minorBidi"/>
          <w:b w:val="0"/>
          <w:noProof/>
          <w:sz w:val="22"/>
          <w:szCs w:val="22"/>
          <w:lang w:eastAsia="en-AU"/>
        </w:rPr>
      </w:pPr>
      <w:hyperlink w:anchor="_Toc465244421" w:history="1">
        <w:r w:rsidR="00F01728" w:rsidRPr="00242CB9">
          <w:rPr>
            <w:rStyle w:val="Hyperlink"/>
            <w:noProof/>
          </w:rPr>
          <w:t>7.</w:t>
        </w:r>
        <w:r w:rsidR="00F01728">
          <w:rPr>
            <w:rFonts w:asciiTheme="minorHAnsi" w:eastAsiaTheme="minorEastAsia" w:hAnsiTheme="minorHAnsi" w:cstheme="minorBidi"/>
            <w:b w:val="0"/>
            <w:noProof/>
            <w:sz w:val="22"/>
            <w:szCs w:val="22"/>
            <w:lang w:eastAsia="en-AU"/>
          </w:rPr>
          <w:tab/>
        </w:r>
        <w:r w:rsidR="00F01728" w:rsidRPr="00242CB9">
          <w:rPr>
            <w:rStyle w:val="Hyperlink"/>
            <w:noProof/>
          </w:rPr>
          <w:t>Compara</w:t>
        </w:r>
        <w:r w:rsidR="00A04F1D">
          <w:rPr>
            <w:rStyle w:val="Hyperlink"/>
            <w:noProof/>
          </w:rPr>
          <w:t>tive analysis of all State and t</w:t>
        </w:r>
        <w:r w:rsidR="00F01728" w:rsidRPr="00242CB9">
          <w:rPr>
            <w:rStyle w:val="Hyperlink"/>
            <w:noProof/>
          </w:rPr>
          <w:t>erritory Legal Aid Commissions</w:t>
        </w:r>
        <w:r w:rsidR="00F01728">
          <w:rPr>
            <w:noProof/>
            <w:webHidden/>
          </w:rPr>
          <w:tab/>
        </w:r>
        <w:r w:rsidR="00F01728">
          <w:rPr>
            <w:noProof/>
            <w:webHidden/>
          </w:rPr>
          <w:fldChar w:fldCharType="begin"/>
        </w:r>
        <w:r w:rsidR="00F01728">
          <w:rPr>
            <w:noProof/>
            <w:webHidden/>
          </w:rPr>
          <w:instrText xml:space="preserve"> PAGEREF _Toc465244421 \h </w:instrText>
        </w:r>
        <w:r w:rsidR="00F01728">
          <w:rPr>
            <w:noProof/>
            <w:webHidden/>
          </w:rPr>
        </w:r>
        <w:r w:rsidR="00F01728">
          <w:rPr>
            <w:noProof/>
            <w:webHidden/>
          </w:rPr>
          <w:fldChar w:fldCharType="separate"/>
        </w:r>
        <w:r w:rsidR="001B0AAA">
          <w:rPr>
            <w:noProof/>
            <w:webHidden/>
          </w:rPr>
          <w:t>35</w:t>
        </w:r>
        <w:r w:rsidR="00F01728">
          <w:rPr>
            <w:noProof/>
            <w:webHidden/>
          </w:rPr>
          <w:fldChar w:fldCharType="end"/>
        </w:r>
      </w:hyperlink>
    </w:p>
    <w:p w14:paraId="34222CF8" w14:textId="6450E134" w:rsidR="00F01728" w:rsidRDefault="00883212">
      <w:pPr>
        <w:pStyle w:val="TOC1"/>
        <w:rPr>
          <w:rFonts w:asciiTheme="minorHAnsi" w:eastAsiaTheme="minorEastAsia" w:hAnsiTheme="minorHAnsi" w:cstheme="minorBidi"/>
          <w:b w:val="0"/>
          <w:noProof/>
          <w:sz w:val="22"/>
          <w:szCs w:val="22"/>
          <w:lang w:eastAsia="en-AU"/>
        </w:rPr>
      </w:pPr>
      <w:hyperlink w:anchor="_Toc465244422" w:history="1">
        <w:r w:rsidR="00F01728" w:rsidRPr="00242CB9">
          <w:rPr>
            <w:rStyle w:val="Hyperlink"/>
            <w:rFonts w:eastAsiaTheme="minorHAnsi"/>
            <w:noProof/>
          </w:rPr>
          <w:t>8.</w:t>
        </w:r>
        <w:r w:rsidR="00F01728">
          <w:rPr>
            <w:rFonts w:asciiTheme="minorHAnsi" w:eastAsiaTheme="minorEastAsia" w:hAnsiTheme="minorHAnsi" w:cstheme="minorBidi"/>
            <w:b w:val="0"/>
            <w:noProof/>
            <w:sz w:val="22"/>
            <w:szCs w:val="22"/>
            <w:lang w:eastAsia="en-AU"/>
          </w:rPr>
          <w:tab/>
        </w:r>
        <w:r w:rsidR="00F01728" w:rsidRPr="00242CB9">
          <w:rPr>
            <w:rStyle w:val="Hyperlink"/>
            <w:rFonts w:eastAsiaTheme="minorHAnsi"/>
            <w:noProof/>
          </w:rPr>
          <w:t>Comparison with international jurisdictions</w:t>
        </w:r>
        <w:r w:rsidR="00F01728">
          <w:rPr>
            <w:noProof/>
            <w:webHidden/>
          </w:rPr>
          <w:tab/>
        </w:r>
        <w:r w:rsidR="00F01728">
          <w:rPr>
            <w:noProof/>
            <w:webHidden/>
          </w:rPr>
          <w:fldChar w:fldCharType="begin"/>
        </w:r>
        <w:r w:rsidR="00F01728">
          <w:rPr>
            <w:noProof/>
            <w:webHidden/>
          </w:rPr>
          <w:instrText xml:space="preserve"> PAGEREF _Toc465244422 \h </w:instrText>
        </w:r>
        <w:r w:rsidR="00F01728">
          <w:rPr>
            <w:noProof/>
            <w:webHidden/>
          </w:rPr>
        </w:r>
        <w:r w:rsidR="00F01728">
          <w:rPr>
            <w:noProof/>
            <w:webHidden/>
          </w:rPr>
          <w:fldChar w:fldCharType="separate"/>
        </w:r>
        <w:r w:rsidR="001B0AAA">
          <w:rPr>
            <w:noProof/>
            <w:webHidden/>
          </w:rPr>
          <w:t>38</w:t>
        </w:r>
        <w:r w:rsidR="00F01728">
          <w:rPr>
            <w:noProof/>
            <w:webHidden/>
          </w:rPr>
          <w:fldChar w:fldCharType="end"/>
        </w:r>
      </w:hyperlink>
    </w:p>
    <w:p w14:paraId="1E23F2BF" w14:textId="5ACEF268" w:rsidR="00F01728" w:rsidRDefault="00883212">
      <w:pPr>
        <w:pStyle w:val="TOC2"/>
        <w:tabs>
          <w:tab w:val="left" w:pos="880"/>
        </w:tabs>
        <w:rPr>
          <w:rFonts w:asciiTheme="minorHAnsi" w:eastAsiaTheme="minorEastAsia" w:hAnsiTheme="minorHAnsi" w:cstheme="minorBidi"/>
          <w:sz w:val="22"/>
          <w:szCs w:val="22"/>
          <w:lang w:eastAsia="en-AU"/>
        </w:rPr>
      </w:pPr>
      <w:hyperlink w:anchor="_Toc465244423" w:history="1">
        <w:r w:rsidR="00F01728" w:rsidRPr="00242CB9">
          <w:rPr>
            <w:rStyle w:val="Hyperlink"/>
            <w:rFonts w:eastAsiaTheme="minorHAnsi"/>
          </w:rPr>
          <w:t>a.</w:t>
        </w:r>
        <w:r w:rsidR="00F01728">
          <w:rPr>
            <w:rFonts w:asciiTheme="minorHAnsi" w:eastAsiaTheme="minorEastAsia" w:hAnsiTheme="minorHAnsi" w:cstheme="minorBidi"/>
            <w:sz w:val="22"/>
            <w:szCs w:val="22"/>
            <w:lang w:eastAsia="en-AU"/>
          </w:rPr>
          <w:tab/>
        </w:r>
        <w:r w:rsidR="00F01728" w:rsidRPr="00242CB9">
          <w:rPr>
            <w:rStyle w:val="Hyperlink"/>
            <w:rFonts w:eastAsiaTheme="minorHAnsi"/>
          </w:rPr>
          <w:t>Different approaches</w:t>
        </w:r>
        <w:r w:rsidR="00F01728">
          <w:rPr>
            <w:webHidden/>
          </w:rPr>
          <w:tab/>
        </w:r>
        <w:r w:rsidR="00F01728">
          <w:rPr>
            <w:webHidden/>
          </w:rPr>
          <w:fldChar w:fldCharType="begin"/>
        </w:r>
        <w:r w:rsidR="00F01728">
          <w:rPr>
            <w:webHidden/>
          </w:rPr>
          <w:instrText xml:space="preserve"> PAGEREF _Toc465244423 \h </w:instrText>
        </w:r>
        <w:r w:rsidR="00F01728">
          <w:rPr>
            <w:webHidden/>
          </w:rPr>
        </w:r>
        <w:r w:rsidR="00F01728">
          <w:rPr>
            <w:webHidden/>
          </w:rPr>
          <w:fldChar w:fldCharType="separate"/>
        </w:r>
        <w:r w:rsidR="001B0AAA">
          <w:rPr>
            <w:webHidden/>
          </w:rPr>
          <w:t>39</w:t>
        </w:r>
        <w:r w:rsidR="00F01728">
          <w:rPr>
            <w:webHidden/>
          </w:rPr>
          <w:fldChar w:fldCharType="end"/>
        </w:r>
      </w:hyperlink>
    </w:p>
    <w:p w14:paraId="64245C41" w14:textId="51078FB3" w:rsidR="00F01728" w:rsidRDefault="00883212">
      <w:pPr>
        <w:pStyle w:val="TOC2"/>
        <w:tabs>
          <w:tab w:val="left" w:pos="880"/>
        </w:tabs>
        <w:rPr>
          <w:rFonts w:asciiTheme="minorHAnsi" w:eastAsiaTheme="minorEastAsia" w:hAnsiTheme="minorHAnsi" w:cstheme="minorBidi"/>
          <w:sz w:val="22"/>
          <w:szCs w:val="22"/>
          <w:lang w:eastAsia="en-AU"/>
        </w:rPr>
      </w:pPr>
      <w:hyperlink w:anchor="_Toc465244424" w:history="1">
        <w:r w:rsidR="00F01728" w:rsidRPr="00242CB9">
          <w:rPr>
            <w:rStyle w:val="Hyperlink"/>
          </w:rPr>
          <w:t>b.</w:t>
        </w:r>
        <w:r w:rsidR="00F01728">
          <w:rPr>
            <w:rFonts w:asciiTheme="minorHAnsi" w:eastAsiaTheme="minorEastAsia" w:hAnsiTheme="minorHAnsi" w:cstheme="minorBidi"/>
            <w:sz w:val="22"/>
            <w:szCs w:val="22"/>
            <w:lang w:eastAsia="en-AU"/>
          </w:rPr>
          <w:tab/>
        </w:r>
        <w:r w:rsidR="00F01728" w:rsidRPr="00242CB9">
          <w:rPr>
            <w:rStyle w:val="Hyperlink"/>
          </w:rPr>
          <w:t>International approaches to child protection</w:t>
        </w:r>
        <w:r w:rsidR="00F01728">
          <w:rPr>
            <w:webHidden/>
          </w:rPr>
          <w:tab/>
        </w:r>
        <w:r w:rsidR="00F01728">
          <w:rPr>
            <w:webHidden/>
          </w:rPr>
          <w:fldChar w:fldCharType="begin"/>
        </w:r>
        <w:r w:rsidR="00F01728">
          <w:rPr>
            <w:webHidden/>
          </w:rPr>
          <w:instrText xml:space="preserve"> PAGEREF _Toc465244424 \h </w:instrText>
        </w:r>
        <w:r w:rsidR="00F01728">
          <w:rPr>
            <w:webHidden/>
          </w:rPr>
        </w:r>
        <w:r w:rsidR="00F01728">
          <w:rPr>
            <w:webHidden/>
          </w:rPr>
          <w:fldChar w:fldCharType="separate"/>
        </w:r>
        <w:r w:rsidR="001B0AAA">
          <w:rPr>
            <w:webHidden/>
          </w:rPr>
          <w:t>41</w:t>
        </w:r>
        <w:r w:rsidR="00F01728">
          <w:rPr>
            <w:webHidden/>
          </w:rPr>
          <w:fldChar w:fldCharType="end"/>
        </w:r>
      </w:hyperlink>
    </w:p>
    <w:p w14:paraId="61F425C5" w14:textId="410C3489" w:rsidR="00F01728" w:rsidRDefault="00883212">
      <w:pPr>
        <w:pStyle w:val="TOC2"/>
        <w:rPr>
          <w:rFonts w:asciiTheme="minorHAnsi" w:eastAsiaTheme="minorEastAsia" w:hAnsiTheme="minorHAnsi" w:cstheme="minorBidi"/>
          <w:sz w:val="22"/>
          <w:szCs w:val="22"/>
          <w:lang w:eastAsia="en-AU"/>
        </w:rPr>
      </w:pPr>
      <w:hyperlink w:anchor="_Toc465244425" w:history="1">
        <w:r w:rsidR="00F01728" w:rsidRPr="00242CB9">
          <w:rPr>
            <w:rStyle w:val="Hyperlink"/>
          </w:rPr>
          <w:t>Example 1: New Zealand</w:t>
        </w:r>
        <w:r w:rsidR="00F01728">
          <w:rPr>
            <w:webHidden/>
          </w:rPr>
          <w:tab/>
        </w:r>
        <w:r w:rsidR="00F01728">
          <w:rPr>
            <w:webHidden/>
          </w:rPr>
          <w:fldChar w:fldCharType="begin"/>
        </w:r>
        <w:r w:rsidR="00F01728">
          <w:rPr>
            <w:webHidden/>
          </w:rPr>
          <w:instrText xml:space="preserve"> PAGEREF _Toc465244425 \h </w:instrText>
        </w:r>
        <w:r w:rsidR="00F01728">
          <w:rPr>
            <w:webHidden/>
          </w:rPr>
        </w:r>
        <w:r w:rsidR="00F01728">
          <w:rPr>
            <w:webHidden/>
          </w:rPr>
          <w:fldChar w:fldCharType="separate"/>
        </w:r>
        <w:r w:rsidR="001B0AAA">
          <w:rPr>
            <w:webHidden/>
          </w:rPr>
          <w:t>41</w:t>
        </w:r>
        <w:r w:rsidR="00F01728">
          <w:rPr>
            <w:webHidden/>
          </w:rPr>
          <w:fldChar w:fldCharType="end"/>
        </w:r>
      </w:hyperlink>
    </w:p>
    <w:p w14:paraId="6E59CF94" w14:textId="4BB76270" w:rsidR="00F01728" w:rsidRDefault="00883212">
      <w:pPr>
        <w:pStyle w:val="TOC2"/>
        <w:rPr>
          <w:rFonts w:asciiTheme="minorHAnsi" w:eastAsiaTheme="minorEastAsia" w:hAnsiTheme="minorHAnsi" w:cstheme="minorBidi"/>
          <w:sz w:val="22"/>
          <w:szCs w:val="22"/>
          <w:lang w:eastAsia="en-AU"/>
        </w:rPr>
      </w:pPr>
      <w:hyperlink w:anchor="_Toc465244426" w:history="1">
        <w:r w:rsidR="00F01728" w:rsidRPr="00242CB9">
          <w:rPr>
            <w:rStyle w:val="Hyperlink"/>
          </w:rPr>
          <w:t>Example 2: Canada</w:t>
        </w:r>
        <w:r w:rsidR="00F01728">
          <w:rPr>
            <w:webHidden/>
          </w:rPr>
          <w:tab/>
        </w:r>
        <w:r w:rsidR="00F01728">
          <w:rPr>
            <w:webHidden/>
          </w:rPr>
          <w:fldChar w:fldCharType="begin"/>
        </w:r>
        <w:r w:rsidR="00F01728">
          <w:rPr>
            <w:webHidden/>
          </w:rPr>
          <w:instrText xml:space="preserve"> PAGEREF _Toc465244426 \h </w:instrText>
        </w:r>
        <w:r w:rsidR="00F01728">
          <w:rPr>
            <w:webHidden/>
          </w:rPr>
        </w:r>
        <w:r w:rsidR="00F01728">
          <w:rPr>
            <w:webHidden/>
          </w:rPr>
          <w:fldChar w:fldCharType="separate"/>
        </w:r>
        <w:r w:rsidR="001B0AAA">
          <w:rPr>
            <w:webHidden/>
          </w:rPr>
          <w:t>43</w:t>
        </w:r>
        <w:r w:rsidR="00F01728">
          <w:rPr>
            <w:webHidden/>
          </w:rPr>
          <w:fldChar w:fldCharType="end"/>
        </w:r>
      </w:hyperlink>
    </w:p>
    <w:p w14:paraId="067D58E1" w14:textId="50A2A911" w:rsidR="00F01728" w:rsidRDefault="00883212">
      <w:pPr>
        <w:pStyle w:val="TOC2"/>
        <w:rPr>
          <w:rFonts w:asciiTheme="minorHAnsi" w:eastAsiaTheme="minorEastAsia" w:hAnsiTheme="minorHAnsi" w:cstheme="minorBidi"/>
          <w:sz w:val="22"/>
          <w:szCs w:val="22"/>
          <w:lang w:eastAsia="en-AU"/>
        </w:rPr>
      </w:pPr>
      <w:hyperlink w:anchor="_Toc465244427" w:history="1">
        <w:r w:rsidR="00F01728" w:rsidRPr="00242CB9">
          <w:rPr>
            <w:rStyle w:val="Hyperlink"/>
          </w:rPr>
          <w:t>Example 3: England</w:t>
        </w:r>
        <w:r w:rsidR="00F01728">
          <w:rPr>
            <w:webHidden/>
          </w:rPr>
          <w:tab/>
        </w:r>
        <w:r w:rsidR="00F01728">
          <w:rPr>
            <w:webHidden/>
          </w:rPr>
          <w:fldChar w:fldCharType="begin"/>
        </w:r>
        <w:r w:rsidR="00F01728">
          <w:rPr>
            <w:webHidden/>
          </w:rPr>
          <w:instrText xml:space="preserve"> PAGEREF _Toc465244427 \h </w:instrText>
        </w:r>
        <w:r w:rsidR="00F01728">
          <w:rPr>
            <w:webHidden/>
          </w:rPr>
        </w:r>
        <w:r w:rsidR="00F01728">
          <w:rPr>
            <w:webHidden/>
          </w:rPr>
          <w:fldChar w:fldCharType="separate"/>
        </w:r>
        <w:r w:rsidR="001B0AAA">
          <w:rPr>
            <w:webHidden/>
          </w:rPr>
          <w:t>44</w:t>
        </w:r>
        <w:r w:rsidR="00F01728">
          <w:rPr>
            <w:webHidden/>
          </w:rPr>
          <w:fldChar w:fldCharType="end"/>
        </w:r>
      </w:hyperlink>
    </w:p>
    <w:p w14:paraId="11C769D0" w14:textId="3636CAC6" w:rsidR="00F01728" w:rsidRDefault="00883212">
      <w:pPr>
        <w:pStyle w:val="TOC2"/>
        <w:rPr>
          <w:rFonts w:asciiTheme="minorHAnsi" w:eastAsiaTheme="minorEastAsia" w:hAnsiTheme="minorHAnsi" w:cstheme="minorBidi"/>
          <w:sz w:val="22"/>
          <w:szCs w:val="22"/>
          <w:lang w:eastAsia="en-AU"/>
        </w:rPr>
      </w:pPr>
      <w:hyperlink w:anchor="_Toc465244428" w:history="1">
        <w:r w:rsidR="00F01728" w:rsidRPr="00242CB9">
          <w:rPr>
            <w:rStyle w:val="Hyperlink"/>
          </w:rPr>
          <w:t>Example 4: Scotland</w:t>
        </w:r>
        <w:r w:rsidR="00F01728">
          <w:rPr>
            <w:webHidden/>
          </w:rPr>
          <w:tab/>
        </w:r>
        <w:r w:rsidR="00F01728">
          <w:rPr>
            <w:webHidden/>
          </w:rPr>
          <w:fldChar w:fldCharType="begin"/>
        </w:r>
        <w:r w:rsidR="00F01728">
          <w:rPr>
            <w:webHidden/>
          </w:rPr>
          <w:instrText xml:space="preserve"> PAGEREF _Toc465244428 \h </w:instrText>
        </w:r>
        <w:r w:rsidR="00F01728">
          <w:rPr>
            <w:webHidden/>
          </w:rPr>
        </w:r>
        <w:r w:rsidR="00F01728">
          <w:rPr>
            <w:webHidden/>
          </w:rPr>
          <w:fldChar w:fldCharType="separate"/>
        </w:r>
        <w:r w:rsidR="001B0AAA">
          <w:rPr>
            <w:webHidden/>
          </w:rPr>
          <w:t>46</w:t>
        </w:r>
        <w:r w:rsidR="00F01728">
          <w:rPr>
            <w:webHidden/>
          </w:rPr>
          <w:fldChar w:fldCharType="end"/>
        </w:r>
      </w:hyperlink>
    </w:p>
    <w:p w14:paraId="2A32FB46" w14:textId="00C6C1AB" w:rsidR="00F01728" w:rsidRDefault="00883212">
      <w:pPr>
        <w:pStyle w:val="TOC2"/>
        <w:rPr>
          <w:rFonts w:asciiTheme="minorHAnsi" w:eastAsiaTheme="minorEastAsia" w:hAnsiTheme="minorHAnsi" w:cstheme="minorBidi"/>
          <w:sz w:val="22"/>
          <w:szCs w:val="22"/>
          <w:lang w:eastAsia="en-AU"/>
        </w:rPr>
      </w:pPr>
      <w:hyperlink w:anchor="_Toc465244429" w:history="1">
        <w:r w:rsidR="00F01728" w:rsidRPr="00242CB9">
          <w:rPr>
            <w:rStyle w:val="Hyperlink"/>
          </w:rPr>
          <w:t>Example 5: Sweden</w:t>
        </w:r>
        <w:r w:rsidR="00F01728">
          <w:rPr>
            <w:webHidden/>
          </w:rPr>
          <w:tab/>
        </w:r>
        <w:r w:rsidR="00F01728">
          <w:rPr>
            <w:webHidden/>
          </w:rPr>
          <w:fldChar w:fldCharType="begin"/>
        </w:r>
        <w:r w:rsidR="00F01728">
          <w:rPr>
            <w:webHidden/>
          </w:rPr>
          <w:instrText xml:space="preserve"> PAGEREF _Toc465244429 \h </w:instrText>
        </w:r>
        <w:r w:rsidR="00F01728">
          <w:rPr>
            <w:webHidden/>
          </w:rPr>
        </w:r>
        <w:r w:rsidR="00F01728">
          <w:rPr>
            <w:webHidden/>
          </w:rPr>
          <w:fldChar w:fldCharType="separate"/>
        </w:r>
        <w:r w:rsidR="001B0AAA">
          <w:rPr>
            <w:webHidden/>
          </w:rPr>
          <w:t>48</w:t>
        </w:r>
        <w:r w:rsidR="00F01728">
          <w:rPr>
            <w:webHidden/>
          </w:rPr>
          <w:fldChar w:fldCharType="end"/>
        </w:r>
      </w:hyperlink>
    </w:p>
    <w:p w14:paraId="00DE7471" w14:textId="0076690D" w:rsidR="00F01728" w:rsidRDefault="00883212">
      <w:pPr>
        <w:pStyle w:val="TOC2"/>
        <w:rPr>
          <w:rFonts w:asciiTheme="minorHAnsi" w:eastAsiaTheme="minorEastAsia" w:hAnsiTheme="minorHAnsi" w:cstheme="minorBidi"/>
          <w:sz w:val="22"/>
          <w:szCs w:val="22"/>
          <w:lang w:eastAsia="en-AU"/>
        </w:rPr>
      </w:pPr>
      <w:hyperlink w:anchor="_Toc465244430" w:history="1">
        <w:r w:rsidR="00F01728" w:rsidRPr="00242CB9">
          <w:rPr>
            <w:rStyle w:val="Hyperlink"/>
          </w:rPr>
          <w:t>Example 6: Norway</w:t>
        </w:r>
        <w:r w:rsidR="00F01728">
          <w:rPr>
            <w:webHidden/>
          </w:rPr>
          <w:tab/>
        </w:r>
        <w:r w:rsidR="00F01728">
          <w:rPr>
            <w:webHidden/>
          </w:rPr>
          <w:fldChar w:fldCharType="begin"/>
        </w:r>
        <w:r w:rsidR="00F01728">
          <w:rPr>
            <w:webHidden/>
          </w:rPr>
          <w:instrText xml:space="preserve"> PAGEREF _Toc465244430 \h </w:instrText>
        </w:r>
        <w:r w:rsidR="00F01728">
          <w:rPr>
            <w:webHidden/>
          </w:rPr>
        </w:r>
        <w:r w:rsidR="00F01728">
          <w:rPr>
            <w:webHidden/>
          </w:rPr>
          <w:fldChar w:fldCharType="separate"/>
        </w:r>
        <w:r w:rsidR="001B0AAA">
          <w:rPr>
            <w:webHidden/>
          </w:rPr>
          <w:t>49</w:t>
        </w:r>
        <w:r w:rsidR="00F01728">
          <w:rPr>
            <w:webHidden/>
          </w:rPr>
          <w:fldChar w:fldCharType="end"/>
        </w:r>
      </w:hyperlink>
    </w:p>
    <w:p w14:paraId="7125B584" w14:textId="3C48CC89" w:rsidR="00F01728" w:rsidRDefault="00883212">
      <w:pPr>
        <w:pStyle w:val="TOC2"/>
        <w:rPr>
          <w:rFonts w:asciiTheme="minorHAnsi" w:eastAsiaTheme="minorEastAsia" w:hAnsiTheme="minorHAnsi" w:cstheme="minorBidi"/>
          <w:sz w:val="22"/>
          <w:szCs w:val="22"/>
          <w:lang w:eastAsia="en-AU"/>
        </w:rPr>
      </w:pPr>
      <w:hyperlink w:anchor="_Toc465244431" w:history="1">
        <w:r w:rsidR="00F01728" w:rsidRPr="00242CB9">
          <w:rPr>
            <w:rStyle w:val="Hyperlink"/>
          </w:rPr>
          <w:t>Observations arising from the comparative analysis</w:t>
        </w:r>
        <w:r w:rsidR="00F01728">
          <w:rPr>
            <w:webHidden/>
          </w:rPr>
          <w:tab/>
        </w:r>
        <w:r w:rsidR="00F01728">
          <w:rPr>
            <w:webHidden/>
          </w:rPr>
          <w:fldChar w:fldCharType="begin"/>
        </w:r>
        <w:r w:rsidR="00F01728">
          <w:rPr>
            <w:webHidden/>
          </w:rPr>
          <w:instrText xml:space="preserve"> PAGEREF _Toc465244431 \h </w:instrText>
        </w:r>
        <w:r w:rsidR="00F01728">
          <w:rPr>
            <w:webHidden/>
          </w:rPr>
        </w:r>
        <w:r w:rsidR="00F01728">
          <w:rPr>
            <w:webHidden/>
          </w:rPr>
          <w:fldChar w:fldCharType="separate"/>
        </w:r>
        <w:r w:rsidR="001B0AAA">
          <w:rPr>
            <w:webHidden/>
          </w:rPr>
          <w:t>50</w:t>
        </w:r>
        <w:r w:rsidR="00F01728">
          <w:rPr>
            <w:webHidden/>
          </w:rPr>
          <w:fldChar w:fldCharType="end"/>
        </w:r>
      </w:hyperlink>
    </w:p>
    <w:p w14:paraId="4EB17813" w14:textId="32F2D565" w:rsidR="00F01728" w:rsidRDefault="00883212">
      <w:pPr>
        <w:pStyle w:val="TOC1"/>
        <w:rPr>
          <w:rFonts w:asciiTheme="minorHAnsi" w:eastAsiaTheme="minorEastAsia" w:hAnsiTheme="minorHAnsi" w:cstheme="minorBidi"/>
          <w:b w:val="0"/>
          <w:noProof/>
          <w:sz w:val="22"/>
          <w:szCs w:val="22"/>
          <w:lang w:eastAsia="en-AU"/>
        </w:rPr>
      </w:pPr>
      <w:hyperlink w:anchor="_Toc465244432" w:history="1">
        <w:r w:rsidR="00F01728" w:rsidRPr="00242CB9">
          <w:rPr>
            <w:rStyle w:val="Hyperlink"/>
            <w:noProof/>
          </w:rPr>
          <w:t>References</w:t>
        </w:r>
        <w:r w:rsidR="00F01728">
          <w:rPr>
            <w:noProof/>
            <w:webHidden/>
          </w:rPr>
          <w:tab/>
        </w:r>
        <w:r w:rsidR="00F01728">
          <w:rPr>
            <w:noProof/>
            <w:webHidden/>
          </w:rPr>
          <w:fldChar w:fldCharType="begin"/>
        </w:r>
        <w:r w:rsidR="00F01728">
          <w:rPr>
            <w:noProof/>
            <w:webHidden/>
          </w:rPr>
          <w:instrText xml:space="preserve"> PAGEREF _Toc465244432 \h </w:instrText>
        </w:r>
        <w:r w:rsidR="00F01728">
          <w:rPr>
            <w:noProof/>
            <w:webHidden/>
          </w:rPr>
        </w:r>
        <w:r w:rsidR="00F01728">
          <w:rPr>
            <w:noProof/>
            <w:webHidden/>
          </w:rPr>
          <w:fldChar w:fldCharType="separate"/>
        </w:r>
        <w:r w:rsidR="001B0AAA">
          <w:rPr>
            <w:noProof/>
            <w:webHidden/>
          </w:rPr>
          <w:t>51</w:t>
        </w:r>
        <w:r w:rsidR="00F01728">
          <w:rPr>
            <w:noProof/>
            <w:webHidden/>
          </w:rPr>
          <w:fldChar w:fldCharType="end"/>
        </w:r>
      </w:hyperlink>
    </w:p>
    <w:p w14:paraId="09583E4F" w14:textId="2994B5CB" w:rsidR="00F01728" w:rsidRDefault="00883212">
      <w:pPr>
        <w:pStyle w:val="TOC1"/>
        <w:rPr>
          <w:rFonts w:asciiTheme="minorHAnsi" w:eastAsiaTheme="minorEastAsia" w:hAnsiTheme="minorHAnsi" w:cstheme="minorBidi"/>
          <w:b w:val="0"/>
          <w:noProof/>
          <w:sz w:val="22"/>
          <w:szCs w:val="22"/>
          <w:lang w:eastAsia="en-AU"/>
        </w:rPr>
      </w:pPr>
      <w:hyperlink w:anchor="_Toc465244433" w:history="1">
        <w:r w:rsidR="00A04F1D">
          <w:rPr>
            <w:rStyle w:val="Hyperlink"/>
            <w:noProof/>
          </w:rPr>
          <w:t>Annexure 1 – Analysis of s</w:t>
        </w:r>
        <w:r w:rsidR="00F01728" w:rsidRPr="00242CB9">
          <w:rPr>
            <w:rStyle w:val="Hyperlink"/>
            <w:noProof/>
          </w:rPr>
          <w:t xml:space="preserve">ocial </w:t>
        </w:r>
        <w:r w:rsidR="00A04F1D">
          <w:rPr>
            <w:rStyle w:val="Hyperlink"/>
            <w:noProof/>
          </w:rPr>
          <w:t>d</w:t>
        </w:r>
        <w:r w:rsidR="00F01728" w:rsidRPr="00242CB9">
          <w:rPr>
            <w:rStyle w:val="Hyperlink"/>
            <w:noProof/>
          </w:rPr>
          <w:t>isadvantage</w:t>
        </w:r>
        <w:r w:rsidR="00F01728">
          <w:rPr>
            <w:noProof/>
            <w:webHidden/>
          </w:rPr>
          <w:tab/>
        </w:r>
        <w:r w:rsidR="00F01728">
          <w:rPr>
            <w:noProof/>
            <w:webHidden/>
          </w:rPr>
          <w:fldChar w:fldCharType="begin"/>
        </w:r>
        <w:r w:rsidR="00F01728">
          <w:rPr>
            <w:noProof/>
            <w:webHidden/>
          </w:rPr>
          <w:instrText xml:space="preserve"> PAGEREF _Toc465244433 \h </w:instrText>
        </w:r>
        <w:r w:rsidR="00F01728">
          <w:rPr>
            <w:noProof/>
            <w:webHidden/>
          </w:rPr>
        </w:r>
        <w:r w:rsidR="00F01728">
          <w:rPr>
            <w:noProof/>
            <w:webHidden/>
          </w:rPr>
          <w:fldChar w:fldCharType="separate"/>
        </w:r>
        <w:r w:rsidR="001B0AAA">
          <w:rPr>
            <w:noProof/>
            <w:webHidden/>
          </w:rPr>
          <w:t>55</w:t>
        </w:r>
        <w:r w:rsidR="00F01728">
          <w:rPr>
            <w:noProof/>
            <w:webHidden/>
          </w:rPr>
          <w:fldChar w:fldCharType="end"/>
        </w:r>
      </w:hyperlink>
    </w:p>
    <w:p w14:paraId="195B022B" w14:textId="4AF58841" w:rsidR="00F01728" w:rsidRDefault="00883212">
      <w:pPr>
        <w:pStyle w:val="TOC1"/>
        <w:rPr>
          <w:rFonts w:asciiTheme="minorHAnsi" w:eastAsiaTheme="minorEastAsia" w:hAnsiTheme="minorHAnsi" w:cstheme="minorBidi"/>
          <w:b w:val="0"/>
          <w:noProof/>
          <w:sz w:val="22"/>
          <w:szCs w:val="22"/>
          <w:lang w:eastAsia="en-AU"/>
        </w:rPr>
      </w:pPr>
      <w:hyperlink w:anchor="_Toc465244434" w:history="1">
        <w:r w:rsidR="00F01728" w:rsidRPr="00242CB9">
          <w:rPr>
            <w:rStyle w:val="Hyperlink"/>
            <w:noProof/>
          </w:rPr>
          <w:t>Ann</w:t>
        </w:r>
        <w:r w:rsidR="00A04F1D">
          <w:rPr>
            <w:rStyle w:val="Hyperlink"/>
            <w:noProof/>
          </w:rPr>
          <w:t>exure 2 – Comparative of a</w:t>
        </w:r>
        <w:r w:rsidR="00F01728" w:rsidRPr="00242CB9">
          <w:rPr>
            <w:rStyle w:val="Hyperlink"/>
            <w:noProof/>
          </w:rPr>
          <w:t>ssistance provided by Australian Legal Aid Commissions</w:t>
        </w:r>
        <w:r w:rsidR="00F01728">
          <w:rPr>
            <w:noProof/>
            <w:webHidden/>
          </w:rPr>
          <w:tab/>
        </w:r>
        <w:r w:rsidR="00F01728">
          <w:rPr>
            <w:noProof/>
            <w:webHidden/>
          </w:rPr>
          <w:fldChar w:fldCharType="begin"/>
        </w:r>
        <w:r w:rsidR="00F01728">
          <w:rPr>
            <w:noProof/>
            <w:webHidden/>
          </w:rPr>
          <w:instrText xml:space="preserve"> PAGEREF _Toc465244434 \h </w:instrText>
        </w:r>
        <w:r w:rsidR="00F01728">
          <w:rPr>
            <w:noProof/>
            <w:webHidden/>
          </w:rPr>
        </w:r>
        <w:r w:rsidR="00F01728">
          <w:rPr>
            <w:noProof/>
            <w:webHidden/>
          </w:rPr>
          <w:fldChar w:fldCharType="separate"/>
        </w:r>
        <w:r w:rsidR="001B0AAA">
          <w:rPr>
            <w:noProof/>
            <w:webHidden/>
          </w:rPr>
          <w:t>58</w:t>
        </w:r>
        <w:r w:rsidR="00F01728">
          <w:rPr>
            <w:noProof/>
            <w:webHidden/>
          </w:rPr>
          <w:fldChar w:fldCharType="end"/>
        </w:r>
      </w:hyperlink>
    </w:p>
    <w:p w14:paraId="536ED834" w14:textId="6985B1BD" w:rsidR="00F01728" w:rsidRDefault="00883212">
      <w:pPr>
        <w:pStyle w:val="TOC1"/>
        <w:rPr>
          <w:rFonts w:asciiTheme="minorHAnsi" w:eastAsiaTheme="minorEastAsia" w:hAnsiTheme="minorHAnsi" w:cstheme="minorBidi"/>
          <w:b w:val="0"/>
          <w:noProof/>
          <w:sz w:val="22"/>
          <w:szCs w:val="22"/>
          <w:lang w:eastAsia="en-AU"/>
        </w:rPr>
      </w:pPr>
      <w:hyperlink w:anchor="_Toc465244435" w:history="1">
        <w:r w:rsidR="00F01728" w:rsidRPr="00242CB9">
          <w:rPr>
            <w:rStyle w:val="Hyperlink"/>
            <w:noProof/>
          </w:rPr>
          <w:t>Annexure 3 – National orientation toward child abuse</w:t>
        </w:r>
        <w:r w:rsidR="00F01728">
          <w:rPr>
            <w:noProof/>
            <w:webHidden/>
          </w:rPr>
          <w:tab/>
        </w:r>
        <w:r w:rsidR="00F01728">
          <w:rPr>
            <w:noProof/>
            <w:webHidden/>
          </w:rPr>
          <w:fldChar w:fldCharType="begin"/>
        </w:r>
        <w:r w:rsidR="00F01728">
          <w:rPr>
            <w:noProof/>
            <w:webHidden/>
          </w:rPr>
          <w:instrText xml:space="preserve"> PAGEREF _Toc465244435 \h </w:instrText>
        </w:r>
        <w:r w:rsidR="00F01728">
          <w:rPr>
            <w:noProof/>
            <w:webHidden/>
          </w:rPr>
        </w:r>
        <w:r w:rsidR="00F01728">
          <w:rPr>
            <w:noProof/>
            <w:webHidden/>
          </w:rPr>
          <w:fldChar w:fldCharType="separate"/>
        </w:r>
        <w:r w:rsidR="001B0AAA">
          <w:rPr>
            <w:noProof/>
            <w:webHidden/>
          </w:rPr>
          <w:t>66</w:t>
        </w:r>
        <w:r w:rsidR="00F01728">
          <w:rPr>
            <w:noProof/>
            <w:webHidden/>
          </w:rPr>
          <w:fldChar w:fldCharType="end"/>
        </w:r>
      </w:hyperlink>
    </w:p>
    <w:p w14:paraId="5E691FA6" w14:textId="4DE66751" w:rsidR="00F01728" w:rsidRDefault="00883212">
      <w:pPr>
        <w:pStyle w:val="TOC1"/>
        <w:rPr>
          <w:rFonts w:asciiTheme="minorHAnsi" w:eastAsiaTheme="minorEastAsia" w:hAnsiTheme="minorHAnsi" w:cstheme="minorBidi"/>
          <w:b w:val="0"/>
          <w:noProof/>
          <w:sz w:val="22"/>
          <w:szCs w:val="22"/>
          <w:lang w:eastAsia="en-AU"/>
        </w:rPr>
      </w:pPr>
      <w:hyperlink w:anchor="_Toc465244436" w:history="1">
        <w:r w:rsidR="00F01728" w:rsidRPr="00242CB9">
          <w:rPr>
            <w:rStyle w:val="Hyperlink"/>
            <w:rFonts w:eastAsiaTheme="minorHAnsi"/>
            <w:noProof/>
          </w:rPr>
          <w:t xml:space="preserve">Annexure 4 – Summary of New Zealand 2015 </w:t>
        </w:r>
        <w:r w:rsidR="00A04F1D">
          <w:rPr>
            <w:rStyle w:val="Hyperlink"/>
            <w:rFonts w:eastAsiaTheme="minorHAnsi"/>
            <w:noProof/>
          </w:rPr>
          <w:t>r</w:t>
        </w:r>
        <w:r w:rsidR="00F01728" w:rsidRPr="00242CB9">
          <w:rPr>
            <w:rStyle w:val="Hyperlink"/>
            <w:rFonts w:eastAsiaTheme="minorHAnsi"/>
            <w:noProof/>
          </w:rPr>
          <w:t>eview</w:t>
        </w:r>
        <w:r w:rsidR="00F01728">
          <w:rPr>
            <w:noProof/>
            <w:webHidden/>
          </w:rPr>
          <w:tab/>
        </w:r>
        <w:r w:rsidR="00F01728">
          <w:rPr>
            <w:noProof/>
            <w:webHidden/>
          </w:rPr>
          <w:fldChar w:fldCharType="begin"/>
        </w:r>
        <w:r w:rsidR="00F01728">
          <w:rPr>
            <w:noProof/>
            <w:webHidden/>
          </w:rPr>
          <w:instrText xml:space="preserve"> PAGEREF _Toc465244436 \h </w:instrText>
        </w:r>
        <w:r w:rsidR="00F01728">
          <w:rPr>
            <w:noProof/>
            <w:webHidden/>
          </w:rPr>
        </w:r>
        <w:r w:rsidR="00F01728">
          <w:rPr>
            <w:noProof/>
            <w:webHidden/>
          </w:rPr>
          <w:fldChar w:fldCharType="separate"/>
        </w:r>
        <w:r w:rsidR="001B0AAA">
          <w:rPr>
            <w:noProof/>
            <w:webHidden/>
          </w:rPr>
          <w:t>67</w:t>
        </w:r>
        <w:r w:rsidR="00F01728">
          <w:rPr>
            <w:noProof/>
            <w:webHidden/>
          </w:rPr>
          <w:fldChar w:fldCharType="end"/>
        </w:r>
      </w:hyperlink>
    </w:p>
    <w:p w14:paraId="01F01E91" w14:textId="54E21310" w:rsidR="00F01728" w:rsidRDefault="00883212">
      <w:pPr>
        <w:pStyle w:val="TOC1"/>
        <w:rPr>
          <w:rFonts w:asciiTheme="minorHAnsi" w:eastAsiaTheme="minorEastAsia" w:hAnsiTheme="minorHAnsi" w:cstheme="minorBidi"/>
          <w:b w:val="0"/>
          <w:noProof/>
          <w:sz w:val="22"/>
          <w:szCs w:val="22"/>
          <w:lang w:eastAsia="en-AU"/>
        </w:rPr>
      </w:pPr>
      <w:hyperlink w:anchor="_Toc465244437" w:history="1">
        <w:r w:rsidR="00F01728" w:rsidRPr="00242CB9">
          <w:rPr>
            <w:rStyle w:val="Hyperlink"/>
            <w:rFonts w:eastAsiaTheme="minorHAnsi"/>
            <w:noProof/>
          </w:rPr>
          <w:t>Annexure 5 – Manitoba, Canada</w:t>
        </w:r>
        <w:r w:rsidR="00F01728">
          <w:rPr>
            <w:noProof/>
            <w:webHidden/>
          </w:rPr>
          <w:tab/>
        </w:r>
        <w:r w:rsidR="00F01728">
          <w:rPr>
            <w:noProof/>
            <w:webHidden/>
          </w:rPr>
          <w:fldChar w:fldCharType="begin"/>
        </w:r>
        <w:r w:rsidR="00F01728">
          <w:rPr>
            <w:noProof/>
            <w:webHidden/>
          </w:rPr>
          <w:instrText xml:space="preserve"> PAGEREF _Toc465244437 \h </w:instrText>
        </w:r>
        <w:r w:rsidR="00F01728">
          <w:rPr>
            <w:noProof/>
            <w:webHidden/>
          </w:rPr>
        </w:r>
        <w:r w:rsidR="00F01728">
          <w:rPr>
            <w:noProof/>
            <w:webHidden/>
          </w:rPr>
          <w:fldChar w:fldCharType="separate"/>
        </w:r>
        <w:r w:rsidR="001B0AAA">
          <w:rPr>
            <w:noProof/>
            <w:webHidden/>
          </w:rPr>
          <w:t>68</w:t>
        </w:r>
        <w:r w:rsidR="00F01728">
          <w:rPr>
            <w:noProof/>
            <w:webHidden/>
          </w:rPr>
          <w:fldChar w:fldCharType="end"/>
        </w:r>
      </w:hyperlink>
    </w:p>
    <w:p w14:paraId="73D14C6E" w14:textId="6F4692AE" w:rsidR="00F01728" w:rsidRDefault="00883212">
      <w:pPr>
        <w:pStyle w:val="TOC1"/>
        <w:rPr>
          <w:rFonts w:asciiTheme="minorHAnsi" w:eastAsiaTheme="minorEastAsia" w:hAnsiTheme="minorHAnsi" w:cstheme="minorBidi"/>
          <w:b w:val="0"/>
          <w:noProof/>
          <w:sz w:val="22"/>
          <w:szCs w:val="22"/>
          <w:lang w:eastAsia="en-AU"/>
        </w:rPr>
      </w:pPr>
      <w:hyperlink w:anchor="_Toc465244438" w:history="1">
        <w:r w:rsidR="00F01728" w:rsidRPr="00242CB9">
          <w:rPr>
            <w:rStyle w:val="Hyperlink"/>
            <w:noProof/>
            <w:lang w:val="en-GB"/>
          </w:rPr>
          <w:t>Annexure 6 – English legal framework</w:t>
        </w:r>
        <w:r w:rsidR="00F01728">
          <w:rPr>
            <w:noProof/>
            <w:webHidden/>
          </w:rPr>
          <w:tab/>
        </w:r>
        <w:r w:rsidR="00F01728">
          <w:rPr>
            <w:noProof/>
            <w:webHidden/>
          </w:rPr>
          <w:fldChar w:fldCharType="begin"/>
        </w:r>
        <w:r w:rsidR="00F01728">
          <w:rPr>
            <w:noProof/>
            <w:webHidden/>
          </w:rPr>
          <w:instrText xml:space="preserve"> PAGEREF _Toc465244438 \h </w:instrText>
        </w:r>
        <w:r w:rsidR="00F01728">
          <w:rPr>
            <w:noProof/>
            <w:webHidden/>
          </w:rPr>
        </w:r>
        <w:r w:rsidR="00F01728">
          <w:rPr>
            <w:noProof/>
            <w:webHidden/>
          </w:rPr>
          <w:fldChar w:fldCharType="separate"/>
        </w:r>
        <w:r w:rsidR="001B0AAA">
          <w:rPr>
            <w:noProof/>
            <w:webHidden/>
          </w:rPr>
          <w:t>71</w:t>
        </w:r>
        <w:r w:rsidR="00F01728">
          <w:rPr>
            <w:noProof/>
            <w:webHidden/>
          </w:rPr>
          <w:fldChar w:fldCharType="end"/>
        </w:r>
      </w:hyperlink>
    </w:p>
    <w:p w14:paraId="3F6E1B2A" w14:textId="295F218C" w:rsidR="00F01728" w:rsidRDefault="00883212">
      <w:pPr>
        <w:pStyle w:val="TOC1"/>
        <w:rPr>
          <w:rFonts w:asciiTheme="minorHAnsi" w:eastAsiaTheme="minorEastAsia" w:hAnsiTheme="minorHAnsi" w:cstheme="minorBidi"/>
          <w:b w:val="0"/>
          <w:noProof/>
          <w:sz w:val="22"/>
          <w:szCs w:val="22"/>
          <w:lang w:eastAsia="en-AU"/>
        </w:rPr>
      </w:pPr>
      <w:hyperlink w:anchor="_Toc465244439" w:history="1">
        <w:r w:rsidR="00F01728" w:rsidRPr="00242CB9">
          <w:rPr>
            <w:rStyle w:val="Hyperlink"/>
            <w:noProof/>
          </w:rPr>
          <w:t>Annexure 7 – Scotland 2011 legislative changes</w:t>
        </w:r>
        <w:r w:rsidR="00F01728">
          <w:rPr>
            <w:noProof/>
            <w:webHidden/>
          </w:rPr>
          <w:tab/>
        </w:r>
        <w:r w:rsidR="00F01728">
          <w:rPr>
            <w:noProof/>
            <w:webHidden/>
          </w:rPr>
          <w:fldChar w:fldCharType="begin"/>
        </w:r>
        <w:r w:rsidR="00F01728">
          <w:rPr>
            <w:noProof/>
            <w:webHidden/>
          </w:rPr>
          <w:instrText xml:space="preserve"> PAGEREF _Toc465244439 \h </w:instrText>
        </w:r>
        <w:r w:rsidR="00F01728">
          <w:rPr>
            <w:noProof/>
            <w:webHidden/>
          </w:rPr>
        </w:r>
        <w:r w:rsidR="00F01728">
          <w:rPr>
            <w:noProof/>
            <w:webHidden/>
          </w:rPr>
          <w:fldChar w:fldCharType="separate"/>
        </w:r>
        <w:r w:rsidR="001B0AAA">
          <w:rPr>
            <w:noProof/>
            <w:webHidden/>
          </w:rPr>
          <w:t>72</w:t>
        </w:r>
        <w:r w:rsidR="00F01728">
          <w:rPr>
            <w:noProof/>
            <w:webHidden/>
          </w:rPr>
          <w:fldChar w:fldCharType="end"/>
        </w:r>
      </w:hyperlink>
    </w:p>
    <w:p w14:paraId="417A9AA7" w14:textId="40221D6B" w:rsidR="002B4970" w:rsidRPr="00A37C6E" w:rsidRDefault="004E0688" w:rsidP="00EA11E8">
      <w:pPr>
        <w:pStyle w:val="TOC1"/>
        <w:rPr>
          <w:lang w:eastAsia="en-AU"/>
        </w:rPr>
        <w:sectPr w:rsidR="002B4970" w:rsidRPr="00A37C6E" w:rsidSect="005D44EA">
          <w:headerReference w:type="default" r:id="rId14"/>
          <w:footerReference w:type="default" r:id="rId15"/>
          <w:pgSz w:w="11906" w:h="16838" w:code="9"/>
          <w:pgMar w:top="1418" w:right="992" w:bottom="1134" w:left="1134" w:header="851" w:footer="284" w:gutter="0"/>
          <w:paperSrc w:first="7" w:other="7"/>
          <w:pgNumType w:fmt="lowerRoman" w:start="1"/>
          <w:cols w:space="720"/>
          <w:docGrid w:linePitch="299"/>
        </w:sectPr>
      </w:pPr>
      <w:r w:rsidRPr="00037357">
        <w:fldChar w:fldCharType="end"/>
      </w:r>
    </w:p>
    <w:p w14:paraId="178BBF07" w14:textId="00A97B9A" w:rsidR="004F4EA7" w:rsidRPr="005C33EF" w:rsidRDefault="004F4EA7" w:rsidP="005C33EF">
      <w:pPr>
        <w:pStyle w:val="Heading1"/>
      </w:pPr>
      <w:bookmarkStart w:id="1" w:name="_Toc465244392"/>
      <w:r w:rsidRPr="005C33EF">
        <w:lastRenderedPageBreak/>
        <w:t xml:space="preserve">Executive </w:t>
      </w:r>
      <w:r w:rsidR="00823807">
        <w:t>s</w:t>
      </w:r>
      <w:r w:rsidRPr="005C33EF">
        <w:t>ummary</w:t>
      </w:r>
      <w:bookmarkEnd w:id="1"/>
      <w:r w:rsidRPr="005C33EF">
        <w:t xml:space="preserve"> </w:t>
      </w:r>
    </w:p>
    <w:p w14:paraId="43B05A56" w14:textId="52B9A007" w:rsidR="001E62A6" w:rsidRPr="00E20FD2" w:rsidRDefault="001E62A6" w:rsidP="00E20FD2">
      <w:r w:rsidRPr="00E20FD2">
        <w:t xml:space="preserve">The </w:t>
      </w:r>
      <w:r w:rsidR="00823807">
        <w:t>Victoria Legal Aid (VLA) Child p</w:t>
      </w:r>
      <w:r w:rsidRPr="00E20FD2">
        <w:t xml:space="preserve">rotection </w:t>
      </w:r>
      <w:r w:rsidR="00823807">
        <w:t>r</w:t>
      </w:r>
      <w:r w:rsidRPr="00E20FD2">
        <w:t>eview (</w:t>
      </w:r>
      <w:r w:rsidR="00E20FD2">
        <w:t>the r</w:t>
      </w:r>
      <w:r w:rsidR="003B65E6" w:rsidRPr="00E20FD2">
        <w:t>eview)</w:t>
      </w:r>
      <w:r w:rsidRPr="00E20FD2">
        <w:t xml:space="preserve"> commenced in March 2016. The </w:t>
      </w:r>
      <w:r w:rsidR="00823807">
        <w:t>r</w:t>
      </w:r>
      <w:r w:rsidR="003B65E6" w:rsidRPr="00E20FD2">
        <w:t xml:space="preserve">eview </w:t>
      </w:r>
      <w:r w:rsidRPr="00E20FD2">
        <w:t xml:space="preserve">will examine the efficiency and effectiveness of child protection legal services currently provided in Victoria. The purpose of the </w:t>
      </w:r>
      <w:r w:rsidR="00823807">
        <w:t>r</w:t>
      </w:r>
      <w:r w:rsidR="003B65E6" w:rsidRPr="00E20FD2">
        <w:t>eview</w:t>
      </w:r>
      <w:r w:rsidR="00823807">
        <w:t xml:space="preserve"> is to provide c</w:t>
      </w:r>
      <w:r w:rsidRPr="00E20FD2">
        <w:t xml:space="preserve">hild </w:t>
      </w:r>
      <w:r w:rsidR="00823807">
        <w:t>p</w:t>
      </w:r>
      <w:r w:rsidRPr="00E20FD2">
        <w:t xml:space="preserve">rotection legal services that are: </w:t>
      </w:r>
    </w:p>
    <w:p w14:paraId="5F866B68" w14:textId="7528E762" w:rsidR="001E62A6" w:rsidRPr="00E20FD2" w:rsidRDefault="00E20FD2" w:rsidP="00E20FD2">
      <w:pPr>
        <w:pStyle w:val="ListBullet"/>
      </w:pPr>
      <w:r>
        <w:t>t</w:t>
      </w:r>
      <w:r w:rsidR="001E62A6" w:rsidRPr="00E20FD2">
        <w:t>imely and appropriate</w:t>
      </w:r>
    </w:p>
    <w:p w14:paraId="42D370A3" w14:textId="25C614F7" w:rsidR="001E62A6" w:rsidRPr="00E20FD2" w:rsidRDefault="00E20FD2" w:rsidP="00E20FD2">
      <w:pPr>
        <w:pStyle w:val="ListBullet"/>
      </w:pPr>
      <w:r>
        <w:t>b</w:t>
      </w:r>
      <w:r w:rsidR="001E62A6" w:rsidRPr="00E20FD2">
        <w:t>etter at supporting children</w:t>
      </w:r>
      <w:r w:rsidR="001E62A6" w:rsidRPr="00E20FD2">
        <w:rPr>
          <w:rStyle w:val="FootnoteReference"/>
        </w:rPr>
        <w:footnoteReference w:id="1"/>
      </w:r>
      <w:r w:rsidR="001E62A6" w:rsidRPr="00E20FD2">
        <w:t>, particularly those at</w:t>
      </w:r>
      <w:r w:rsidRPr="00E20FD2">
        <w:t xml:space="preserve"> risk of long term disadvantage</w:t>
      </w:r>
    </w:p>
    <w:p w14:paraId="449500B8" w14:textId="16880E0F" w:rsidR="001E62A6" w:rsidRPr="00E20FD2" w:rsidRDefault="00E20FD2" w:rsidP="00E20FD2">
      <w:pPr>
        <w:pStyle w:val="ListBullet"/>
      </w:pPr>
      <w:r>
        <w:t>m</w:t>
      </w:r>
      <w:r w:rsidRPr="00E20FD2">
        <w:t>ore consistent across the state,</w:t>
      </w:r>
      <w:r w:rsidR="001E62A6" w:rsidRPr="00E20FD2">
        <w:t xml:space="preserve"> and</w:t>
      </w:r>
    </w:p>
    <w:p w14:paraId="23497514" w14:textId="7CA7E48A" w:rsidR="001E62A6" w:rsidRPr="00E20FD2" w:rsidRDefault="00E20FD2" w:rsidP="00E20FD2">
      <w:pPr>
        <w:pStyle w:val="ListBullet"/>
      </w:pPr>
      <w:r>
        <w:t>of higher quality.</w:t>
      </w:r>
    </w:p>
    <w:p w14:paraId="541D38C3" w14:textId="007A51D7" w:rsidR="001E62A6" w:rsidRDefault="001E62A6" w:rsidP="001E62A6">
      <w:pPr>
        <w:spacing w:line="276" w:lineRule="auto"/>
      </w:pPr>
      <w:r w:rsidRPr="00E20FD2">
        <w:t xml:space="preserve">More details about the </w:t>
      </w:r>
      <w:r w:rsidR="00E20FD2">
        <w:t>r</w:t>
      </w:r>
      <w:r w:rsidR="003B65E6" w:rsidRPr="00E20FD2">
        <w:t xml:space="preserve">eview </w:t>
      </w:r>
      <w:r w:rsidRPr="00E20FD2">
        <w:t>are available on the VLA website at</w:t>
      </w:r>
      <w:r>
        <w:t xml:space="preserve"> </w:t>
      </w:r>
      <w:hyperlink r:id="rId16" w:history="1">
        <w:r w:rsidR="00823807" w:rsidRPr="00823807">
          <w:rPr>
            <w:rStyle w:val="Hyperlink"/>
          </w:rPr>
          <w:t>Child protection legal aid services review</w:t>
        </w:r>
      </w:hyperlink>
      <w:r w:rsidR="00823807">
        <w:t xml:space="preserve"> (</w:t>
      </w:r>
      <w:r w:rsidRPr="00823807">
        <w:t>http://www.legalaid.vic.gov.au/information-for-lawyers/how-we-are-improving-our-services/child-prot</w:t>
      </w:r>
      <w:r w:rsidR="00823807">
        <w:t>ection-legal-aid-services-review).</w:t>
      </w:r>
    </w:p>
    <w:p w14:paraId="00176909" w14:textId="16C40731" w:rsidR="001E62A6" w:rsidRPr="00E20FD2" w:rsidRDefault="001E62A6" w:rsidP="00E20FD2">
      <w:r w:rsidRPr="00E20FD2">
        <w:t>The Environmental</w:t>
      </w:r>
      <w:r w:rsidR="00823807">
        <w:t xml:space="preserve"> s</w:t>
      </w:r>
      <w:r w:rsidR="00252273">
        <w:t>can (the s</w:t>
      </w:r>
      <w:r w:rsidRPr="00E20FD2">
        <w:t xml:space="preserve">can) is designed to provide an objective review of the current and anticipated environmental factors that impact upon the delivery of child protection legal services. These include, for example, reference to the political, economic and demographic environment in which we currently operate. </w:t>
      </w:r>
    </w:p>
    <w:p w14:paraId="1D2529BB" w14:textId="3346431B" w:rsidR="001E62A6" w:rsidRPr="00E20FD2" w:rsidRDefault="001E62A6" w:rsidP="00E20FD2">
      <w:r w:rsidRPr="00E20FD2">
        <w:t xml:space="preserve">The purpose of the </w:t>
      </w:r>
      <w:r w:rsidR="00252273">
        <w:t>s</w:t>
      </w:r>
      <w:r w:rsidRPr="00E20FD2">
        <w:t>can is</w:t>
      </w:r>
      <w:r w:rsidR="00823807">
        <w:t xml:space="preserve"> to</w:t>
      </w:r>
      <w:r w:rsidRPr="00E20FD2">
        <w:t xml:space="preserve">: </w:t>
      </w:r>
    </w:p>
    <w:p w14:paraId="35BEABE6" w14:textId="09CF22C2" w:rsidR="001E62A6" w:rsidRPr="00252273" w:rsidRDefault="001E62A6" w:rsidP="00252273">
      <w:pPr>
        <w:pStyle w:val="ListBullet"/>
      </w:pPr>
      <w:r w:rsidRPr="00252273">
        <w:t xml:space="preserve">help situate the </w:t>
      </w:r>
      <w:r w:rsidR="00E20FD2" w:rsidRPr="00252273">
        <w:t>r</w:t>
      </w:r>
      <w:r w:rsidR="003B65E6" w:rsidRPr="00252273">
        <w:t>eview</w:t>
      </w:r>
      <w:r w:rsidR="00490048">
        <w:t xml:space="preserve"> within a broader context</w:t>
      </w:r>
    </w:p>
    <w:p w14:paraId="6ED56A2C" w14:textId="2747DA6E" w:rsidR="001E62A6" w:rsidRPr="00252273" w:rsidRDefault="001E62A6" w:rsidP="00252273">
      <w:pPr>
        <w:pStyle w:val="ListBullet"/>
      </w:pPr>
      <w:r w:rsidRPr="00252273">
        <w:t xml:space="preserve">identify key trends and environmental factors that are (or have the potential to) impact upon the current and future delivery of </w:t>
      </w:r>
      <w:r w:rsidR="00490048">
        <w:t>child protection legal services,</w:t>
      </w:r>
      <w:r w:rsidRPr="00252273">
        <w:t xml:space="preserve"> and</w:t>
      </w:r>
    </w:p>
    <w:p w14:paraId="0C570F1A" w14:textId="77C737B8" w:rsidR="001E62A6" w:rsidRPr="00252273" w:rsidRDefault="001E62A6" w:rsidP="00252273">
      <w:pPr>
        <w:pStyle w:val="ListBullet"/>
      </w:pPr>
      <w:r w:rsidRPr="00252273">
        <w:t>help situate Victorian child protection legal services within a broader national and international context.</w:t>
      </w:r>
    </w:p>
    <w:p w14:paraId="02EB0854" w14:textId="403A9A64" w:rsidR="001E62A6" w:rsidRDefault="001E62A6" w:rsidP="001E62A6">
      <w:pPr>
        <w:spacing w:line="276" w:lineRule="auto"/>
      </w:pPr>
      <w:r>
        <w:t>Based o</w:t>
      </w:r>
      <w:r w:rsidR="00490048">
        <w:t>n the information gleaned, the s</w:t>
      </w:r>
      <w:r>
        <w:t>can will note the opportunities and challenges that form the framework in which VLA delivers and funds c</w:t>
      </w:r>
      <w:r w:rsidR="00490048">
        <w:t>hild protection legal services. The s</w:t>
      </w:r>
      <w:r>
        <w:t xml:space="preserve">can includes: </w:t>
      </w:r>
    </w:p>
    <w:p w14:paraId="0DAB349E" w14:textId="71FFA793" w:rsidR="001E62A6" w:rsidRDefault="001E62A6" w:rsidP="00960F58">
      <w:pPr>
        <w:pStyle w:val="VLA1"/>
      </w:pPr>
      <w:r>
        <w:t>a brief history of reports, inquiries and reviews into the Vi</w:t>
      </w:r>
      <w:r w:rsidR="00490048">
        <w:t>ctorian child protection system</w:t>
      </w:r>
    </w:p>
    <w:p w14:paraId="7C0E4A6B" w14:textId="2A731257" w:rsidR="001E62A6" w:rsidRDefault="001E62A6" w:rsidP="00960F58">
      <w:pPr>
        <w:pStyle w:val="VLA1"/>
      </w:pPr>
      <w:r>
        <w:t>a summary of the existing child protection framewo</w:t>
      </w:r>
      <w:r w:rsidR="00490048">
        <w:t>rk and available legal services</w:t>
      </w:r>
    </w:p>
    <w:p w14:paraId="4B49E47B" w14:textId="207D639F" w:rsidR="001E62A6" w:rsidRDefault="001E62A6" w:rsidP="00960F58">
      <w:pPr>
        <w:pStyle w:val="VLA1"/>
      </w:pPr>
      <w:r>
        <w:t>an assessment of the current and likely future legal-political and funding environment</w:t>
      </w:r>
    </w:p>
    <w:p w14:paraId="6CCF1507" w14:textId="3BC5C196" w:rsidR="001E62A6" w:rsidRDefault="001E62A6" w:rsidP="00960F58">
      <w:pPr>
        <w:pStyle w:val="VLA1"/>
      </w:pPr>
      <w:r>
        <w:t>a snapshot of current demand for services and predi</w:t>
      </w:r>
      <w:r w:rsidR="00490048">
        <w:t>cted demand over time</w:t>
      </w:r>
    </w:p>
    <w:p w14:paraId="5F669F48" w14:textId="46B9137C" w:rsidR="001E62A6" w:rsidRDefault="001E62A6" w:rsidP="00960F58">
      <w:pPr>
        <w:pStyle w:val="VLA1"/>
      </w:pPr>
      <w:r>
        <w:t>an assessment of geographic and jurisdictional service gaps (in broad terms)</w:t>
      </w:r>
    </w:p>
    <w:p w14:paraId="7EF9832A" w14:textId="0D4595E7" w:rsidR="001E62A6" w:rsidRDefault="001E62A6" w:rsidP="00960F58">
      <w:pPr>
        <w:pStyle w:val="VLA1"/>
      </w:pPr>
      <w:r>
        <w:t>client experiences of child pro</w:t>
      </w:r>
      <w:r w:rsidR="00490048">
        <w:t>tection legal service delivery</w:t>
      </w:r>
    </w:p>
    <w:p w14:paraId="4529E5AF" w14:textId="30E6FC3E" w:rsidR="001E62A6" w:rsidRDefault="001E62A6" w:rsidP="00960F58">
      <w:pPr>
        <w:pStyle w:val="VLA1"/>
      </w:pPr>
      <w:r>
        <w:t xml:space="preserve">a comparative analysis of all state and territory child protection laws (guiding principles) and the corresponding responses by each Legal Aid Commission in terms of their provision of </w:t>
      </w:r>
      <w:r w:rsidR="00490048">
        <w:t>child protection legal services, and</w:t>
      </w:r>
    </w:p>
    <w:p w14:paraId="5E2210DB" w14:textId="2B2B2783" w:rsidR="001E62A6" w:rsidRPr="00490048" w:rsidRDefault="001E62A6" w:rsidP="00960F58">
      <w:pPr>
        <w:pStyle w:val="VLA1"/>
      </w:pPr>
      <w:r>
        <w:t>a brief comparative analysis of child protection service models in countries with comparable legal systems.</w:t>
      </w:r>
    </w:p>
    <w:p w14:paraId="39A7A00F" w14:textId="39E7F466" w:rsidR="001E62A6" w:rsidRPr="005C33EF" w:rsidRDefault="001E62A6" w:rsidP="005C33EF">
      <w:pPr>
        <w:pStyle w:val="Heading2"/>
      </w:pPr>
      <w:bookmarkStart w:id="2" w:name="_Toc465244393"/>
      <w:r w:rsidRPr="005C33EF">
        <w:lastRenderedPageBreak/>
        <w:t>R</w:t>
      </w:r>
      <w:r w:rsidR="00490048" w:rsidRPr="005C33EF">
        <w:t>eports, i</w:t>
      </w:r>
      <w:r w:rsidRPr="005C33EF">
        <w:t xml:space="preserve">nquiries and </w:t>
      </w:r>
      <w:r w:rsidR="00490048" w:rsidRPr="005C33EF">
        <w:t>r</w:t>
      </w:r>
      <w:r w:rsidRPr="005C33EF">
        <w:t>eviews</w:t>
      </w:r>
      <w:bookmarkEnd w:id="2"/>
      <w:r w:rsidRPr="005C33EF">
        <w:t xml:space="preserve"> </w:t>
      </w:r>
    </w:p>
    <w:p w14:paraId="672C3885" w14:textId="59A6966A" w:rsidR="004F4EA7" w:rsidRPr="004F4EA7" w:rsidRDefault="004F4EA7" w:rsidP="00086408">
      <w:pPr>
        <w:spacing w:before="0" w:after="0" w:line="276" w:lineRule="auto"/>
        <w:rPr>
          <w:rFonts w:cs="Arial"/>
          <w:szCs w:val="22"/>
          <w:lang w:eastAsia="en-AU"/>
        </w:rPr>
      </w:pPr>
      <w:r w:rsidRPr="004F4EA7">
        <w:rPr>
          <w:rFonts w:cs="Arial"/>
          <w:szCs w:val="22"/>
          <w:lang w:eastAsia="en-AU"/>
        </w:rPr>
        <w:t xml:space="preserve">The determination of when a child </w:t>
      </w:r>
      <w:r w:rsidR="008C6FCE">
        <w:rPr>
          <w:rFonts w:cs="Arial"/>
          <w:szCs w:val="22"/>
          <w:lang w:eastAsia="en-AU"/>
        </w:rPr>
        <w:t xml:space="preserve">or young person </w:t>
      </w:r>
      <w:r w:rsidRPr="004F4EA7">
        <w:rPr>
          <w:rFonts w:cs="Arial"/>
          <w:szCs w:val="22"/>
          <w:lang w:eastAsia="en-AU"/>
        </w:rPr>
        <w:t>is in need of protection by the state, the framework in which that assessment is made and the manner in which protection is afforded</w:t>
      </w:r>
      <w:r w:rsidR="00885F45">
        <w:rPr>
          <w:rFonts w:cs="Arial"/>
          <w:szCs w:val="22"/>
          <w:lang w:eastAsia="en-AU"/>
        </w:rPr>
        <w:t>,</w:t>
      </w:r>
      <w:r w:rsidRPr="004F4EA7">
        <w:rPr>
          <w:rFonts w:cs="Arial"/>
          <w:szCs w:val="22"/>
          <w:lang w:eastAsia="en-AU"/>
        </w:rPr>
        <w:t xml:space="preserve"> has been</w:t>
      </w:r>
      <w:r w:rsidR="00885F45">
        <w:rPr>
          <w:rFonts w:cs="Arial"/>
          <w:szCs w:val="22"/>
          <w:lang w:eastAsia="en-AU"/>
        </w:rPr>
        <w:t xml:space="preserve"> the topic of debate </w:t>
      </w:r>
      <w:r w:rsidRPr="004F4EA7">
        <w:rPr>
          <w:rFonts w:cs="Arial"/>
          <w:szCs w:val="22"/>
          <w:lang w:eastAsia="en-AU"/>
        </w:rPr>
        <w:t>since the 1860s.</w:t>
      </w:r>
      <w:r w:rsidRPr="004F4EA7">
        <w:rPr>
          <w:rFonts w:cs="Arial"/>
          <w:szCs w:val="22"/>
          <w:vertAlign w:val="superscript"/>
          <w:lang w:eastAsia="en-AU"/>
        </w:rPr>
        <w:footnoteReference w:id="2"/>
      </w:r>
      <w:r w:rsidRPr="004F4EA7">
        <w:rPr>
          <w:rFonts w:cs="Arial"/>
          <w:szCs w:val="22"/>
          <w:lang w:eastAsia="en-AU"/>
        </w:rPr>
        <w:t xml:space="preserve"> Since th</w:t>
      </w:r>
      <w:r w:rsidR="00885F45">
        <w:rPr>
          <w:rFonts w:cs="Arial"/>
          <w:szCs w:val="22"/>
          <w:lang w:eastAsia="en-AU"/>
        </w:rPr>
        <w:t>en</w:t>
      </w:r>
      <w:r w:rsidRPr="004F4EA7">
        <w:rPr>
          <w:rFonts w:cs="Arial"/>
          <w:szCs w:val="22"/>
          <w:lang w:eastAsia="en-AU"/>
        </w:rPr>
        <w:t xml:space="preserve"> there have been numerous reviews, producing voluminous reports and a myriad of recommendations. These have resulted in many attempts at reforming the child protection system</w:t>
      </w:r>
      <w:r w:rsidR="00885F45">
        <w:rPr>
          <w:rFonts w:cs="Arial"/>
          <w:szCs w:val="22"/>
          <w:lang w:eastAsia="en-AU"/>
        </w:rPr>
        <w:t>,</w:t>
      </w:r>
      <w:r w:rsidRPr="004F4EA7">
        <w:rPr>
          <w:rFonts w:cs="Arial"/>
          <w:szCs w:val="22"/>
          <w:lang w:eastAsia="en-AU"/>
        </w:rPr>
        <w:t xml:space="preserve"> which have met with varying levels of success.</w:t>
      </w:r>
    </w:p>
    <w:p w14:paraId="4984C5EF" w14:textId="5548154B" w:rsidR="000A78F8" w:rsidRPr="005F01EB" w:rsidRDefault="004F4EA7" w:rsidP="000A78F8">
      <w:pPr>
        <w:spacing w:line="276" w:lineRule="auto"/>
        <w:rPr>
          <w:i/>
        </w:rPr>
      </w:pPr>
      <w:r w:rsidRPr="004F4EA7">
        <w:rPr>
          <w:rFonts w:cs="Arial"/>
          <w:szCs w:val="22"/>
          <w:lang w:eastAsia="en-AU"/>
        </w:rPr>
        <w:t>This history of review and change is not unique to Victoria. A similar pattern, of major reviews and legislative reform, can be observed in other Australian jurisdictions and internationally.</w:t>
      </w:r>
      <w:r w:rsidR="000A78F8" w:rsidRPr="000A78F8">
        <w:t xml:space="preserve"> </w:t>
      </w:r>
    </w:p>
    <w:p w14:paraId="05AA4C9A" w14:textId="5AE6B32F" w:rsidR="000A78F8" w:rsidRDefault="000A78F8" w:rsidP="000A78F8">
      <w:pPr>
        <w:spacing w:line="276" w:lineRule="auto"/>
      </w:pPr>
      <w:r>
        <w:t>Th</w:t>
      </w:r>
      <w:r w:rsidR="00885F45">
        <w:t xml:space="preserve">e </w:t>
      </w:r>
      <w:r>
        <w:t xml:space="preserve">reports, inquiries and reviews into the child protection system </w:t>
      </w:r>
      <w:r w:rsidR="00885F45">
        <w:t>have</w:t>
      </w:r>
      <w:r>
        <w:t xml:space="preserve"> a number of key, recurring themes in the examination and assessment of Victoria’s child protection system:</w:t>
      </w:r>
    </w:p>
    <w:p w14:paraId="71495D33" w14:textId="5055E941" w:rsidR="000A78F8" w:rsidRDefault="000A78F8" w:rsidP="004C76D7">
      <w:pPr>
        <w:pStyle w:val="ListBullet"/>
      </w:pPr>
      <w:r>
        <w:t xml:space="preserve">when and how the State </w:t>
      </w:r>
      <w:r w:rsidR="004C76D7">
        <w:t>should intervene into a family</w:t>
      </w:r>
    </w:p>
    <w:p w14:paraId="268962A4" w14:textId="38F1E311" w:rsidR="000A78F8" w:rsidRDefault="000A78F8" w:rsidP="004C76D7">
      <w:pPr>
        <w:pStyle w:val="ListBullet"/>
      </w:pPr>
      <w:r>
        <w:t>best practice service delivery to children</w:t>
      </w:r>
      <w:r w:rsidR="004C76D7">
        <w:t xml:space="preserve"> in the child protection system,</w:t>
      </w:r>
      <w:r>
        <w:t xml:space="preserve"> and</w:t>
      </w:r>
    </w:p>
    <w:p w14:paraId="4802736B" w14:textId="6CF87300" w:rsidR="004F4EA7" w:rsidRPr="00885F45" w:rsidRDefault="000A78F8" w:rsidP="004C76D7">
      <w:pPr>
        <w:pStyle w:val="ListBullet"/>
      </w:pPr>
      <w:r>
        <w:t>the design and delivery of child protection legal services, which is set by legislative framework</w:t>
      </w:r>
      <w:r w:rsidR="004C76D7">
        <w:t>s and child protection policies.</w:t>
      </w:r>
    </w:p>
    <w:p w14:paraId="2112BCE5" w14:textId="228C7252" w:rsidR="004F4EA7" w:rsidRPr="005C33EF" w:rsidRDefault="00885F45" w:rsidP="005C33EF">
      <w:pPr>
        <w:pStyle w:val="Heading2"/>
      </w:pPr>
      <w:bookmarkStart w:id="3" w:name="_Toc465244394"/>
      <w:r w:rsidRPr="005C33EF">
        <w:t>The child protection framework</w:t>
      </w:r>
      <w:bookmarkEnd w:id="3"/>
    </w:p>
    <w:p w14:paraId="7090928A" w14:textId="62AD0753" w:rsidR="00885F45" w:rsidRPr="005C11F1" w:rsidRDefault="00885F45" w:rsidP="005C33EF">
      <w:pPr>
        <w:pStyle w:val="ListBullet"/>
        <w:rPr>
          <w:lang w:eastAsia="en-AU"/>
        </w:rPr>
      </w:pPr>
      <w:r>
        <w:rPr>
          <w:lang w:eastAsia="en-AU"/>
        </w:rPr>
        <w:t>T</w:t>
      </w:r>
      <w:r w:rsidRPr="005C11F1">
        <w:rPr>
          <w:lang w:eastAsia="en-AU"/>
        </w:rPr>
        <w:t>he D</w:t>
      </w:r>
      <w:r w:rsidR="003B65E6">
        <w:rPr>
          <w:lang w:eastAsia="en-AU"/>
        </w:rPr>
        <w:t>epartment of Health and Human Services (D</w:t>
      </w:r>
      <w:r w:rsidRPr="005C11F1">
        <w:rPr>
          <w:lang w:eastAsia="en-AU"/>
        </w:rPr>
        <w:t>HHS</w:t>
      </w:r>
      <w:r w:rsidR="003B65E6">
        <w:rPr>
          <w:lang w:eastAsia="en-AU"/>
        </w:rPr>
        <w:t>)</w:t>
      </w:r>
      <w:r w:rsidRPr="005C11F1">
        <w:rPr>
          <w:lang w:eastAsia="en-AU"/>
        </w:rPr>
        <w:t xml:space="preserve"> responds to </w:t>
      </w:r>
      <w:r w:rsidR="009451B8">
        <w:rPr>
          <w:lang w:eastAsia="en-AU"/>
        </w:rPr>
        <w:t>reports</w:t>
      </w:r>
      <w:r w:rsidR="009451B8" w:rsidRPr="005C11F1">
        <w:rPr>
          <w:lang w:eastAsia="en-AU"/>
        </w:rPr>
        <w:t xml:space="preserve"> </w:t>
      </w:r>
      <w:r w:rsidRPr="005C11F1">
        <w:rPr>
          <w:lang w:eastAsia="en-AU"/>
        </w:rPr>
        <w:t>of suspect</w:t>
      </w:r>
      <w:r>
        <w:rPr>
          <w:lang w:eastAsia="en-AU"/>
        </w:rPr>
        <w:t>ed child abuse or neglect, carries</w:t>
      </w:r>
      <w:r w:rsidRPr="005C11F1">
        <w:rPr>
          <w:lang w:eastAsia="en-AU"/>
        </w:rPr>
        <w:t xml:space="preserve"> out investigations and, if an allegation is substantiated </w:t>
      </w:r>
      <w:r>
        <w:rPr>
          <w:lang w:eastAsia="en-AU"/>
        </w:rPr>
        <w:t>acts</w:t>
      </w:r>
      <w:r w:rsidRPr="005C11F1">
        <w:rPr>
          <w:lang w:eastAsia="en-AU"/>
        </w:rPr>
        <w:t xml:space="preserve"> to reduce the risk to the child or young person. </w:t>
      </w:r>
    </w:p>
    <w:p w14:paraId="280EEE2D" w14:textId="508BE7D9" w:rsidR="00885F45" w:rsidRPr="004C76D7" w:rsidRDefault="00885F45" w:rsidP="005C33EF">
      <w:pPr>
        <w:pStyle w:val="ListBullet"/>
        <w:rPr>
          <w:lang w:eastAsia="en-AU"/>
        </w:rPr>
      </w:pPr>
      <w:r w:rsidRPr="005C11F1">
        <w:rPr>
          <w:lang w:eastAsia="en-AU"/>
        </w:rPr>
        <w:t>This may include taking a matter before the Family Division of the Children’s Court</w:t>
      </w:r>
      <w:r>
        <w:rPr>
          <w:lang w:eastAsia="en-AU"/>
        </w:rPr>
        <w:t xml:space="preserve"> to obtain a court order allowing them to place the child</w:t>
      </w:r>
      <w:r w:rsidRPr="005C11F1">
        <w:rPr>
          <w:lang w:eastAsia="en-AU"/>
        </w:rPr>
        <w:t xml:space="preserve"> under DHHS formal supervision or remov</w:t>
      </w:r>
      <w:r>
        <w:rPr>
          <w:lang w:eastAsia="en-AU"/>
        </w:rPr>
        <w:t>e them from the family.</w:t>
      </w:r>
    </w:p>
    <w:p w14:paraId="2B545B86" w14:textId="4F84954F" w:rsidR="00885F45" w:rsidRDefault="00885F45" w:rsidP="00885F45">
      <w:pPr>
        <w:spacing w:line="276" w:lineRule="auto"/>
        <w:rPr>
          <w:lang w:eastAsia="en-AU"/>
        </w:rPr>
      </w:pPr>
      <w:r w:rsidRPr="00D36412">
        <w:rPr>
          <w:rFonts w:cs="Arial"/>
          <w:szCs w:val="22"/>
          <w:lang w:eastAsia="en-AU"/>
        </w:rPr>
        <w:t xml:space="preserve">Victoria’s child protection system is governed by the </w:t>
      </w:r>
      <w:r w:rsidR="00C75ABC" w:rsidRPr="00C75ABC">
        <w:rPr>
          <w:rFonts w:cs="Arial"/>
          <w:i/>
          <w:szCs w:val="22"/>
          <w:lang w:eastAsia="en-AU"/>
        </w:rPr>
        <w:t>Children, Youth and Families Act 2005</w:t>
      </w:r>
      <w:r w:rsidR="00C75ABC">
        <w:rPr>
          <w:rFonts w:cs="Arial"/>
          <w:szCs w:val="22"/>
          <w:lang w:eastAsia="en-AU"/>
        </w:rPr>
        <w:t xml:space="preserve"> (</w:t>
      </w:r>
      <w:r>
        <w:rPr>
          <w:rFonts w:cs="Arial"/>
          <w:szCs w:val="22"/>
          <w:lang w:eastAsia="en-AU"/>
        </w:rPr>
        <w:t>CYFA</w:t>
      </w:r>
      <w:r w:rsidR="00C75ABC">
        <w:rPr>
          <w:rFonts w:cs="Arial"/>
          <w:szCs w:val="22"/>
          <w:lang w:eastAsia="en-AU"/>
        </w:rPr>
        <w:t>)</w:t>
      </w:r>
      <w:r w:rsidRPr="00D36412">
        <w:rPr>
          <w:rFonts w:cs="Arial"/>
          <w:szCs w:val="22"/>
          <w:lang w:eastAsia="en-AU"/>
        </w:rPr>
        <w:t>.</w:t>
      </w:r>
      <w:r>
        <w:rPr>
          <w:rFonts w:cs="Arial"/>
          <w:szCs w:val="22"/>
          <w:lang w:eastAsia="en-AU"/>
        </w:rPr>
        <w:t xml:space="preserve"> </w:t>
      </w:r>
      <w:r w:rsidRPr="00D36412">
        <w:rPr>
          <w:rFonts w:cs="Arial"/>
          <w:szCs w:val="22"/>
          <w:lang w:eastAsia="en-AU"/>
        </w:rPr>
        <w:t>The CYFA mandates that the State act to protect children in certain circumstances, including on the</w:t>
      </w:r>
      <w:r>
        <w:rPr>
          <w:lang w:eastAsia="en-AU"/>
        </w:rPr>
        <w:t xml:space="preserve"> </w:t>
      </w:r>
      <w:r w:rsidRPr="00D36412">
        <w:rPr>
          <w:rFonts w:cs="Arial"/>
          <w:szCs w:val="22"/>
          <w:lang w:eastAsia="en-AU"/>
        </w:rPr>
        <w:t>grounds of a significant risk of harm to a child. The CYFA makes clear that the legislation provides a</w:t>
      </w:r>
      <w:r>
        <w:rPr>
          <w:lang w:eastAsia="en-AU"/>
        </w:rPr>
        <w:t xml:space="preserve"> </w:t>
      </w:r>
      <w:r w:rsidRPr="00D36412">
        <w:rPr>
          <w:rFonts w:cs="Arial"/>
          <w:szCs w:val="22"/>
          <w:lang w:eastAsia="en-AU"/>
        </w:rPr>
        <w:t>framework not only for protecting children but providing community services to support children and</w:t>
      </w:r>
      <w:r>
        <w:rPr>
          <w:lang w:eastAsia="en-AU"/>
        </w:rPr>
        <w:t xml:space="preserve"> </w:t>
      </w:r>
      <w:r w:rsidRPr="00D36412">
        <w:rPr>
          <w:rFonts w:cs="Arial"/>
          <w:szCs w:val="22"/>
          <w:lang w:eastAsia="en-AU"/>
        </w:rPr>
        <w:t>families.</w:t>
      </w:r>
      <w:r>
        <w:rPr>
          <w:rFonts w:cs="Arial"/>
          <w:szCs w:val="22"/>
          <w:lang w:eastAsia="en-AU"/>
        </w:rPr>
        <w:t xml:space="preserve"> </w:t>
      </w:r>
    </w:p>
    <w:p w14:paraId="5E47DE59" w14:textId="4F1A01AF" w:rsidR="00885F45" w:rsidRPr="005C33EF" w:rsidRDefault="00885F45" w:rsidP="005C33EF">
      <w:r w:rsidRPr="005C33EF">
        <w:t xml:space="preserve">Child Protection practitioners at DHHS respond to </w:t>
      </w:r>
      <w:r w:rsidR="009451B8" w:rsidRPr="005C33EF">
        <w:t>reports</w:t>
      </w:r>
      <w:r w:rsidRPr="005C33EF">
        <w:t xml:space="preserve"> of suspected child abuse or neglect, carry out investigations. If an allegation is substantiated DHHS staff act to reduce the risk to the child or young person. This may include taking a matter before the Family Division of the Children’s Court.</w:t>
      </w:r>
      <w:r w:rsidRPr="005C33EF">
        <w:rPr>
          <w:rStyle w:val="FootnoteReference"/>
        </w:rPr>
        <w:footnoteReference w:id="3"/>
      </w:r>
      <w:r w:rsidRPr="005C33EF">
        <w:t xml:space="preserve"> </w:t>
      </w:r>
    </w:p>
    <w:p w14:paraId="51FD9FAF" w14:textId="1C3F79E7" w:rsidR="000A78F8" w:rsidRPr="005C33EF" w:rsidRDefault="00885F45" w:rsidP="005C33EF">
      <w:r w:rsidRPr="005C33EF">
        <w:t xml:space="preserve">Other key </w:t>
      </w:r>
      <w:r w:rsidR="005C33EF">
        <w:t>f</w:t>
      </w:r>
      <w:r w:rsidRPr="005C33EF">
        <w:t xml:space="preserve">actors within the child protection system include, the Children’s Court, the Commissioner for Children and Young People, Community Service Organisations (delivering child, adult and family services), kinship and foster carers and of course, the children, young people and families responding to the system. </w:t>
      </w:r>
    </w:p>
    <w:p w14:paraId="657074BF" w14:textId="6E3FF124" w:rsidR="004F4EA7" w:rsidRPr="005C33EF" w:rsidRDefault="008C6FCE" w:rsidP="005C33EF">
      <w:pPr>
        <w:pStyle w:val="Heading2"/>
      </w:pPr>
      <w:bookmarkStart w:id="4" w:name="_Toc465244395"/>
      <w:r w:rsidRPr="005C33EF">
        <w:lastRenderedPageBreak/>
        <w:t>Victoria Legal Aid’s</w:t>
      </w:r>
      <w:r w:rsidR="004F4EA7" w:rsidRPr="005C33EF">
        <w:t xml:space="preserve"> role in the child protection system</w:t>
      </w:r>
      <w:bookmarkEnd w:id="4"/>
      <w:r w:rsidR="004F4EA7" w:rsidRPr="005C33EF">
        <w:t xml:space="preserve"> </w:t>
      </w:r>
    </w:p>
    <w:p w14:paraId="58D7A28F" w14:textId="5BBE801F" w:rsidR="004F4EA7" w:rsidRPr="005C33EF" w:rsidRDefault="004F4EA7" w:rsidP="005C33EF">
      <w:r w:rsidRPr="005C33EF">
        <w:t>V</w:t>
      </w:r>
      <w:r w:rsidR="008C6FCE" w:rsidRPr="005C33EF">
        <w:t>ictoria Legal Aid (V</w:t>
      </w:r>
      <w:r w:rsidRPr="005C33EF">
        <w:t>LA</w:t>
      </w:r>
      <w:r w:rsidR="008C6FCE" w:rsidRPr="005C33EF">
        <w:t>)</w:t>
      </w:r>
      <w:r w:rsidRPr="005C33EF">
        <w:t xml:space="preserve"> has a significant presence in the Family Division of the Children’s Court, providing legal advice and representation services to Victorians who are involved in matters before the court. Most families with whom DHHS Child Protection has involvement are low income and disadvantaged. They are some of Victoria’s most vulnerable citizens. Their poverty is often intergenerational and is multidimensional, with one or more of the following factors also generally present: lack of education, inadequate housing, social isolation, mental illness, family violence, or drug and/or alcohol abuse.</w:t>
      </w:r>
    </w:p>
    <w:p w14:paraId="6124DC21" w14:textId="474F2CD1" w:rsidR="004F4EA7" w:rsidRPr="005C33EF" w:rsidRDefault="004F4EA7" w:rsidP="005C33EF">
      <w:r w:rsidRPr="005C33EF">
        <w:t xml:space="preserve">Child </w:t>
      </w:r>
      <w:r w:rsidR="00823807">
        <w:t>p</w:t>
      </w:r>
      <w:r w:rsidRPr="005C33EF">
        <w:t>rotection is the largest program within the Family, Youth and Children’s Law Program and the third largest within VLA. VLA staff lawyers, private practitioners and community legal centres (CLC</w:t>
      </w:r>
      <w:r w:rsidR="004564D7" w:rsidRPr="005C33EF">
        <w:t>s</w:t>
      </w:r>
      <w:r w:rsidRPr="005C33EF">
        <w:t>) deliver child protection legal aid services across Victoria.</w:t>
      </w:r>
    </w:p>
    <w:p w14:paraId="35CBAA0F" w14:textId="481E03B7" w:rsidR="004F4EA7" w:rsidRPr="005C33EF" w:rsidRDefault="00823807" w:rsidP="005C33EF">
      <w:r>
        <w:t>In 2015/16, the Child P</w:t>
      </w:r>
      <w:r w:rsidR="004F4EA7" w:rsidRPr="005C33EF">
        <w:t>rotection program accounted for $21.</w:t>
      </w:r>
      <w:r w:rsidR="00E6168F" w:rsidRPr="005C33EF">
        <w:t>3</w:t>
      </w:r>
      <w:r>
        <w:t>m</w:t>
      </w:r>
      <w:r w:rsidR="004F4EA7" w:rsidRPr="005C33EF">
        <w:t xml:space="preserve"> or 14.2% of the VLA budget. It delivered around 4,500 duty lawyer services and 7,712 grants of legal assistance. Demand for services is increasing, with the number of grants of assistance increas</w:t>
      </w:r>
      <w:r w:rsidR="004564D7" w:rsidRPr="005C33EF">
        <w:t>ing</w:t>
      </w:r>
      <w:r w:rsidR="004F4EA7" w:rsidRPr="005C33EF">
        <w:t xml:space="preserve"> by 20% between 2013/14 and 2015/16. Duty lawyer services increased by 9% in the last year.</w:t>
      </w:r>
    </w:p>
    <w:p w14:paraId="0FCABE9A" w14:textId="36F9979B" w:rsidR="007500C9" w:rsidRPr="005C33EF" w:rsidRDefault="007500C9" w:rsidP="005C33EF">
      <w:pPr>
        <w:pStyle w:val="Heading2"/>
      </w:pPr>
      <w:bookmarkStart w:id="5" w:name="_Toc465244396"/>
      <w:r w:rsidRPr="005C33EF">
        <w:t>Current demand for services and future demand</w:t>
      </w:r>
      <w:bookmarkEnd w:id="5"/>
    </w:p>
    <w:p w14:paraId="0CABFFA4" w14:textId="0903E416" w:rsidR="007500C9" w:rsidRPr="00A94735" w:rsidRDefault="007500C9" w:rsidP="00A94735">
      <w:r w:rsidRPr="00A94735">
        <w:t>A further 15% increase in grants of assistance is forecast for 2016/17, representing additi</w:t>
      </w:r>
      <w:r w:rsidR="00823807">
        <w:t>onal expenditure of around $2.9m</w:t>
      </w:r>
      <w:r w:rsidRPr="00A94735">
        <w:t>.</w:t>
      </w:r>
    </w:p>
    <w:p w14:paraId="3D7AF272" w14:textId="25FDC855" w:rsidR="007500C9" w:rsidRPr="00A94735" w:rsidRDefault="007500C9" w:rsidP="00A94735">
      <w:r w:rsidRPr="00A94735">
        <w:t xml:space="preserve">The growth in demand is being driven by increases in </w:t>
      </w:r>
      <w:r w:rsidR="009451B8" w:rsidRPr="00A94735">
        <w:t>reports</w:t>
      </w:r>
      <w:r w:rsidR="00A94735">
        <w:t xml:space="preserve"> to DHHS. In 2014–</w:t>
      </w:r>
      <w:r w:rsidRPr="00A94735">
        <w:t xml:space="preserve">15, DHHS received 91,586 </w:t>
      </w:r>
      <w:r w:rsidR="009451B8" w:rsidRPr="00A94735">
        <w:t>reports</w:t>
      </w:r>
      <w:r w:rsidRPr="00A94735">
        <w:t>,</w:t>
      </w:r>
      <w:r w:rsidRPr="00A94735">
        <w:rPr>
          <w:rStyle w:val="FootnoteReference"/>
        </w:rPr>
        <w:footnoteReference w:id="4"/>
      </w:r>
      <w:r w:rsidR="00A94735">
        <w:t xml:space="preserve"> up from 82,056 in 2013–</w:t>
      </w:r>
      <w:r w:rsidRPr="00A94735">
        <w:t>14 and 73,272 in 2012</w:t>
      </w:r>
      <w:r w:rsidR="00A94735">
        <w:t>–</w:t>
      </w:r>
      <w:r w:rsidRPr="00A94735">
        <w:t>13</w:t>
      </w:r>
      <w:r w:rsidRPr="00A94735">
        <w:rPr>
          <w:rStyle w:val="FootnoteReference"/>
        </w:rPr>
        <w:footnoteReference w:id="5"/>
      </w:r>
      <w:r w:rsidRPr="00A94735">
        <w:t>. Of that figure, 14,115 were substantiated, leading to 4</w:t>
      </w:r>
      <w:r w:rsidR="00823807">
        <w:t>,</w:t>
      </w:r>
      <w:r w:rsidRPr="00A94735">
        <w:t>927 applications to the Children’s Court</w:t>
      </w:r>
      <w:r w:rsidRPr="00A94735">
        <w:rPr>
          <w:rStyle w:val="FootnoteReference"/>
        </w:rPr>
        <w:footnoteReference w:id="6"/>
      </w:r>
      <w:r w:rsidRPr="00A94735">
        <w:t>. Nearly all substantiated cases will result in a case planning meeting.</w:t>
      </w:r>
      <w:r w:rsidRPr="00A94735">
        <w:rPr>
          <w:rStyle w:val="FootnoteReference"/>
        </w:rPr>
        <w:footnoteReference w:id="7"/>
      </w:r>
    </w:p>
    <w:p w14:paraId="51028510" w14:textId="61DC808A" w:rsidR="004F4EA7" w:rsidRPr="00A94735" w:rsidRDefault="004F4EA7" w:rsidP="00A94735">
      <w:r w:rsidRPr="00A94735">
        <w:t>The last decade has witnessed an increase in the num</w:t>
      </w:r>
      <w:r w:rsidR="006D3C43">
        <w:t>ber and rate of children in out-of-</w:t>
      </w:r>
      <w:r w:rsidRPr="00A94735">
        <w:t>home care (OOHC), particularly Aboriginal and/or Torres Strait Islander children.</w:t>
      </w:r>
      <w:r w:rsidRPr="00A94735">
        <w:rPr>
          <w:rStyle w:val="FootnoteReference"/>
        </w:rPr>
        <w:footnoteReference w:id="8"/>
      </w:r>
      <w:r w:rsidR="00A94735">
        <w:t xml:space="preserve"> </w:t>
      </w:r>
      <w:r w:rsidRPr="00A94735">
        <w:t>The rate of Aboriginal and/or Torres Strait Islander children</w:t>
      </w:r>
      <w:r w:rsidR="008C6FCE" w:rsidRPr="00A94735">
        <w:t xml:space="preserve"> and young people</w:t>
      </w:r>
      <w:r w:rsidRPr="00A94735">
        <w:t xml:space="preserve"> in OOHC has increased from 29.8 to 71.5 per 100,000, with the number of children</w:t>
      </w:r>
      <w:r w:rsidR="008C6FCE" w:rsidRPr="00A94735">
        <w:t xml:space="preserve"> and young people</w:t>
      </w:r>
      <w:r w:rsidRPr="00A94735">
        <w:t xml:space="preserve"> in OOHC tripling from 552 to 1</w:t>
      </w:r>
      <w:r w:rsidR="00823807">
        <w:t>,</w:t>
      </w:r>
      <w:r w:rsidRPr="00A94735">
        <w:t>511. Of particular concern is the recent sharp increase in the number of children</w:t>
      </w:r>
      <w:r w:rsidR="00A94735">
        <w:t xml:space="preserve"> in OOHC in the last two years –</w:t>
      </w:r>
      <w:r w:rsidRPr="00A94735">
        <w:t xml:space="preserve"> a 63% increase for Aboriginal and/or Torres Strait Islander children </w:t>
      </w:r>
      <w:r w:rsidR="008C6FCE" w:rsidRPr="00A94735">
        <w:t xml:space="preserve">and young people </w:t>
      </w:r>
      <w:r w:rsidRPr="00A94735">
        <w:t>and 30% for non-</w:t>
      </w:r>
      <w:r w:rsidR="008C6FCE" w:rsidRPr="00A94735">
        <w:t xml:space="preserve">Aboriginal and/or Torres Strait Islander </w:t>
      </w:r>
      <w:r w:rsidRPr="00A94735">
        <w:t>children</w:t>
      </w:r>
      <w:r w:rsidR="008C6FCE" w:rsidRPr="00A94735">
        <w:t xml:space="preserve"> and young people</w:t>
      </w:r>
      <w:r w:rsidRPr="00A94735">
        <w:t xml:space="preserve">. Around one in 12 Victorian Aboriginal and/or Torres Strait Islander children </w:t>
      </w:r>
      <w:r w:rsidR="008C6FCE" w:rsidRPr="00A94735">
        <w:t xml:space="preserve">and young people </w:t>
      </w:r>
      <w:r w:rsidRPr="00A94735">
        <w:t>is in OOHC.</w:t>
      </w:r>
    </w:p>
    <w:p w14:paraId="68B78842" w14:textId="77777777" w:rsidR="00EA443B" w:rsidRPr="00A94735" w:rsidRDefault="00EA443B" w:rsidP="00A94735">
      <w:pPr>
        <w:pStyle w:val="Heading2"/>
      </w:pPr>
      <w:bookmarkStart w:id="6" w:name="_Toc465244397"/>
      <w:r w:rsidRPr="00A94735">
        <w:lastRenderedPageBreak/>
        <w:t>Legal service provision across Victoria and social disadvantage</w:t>
      </w:r>
      <w:bookmarkEnd w:id="6"/>
    </w:p>
    <w:p w14:paraId="63F336D3" w14:textId="77777777" w:rsidR="004F4EA7" w:rsidRPr="00A94735" w:rsidRDefault="004F4EA7" w:rsidP="00A94735">
      <w:r w:rsidRPr="00A94735">
        <w:t xml:space="preserve">While almost half of new applications to the Children’s Court are in regional areas, these attract only around 40% of the primary grants of assistance. Further, there are differences between regional areas of Victoria, with some having very low rates of grants relative to applications to the </w:t>
      </w:r>
      <w:r w:rsidR="008C6FCE" w:rsidRPr="00A94735">
        <w:t>C</w:t>
      </w:r>
      <w:r w:rsidRPr="00A94735">
        <w:t xml:space="preserve">hildren’s Court. This suggests that some people in regional areas may be missing out on representation that they may otherwise receive in other parts of Victoria. </w:t>
      </w:r>
    </w:p>
    <w:p w14:paraId="048B173F" w14:textId="77777777" w:rsidR="004F4EA7" w:rsidRPr="00A94735" w:rsidRDefault="004F4EA7" w:rsidP="00A94735">
      <w:r w:rsidRPr="00A94735">
        <w:t>The differences in the level of legal representation in regional areas needs to be considered in light of the findings in the 2012 Cummins Report that:</w:t>
      </w:r>
    </w:p>
    <w:p w14:paraId="67077026" w14:textId="104398D3" w:rsidR="004F4EA7" w:rsidRPr="004F4EA7" w:rsidRDefault="004F4EA7" w:rsidP="00A94735">
      <w:pPr>
        <w:pStyle w:val="ListBullet"/>
        <w:rPr>
          <w:lang w:eastAsia="en-AU"/>
        </w:rPr>
      </w:pPr>
      <w:r w:rsidRPr="004F4EA7">
        <w:rPr>
          <w:lang w:eastAsia="en-AU"/>
        </w:rPr>
        <w:t>children in rural Victoria are much mor</w:t>
      </w:r>
      <w:r w:rsidR="006D3C43">
        <w:rPr>
          <w:lang w:eastAsia="en-AU"/>
        </w:rPr>
        <w:t>e likely to be placed in out-of-</w:t>
      </w:r>
      <w:r w:rsidRPr="004F4EA7">
        <w:rPr>
          <w:lang w:eastAsia="en-AU"/>
        </w:rPr>
        <w:t>home care</w:t>
      </w:r>
      <w:r w:rsidRPr="004F4EA7">
        <w:rPr>
          <w:vertAlign w:val="superscript"/>
          <w:lang w:eastAsia="en-AU"/>
        </w:rPr>
        <w:footnoteReference w:id="9"/>
      </w:r>
      <w:r w:rsidR="00A94735">
        <w:rPr>
          <w:lang w:eastAsia="en-AU"/>
        </w:rPr>
        <w:t>,</w:t>
      </w:r>
      <w:r w:rsidRPr="004F4EA7">
        <w:rPr>
          <w:lang w:eastAsia="en-AU"/>
        </w:rPr>
        <w:t xml:space="preserve"> and</w:t>
      </w:r>
    </w:p>
    <w:p w14:paraId="23665EB6" w14:textId="77777777" w:rsidR="004F4EA7" w:rsidRPr="004F4EA7" w:rsidRDefault="004F4EA7" w:rsidP="00A94735">
      <w:pPr>
        <w:pStyle w:val="ListBullet"/>
        <w:rPr>
          <w:lang w:eastAsia="en-AU"/>
        </w:rPr>
      </w:pPr>
      <w:r w:rsidRPr="004F4EA7">
        <w:rPr>
          <w:lang w:eastAsia="en-AU"/>
        </w:rPr>
        <w:t>there is a strong correlation between reports to child protection per-capita and indicators of disadvantage, with more reports in areas experiencing greater disadvantage</w:t>
      </w:r>
      <w:r w:rsidRPr="004F4EA7">
        <w:rPr>
          <w:vertAlign w:val="superscript"/>
          <w:lang w:eastAsia="en-AU"/>
        </w:rPr>
        <w:footnoteReference w:id="10"/>
      </w:r>
      <w:r w:rsidRPr="004F4EA7">
        <w:rPr>
          <w:lang w:eastAsia="en-AU"/>
        </w:rPr>
        <w:t xml:space="preserve">. </w:t>
      </w:r>
    </w:p>
    <w:p w14:paraId="294C3E17" w14:textId="77777777" w:rsidR="004F4EA7" w:rsidRPr="00A94735" w:rsidRDefault="004F4EA7" w:rsidP="00A94735">
      <w:r w:rsidRPr="00A94735">
        <w:t>Further, when compared to metropolitan children,</w:t>
      </w:r>
      <w:r w:rsidR="00EA443B" w:rsidRPr="00A94735">
        <w:t xml:space="preserve"> children in regional areas</w:t>
      </w:r>
      <w:r w:rsidRPr="00A94735">
        <w:t xml:space="preserve"> experience much higher rates of:</w:t>
      </w:r>
    </w:p>
    <w:p w14:paraId="6CF6C741" w14:textId="77777777" w:rsidR="004F4EA7" w:rsidRPr="004F4EA7" w:rsidRDefault="004F4EA7" w:rsidP="00A94735">
      <w:pPr>
        <w:pStyle w:val="ListBullet"/>
        <w:rPr>
          <w:lang w:eastAsia="en-AU"/>
        </w:rPr>
      </w:pPr>
      <w:r w:rsidRPr="004F4EA7">
        <w:rPr>
          <w:lang w:eastAsia="en-AU"/>
        </w:rPr>
        <w:t>substantiated abuse</w:t>
      </w:r>
    </w:p>
    <w:p w14:paraId="5246ECB7" w14:textId="374F3E8A" w:rsidR="004F4EA7" w:rsidRPr="004F4EA7" w:rsidRDefault="004F4EA7" w:rsidP="00A94735">
      <w:pPr>
        <w:pStyle w:val="ListBullet"/>
        <w:rPr>
          <w:lang w:eastAsia="en-AU"/>
        </w:rPr>
      </w:pPr>
      <w:r w:rsidRPr="004F4EA7">
        <w:rPr>
          <w:lang w:eastAsia="en-AU"/>
        </w:rPr>
        <w:t xml:space="preserve">children </w:t>
      </w:r>
      <w:r w:rsidR="008C6FCE">
        <w:rPr>
          <w:lang w:eastAsia="en-AU"/>
        </w:rPr>
        <w:t xml:space="preserve">and young people </w:t>
      </w:r>
      <w:r w:rsidRPr="004F4EA7">
        <w:rPr>
          <w:lang w:eastAsia="en-AU"/>
        </w:rPr>
        <w:t>on a Protection Order</w:t>
      </w:r>
      <w:r w:rsidR="00F5360A">
        <w:rPr>
          <w:lang w:eastAsia="en-AU"/>
        </w:rPr>
        <w:t xml:space="preserve"> (double the metropolitan rate)</w:t>
      </w:r>
    </w:p>
    <w:p w14:paraId="05F41C19" w14:textId="1DCC2DD4" w:rsidR="004F4EA7" w:rsidRPr="004F4EA7" w:rsidRDefault="004F4EA7" w:rsidP="00A94735">
      <w:pPr>
        <w:pStyle w:val="ListBullet"/>
        <w:rPr>
          <w:lang w:eastAsia="en-AU"/>
        </w:rPr>
      </w:pPr>
      <w:r w:rsidRPr="004F4EA7">
        <w:rPr>
          <w:lang w:eastAsia="en-AU"/>
        </w:rPr>
        <w:t xml:space="preserve">children </w:t>
      </w:r>
      <w:r w:rsidR="008C6FCE">
        <w:rPr>
          <w:lang w:eastAsia="en-AU"/>
        </w:rPr>
        <w:t xml:space="preserve">and young people </w:t>
      </w:r>
      <w:r w:rsidRPr="004F4EA7">
        <w:rPr>
          <w:lang w:eastAsia="en-AU"/>
        </w:rPr>
        <w:t>in OOHC (more than doub</w:t>
      </w:r>
      <w:r w:rsidR="00F5360A">
        <w:rPr>
          <w:lang w:eastAsia="en-AU"/>
        </w:rPr>
        <w:t>le than with metropolitan rate),</w:t>
      </w:r>
      <w:r w:rsidRPr="004F4EA7">
        <w:rPr>
          <w:lang w:eastAsia="en-AU"/>
        </w:rPr>
        <w:t xml:space="preserve"> and</w:t>
      </w:r>
    </w:p>
    <w:p w14:paraId="2BED33A5" w14:textId="0DB0EB3E" w:rsidR="004F4EA7" w:rsidRPr="00A94735" w:rsidRDefault="004F4EA7" w:rsidP="00A94735">
      <w:pPr>
        <w:pStyle w:val="ListBullet"/>
        <w:rPr>
          <w:lang w:eastAsia="en-AU"/>
        </w:rPr>
      </w:pPr>
      <w:r w:rsidRPr="004F4EA7">
        <w:rPr>
          <w:lang w:eastAsia="en-AU"/>
        </w:rPr>
        <w:t>the highest rates of children</w:t>
      </w:r>
      <w:r w:rsidR="008C6FCE">
        <w:rPr>
          <w:lang w:eastAsia="en-AU"/>
        </w:rPr>
        <w:t xml:space="preserve"> and young people</w:t>
      </w:r>
      <w:r w:rsidRPr="004F4EA7">
        <w:rPr>
          <w:lang w:eastAsia="en-AU"/>
        </w:rPr>
        <w:t xml:space="preserve"> in OOHC was in Gippsland (9.7 per 1</w:t>
      </w:r>
      <w:r w:rsidR="00F5360A">
        <w:rPr>
          <w:lang w:eastAsia="en-AU"/>
        </w:rPr>
        <w:t>,</w:t>
      </w:r>
      <w:r w:rsidRPr="004F4EA7">
        <w:rPr>
          <w:lang w:eastAsia="en-AU"/>
        </w:rPr>
        <w:t>000 population), the Grampians (8.9 per 1</w:t>
      </w:r>
      <w:r w:rsidR="00F5360A">
        <w:rPr>
          <w:lang w:eastAsia="en-AU"/>
        </w:rPr>
        <w:t>,</w:t>
      </w:r>
      <w:r w:rsidRPr="004F4EA7">
        <w:rPr>
          <w:lang w:eastAsia="en-AU"/>
        </w:rPr>
        <w:t>000 population) and Mallee (7.4 per 1</w:t>
      </w:r>
      <w:r w:rsidR="00F5360A">
        <w:rPr>
          <w:lang w:eastAsia="en-AU"/>
        </w:rPr>
        <w:t>,</w:t>
      </w:r>
      <w:r w:rsidRPr="004F4EA7">
        <w:rPr>
          <w:lang w:eastAsia="en-AU"/>
        </w:rPr>
        <w:t>000 population).</w:t>
      </w:r>
      <w:r w:rsidRPr="004F4EA7">
        <w:rPr>
          <w:vertAlign w:val="superscript"/>
          <w:lang w:eastAsia="en-AU"/>
        </w:rPr>
        <w:footnoteReference w:id="11"/>
      </w:r>
    </w:p>
    <w:p w14:paraId="45E31CF4" w14:textId="2AC08A35" w:rsidR="004F4EA7" w:rsidRPr="00A94735" w:rsidRDefault="004F4EA7" w:rsidP="00A94735">
      <w:r w:rsidRPr="00A94735">
        <w:t>Social disadvantage has been shown to be geographically concentrated</w:t>
      </w:r>
      <w:r w:rsidRPr="00A94735">
        <w:rPr>
          <w:rStyle w:val="FootnoteReference"/>
        </w:rPr>
        <w:footnoteReference w:id="12"/>
      </w:r>
      <w:r w:rsidR="00A94735">
        <w:rPr>
          <w:rStyle w:val="FootnoteReference"/>
        </w:rPr>
        <w:t xml:space="preserve"> </w:t>
      </w:r>
      <w:r w:rsidRPr="00A94735">
        <w:t>and some population groups are consistently overrepresented in data about disadvantage</w:t>
      </w:r>
      <w:r w:rsidR="00A94735">
        <w:t>.</w:t>
      </w:r>
      <w:r w:rsidRPr="00A94735">
        <w:rPr>
          <w:rStyle w:val="FootnoteReference"/>
        </w:rPr>
        <w:footnoteReference w:id="13"/>
      </w:r>
      <w:r w:rsidRPr="00A94735">
        <w:t xml:space="preserve"> These groups figure highly in the people assisted by VLA</w:t>
      </w:r>
      <w:r w:rsidR="00F5360A">
        <w:t>’</w:t>
      </w:r>
      <w:r w:rsidRPr="00A94735">
        <w:t>s child protection program.</w:t>
      </w:r>
    </w:p>
    <w:p w14:paraId="34DAA415" w14:textId="77777777" w:rsidR="004F4EA7" w:rsidRPr="00A94735" w:rsidRDefault="00EA443B" w:rsidP="00A94735">
      <w:pPr>
        <w:pStyle w:val="Heading2"/>
      </w:pPr>
      <w:bookmarkStart w:id="7" w:name="_Toc465244398"/>
      <w:r w:rsidRPr="00A94735">
        <w:t>Gaps in service provision</w:t>
      </w:r>
      <w:bookmarkEnd w:id="7"/>
    </w:p>
    <w:p w14:paraId="42D576EC" w14:textId="736A608B" w:rsidR="004F4EA7" w:rsidRPr="00A94735" w:rsidRDefault="004F4EA7" w:rsidP="00A94735">
      <w:r w:rsidRPr="00A94735">
        <w:t>There are gaps in the current system of legal assistance service provision. The guidelines do not provide for universal access to free legal assistance. They are focused on legal proceedings and do not provide assistance for case planning</w:t>
      </w:r>
      <w:r w:rsidR="00857BF8" w:rsidRPr="00A94735">
        <w:t>, early intervention</w:t>
      </w:r>
      <w:r w:rsidRPr="00A94735">
        <w:t xml:space="preserve"> or post-order support. Additionally, there are some people who are unable to access adequate support in the present system</w:t>
      </w:r>
      <w:r w:rsidR="00857BF8" w:rsidRPr="00A94735">
        <w:t xml:space="preserve">. This includes people with a mental illness or </w:t>
      </w:r>
      <w:r w:rsidR="00300369" w:rsidRPr="00A94735">
        <w:t>cognitive impairment, and people with proceedings that need to be transferred between the Children’s C</w:t>
      </w:r>
      <w:r w:rsidR="00F40C3B">
        <w:t>ourt and the Family Law Courts.</w:t>
      </w:r>
    </w:p>
    <w:p w14:paraId="30B8E70F" w14:textId="51312A39" w:rsidR="00F45145" w:rsidRPr="00F40C3B" w:rsidRDefault="00F45145" w:rsidP="00F40C3B">
      <w:pPr>
        <w:pStyle w:val="Heading2"/>
      </w:pPr>
      <w:bookmarkStart w:id="8" w:name="_Toc465244399"/>
      <w:r w:rsidRPr="00F40C3B">
        <w:lastRenderedPageBreak/>
        <w:t>Client experience</w:t>
      </w:r>
      <w:bookmarkEnd w:id="8"/>
    </w:p>
    <w:p w14:paraId="1240058B" w14:textId="77777777" w:rsidR="004F4EA7" w:rsidRPr="004F4EA7" w:rsidRDefault="004F4EA7" w:rsidP="00086408">
      <w:pPr>
        <w:spacing w:line="276" w:lineRule="auto"/>
        <w:rPr>
          <w:rFonts w:cs="Arial"/>
          <w:szCs w:val="22"/>
          <w:lang w:eastAsia="en-AU"/>
        </w:rPr>
      </w:pPr>
      <w:r w:rsidRPr="004F4EA7">
        <w:rPr>
          <w:rFonts w:cs="Arial"/>
          <w:szCs w:val="22"/>
          <w:lang w:eastAsia="en-AU"/>
        </w:rPr>
        <w:t xml:space="preserve">There is limited data available as to the level of satisfaction amongst service users about the assistance that they received. While it is generally positive, there is a call for more time to be available for lawyers to spend with their clients. </w:t>
      </w:r>
    </w:p>
    <w:p w14:paraId="3D2155C0" w14:textId="77777777" w:rsidR="004F4EA7" w:rsidRPr="00F40C3B" w:rsidRDefault="00EA443B" w:rsidP="00F40C3B">
      <w:pPr>
        <w:pStyle w:val="Heading2"/>
      </w:pPr>
      <w:bookmarkStart w:id="9" w:name="_Toc465244400"/>
      <w:r w:rsidRPr="00F40C3B">
        <w:t>Service provision across Australia</w:t>
      </w:r>
      <w:bookmarkEnd w:id="9"/>
    </w:p>
    <w:p w14:paraId="42E37FB1" w14:textId="77777777" w:rsidR="004F4EA7" w:rsidRPr="00F40C3B" w:rsidRDefault="004F4EA7" w:rsidP="00F40C3B">
      <w:pPr>
        <w:rPr>
          <w:rFonts w:eastAsiaTheme="minorHAnsi"/>
        </w:rPr>
      </w:pPr>
      <w:r w:rsidRPr="00F40C3B">
        <w:t xml:space="preserve">The service provision models adopted by the Australian </w:t>
      </w:r>
      <w:r w:rsidRPr="00F40C3B">
        <w:rPr>
          <w:rFonts w:eastAsiaTheme="minorHAnsi"/>
        </w:rPr>
        <w:t xml:space="preserve">state and territory Legal Aid Commissions varies, although there are similarities. The service models tend to be designed in response to the child protection system they are servicing. All states and territories use a mixed model of service delivery, utilising in-house and private lawyers, as well as some Community Legal Service lawyers. All states and territories provide free legal advice by telephone regarding child protection. </w:t>
      </w:r>
    </w:p>
    <w:p w14:paraId="2CA67415" w14:textId="77777777" w:rsidR="004F4EA7" w:rsidRPr="00F40C3B" w:rsidRDefault="004F4EA7" w:rsidP="00F40C3B">
      <w:pPr>
        <w:rPr>
          <w:rFonts w:eastAsiaTheme="minorHAnsi"/>
        </w:rPr>
      </w:pPr>
      <w:r w:rsidRPr="00F40C3B">
        <w:rPr>
          <w:rFonts w:eastAsiaTheme="minorHAnsi"/>
        </w:rPr>
        <w:t xml:space="preserve">Victoria, New South Wales and Western Australia are the only states to offer a duty lawyer service to assist children and parents responding to initiating applications. Queensland is currently piloting two separate duty lawyer services in the regional courts of Beenleigh and Cairns. New South Wales and Queensland provide a grant of legal aid to enable assistance and representation prior to the commencement of child protection proceedings. </w:t>
      </w:r>
    </w:p>
    <w:p w14:paraId="08C007C0" w14:textId="77777777" w:rsidR="004F4EA7" w:rsidRPr="00F40C3B" w:rsidRDefault="004F4EA7" w:rsidP="00F40C3B">
      <w:pPr>
        <w:rPr>
          <w:rFonts w:eastAsiaTheme="minorHAnsi"/>
        </w:rPr>
      </w:pPr>
      <w:r w:rsidRPr="00F40C3B">
        <w:rPr>
          <w:rFonts w:eastAsiaTheme="minorHAnsi"/>
        </w:rPr>
        <w:t xml:space="preserve">All states and territories provide a grant of legal aid to enable assistance and legal representation for eligible clients responding to child protection proceedings. </w:t>
      </w:r>
    </w:p>
    <w:p w14:paraId="7BA2F28B" w14:textId="2C33A5E9" w:rsidR="004F4EA7" w:rsidRPr="00F40C3B" w:rsidRDefault="004F4EA7" w:rsidP="00F40C3B">
      <w:pPr>
        <w:rPr>
          <w:rFonts w:eastAsiaTheme="minorHAnsi"/>
        </w:rPr>
      </w:pPr>
      <w:r w:rsidRPr="00F40C3B">
        <w:rPr>
          <w:rFonts w:eastAsiaTheme="minorHAnsi"/>
        </w:rPr>
        <w:t>New South Wales and Queensland provide a grant of legal aid to enable assistance and representation following the conclusion of child protection proceedings. In New South Wales, the grant funds representation at a case planning meeting where conditions as to contact and s</w:t>
      </w:r>
      <w:r w:rsidR="00802DC5">
        <w:rPr>
          <w:rFonts w:eastAsiaTheme="minorHAnsi"/>
        </w:rPr>
        <w:t>upport services may be decided.</w:t>
      </w:r>
      <w:r w:rsidRPr="00F40C3B">
        <w:rPr>
          <w:rFonts w:eastAsiaTheme="minorHAnsi"/>
        </w:rPr>
        <w:t xml:space="preserve"> In Queensland, this grant is not subject to a merits assessment and inclu</w:t>
      </w:r>
      <w:r w:rsidR="00802DC5">
        <w:rPr>
          <w:rFonts w:eastAsiaTheme="minorHAnsi"/>
        </w:rPr>
        <w:t>des attendance at a post-order f</w:t>
      </w:r>
      <w:r w:rsidRPr="00F40C3B">
        <w:rPr>
          <w:rFonts w:eastAsiaTheme="minorHAnsi"/>
        </w:rPr>
        <w:t xml:space="preserve">amily </w:t>
      </w:r>
      <w:r w:rsidR="00802DC5">
        <w:rPr>
          <w:rFonts w:eastAsiaTheme="minorHAnsi"/>
        </w:rPr>
        <w:t>g</w:t>
      </w:r>
      <w:r w:rsidRPr="00F40C3B">
        <w:rPr>
          <w:rFonts w:eastAsiaTheme="minorHAnsi"/>
        </w:rPr>
        <w:t xml:space="preserve">roup </w:t>
      </w:r>
      <w:r w:rsidR="00802DC5">
        <w:rPr>
          <w:rFonts w:eastAsiaTheme="minorHAnsi"/>
        </w:rPr>
        <w:t>c</w:t>
      </w:r>
      <w:r w:rsidRPr="00F40C3B">
        <w:rPr>
          <w:rFonts w:eastAsiaTheme="minorHAnsi"/>
        </w:rPr>
        <w:t xml:space="preserve">onference. Queensland and New South Wales Legal Aid Commissions are piloting early intervention services involving mothers who have been the subject of unborn </w:t>
      </w:r>
      <w:r w:rsidR="009451B8" w:rsidRPr="00F40C3B">
        <w:t>reports</w:t>
      </w:r>
      <w:r w:rsidRPr="00F40C3B">
        <w:rPr>
          <w:rFonts w:eastAsiaTheme="minorHAnsi"/>
        </w:rPr>
        <w:t>. These pilots operate in partnership with hospitals and social workers from their equivalent DHHS.</w:t>
      </w:r>
    </w:p>
    <w:p w14:paraId="353FC1EC" w14:textId="77777777" w:rsidR="004F4EA7" w:rsidRPr="00F40C3B" w:rsidRDefault="00EA443B" w:rsidP="00F40C3B">
      <w:pPr>
        <w:pStyle w:val="Heading2"/>
      </w:pPr>
      <w:bookmarkStart w:id="10" w:name="_Toc465244401"/>
      <w:r w:rsidRPr="00F40C3B">
        <w:t>International comparisons of service provision</w:t>
      </w:r>
      <w:bookmarkEnd w:id="10"/>
    </w:p>
    <w:p w14:paraId="69FF4549" w14:textId="77777777" w:rsidR="004F4EA7" w:rsidRPr="00F40C3B" w:rsidRDefault="004F4EA7" w:rsidP="00F40C3B">
      <w:r w:rsidRPr="00F40C3B">
        <w:t>There are different approaches to issues of child neglect and maltreatment adopted in different countries. Examining these assists us to understand the different response that are adopted over time and in different places.</w:t>
      </w:r>
    </w:p>
    <w:p w14:paraId="0111F776" w14:textId="77777777" w:rsidR="004F4EA7" w:rsidRPr="00F40C3B" w:rsidRDefault="004F4EA7" w:rsidP="00F40C3B">
      <w:r w:rsidRPr="00F40C3B">
        <w:t>In the 1990s two key approaches were common</w:t>
      </w:r>
      <w:r w:rsidRPr="00F40C3B">
        <w:rPr>
          <w:rStyle w:val="FootnoteReference"/>
        </w:rPr>
        <w:footnoteReference w:id="14"/>
      </w:r>
      <w:r w:rsidRPr="00F40C3B">
        <w:t>:</w:t>
      </w:r>
    </w:p>
    <w:p w14:paraId="4083EBF0" w14:textId="4F5FB88F" w:rsidR="004F4EA7" w:rsidRPr="004F4EA7" w:rsidRDefault="004F4EA7" w:rsidP="00CA7069">
      <w:pPr>
        <w:spacing w:line="276" w:lineRule="auto"/>
        <w:ind w:left="720"/>
        <w:rPr>
          <w:rFonts w:cs="Arial"/>
          <w:szCs w:val="22"/>
          <w:lang w:eastAsia="en-AU"/>
        </w:rPr>
      </w:pPr>
      <w:r w:rsidRPr="004F4EA7">
        <w:rPr>
          <w:rFonts w:cs="Arial"/>
          <w:szCs w:val="22"/>
          <w:lang w:eastAsia="en-AU"/>
        </w:rPr>
        <w:t xml:space="preserve">The </w:t>
      </w:r>
      <w:r w:rsidRPr="004F4EA7">
        <w:rPr>
          <w:rFonts w:cs="Arial"/>
          <w:i/>
          <w:szCs w:val="22"/>
          <w:lang w:eastAsia="en-AU"/>
        </w:rPr>
        <w:t>child protection</w:t>
      </w:r>
      <w:r w:rsidRPr="004F4EA7">
        <w:rPr>
          <w:rFonts w:cs="Arial"/>
          <w:szCs w:val="22"/>
          <w:lang w:eastAsia="en-AU"/>
        </w:rPr>
        <w:t xml:space="preserve"> approach</w:t>
      </w:r>
      <w:r w:rsidR="00300369">
        <w:rPr>
          <w:rFonts w:cs="Arial"/>
          <w:szCs w:val="22"/>
          <w:lang w:eastAsia="en-AU"/>
        </w:rPr>
        <w:t xml:space="preserve"> (adopted in Australia)</w:t>
      </w:r>
      <w:r w:rsidRPr="004F4EA7">
        <w:rPr>
          <w:rFonts w:cs="Arial"/>
          <w:szCs w:val="22"/>
          <w:lang w:eastAsia="en-AU"/>
        </w:rPr>
        <w:t xml:space="preserve"> tends to view child protection as distinct from other services for children </w:t>
      </w:r>
      <w:r w:rsidR="00D547A2">
        <w:rPr>
          <w:rFonts w:cs="Arial"/>
          <w:szCs w:val="22"/>
          <w:lang w:eastAsia="en-AU"/>
        </w:rPr>
        <w:t xml:space="preserve">and young people </w:t>
      </w:r>
      <w:r w:rsidRPr="004F4EA7">
        <w:rPr>
          <w:rFonts w:cs="Arial"/>
          <w:szCs w:val="22"/>
          <w:lang w:eastAsia="en-AU"/>
        </w:rPr>
        <w:t xml:space="preserve">with lower levels of need. They </w:t>
      </w:r>
      <w:r w:rsidR="00D547A2">
        <w:rPr>
          <w:rFonts w:cs="Arial"/>
          <w:szCs w:val="22"/>
          <w:lang w:eastAsia="en-AU"/>
        </w:rPr>
        <w:t xml:space="preserve">tend </w:t>
      </w:r>
      <w:r w:rsidRPr="004F4EA7">
        <w:rPr>
          <w:rFonts w:cs="Arial"/>
          <w:szCs w:val="22"/>
          <w:lang w:eastAsia="en-AU"/>
        </w:rPr>
        <w:t>to delay intervention and adopt a more legalistic approach.</w:t>
      </w:r>
    </w:p>
    <w:p w14:paraId="1FFF205E" w14:textId="77CE404F" w:rsidR="004F4EA7" w:rsidRDefault="004F4EA7" w:rsidP="00CA7069">
      <w:pPr>
        <w:spacing w:line="276" w:lineRule="auto"/>
        <w:ind w:left="720"/>
        <w:rPr>
          <w:rFonts w:cs="Arial"/>
          <w:szCs w:val="22"/>
          <w:lang w:eastAsia="en-AU"/>
        </w:rPr>
      </w:pPr>
      <w:r w:rsidRPr="004F4EA7">
        <w:rPr>
          <w:rFonts w:cs="Arial"/>
          <w:szCs w:val="22"/>
          <w:lang w:eastAsia="en-AU"/>
        </w:rPr>
        <w:t xml:space="preserve">In contrast, the </w:t>
      </w:r>
      <w:r w:rsidRPr="004F4EA7">
        <w:rPr>
          <w:rFonts w:cs="Arial"/>
          <w:i/>
          <w:szCs w:val="22"/>
          <w:lang w:eastAsia="en-AU"/>
        </w:rPr>
        <w:t>family service</w:t>
      </w:r>
      <w:r w:rsidRPr="004F4EA7">
        <w:rPr>
          <w:rFonts w:cs="Arial"/>
          <w:szCs w:val="22"/>
          <w:lang w:eastAsia="en-AU"/>
        </w:rPr>
        <w:t xml:space="preserve"> approach</w:t>
      </w:r>
      <w:r w:rsidR="00CA7069">
        <w:rPr>
          <w:rFonts w:cs="Arial"/>
          <w:szCs w:val="22"/>
          <w:lang w:eastAsia="en-AU"/>
        </w:rPr>
        <w:t xml:space="preserve"> (adopted in a number of European countries)</w:t>
      </w:r>
      <w:r w:rsidRPr="004F4EA7">
        <w:rPr>
          <w:rFonts w:cs="Arial"/>
          <w:szCs w:val="22"/>
          <w:lang w:eastAsia="en-AU"/>
        </w:rPr>
        <w:t xml:space="preserve"> is seen as needs based; child protection investigations are seen as part of the service system for children </w:t>
      </w:r>
      <w:r w:rsidR="00D547A2">
        <w:rPr>
          <w:rFonts w:cs="Arial"/>
          <w:szCs w:val="22"/>
          <w:lang w:eastAsia="en-AU"/>
        </w:rPr>
        <w:t xml:space="preserve">and young people </w:t>
      </w:r>
      <w:r w:rsidRPr="004F4EA7">
        <w:rPr>
          <w:rFonts w:cs="Arial"/>
          <w:szCs w:val="22"/>
          <w:lang w:eastAsia="en-AU"/>
        </w:rPr>
        <w:t xml:space="preserve">in need and their families. The child protection agency deals with allegations of maltreatment, as well as providing family support services for children who may be in need but not likely to suffer significant harm. </w:t>
      </w:r>
    </w:p>
    <w:p w14:paraId="1989893F" w14:textId="775F1B44" w:rsidR="008C6FCE" w:rsidRDefault="008C6FCE" w:rsidP="00086408">
      <w:pPr>
        <w:spacing w:line="276" w:lineRule="auto"/>
        <w:rPr>
          <w:rFonts w:cs="Arial"/>
          <w:szCs w:val="22"/>
          <w:lang w:eastAsia="en-AU"/>
        </w:rPr>
      </w:pPr>
      <w:r>
        <w:rPr>
          <w:rFonts w:cs="Arial"/>
          <w:szCs w:val="22"/>
          <w:lang w:eastAsia="en-AU"/>
        </w:rPr>
        <w:lastRenderedPageBreak/>
        <w:t xml:space="preserve">More recently, a third approach, described as </w:t>
      </w:r>
      <w:r w:rsidR="006F7AFB">
        <w:rPr>
          <w:rFonts w:cs="Arial"/>
          <w:i/>
          <w:szCs w:val="22"/>
          <w:lang w:eastAsia="en-AU"/>
        </w:rPr>
        <w:t>child focus</w:t>
      </w:r>
      <w:r>
        <w:rPr>
          <w:rFonts w:cs="Arial"/>
          <w:i/>
          <w:szCs w:val="22"/>
          <w:lang w:eastAsia="en-AU"/>
        </w:rPr>
        <w:t xml:space="preserve">ed </w:t>
      </w:r>
      <w:r>
        <w:rPr>
          <w:rFonts w:cs="Arial"/>
          <w:szCs w:val="22"/>
          <w:lang w:eastAsia="en-AU"/>
        </w:rPr>
        <w:t xml:space="preserve">has emerged, which </w:t>
      </w:r>
      <w:r w:rsidR="00D547A2">
        <w:rPr>
          <w:rFonts w:cs="Arial"/>
          <w:szCs w:val="22"/>
          <w:lang w:eastAsia="en-AU"/>
        </w:rPr>
        <w:t>features</w:t>
      </w:r>
      <w:r>
        <w:rPr>
          <w:rFonts w:cs="Arial"/>
          <w:szCs w:val="22"/>
          <w:lang w:eastAsia="en-AU"/>
        </w:rPr>
        <w:t xml:space="preserve"> a combination of child protection and family service approaches. </w:t>
      </w:r>
    </w:p>
    <w:p w14:paraId="75545688" w14:textId="0709CC92" w:rsidR="00CA7069" w:rsidRPr="00D31537" w:rsidRDefault="00CA7069" w:rsidP="00086408">
      <w:pPr>
        <w:spacing w:line="276" w:lineRule="auto"/>
        <w:rPr>
          <w:rFonts w:cs="Arial"/>
          <w:szCs w:val="22"/>
          <w:lang w:eastAsia="en-AU"/>
        </w:rPr>
      </w:pPr>
      <w:r>
        <w:rPr>
          <w:rFonts w:cs="Arial"/>
          <w:szCs w:val="22"/>
          <w:lang w:eastAsia="en-AU"/>
        </w:rPr>
        <w:t xml:space="preserve">It is notable that in a number of other countries child protection legal services are provided to everyone, regardless of their income. </w:t>
      </w:r>
    </w:p>
    <w:p w14:paraId="203613D3" w14:textId="77777777" w:rsidR="0001329A" w:rsidRDefault="0001329A" w:rsidP="00086408">
      <w:pPr>
        <w:spacing w:before="0" w:after="0" w:line="276" w:lineRule="auto"/>
      </w:pPr>
      <w:r>
        <w:br w:type="page"/>
      </w:r>
    </w:p>
    <w:p w14:paraId="71B3DA14" w14:textId="1E46A102" w:rsidR="0001329A" w:rsidRPr="006F7AFB" w:rsidRDefault="0001329A" w:rsidP="006F7AFB">
      <w:pPr>
        <w:pStyle w:val="Heading1"/>
        <w:spacing w:line="276" w:lineRule="auto"/>
      </w:pPr>
      <w:bookmarkStart w:id="11" w:name="_Toc465244402"/>
      <w:r>
        <w:lastRenderedPageBreak/>
        <w:t xml:space="preserve">Glossary </w:t>
      </w:r>
      <w:r w:rsidR="001601C1">
        <w:t>of abbreviations</w:t>
      </w:r>
      <w:bookmarkEnd w:id="11"/>
      <w:r w:rsidR="001601C1">
        <w:t xml:space="preserve"> </w:t>
      </w:r>
    </w:p>
    <w:p w14:paraId="1BC237FD" w14:textId="4ACAAC2F" w:rsidR="0001329A" w:rsidRDefault="001601C1" w:rsidP="006F7AFB">
      <w:pPr>
        <w:tabs>
          <w:tab w:val="left" w:pos="1843"/>
        </w:tabs>
        <w:spacing w:before="0" w:after="0" w:line="276" w:lineRule="auto"/>
        <w:rPr>
          <w:rFonts w:cs="Arial"/>
          <w:szCs w:val="22"/>
          <w:lang w:eastAsia="en-AU"/>
        </w:rPr>
      </w:pPr>
      <w:r w:rsidRPr="001601C1">
        <w:rPr>
          <w:rFonts w:cs="Arial"/>
          <w:szCs w:val="22"/>
          <w:lang w:eastAsia="en-AU"/>
        </w:rPr>
        <w:t>CLC</w:t>
      </w:r>
      <w:r w:rsidR="006F7AFB">
        <w:rPr>
          <w:rFonts w:cs="Arial"/>
          <w:szCs w:val="22"/>
          <w:lang w:eastAsia="en-AU"/>
        </w:rPr>
        <w:tab/>
      </w:r>
      <w:r w:rsidR="00802DC5">
        <w:rPr>
          <w:rFonts w:cs="Arial"/>
          <w:szCs w:val="22"/>
          <w:lang w:eastAsia="en-AU"/>
        </w:rPr>
        <w:t>Community l</w:t>
      </w:r>
      <w:r w:rsidRPr="001601C1">
        <w:rPr>
          <w:rFonts w:cs="Arial"/>
          <w:szCs w:val="22"/>
          <w:lang w:eastAsia="en-AU"/>
        </w:rPr>
        <w:t xml:space="preserve">egal </w:t>
      </w:r>
      <w:r w:rsidR="00802DC5">
        <w:rPr>
          <w:rFonts w:cs="Arial"/>
          <w:szCs w:val="22"/>
          <w:lang w:eastAsia="en-AU"/>
        </w:rPr>
        <w:t>c</w:t>
      </w:r>
      <w:r w:rsidRPr="001601C1">
        <w:rPr>
          <w:rFonts w:cs="Arial"/>
          <w:szCs w:val="22"/>
          <w:lang w:eastAsia="en-AU"/>
        </w:rPr>
        <w:t>entre</w:t>
      </w:r>
    </w:p>
    <w:p w14:paraId="7902085D" w14:textId="3C20A161" w:rsidR="0001329A" w:rsidRPr="0001329A" w:rsidRDefault="0001329A" w:rsidP="00086408">
      <w:pPr>
        <w:spacing w:before="0" w:after="0" w:line="276" w:lineRule="auto"/>
        <w:rPr>
          <w:rFonts w:cs="Arial"/>
          <w:sz w:val="24"/>
          <w:lang w:eastAsia="en-AU"/>
        </w:rPr>
      </w:pPr>
    </w:p>
    <w:p w14:paraId="5E07CB2C" w14:textId="58A150A1" w:rsidR="001D105A" w:rsidRPr="0001329A" w:rsidRDefault="001D105A" w:rsidP="006F7AFB">
      <w:pPr>
        <w:tabs>
          <w:tab w:val="left" w:pos="1843"/>
        </w:tabs>
        <w:spacing w:before="0" w:after="0" w:line="276" w:lineRule="auto"/>
        <w:rPr>
          <w:rFonts w:cs="Arial"/>
          <w:szCs w:val="22"/>
          <w:lang w:eastAsia="en-AU"/>
        </w:rPr>
      </w:pPr>
      <w:r w:rsidRPr="0001329A">
        <w:rPr>
          <w:rFonts w:cs="Arial"/>
          <w:szCs w:val="22"/>
          <w:lang w:eastAsia="en-AU"/>
        </w:rPr>
        <w:t>CYFA</w:t>
      </w:r>
      <w:r w:rsidR="006F7AFB">
        <w:rPr>
          <w:rFonts w:cs="Arial"/>
          <w:szCs w:val="22"/>
          <w:lang w:eastAsia="en-AU"/>
        </w:rPr>
        <w:tab/>
      </w:r>
      <w:r w:rsidRPr="0001329A">
        <w:rPr>
          <w:rFonts w:cs="Arial"/>
          <w:i/>
          <w:szCs w:val="22"/>
          <w:lang w:eastAsia="en-AU"/>
        </w:rPr>
        <w:t>Children, Youth and Families Act 2005</w:t>
      </w:r>
      <w:r w:rsidR="00802DC5">
        <w:rPr>
          <w:rFonts w:cs="Arial"/>
          <w:szCs w:val="22"/>
          <w:lang w:eastAsia="en-AU"/>
        </w:rPr>
        <w:t xml:space="preserve"> (Vic</w:t>
      </w:r>
      <w:r w:rsidRPr="0001329A">
        <w:rPr>
          <w:rFonts w:cs="Arial"/>
          <w:szCs w:val="22"/>
          <w:lang w:eastAsia="en-AU"/>
        </w:rPr>
        <w:t xml:space="preserve">) </w:t>
      </w:r>
    </w:p>
    <w:p w14:paraId="6C0A4CB2" w14:textId="77777777" w:rsidR="001D105A" w:rsidRPr="0001329A" w:rsidRDefault="001D105A" w:rsidP="001D105A">
      <w:pPr>
        <w:spacing w:before="0" w:after="0" w:line="276" w:lineRule="auto"/>
        <w:rPr>
          <w:rFonts w:cs="Arial"/>
          <w:szCs w:val="22"/>
          <w:lang w:eastAsia="en-AU"/>
        </w:rPr>
      </w:pPr>
    </w:p>
    <w:p w14:paraId="622D3037" w14:textId="0E99D27C" w:rsidR="0001329A" w:rsidRPr="0001329A" w:rsidRDefault="0001329A" w:rsidP="006F7AFB">
      <w:pPr>
        <w:tabs>
          <w:tab w:val="left" w:pos="1843"/>
        </w:tabs>
        <w:spacing w:before="0" w:after="0" w:line="276" w:lineRule="auto"/>
        <w:rPr>
          <w:rFonts w:cs="Arial"/>
          <w:szCs w:val="22"/>
          <w:lang w:eastAsia="en-AU"/>
        </w:rPr>
      </w:pPr>
      <w:r w:rsidRPr="0001329A">
        <w:rPr>
          <w:rFonts w:cs="Arial"/>
          <w:szCs w:val="22"/>
          <w:lang w:eastAsia="en-AU"/>
        </w:rPr>
        <w:t>CYPA</w:t>
      </w:r>
      <w:r w:rsidR="006F7AFB">
        <w:rPr>
          <w:rFonts w:cs="Arial"/>
          <w:szCs w:val="22"/>
          <w:lang w:eastAsia="en-AU"/>
        </w:rPr>
        <w:tab/>
      </w:r>
      <w:r w:rsidRPr="0001329A">
        <w:rPr>
          <w:rFonts w:cs="Arial"/>
          <w:i/>
          <w:szCs w:val="22"/>
          <w:lang w:eastAsia="en-AU"/>
        </w:rPr>
        <w:t>Children and Young Persons Act 1989</w:t>
      </w:r>
      <w:r w:rsidR="00802DC5">
        <w:rPr>
          <w:rFonts w:cs="Arial"/>
          <w:szCs w:val="22"/>
          <w:lang w:eastAsia="en-AU"/>
        </w:rPr>
        <w:t xml:space="preserve"> (Vic</w:t>
      </w:r>
      <w:r w:rsidRPr="0001329A">
        <w:rPr>
          <w:rFonts w:cs="Arial"/>
          <w:szCs w:val="22"/>
          <w:lang w:eastAsia="en-AU"/>
        </w:rPr>
        <w:t>)</w:t>
      </w:r>
    </w:p>
    <w:p w14:paraId="7A9F8904" w14:textId="77777777" w:rsidR="0001329A" w:rsidRPr="0001329A" w:rsidRDefault="0001329A" w:rsidP="00086408">
      <w:pPr>
        <w:spacing w:before="0" w:after="0" w:line="276" w:lineRule="auto"/>
        <w:rPr>
          <w:rFonts w:cs="Arial"/>
          <w:szCs w:val="22"/>
          <w:lang w:eastAsia="en-AU"/>
        </w:rPr>
      </w:pPr>
    </w:p>
    <w:p w14:paraId="5C47B5B0" w14:textId="4B353212" w:rsidR="0001329A" w:rsidRDefault="0001329A" w:rsidP="006F7AFB">
      <w:pPr>
        <w:tabs>
          <w:tab w:val="left" w:pos="1843"/>
        </w:tabs>
        <w:spacing w:before="0" w:after="0" w:line="276" w:lineRule="auto"/>
        <w:rPr>
          <w:rFonts w:cs="Arial"/>
          <w:szCs w:val="22"/>
          <w:lang w:eastAsia="en-AU"/>
        </w:rPr>
      </w:pPr>
      <w:r w:rsidRPr="0001329A">
        <w:rPr>
          <w:rFonts w:cs="Arial"/>
          <w:szCs w:val="22"/>
          <w:lang w:eastAsia="en-AU"/>
        </w:rPr>
        <w:t>DHHS</w:t>
      </w:r>
      <w:r w:rsidR="006F7AFB">
        <w:rPr>
          <w:rFonts w:cs="Arial"/>
          <w:szCs w:val="22"/>
          <w:lang w:eastAsia="en-AU"/>
        </w:rPr>
        <w:tab/>
      </w:r>
      <w:r w:rsidRPr="0001329A">
        <w:rPr>
          <w:rFonts w:cs="Arial"/>
          <w:szCs w:val="22"/>
          <w:lang w:eastAsia="en-AU"/>
        </w:rPr>
        <w:t>Department of Health and Human Services</w:t>
      </w:r>
    </w:p>
    <w:p w14:paraId="4611F8D4" w14:textId="77777777" w:rsidR="00CE30DF" w:rsidRDefault="00CE30DF" w:rsidP="00086408">
      <w:pPr>
        <w:spacing w:before="0" w:after="0" w:line="276" w:lineRule="auto"/>
        <w:rPr>
          <w:rFonts w:cs="Arial"/>
          <w:szCs w:val="22"/>
          <w:lang w:eastAsia="en-AU"/>
        </w:rPr>
      </w:pPr>
    </w:p>
    <w:p w14:paraId="3A83B954" w14:textId="6F2E50CA" w:rsidR="00CE30DF" w:rsidRDefault="00CE30DF" w:rsidP="006F7AFB">
      <w:pPr>
        <w:tabs>
          <w:tab w:val="left" w:pos="1843"/>
        </w:tabs>
        <w:spacing w:before="0" w:after="0" w:line="276" w:lineRule="auto"/>
        <w:rPr>
          <w:rFonts w:cs="Arial"/>
          <w:szCs w:val="22"/>
          <w:lang w:eastAsia="en-AU"/>
        </w:rPr>
      </w:pPr>
      <w:r>
        <w:rPr>
          <w:rFonts w:cs="Arial"/>
          <w:szCs w:val="22"/>
          <w:lang w:eastAsia="en-AU"/>
        </w:rPr>
        <w:t>FGC</w:t>
      </w:r>
      <w:r w:rsidR="006F7AFB">
        <w:rPr>
          <w:rFonts w:cs="Arial"/>
          <w:szCs w:val="22"/>
          <w:lang w:eastAsia="en-AU"/>
        </w:rPr>
        <w:tab/>
      </w:r>
      <w:r w:rsidR="00802DC5">
        <w:rPr>
          <w:rFonts w:cs="Arial"/>
          <w:szCs w:val="22"/>
          <w:lang w:eastAsia="en-AU"/>
        </w:rPr>
        <w:t>Family g</w:t>
      </w:r>
      <w:r>
        <w:rPr>
          <w:rFonts w:cs="Arial"/>
          <w:szCs w:val="22"/>
          <w:lang w:eastAsia="en-AU"/>
        </w:rPr>
        <w:t xml:space="preserve">roup </w:t>
      </w:r>
      <w:r w:rsidR="00802DC5">
        <w:rPr>
          <w:rFonts w:cs="Arial"/>
          <w:szCs w:val="22"/>
          <w:lang w:eastAsia="en-AU"/>
        </w:rPr>
        <w:t>c</w:t>
      </w:r>
      <w:r>
        <w:rPr>
          <w:rFonts w:cs="Arial"/>
          <w:szCs w:val="22"/>
          <w:lang w:eastAsia="en-AU"/>
        </w:rPr>
        <w:t>onferencing</w:t>
      </w:r>
    </w:p>
    <w:p w14:paraId="6A699CF6" w14:textId="77777777" w:rsidR="00CE30DF" w:rsidRDefault="00CE30DF" w:rsidP="00086408">
      <w:pPr>
        <w:spacing w:before="0" w:after="0" w:line="276" w:lineRule="auto"/>
        <w:rPr>
          <w:rFonts w:cs="Arial"/>
          <w:szCs w:val="22"/>
          <w:lang w:eastAsia="en-AU"/>
        </w:rPr>
      </w:pPr>
    </w:p>
    <w:p w14:paraId="70B77436" w14:textId="57006321" w:rsidR="00CE30DF" w:rsidRPr="0001329A" w:rsidRDefault="00CE30DF" w:rsidP="006F7AFB">
      <w:pPr>
        <w:tabs>
          <w:tab w:val="left" w:pos="1843"/>
        </w:tabs>
        <w:spacing w:before="0" w:after="0" w:line="276" w:lineRule="auto"/>
        <w:rPr>
          <w:rFonts w:cs="Arial"/>
          <w:szCs w:val="22"/>
          <w:lang w:eastAsia="en-AU"/>
        </w:rPr>
      </w:pPr>
      <w:r>
        <w:rPr>
          <w:rFonts w:cs="Arial"/>
          <w:szCs w:val="22"/>
          <w:lang w:eastAsia="en-AU"/>
        </w:rPr>
        <w:t>ICL</w:t>
      </w:r>
      <w:r w:rsidR="006F7AFB">
        <w:rPr>
          <w:rFonts w:cs="Arial"/>
          <w:szCs w:val="22"/>
          <w:lang w:eastAsia="en-AU"/>
        </w:rPr>
        <w:tab/>
      </w:r>
      <w:r w:rsidR="00802DC5">
        <w:rPr>
          <w:rFonts w:cs="Arial"/>
          <w:szCs w:val="22"/>
          <w:lang w:eastAsia="en-AU"/>
        </w:rPr>
        <w:t>Independent c</w:t>
      </w:r>
      <w:r>
        <w:rPr>
          <w:rFonts w:cs="Arial"/>
          <w:szCs w:val="22"/>
          <w:lang w:eastAsia="en-AU"/>
        </w:rPr>
        <w:t xml:space="preserve">hildren’s </w:t>
      </w:r>
      <w:r w:rsidR="00802DC5">
        <w:rPr>
          <w:rFonts w:cs="Arial"/>
          <w:szCs w:val="22"/>
          <w:lang w:eastAsia="en-AU"/>
        </w:rPr>
        <w:t>l</w:t>
      </w:r>
      <w:r>
        <w:rPr>
          <w:rFonts w:cs="Arial"/>
          <w:szCs w:val="22"/>
          <w:lang w:eastAsia="en-AU"/>
        </w:rPr>
        <w:t>awyer</w:t>
      </w:r>
    </w:p>
    <w:p w14:paraId="48F23C92" w14:textId="77777777" w:rsidR="0001329A" w:rsidRPr="0001329A" w:rsidRDefault="0001329A" w:rsidP="00086408">
      <w:pPr>
        <w:spacing w:before="0" w:after="0" w:line="276" w:lineRule="auto"/>
        <w:rPr>
          <w:rFonts w:cs="Arial"/>
          <w:szCs w:val="22"/>
          <w:lang w:eastAsia="en-AU"/>
        </w:rPr>
      </w:pPr>
    </w:p>
    <w:p w14:paraId="100A77BF" w14:textId="157063C9" w:rsidR="0001329A" w:rsidRPr="0001329A" w:rsidRDefault="001601C1" w:rsidP="006F7AFB">
      <w:pPr>
        <w:tabs>
          <w:tab w:val="left" w:pos="1843"/>
        </w:tabs>
        <w:spacing w:before="0" w:after="0" w:line="276" w:lineRule="auto"/>
        <w:rPr>
          <w:rFonts w:cs="Arial"/>
          <w:szCs w:val="22"/>
          <w:lang w:eastAsia="en-AU"/>
        </w:rPr>
      </w:pPr>
      <w:r>
        <w:rPr>
          <w:rFonts w:cs="Arial"/>
          <w:szCs w:val="22"/>
          <w:lang w:eastAsia="en-AU"/>
        </w:rPr>
        <w:t>IRSED</w:t>
      </w:r>
      <w:r w:rsidR="006F7AFB">
        <w:rPr>
          <w:rFonts w:cs="Arial"/>
          <w:szCs w:val="22"/>
          <w:lang w:eastAsia="en-AU"/>
        </w:rPr>
        <w:tab/>
      </w:r>
      <w:r w:rsidR="00DE39D3">
        <w:rPr>
          <w:rFonts w:cs="Arial"/>
          <w:szCs w:val="22"/>
          <w:lang w:eastAsia="en-AU"/>
        </w:rPr>
        <w:t>Index of R</w:t>
      </w:r>
      <w:r w:rsidRPr="0001329A">
        <w:rPr>
          <w:rFonts w:cs="Arial"/>
          <w:szCs w:val="22"/>
          <w:lang w:eastAsia="en-AU"/>
        </w:rPr>
        <w:t xml:space="preserve">elative </w:t>
      </w:r>
      <w:r w:rsidR="00DE39D3">
        <w:rPr>
          <w:rFonts w:cs="Arial"/>
          <w:szCs w:val="22"/>
          <w:lang w:eastAsia="en-AU"/>
        </w:rPr>
        <w:t>S</w:t>
      </w:r>
      <w:r w:rsidRPr="0001329A">
        <w:rPr>
          <w:rFonts w:cs="Arial"/>
          <w:szCs w:val="22"/>
          <w:lang w:eastAsia="en-AU"/>
        </w:rPr>
        <w:t>ocio-</w:t>
      </w:r>
      <w:r w:rsidR="00DE39D3">
        <w:rPr>
          <w:rFonts w:cs="Arial"/>
          <w:szCs w:val="22"/>
          <w:lang w:eastAsia="en-AU"/>
        </w:rPr>
        <w:t>E</w:t>
      </w:r>
      <w:r w:rsidRPr="0001329A">
        <w:rPr>
          <w:rFonts w:cs="Arial"/>
          <w:szCs w:val="22"/>
          <w:lang w:eastAsia="en-AU"/>
        </w:rPr>
        <w:t xml:space="preserve">conomic </w:t>
      </w:r>
      <w:r w:rsidR="00DE39D3">
        <w:rPr>
          <w:rFonts w:cs="Arial"/>
          <w:szCs w:val="22"/>
          <w:lang w:eastAsia="en-AU"/>
        </w:rPr>
        <w:t>D</w:t>
      </w:r>
      <w:r w:rsidRPr="0001329A">
        <w:rPr>
          <w:rFonts w:cs="Arial"/>
          <w:szCs w:val="22"/>
          <w:lang w:eastAsia="en-AU"/>
        </w:rPr>
        <w:t>isadvantage</w:t>
      </w:r>
    </w:p>
    <w:p w14:paraId="7CA09188" w14:textId="77777777" w:rsidR="0001329A" w:rsidRPr="0001329A" w:rsidRDefault="0001329A" w:rsidP="00086408">
      <w:pPr>
        <w:spacing w:before="0" w:after="0" w:line="276" w:lineRule="auto"/>
        <w:rPr>
          <w:rFonts w:cs="Arial"/>
          <w:szCs w:val="22"/>
          <w:lang w:eastAsia="en-AU"/>
        </w:rPr>
      </w:pPr>
    </w:p>
    <w:p w14:paraId="36FC029F" w14:textId="4AF4F1D9" w:rsidR="0001329A" w:rsidRDefault="001601C1" w:rsidP="006F7AFB">
      <w:pPr>
        <w:tabs>
          <w:tab w:val="left" w:pos="1843"/>
        </w:tabs>
        <w:spacing w:before="0" w:after="0" w:line="276" w:lineRule="auto"/>
        <w:rPr>
          <w:rFonts w:cs="Arial"/>
          <w:szCs w:val="22"/>
          <w:lang w:eastAsia="en-AU"/>
        </w:rPr>
      </w:pPr>
      <w:r>
        <w:rPr>
          <w:rFonts w:cs="Arial"/>
          <w:szCs w:val="22"/>
          <w:lang w:eastAsia="en-AU"/>
        </w:rPr>
        <w:t>OOHC</w:t>
      </w:r>
      <w:r w:rsidR="006F7AFB">
        <w:rPr>
          <w:rFonts w:cs="Arial"/>
          <w:szCs w:val="22"/>
          <w:lang w:eastAsia="en-AU"/>
        </w:rPr>
        <w:tab/>
      </w:r>
      <w:r>
        <w:rPr>
          <w:rFonts w:cs="Arial"/>
          <w:szCs w:val="22"/>
          <w:lang w:eastAsia="en-AU"/>
        </w:rPr>
        <w:t>O</w:t>
      </w:r>
      <w:r w:rsidR="006D3C43">
        <w:rPr>
          <w:rFonts w:cs="Arial"/>
          <w:szCs w:val="22"/>
          <w:lang w:eastAsia="en-AU"/>
        </w:rPr>
        <w:t>ut-of-</w:t>
      </w:r>
      <w:r w:rsidR="0001329A" w:rsidRPr="0001329A">
        <w:rPr>
          <w:rFonts w:cs="Arial"/>
          <w:szCs w:val="22"/>
          <w:lang w:eastAsia="en-AU"/>
        </w:rPr>
        <w:t xml:space="preserve">home care </w:t>
      </w:r>
    </w:p>
    <w:p w14:paraId="5E72F137" w14:textId="2B4EE931" w:rsidR="002D1A5B" w:rsidRDefault="002D1A5B" w:rsidP="00086408">
      <w:pPr>
        <w:spacing w:before="0" w:after="0" w:line="276" w:lineRule="auto"/>
        <w:rPr>
          <w:rFonts w:cs="Arial"/>
          <w:szCs w:val="22"/>
          <w:lang w:eastAsia="en-AU"/>
        </w:rPr>
      </w:pPr>
    </w:p>
    <w:p w14:paraId="0D54D5BE" w14:textId="7D7D2EE8" w:rsidR="002D1A5B" w:rsidRDefault="002D1A5B" w:rsidP="006F7AFB">
      <w:pPr>
        <w:tabs>
          <w:tab w:val="left" w:pos="1843"/>
        </w:tabs>
        <w:spacing w:before="0" w:after="0" w:line="276" w:lineRule="auto"/>
        <w:rPr>
          <w:rFonts w:cs="Arial"/>
          <w:szCs w:val="22"/>
          <w:lang w:eastAsia="en-AU"/>
        </w:rPr>
      </w:pPr>
      <w:r>
        <w:rPr>
          <w:rFonts w:cs="Arial"/>
          <w:szCs w:val="22"/>
          <w:lang w:eastAsia="en-AU"/>
        </w:rPr>
        <w:t>RCVF</w:t>
      </w:r>
      <w:r w:rsidR="006F7AFB">
        <w:rPr>
          <w:rFonts w:cs="Arial"/>
          <w:szCs w:val="22"/>
          <w:lang w:eastAsia="en-AU"/>
        </w:rPr>
        <w:tab/>
      </w:r>
      <w:r>
        <w:rPr>
          <w:rFonts w:cs="Arial"/>
          <w:szCs w:val="22"/>
          <w:lang w:eastAsia="en-AU"/>
        </w:rPr>
        <w:t>Royal Commission into Family Violence</w:t>
      </w:r>
    </w:p>
    <w:p w14:paraId="49A4E00A" w14:textId="2626E2DF" w:rsidR="003B65E6" w:rsidRDefault="003B65E6" w:rsidP="00086408">
      <w:pPr>
        <w:spacing w:before="0" w:after="0" w:line="276" w:lineRule="auto"/>
        <w:rPr>
          <w:rFonts w:cs="Arial"/>
          <w:szCs w:val="22"/>
          <w:lang w:eastAsia="en-AU"/>
        </w:rPr>
      </w:pPr>
    </w:p>
    <w:p w14:paraId="3CDA4A65" w14:textId="22676DBD" w:rsidR="003B65E6" w:rsidRPr="0001329A" w:rsidRDefault="006F7AFB" w:rsidP="006F7AFB">
      <w:pPr>
        <w:tabs>
          <w:tab w:val="left" w:pos="1843"/>
        </w:tabs>
        <w:spacing w:before="0" w:after="0" w:line="276" w:lineRule="auto"/>
        <w:rPr>
          <w:rFonts w:cs="Arial"/>
          <w:szCs w:val="22"/>
          <w:lang w:eastAsia="en-AU"/>
        </w:rPr>
      </w:pPr>
      <w:r>
        <w:rPr>
          <w:rFonts w:cs="Arial"/>
          <w:szCs w:val="22"/>
          <w:lang w:eastAsia="en-AU"/>
        </w:rPr>
        <w:t>Review</w:t>
      </w:r>
      <w:r>
        <w:rPr>
          <w:rFonts w:cs="Arial"/>
          <w:szCs w:val="22"/>
          <w:lang w:eastAsia="en-AU"/>
        </w:rPr>
        <w:tab/>
      </w:r>
      <w:r w:rsidR="003B65E6">
        <w:rPr>
          <w:rFonts w:cs="Arial"/>
          <w:szCs w:val="22"/>
          <w:lang w:eastAsia="en-AU"/>
        </w:rPr>
        <w:t>Child Protection Review</w:t>
      </w:r>
    </w:p>
    <w:p w14:paraId="7CFD5D1B" w14:textId="77777777" w:rsidR="0001329A" w:rsidRPr="0001329A" w:rsidRDefault="0001329A" w:rsidP="00086408">
      <w:pPr>
        <w:spacing w:before="0" w:after="0" w:line="276" w:lineRule="auto"/>
        <w:rPr>
          <w:rFonts w:cs="Arial"/>
          <w:szCs w:val="22"/>
          <w:lang w:eastAsia="en-AU"/>
        </w:rPr>
      </w:pPr>
    </w:p>
    <w:p w14:paraId="1EE9E2BA" w14:textId="3ACAB682" w:rsidR="0001329A" w:rsidRDefault="001601C1" w:rsidP="006F7AFB">
      <w:pPr>
        <w:tabs>
          <w:tab w:val="left" w:pos="1843"/>
        </w:tabs>
        <w:spacing w:before="0" w:after="0" w:line="276" w:lineRule="auto"/>
        <w:rPr>
          <w:rFonts w:cs="Arial"/>
          <w:szCs w:val="22"/>
          <w:lang w:eastAsia="en-AU"/>
        </w:rPr>
      </w:pPr>
      <w:r>
        <w:rPr>
          <w:rFonts w:cs="Arial"/>
          <w:szCs w:val="22"/>
          <w:lang w:eastAsia="en-AU"/>
        </w:rPr>
        <w:t>SEIFA</w:t>
      </w:r>
      <w:r w:rsidR="006F7AFB">
        <w:rPr>
          <w:rFonts w:cs="Arial"/>
          <w:szCs w:val="22"/>
          <w:lang w:eastAsia="en-AU"/>
        </w:rPr>
        <w:tab/>
      </w:r>
      <w:r w:rsidR="00DE39D3">
        <w:rPr>
          <w:rFonts w:cs="Arial"/>
          <w:szCs w:val="22"/>
          <w:lang w:eastAsia="en-AU"/>
        </w:rPr>
        <w:t>Socio-E</w:t>
      </w:r>
      <w:r w:rsidR="0001329A" w:rsidRPr="0001329A">
        <w:rPr>
          <w:rFonts w:cs="Arial"/>
          <w:szCs w:val="22"/>
          <w:lang w:eastAsia="en-AU"/>
        </w:rPr>
        <w:t xml:space="preserve">conomic </w:t>
      </w:r>
      <w:r w:rsidR="00DE39D3">
        <w:rPr>
          <w:rFonts w:cs="Arial"/>
          <w:szCs w:val="22"/>
          <w:lang w:eastAsia="en-AU"/>
        </w:rPr>
        <w:t>I</w:t>
      </w:r>
      <w:r w:rsidR="0001329A" w:rsidRPr="0001329A">
        <w:rPr>
          <w:rFonts w:cs="Arial"/>
          <w:szCs w:val="22"/>
          <w:lang w:eastAsia="en-AU"/>
        </w:rPr>
        <w:t xml:space="preserve">ndexes for </w:t>
      </w:r>
      <w:r w:rsidR="00DE39D3">
        <w:rPr>
          <w:rFonts w:cs="Arial"/>
          <w:szCs w:val="22"/>
          <w:lang w:eastAsia="en-AU"/>
        </w:rPr>
        <w:t>A</w:t>
      </w:r>
      <w:r w:rsidR="0001329A" w:rsidRPr="0001329A">
        <w:rPr>
          <w:rFonts w:cs="Arial"/>
          <w:szCs w:val="22"/>
          <w:lang w:eastAsia="en-AU"/>
        </w:rPr>
        <w:t xml:space="preserve">reas </w:t>
      </w:r>
    </w:p>
    <w:p w14:paraId="0DABAE40" w14:textId="77777777" w:rsidR="00CE30DF" w:rsidRDefault="00CE30DF" w:rsidP="00086408">
      <w:pPr>
        <w:spacing w:before="0" w:after="0" w:line="276" w:lineRule="auto"/>
        <w:rPr>
          <w:rFonts w:cs="Arial"/>
          <w:szCs w:val="22"/>
          <w:lang w:eastAsia="en-AU"/>
        </w:rPr>
      </w:pPr>
    </w:p>
    <w:p w14:paraId="0E4874F7" w14:textId="450E4BDF" w:rsidR="00CE30DF" w:rsidRPr="0001329A" w:rsidRDefault="00CE30DF" w:rsidP="006F7AFB">
      <w:pPr>
        <w:tabs>
          <w:tab w:val="left" w:pos="1843"/>
        </w:tabs>
        <w:spacing w:before="0" w:after="0" w:line="276" w:lineRule="auto"/>
        <w:rPr>
          <w:rFonts w:cs="Arial"/>
          <w:szCs w:val="22"/>
          <w:lang w:eastAsia="en-AU"/>
        </w:rPr>
      </w:pPr>
      <w:r>
        <w:rPr>
          <w:rFonts w:cs="Arial"/>
          <w:szCs w:val="22"/>
          <w:lang w:eastAsia="en-AU"/>
        </w:rPr>
        <w:t>VCAT</w:t>
      </w:r>
      <w:r w:rsidR="006F7AFB">
        <w:rPr>
          <w:rFonts w:cs="Arial"/>
          <w:szCs w:val="22"/>
          <w:lang w:eastAsia="en-AU"/>
        </w:rPr>
        <w:tab/>
      </w:r>
      <w:r>
        <w:rPr>
          <w:rFonts w:cs="Arial"/>
          <w:szCs w:val="22"/>
          <w:lang w:eastAsia="en-AU"/>
        </w:rPr>
        <w:t>Victorian Civil and Administrative Tribunal</w:t>
      </w:r>
    </w:p>
    <w:p w14:paraId="0CBBE58D" w14:textId="77777777" w:rsidR="0001329A" w:rsidRDefault="0001329A" w:rsidP="00086408">
      <w:pPr>
        <w:spacing w:before="0" w:after="0" w:line="276" w:lineRule="auto"/>
        <w:rPr>
          <w:rFonts w:cs="Arial"/>
          <w:sz w:val="24"/>
        </w:rPr>
      </w:pPr>
    </w:p>
    <w:p w14:paraId="1F620015" w14:textId="13D48483" w:rsidR="00CE30DF" w:rsidRPr="00CE30DF" w:rsidRDefault="00CE30DF" w:rsidP="006F7AFB">
      <w:pPr>
        <w:tabs>
          <w:tab w:val="left" w:pos="1843"/>
        </w:tabs>
        <w:spacing w:before="0" w:after="0" w:line="276" w:lineRule="auto"/>
        <w:rPr>
          <w:rFonts w:cs="Arial"/>
          <w:szCs w:val="22"/>
        </w:rPr>
      </w:pPr>
      <w:r w:rsidRPr="00CE30DF">
        <w:rPr>
          <w:rFonts w:cs="Arial"/>
          <w:szCs w:val="22"/>
        </w:rPr>
        <w:t>VLA</w:t>
      </w:r>
      <w:r w:rsidR="006F7AFB">
        <w:rPr>
          <w:rFonts w:cs="Arial"/>
          <w:szCs w:val="22"/>
        </w:rPr>
        <w:tab/>
      </w:r>
      <w:r w:rsidRPr="00CE30DF">
        <w:rPr>
          <w:rFonts w:cs="Arial"/>
          <w:szCs w:val="22"/>
        </w:rPr>
        <w:t>Victoria Legal Aid</w:t>
      </w:r>
    </w:p>
    <w:p w14:paraId="0DA9DF67" w14:textId="77777777" w:rsidR="0001247F" w:rsidRPr="008D2363" w:rsidRDefault="0001329A" w:rsidP="008D2363">
      <w:pPr>
        <w:spacing w:before="0" w:after="0" w:line="276" w:lineRule="auto"/>
        <w:rPr>
          <w:rFonts w:cs="Arial"/>
          <w:sz w:val="24"/>
        </w:rPr>
      </w:pPr>
      <w:r w:rsidRPr="0001329A">
        <w:rPr>
          <w:rFonts w:cs="Arial"/>
          <w:sz w:val="24"/>
        </w:rPr>
        <w:br w:type="page"/>
      </w:r>
    </w:p>
    <w:p w14:paraId="48EC279E" w14:textId="60752CD4" w:rsidR="0001247F" w:rsidRDefault="006F7AFB" w:rsidP="006F7AFB">
      <w:pPr>
        <w:pStyle w:val="Heading1numbered"/>
      </w:pPr>
      <w:bookmarkStart w:id="12" w:name="_Toc465244403"/>
      <w:r>
        <w:lastRenderedPageBreak/>
        <w:t>Reports, i</w:t>
      </w:r>
      <w:r w:rsidR="0001247F">
        <w:t xml:space="preserve">nquiries and </w:t>
      </w:r>
      <w:r>
        <w:t>r</w:t>
      </w:r>
      <w:r w:rsidR="0001247F">
        <w:t>eviews</w:t>
      </w:r>
      <w:bookmarkEnd w:id="12"/>
    </w:p>
    <w:p w14:paraId="26B8B0E4" w14:textId="24CB35A6" w:rsidR="00AE37E0" w:rsidRPr="00D033AD" w:rsidRDefault="0001247F" w:rsidP="00D033AD">
      <w:r w:rsidRPr="00D033AD">
        <w:t xml:space="preserve">The determination of when a child is in need of protection by the state, the framework in which that assessment is made and the manner in which protection is afforded has been the </w:t>
      </w:r>
      <w:r w:rsidR="00CA7069" w:rsidRPr="00D033AD">
        <w:t>subject of debate</w:t>
      </w:r>
      <w:r w:rsidR="00514EA2" w:rsidRPr="00D033AD">
        <w:t xml:space="preserve"> since the 1860s.</w:t>
      </w:r>
      <w:r w:rsidR="00514EA2" w:rsidRPr="00070CFA">
        <w:rPr>
          <w:rStyle w:val="FootnoteReference"/>
        </w:rPr>
        <w:footnoteReference w:id="15"/>
      </w:r>
      <w:r w:rsidRPr="00070CFA">
        <w:rPr>
          <w:rStyle w:val="FootnoteReference"/>
        </w:rPr>
        <w:t xml:space="preserve"> </w:t>
      </w:r>
      <w:r w:rsidRPr="00D033AD">
        <w:t>Since that time, there have been numerous reviews, producing voluminous reports and a myriad of recommendations. These have resulted in many attempts at reforming the child protection system which have met with varying levels of success. Consideration of some key milestones in the child protection system since the 1980s assists in understanding the present framework (</w:t>
      </w:r>
      <w:r w:rsidRPr="00A313F3">
        <w:t xml:space="preserve">see also </w:t>
      </w:r>
      <w:hyperlink w:anchor="Figure1" w:history="1">
        <w:r w:rsidRPr="00A313F3">
          <w:rPr>
            <w:rStyle w:val="Hyperlink"/>
          </w:rPr>
          <w:t>Figure 1</w:t>
        </w:r>
      </w:hyperlink>
      <w:r w:rsidRPr="00D033AD">
        <w:t>).</w:t>
      </w:r>
    </w:p>
    <w:p w14:paraId="1666E22A" w14:textId="650382E5" w:rsidR="00514EA2" w:rsidRPr="00D033AD" w:rsidRDefault="00514EA2" w:rsidP="00D033AD">
      <w:r w:rsidRPr="00D033AD">
        <w:t xml:space="preserve">The </w:t>
      </w:r>
      <w:r w:rsidRPr="00D033AD">
        <w:rPr>
          <w:b/>
        </w:rPr>
        <w:t>‘Carney Report’</w:t>
      </w:r>
      <w:r w:rsidRPr="00D033AD">
        <w:t xml:space="preserve"> (1984)</w:t>
      </w:r>
      <w:r w:rsidRPr="00D033AD">
        <w:rPr>
          <w:rStyle w:val="FootnoteReference"/>
        </w:rPr>
        <w:footnoteReference w:id="16"/>
      </w:r>
      <w:r w:rsidRPr="00D033AD">
        <w:rPr>
          <w:rStyle w:val="FootnoteReference"/>
        </w:rPr>
        <w:t xml:space="preserve"> </w:t>
      </w:r>
      <w:r w:rsidRPr="00D033AD">
        <w:t xml:space="preserve">was a major review of the child protection system. The recommendations of the report formed the basis for the </w:t>
      </w:r>
      <w:r w:rsidRPr="00D033AD">
        <w:rPr>
          <w:i/>
        </w:rPr>
        <w:t>Children and Young Persons Act 1989</w:t>
      </w:r>
      <w:r w:rsidR="00D033AD" w:rsidRPr="00D033AD">
        <w:t xml:space="preserve"> (Vic</w:t>
      </w:r>
      <w:r w:rsidRPr="00D033AD">
        <w:t>) (CYPA). This saw the creation of a specialist Family Division in the Children’s Court to consi</w:t>
      </w:r>
      <w:r w:rsidR="00F71279">
        <w:t>der child protection matters.</w:t>
      </w:r>
    </w:p>
    <w:p w14:paraId="03FF15BE" w14:textId="01910CE7" w:rsidR="00514EA2" w:rsidRDefault="00514EA2" w:rsidP="00086408">
      <w:pPr>
        <w:spacing w:line="276" w:lineRule="auto"/>
        <w:rPr>
          <w:lang w:eastAsia="en-AU"/>
        </w:rPr>
      </w:pPr>
      <w:r>
        <w:rPr>
          <w:lang w:eastAsia="en-AU"/>
        </w:rPr>
        <w:t xml:space="preserve">The </w:t>
      </w:r>
      <w:r w:rsidRPr="00AE37E0">
        <w:rPr>
          <w:b/>
          <w:lang w:eastAsia="en-AU"/>
        </w:rPr>
        <w:t>‘Fogarty Report’</w:t>
      </w:r>
      <w:r w:rsidR="00AE37E0">
        <w:rPr>
          <w:lang w:eastAsia="en-AU"/>
        </w:rPr>
        <w:t xml:space="preserve"> (1989)</w:t>
      </w:r>
      <w:r w:rsidR="00AE37E0">
        <w:rPr>
          <w:rStyle w:val="FootnoteReference"/>
          <w:lang w:eastAsia="en-AU"/>
        </w:rPr>
        <w:footnoteReference w:id="17"/>
      </w:r>
      <w:r w:rsidR="00AE37E0">
        <w:rPr>
          <w:lang w:eastAsia="en-AU"/>
        </w:rPr>
        <w:t xml:space="preserve"> </w:t>
      </w:r>
      <w:r>
        <w:rPr>
          <w:lang w:eastAsia="en-AU"/>
        </w:rPr>
        <w:t>lead to the aboli</w:t>
      </w:r>
      <w:r w:rsidR="00070CFA">
        <w:rPr>
          <w:lang w:eastAsia="en-AU"/>
        </w:rPr>
        <w:t>tion of the ‘dual track system’ –</w:t>
      </w:r>
      <w:r>
        <w:rPr>
          <w:lang w:eastAsia="en-AU"/>
        </w:rPr>
        <w:t xml:space="preserve"> the spl</w:t>
      </w:r>
      <w:r w:rsidR="00070CFA">
        <w:rPr>
          <w:lang w:eastAsia="en-AU"/>
        </w:rPr>
        <w:t>i</w:t>
      </w:r>
      <w:r>
        <w:rPr>
          <w:lang w:eastAsia="en-AU"/>
        </w:rPr>
        <w:t>t of responsibility for child protection between police and child protection staff. This also coincided with the introduction of mandat</w:t>
      </w:r>
      <w:r w:rsidR="0046680B">
        <w:rPr>
          <w:lang w:eastAsia="en-AU"/>
        </w:rPr>
        <w:t>ory reporting laws in Victoria.</w:t>
      </w:r>
    </w:p>
    <w:p w14:paraId="6BF1BB24" w14:textId="77777777" w:rsidR="00514EA2" w:rsidRDefault="00514EA2" w:rsidP="00086408">
      <w:pPr>
        <w:spacing w:line="276" w:lineRule="auto"/>
        <w:rPr>
          <w:lang w:eastAsia="en-AU"/>
        </w:rPr>
      </w:pPr>
      <w:r>
        <w:rPr>
          <w:lang w:eastAsia="en-AU"/>
        </w:rPr>
        <w:t xml:space="preserve">The </w:t>
      </w:r>
      <w:r w:rsidRPr="00AE37E0">
        <w:rPr>
          <w:b/>
          <w:lang w:eastAsia="en-AU"/>
        </w:rPr>
        <w:t>‘Child Protection Outcomes Project’</w:t>
      </w:r>
      <w:r w:rsidR="00AE37E0">
        <w:rPr>
          <w:lang w:eastAsia="en-AU"/>
        </w:rPr>
        <w:t xml:space="preserve"> (2003)</w:t>
      </w:r>
      <w:r w:rsidR="00AE37E0">
        <w:rPr>
          <w:rStyle w:val="FootnoteReference"/>
          <w:lang w:eastAsia="en-AU"/>
        </w:rPr>
        <w:footnoteReference w:id="18"/>
      </w:r>
      <w:r>
        <w:rPr>
          <w:lang w:eastAsia="en-AU"/>
        </w:rPr>
        <w:t xml:space="preserve"> was initiated by the then Department of Human Services (DHS). The DHS commissioned the Allen Consulting Group which concluded that the CYPA no longer provided an appropriate framework for the child protection system. </w:t>
      </w:r>
    </w:p>
    <w:p w14:paraId="33A538DC" w14:textId="28A6BEF9" w:rsidR="00514EA2" w:rsidRDefault="00514EA2" w:rsidP="00086408">
      <w:pPr>
        <w:spacing w:line="276" w:lineRule="auto"/>
        <w:rPr>
          <w:lang w:eastAsia="en-AU"/>
        </w:rPr>
      </w:pPr>
      <w:r>
        <w:rPr>
          <w:lang w:eastAsia="en-AU"/>
        </w:rPr>
        <w:t xml:space="preserve">The </w:t>
      </w:r>
      <w:r w:rsidRPr="00AE37E0">
        <w:rPr>
          <w:b/>
          <w:i/>
          <w:lang w:eastAsia="en-AU"/>
        </w:rPr>
        <w:t>Children, Youth and Families Act 2005</w:t>
      </w:r>
      <w:r w:rsidRPr="00AE37E0">
        <w:rPr>
          <w:b/>
          <w:lang w:eastAsia="en-AU"/>
        </w:rPr>
        <w:t xml:space="preserve"> (VIC)</w:t>
      </w:r>
      <w:r>
        <w:rPr>
          <w:lang w:eastAsia="en-AU"/>
        </w:rPr>
        <w:t xml:space="preserve"> (CYFA)</w:t>
      </w:r>
      <w:r w:rsidR="00AE37E0">
        <w:rPr>
          <w:rStyle w:val="FootnoteReference"/>
          <w:lang w:eastAsia="en-AU"/>
        </w:rPr>
        <w:footnoteReference w:id="19"/>
      </w:r>
      <w:r>
        <w:rPr>
          <w:lang w:eastAsia="en-AU"/>
        </w:rPr>
        <w:t>, was adopted in light of the findings of the Child Protection Outcomes Report. It formed part of a national move toward a more ‘profess</w:t>
      </w:r>
      <w:r w:rsidR="00AE37E0">
        <w:rPr>
          <w:lang w:eastAsia="en-AU"/>
        </w:rPr>
        <w:t>ional’ and legalistic approach.</w:t>
      </w:r>
      <w:r w:rsidR="00AE37E0">
        <w:rPr>
          <w:rStyle w:val="FootnoteReference"/>
          <w:lang w:eastAsia="en-AU"/>
        </w:rPr>
        <w:footnoteReference w:id="20"/>
      </w:r>
      <w:r>
        <w:rPr>
          <w:lang w:eastAsia="en-AU"/>
        </w:rPr>
        <w:t xml:space="preserve"> During the Second Reading speech the Minister for Children spoke of moves toward early intervention, prevention and best practice, with the reforms being informed by national and international experienc</w:t>
      </w:r>
      <w:r w:rsidR="0046680B">
        <w:rPr>
          <w:lang w:eastAsia="en-AU"/>
        </w:rPr>
        <w:t>e. The Minister went on to say:</w:t>
      </w:r>
    </w:p>
    <w:p w14:paraId="64830F3C" w14:textId="3071A5AB" w:rsidR="00514EA2" w:rsidRDefault="00D033AD" w:rsidP="005202C9">
      <w:pPr>
        <w:pStyle w:val="VLAquotation"/>
        <w:rPr>
          <w:lang w:eastAsia="en-AU"/>
        </w:rPr>
      </w:pPr>
      <w:r>
        <w:rPr>
          <w:lang w:eastAsia="en-AU"/>
        </w:rPr>
        <w:t>‘</w:t>
      </w:r>
      <w:r w:rsidR="00514EA2" w:rsidRPr="00CC5A3C">
        <w:rPr>
          <w:lang w:eastAsia="en-AU"/>
        </w:rPr>
        <w:t>The Children, Youth and Families Bill is a critical foundation to take these reforms forward. With this bill, we have a once-in-a-generation opportunity for com</w:t>
      </w:r>
      <w:r>
        <w:rPr>
          <w:lang w:eastAsia="en-AU"/>
        </w:rPr>
        <w:t>prehensive legislative change –</w:t>
      </w:r>
      <w:r w:rsidR="00514EA2" w:rsidRPr="00CC5A3C">
        <w:rPr>
          <w:lang w:eastAsia="en-AU"/>
        </w:rPr>
        <w:t xml:space="preserve"> changes that are critical to implement new policies and ways of delivering services to make a sustainable difference in the lives of vulner</w:t>
      </w:r>
      <w:r>
        <w:rPr>
          <w:lang w:eastAsia="en-AU"/>
        </w:rPr>
        <w:t>able children and young people.’</w:t>
      </w:r>
      <w:r w:rsidR="00CC5A3C">
        <w:rPr>
          <w:rStyle w:val="FootnoteReference"/>
          <w:i w:val="0"/>
          <w:lang w:eastAsia="en-AU"/>
        </w:rPr>
        <w:footnoteReference w:id="21"/>
      </w:r>
    </w:p>
    <w:p w14:paraId="12EC5D4C" w14:textId="32097C0D" w:rsidR="00CC5A3C" w:rsidRDefault="00CC5A3C" w:rsidP="00086408">
      <w:pPr>
        <w:spacing w:line="276" w:lineRule="auto"/>
        <w:rPr>
          <w:lang w:eastAsia="en-AU"/>
        </w:rPr>
      </w:pPr>
      <w:r>
        <w:rPr>
          <w:lang w:eastAsia="en-AU"/>
        </w:rPr>
        <w:lastRenderedPageBreak/>
        <w:t xml:space="preserve">The </w:t>
      </w:r>
      <w:r w:rsidR="00F30F46">
        <w:rPr>
          <w:b/>
          <w:lang w:eastAsia="en-AU"/>
        </w:rPr>
        <w:t>‘</w:t>
      </w:r>
      <w:r w:rsidRPr="00CC5A3C">
        <w:rPr>
          <w:b/>
          <w:lang w:eastAsia="en-AU"/>
        </w:rPr>
        <w:t>Own motion investigation of DHS Child Protection Program</w:t>
      </w:r>
      <w:r w:rsidR="00F30F46">
        <w:rPr>
          <w:b/>
          <w:lang w:eastAsia="en-AU"/>
        </w:rPr>
        <w:t>’</w:t>
      </w:r>
      <w:r>
        <w:rPr>
          <w:lang w:eastAsia="en-AU"/>
        </w:rPr>
        <w:t xml:space="preserve"> (2009)</w:t>
      </w:r>
      <w:r>
        <w:rPr>
          <w:rStyle w:val="FootnoteReference"/>
          <w:lang w:eastAsia="en-AU"/>
        </w:rPr>
        <w:footnoteReference w:id="22"/>
      </w:r>
      <w:r>
        <w:rPr>
          <w:lang w:eastAsia="en-AU"/>
        </w:rPr>
        <w:t xml:space="preserve"> by the Victorian Ombudsman noted that this was the eighth major review of the Victorian child protection system in the preceding 30 years.</w:t>
      </w:r>
      <w:r>
        <w:rPr>
          <w:rStyle w:val="FootnoteReference"/>
          <w:lang w:eastAsia="en-AU"/>
        </w:rPr>
        <w:footnoteReference w:id="23"/>
      </w:r>
      <w:r>
        <w:rPr>
          <w:lang w:eastAsia="en-AU"/>
        </w:rPr>
        <w:t xml:space="preserve"> The Ombudsman recommended the Victorian Law Reform Commission examine alternative legislative arrangements to reduce disputation and focus on t</w:t>
      </w:r>
      <w:r w:rsidR="00070CFA">
        <w:rPr>
          <w:lang w:eastAsia="en-AU"/>
        </w:rPr>
        <w:t>he best interests of the child –</w:t>
      </w:r>
      <w:r>
        <w:rPr>
          <w:lang w:eastAsia="en-AU"/>
        </w:rPr>
        <w:t xml:space="preserve"> this was only four years after the introduction of the CYFA. The report also called for greater transparency and consistency in the decision making processes of the</w:t>
      </w:r>
      <w:r w:rsidR="008B2533">
        <w:rPr>
          <w:lang w:eastAsia="en-AU"/>
        </w:rPr>
        <w:t xml:space="preserve"> </w:t>
      </w:r>
      <w:r w:rsidR="00690A62">
        <w:rPr>
          <w:lang w:eastAsia="en-AU"/>
        </w:rPr>
        <w:t>DHS</w:t>
      </w:r>
      <w:r w:rsidR="008B2533">
        <w:rPr>
          <w:lang w:eastAsia="en-AU"/>
        </w:rPr>
        <w:t xml:space="preserve"> a</w:t>
      </w:r>
      <w:r>
        <w:rPr>
          <w:lang w:eastAsia="en-AU"/>
        </w:rPr>
        <w:t>nd that it report on unallocated files (families without a child protection worker assigned to assist them).</w:t>
      </w:r>
    </w:p>
    <w:p w14:paraId="10C3E0B0" w14:textId="2A3CA321" w:rsidR="00CC5A3C" w:rsidRDefault="00CC5A3C" w:rsidP="00086408">
      <w:pPr>
        <w:spacing w:line="276" w:lineRule="auto"/>
        <w:rPr>
          <w:lang w:eastAsia="en-AU"/>
        </w:rPr>
      </w:pPr>
      <w:r>
        <w:rPr>
          <w:lang w:eastAsia="en-AU"/>
        </w:rPr>
        <w:t xml:space="preserve">The </w:t>
      </w:r>
      <w:r w:rsidRPr="00CC5A3C">
        <w:rPr>
          <w:b/>
          <w:lang w:eastAsia="en-AU"/>
        </w:rPr>
        <w:t xml:space="preserve">‘Protection Applications </w:t>
      </w:r>
      <w:r w:rsidR="002D1A5B">
        <w:rPr>
          <w:b/>
          <w:lang w:eastAsia="en-AU"/>
        </w:rPr>
        <w:t>i</w:t>
      </w:r>
      <w:r w:rsidRPr="00CC5A3C">
        <w:rPr>
          <w:b/>
          <w:lang w:eastAsia="en-AU"/>
        </w:rPr>
        <w:t>n the Children’s Court’ Report,</w:t>
      </w:r>
      <w:r>
        <w:rPr>
          <w:rStyle w:val="FootnoteReference"/>
          <w:b/>
          <w:lang w:eastAsia="en-AU"/>
        </w:rPr>
        <w:footnoteReference w:id="24"/>
      </w:r>
      <w:r>
        <w:rPr>
          <w:lang w:eastAsia="en-AU"/>
        </w:rPr>
        <w:t xml:space="preserve"> by the VLRC was completed in October 2010. It made further recommendations for change, with recommendations focused on increasing the use of appropriate dispute resolution in child protection proceedings, citing the successful application of family group conferencing in New Zealand. </w:t>
      </w:r>
    </w:p>
    <w:p w14:paraId="458F7CA1" w14:textId="3AB6024D" w:rsidR="00CC5A3C" w:rsidRDefault="00CC5A3C" w:rsidP="00086408">
      <w:pPr>
        <w:spacing w:line="276" w:lineRule="auto"/>
        <w:rPr>
          <w:lang w:eastAsia="en-AU"/>
        </w:rPr>
      </w:pPr>
      <w:r>
        <w:rPr>
          <w:lang w:eastAsia="en-AU"/>
        </w:rPr>
        <w:t xml:space="preserve">The </w:t>
      </w:r>
      <w:r w:rsidR="00F30F46">
        <w:rPr>
          <w:b/>
          <w:lang w:eastAsia="en-AU"/>
        </w:rPr>
        <w:t>‘</w:t>
      </w:r>
      <w:r w:rsidRPr="006F7BBE">
        <w:rPr>
          <w:b/>
          <w:lang w:eastAsia="en-AU"/>
        </w:rPr>
        <w:t>Own m</w:t>
      </w:r>
      <w:r w:rsidR="006D3C43">
        <w:rPr>
          <w:b/>
          <w:lang w:eastAsia="en-AU"/>
        </w:rPr>
        <w:t>otion investigation into out-of-</w:t>
      </w:r>
      <w:r w:rsidRPr="006F7BBE">
        <w:rPr>
          <w:b/>
          <w:lang w:eastAsia="en-AU"/>
        </w:rPr>
        <w:t>home care</w:t>
      </w:r>
      <w:r w:rsidR="00F30F46">
        <w:rPr>
          <w:b/>
          <w:lang w:eastAsia="en-AU"/>
        </w:rPr>
        <w:t>’</w:t>
      </w:r>
      <w:r w:rsidRPr="006F7BBE">
        <w:rPr>
          <w:b/>
          <w:lang w:eastAsia="en-AU"/>
        </w:rPr>
        <w:t xml:space="preserve"> Report</w:t>
      </w:r>
      <w:r w:rsidR="006F7BBE">
        <w:rPr>
          <w:lang w:eastAsia="en-AU"/>
        </w:rPr>
        <w:t xml:space="preserve"> (2010)</w:t>
      </w:r>
      <w:r w:rsidR="006F7BBE">
        <w:rPr>
          <w:rStyle w:val="FootnoteReference"/>
          <w:lang w:eastAsia="en-AU"/>
        </w:rPr>
        <w:footnoteReference w:id="25"/>
      </w:r>
      <w:r>
        <w:rPr>
          <w:lang w:eastAsia="en-AU"/>
        </w:rPr>
        <w:t xml:space="preserve"> by the Victorian Ombudsman concluded:</w:t>
      </w:r>
    </w:p>
    <w:p w14:paraId="2CAD0B46" w14:textId="615A42EF" w:rsidR="00CC5A3C" w:rsidRPr="006F7BBE" w:rsidRDefault="00D033AD" w:rsidP="005202C9">
      <w:pPr>
        <w:pStyle w:val="VLAquotation"/>
        <w:rPr>
          <w:lang w:eastAsia="en-AU"/>
        </w:rPr>
      </w:pPr>
      <w:r>
        <w:rPr>
          <w:lang w:eastAsia="en-AU"/>
        </w:rPr>
        <w:t>‘</w:t>
      </w:r>
      <w:r w:rsidR="00CC5A3C" w:rsidRPr="006F7BBE">
        <w:rPr>
          <w:lang w:eastAsia="en-AU"/>
        </w:rPr>
        <w:t>Evidence emerging from research into outcomes for children in care has eroded the assumption that simply removing children at risk of harm from their homes and placing them in care</w:t>
      </w:r>
      <w:r w:rsidR="00070CFA">
        <w:rPr>
          <w:lang w:eastAsia="en-AU"/>
        </w:rPr>
        <w:t xml:space="preserve"> will improve their well</w:t>
      </w:r>
      <w:r>
        <w:rPr>
          <w:lang w:eastAsia="en-AU"/>
        </w:rPr>
        <w:t>being.’</w:t>
      </w:r>
      <w:r w:rsidR="006F7BBE">
        <w:rPr>
          <w:rStyle w:val="FootnoteReference"/>
          <w:i w:val="0"/>
          <w:lang w:eastAsia="en-AU"/>
        </w:rPr>
        <w:footnoteReference w:id="26"/>
      </w:r>
    </w:p>
    <w:p w14:paraId="05964DA8" w14:textId="77777777" w:rsidR="00514EA2" w:rsidRDefault="00CC5A3C" w:rsidP="00086408">
      <w:pPr>
        <w:spacing w:line="276" w:lineRule="auto"/>
        <w:rPr>
          <w:lang w:eastAsia="en-AU"/>
        </w:rPr>
      </w:pPr>
      <w:r>
        <w:rPr>
          <w:lang w:eastAsia="en-AU"/>
        </w:rPr>
        <w:t>The Ombudsman noted that there had been a move from State to private provision of care, through the introduction of service agreements. The report observed that:</w:t>
      </w:r>
    </w:p>
    <w:p w14:paraId="722DD59C" w14:textId="62996A77" w:rsidR="002407FB" w:rsidRDefault="00D033AD" w:rsidP="005202C9">
      <w:pPr>
        <w:pStyle w:val="VLAquotation"/>
        <w:rPr>
          <w:lang w:eastAsia="en-AU"/>
        </w:rPr>
      </w:pPr>
      <w:r>
        <w:rPr>
          <w:lang w:eastAsia="en-AU"/>
        </w:rPr>
        <w:t>‘</w:t>
      </w:r>
      <w:r w:rsidR="00FB0137" w:rsidRPr="00FB0137">
        <w:rPr>
          <w:lang w:eastAsia="en-AU"/>
        </w:rPr>
        <w:t>Des</w:t>
      </w:r>
      <w:r w:rsidR="006D3C43">
        <w:rPr>
          <w:lang w:eastAsia="en-AU"/>
        </w:rPr>
        <w:t>pite ongoing reforms of the out-of-</w:t>
      </w:r>
      <w:r w:rsidR="00FB0137" w:rsidRPr="00FB0137">
        <w:rPr>
          <w:lang w:eastAsia="en-AU"/>
        </w:rPr>
        <w:t>home care system, some</w:t>
      </w:r>
      <w:r w:rsidR="006D3C43">
        <w:rPr>
          <w:lang w:eastAsia="en-AU"/>
        </w:rPr>
        <w:t xml:space="preserve"> children do not experience out-</w:t>
      </w:r>
      <w:r w:rsidR="00FB0137" w:rsidRPr="00FB0137">
        <w:rPr>
          <w:lang w:eastAsia="en-AU"/>
        </w:rPr>
        <w:t>of</w:t>
      </w:r>
      <w:r w:rsidR="006D3C43">
        <w:rPr>
          <w:lang w:eastAsia="en-AU"/>
        </w:rPr>
        <w:t>-</w:t>
      </w:r>
      <w:r w:rsidR="00FB0137" w:rsidRPr="00FB0137">
        <w:rPr>
          <w:lang w:eastAsia="en-AU"/>
        </w:rPr>
        <w:t>home care placements as the secure and safe</w:t>
      </w:r>
      <w:r w:rsidR="00FB0137" w:rsidRPr="00FB0137">
        <w:t xml:space="preserve"> </w:t>
      </w:r>
      <w:r w:rsidR="00FB0137" w:rsidRPr="00FB0137">
        <w:rPr>
          <w:lang w:eastAsia="en-AU"/>
        </w:rPr>
        <w:t>environment they should be. Rather, they are subjecte</w:t>
      </w:r>
      <w:r>
        <w:rPr>
          <w:lang w:eastAsia="en-AU"/>
        </w:rPr>
        <w:t>d to further abuse and neglect.’</w:t>
      </w:r>
      <w:r w:rsidR="00FB0137" w:rsidRPr="00FB0137">
        <w:rPr>
          <w:rStyle w:val="FootnoteReference"/>
          <w:i w:val="0"/>
          <w:lang w:eastAsia="en-AU"/>
        </w:rPr>
        <w:footnoteReference w:id="27"/>
      </w:r>
    </w:p>
    <w:p w14:paraId="6368A89F" w14:textId="4730EACD" w:rsidR="00FB0137" w:rsidRDefault="00FB0137" w:rsidP="00086408">
      <w:pPr>
        <w:spacing w:line="276" w:lineRule="auto"/>
        <w:rPr>
          <w:lang w:eastAsia="en-AU"/>
        </w:rPr>
      </w:pPr>
      <w:r>
        <w:rPr>
          <w:lang w:eastAsia="en-AU"/>
        </w:rPr>
        <w:t xml:space="preserve">The </w:t>
      </w:r>
      <w:r w:rsidRPr="00FB0137">
        <w:rPr>
          <w:b/>
          <w:lang w:eastAsia="en-AU"/>
        </w:rPr>
        <w:t>‘Cummins Inquiry’</w:t>
      </w:r>
      <w:r>
        <w:rPr>
          <w:lang w:eastAsia="en-AU"/>
        </w:rPr>
        <w:t xml:space="preserve"> (2012)</w:t>
      </w:r>
      <w:r>
        <w:rPr>
          <w:rStyle w:val="FootnoteReference"/>
          <w:lang w:eastAsia="en-AU"/>
        </w:rPr>
        <w:footnoteReference w:id="28"/>
      </w:r>
      <w:r>
        <w:rPr>
          <w:lang w:eastAsia="en-AU"/>
        </w:rPr>
        <w:t xml:space="preserve"> (</w:t>
      </w:r>
      <w:r w:rsidRPr="00FB0137">
        <w:rPr>
          <w:i/>
          <w:lang w:eastAsia="en-AU"/>
        </w:rPr>
        <w:t>Protecting Victoria’s Vulnerable Children Inquiry</w:t>
      </w:r>
      <w:r>
        <w:rPr>
          <w:lang w:eastAsia="en-AU"/>
        </w:rPr>
        <w:t xml:space="preserve">) contained 20 findings and 90 recommendations. A number of the recommendations have since been implemented, most notably the recent legislative changes to permanency. These will be discussed further </w:t>
      </w:r>
      <w:r w:rsidR="00070CFA">
        <w:rPr>
          <w:lang w:eastAsia="en-AU"/>
        </w:rPr>
        <w:t>in this document</w:t>
      </w:r>
      <w:r>
        <w:rPr>
          <w:lang w:eastAsia="en-AU"/>
        </w:rPr>
        <w:t>. The inquiry also proposed the greater use of alternate dispute resolution, along the lines of the family conferencing employed in New Zealand, which received broad suppo</w:t>
      </w:r>
      <w:r w:rsidR="00F71279">
        <w:rPr>
          <w:lang w:eastAsia="en-AU"/>
        </w:rPr>
        <w:t>rt but has not been realised.</w:t>
      </w:r>
    </w:p>
    <w:p w14:paraId="4119CBC8" w14:textId="77777777" w:rsidR="00FB0137" w:rsidRDefault="00FB0137" w:rsidP="00086408">
      <w:pPr>
        <w:spacing w:line="276" w:lineRule="auto"/>
        <w:rPr>
          <w:lang w:eastAsia="en-AU"/>
        </w:rPr>
      </w:pPr>
      <w:r>
        <w:rPr>
          <w:lang w:eastAsia="en-AU"/>
        </w:rPr>
        <w:t>Since release of the Cummins Inquiry report, there have been a number of other report</w:t>
      </w:r>
      <w:r w:rsidR="005F01EB">
        <w:rPr>
          <w:lang w:eastAsia="en-AU"/>
        </w:rPr>
        <w:t>s, including:</w:t>
      </w:r>
    </w:p>
    <w:p w14:paraId="15AB8057" w14:textId="20A321D8" w:rsidR="00FB0137" w:rsidRDefault="00FB0137" w:rsidP="00D033AD">
      <w:pPr>
        <w:pStyle w:val="ListBullet"/>
        <w:rPr>
          <w:lang w:eastAsia="en-AU"/>
        </w:rPr>
      </w:pPr>
      <w:r>
        <w:rPr>
          <w:lang w:eastAsia="en-AU"/>
        </w:rPr>
        <w:lastRenderedPageBreak/>
        <w:t xml:space="preserve">two from the </w:t>
      </w:r>
      <w:r w:rsidRPr="00D033AD">
        <w:rPr>
          <w:b/>
          <w:lang w:eastAsia="en-AU"/>
        </w:rPr>
        <w:t>Office of the Public Advocate</w:t>
      </w:r>
      <w:r>
        <w:rPr>
          <w:lang w:eastAsia="en-AU"/>
        </w:rPr>
        <w:t xml:space="preserve"> </w:t>
      </w:r>
      <w:r>
        <w:rPr>
          <w:rStyle w:val="FootnoteReference"/>
          <w:lang w:eastAsia="en-AU"/>
        </w:rPr>
        <w:footnoteReference w:id="29"/>
      </w:r>
      <w:r>
        <w:rPr>
          <w:lang w:eastAsia="en-AU"/>
        </w:rPr>
        <w:t xml:space="preserve"> </w:t>
      </w:r>
    </w:p>
    <w:p w14:paraId="6F67446C" w14:textId="64F3A326" w:rsidR="00FB0137" w:rsidRDefault="00FB0137" w:rsidP="00D033AD">
      <w:pPr>
        <w:pStyle w:val="ListBullet"/>
        <w:rPr>
          <w:lang w:eastAsia="en-AU"/>
        </w:rPr>
      </w:pPr>
      <w:r>
        <w:rPr>
          <w:lang w:eastAsia="en-AU"/>
        </w:rPr>
        <w:t xml:space="preserve">the </w:t>
      </w:r>
      <w:r w:rsidRPr="00D033AD">
        <w:rPr>
          <w:b/>
          <w:lang w:eastAsia="en-AU"/>
        </w:rPr>
        <w:t>‘…</w:t>
      </w:r>
      <w:r w:rsidR="00D033AD" w:rsidRPr="00D033AD">
        <w:rPr>
          <w:b/>
          <w:lang w:eastAsia="en-AU"/>
        </w:rPr>
        <w:t xml:space="preserve"> as a good parent would …</w:t>
      </w:r>
      <w:r w:rsidRPr="00D033AD">
        <w:rPr>
          <w:b/>
          <w:lang w:eastAsia="en-AU"/>
        </w:rPr>
        <w:t>’</w:t>
      </w:r>
      <w:r>
        <w:rPr>
          <w:lang w:eastAsia="en-AU"/>
        </w:rPr>
        <w:t xml:space="preserve"> report by </w:t>
      </w:r>
      <w:r w:rsidR="00F30F46">
        <w:rPr>
          <w:lang w:eastAsia="en-AU"/>
        </w:rPr>
        <w:t xml:space="preserve">the </w:t>
      </w:r>
      <w:r>
        <w:rPr>
          <w:lang w:eastAsia="en-AU"/>
        </w:rPr>
        <w:t xml:space="preserve">Commissioner for Children and Young People </w:t>
      </w:r>
      <w:r>
        <w:rPr>
          <w:rStyle w:val="FootnoteReference"/>
          <w:lang w:eastAsia="en-AU"/>
        </w:rPr>
        <w:footnoteReference w:id="30"/>
      </w:r>
    </w:p>
    <w:p w14:paraId="67B8D3A0" w14:textId="49D02402" w:rsidR="00FB0137" w:rsidRDefault="00FB0137" w:rsidP="00D033AD">
      <w:pPr>
        <w:pStyle w:val="ListBullet"/>
        <w:rPr>
          <w:lang w:eastAsia="en-AU"/>
        </w:rPr>
      </w:pPr>
      <w:r>
        <w:rPr>
          <w:lang w:eastAsia="en-AU"/>
        </w:rPr>
        <w:t xml:space="preserve">the </w:t>
      </w:r>
      <w:r w:rsidRPr="00D033AD">
        <w:rPr>
          <w:b/>
          <w:lang w:eastAsia="en-AU"/>
        </w:rPr>
        <w:t>Royal Commission into Family Violence</w:t>
      </w:r>
      <w:r w:rsidR="00F30F46" w:rsidRPr="00F30F46">
        <w:rPr>
          <w:lang w:eastAsia="en-AU"/>
        </w:rPr>
        <w:t xml:space="preserve"> (RCFV)</w:t>
      </w:r>
      <w:r>
        <w:rPr>
          <w:rStyle w:val="FootnoteReference"/>
          <w:lang w:eastAsia="en-AU"/>
        </w:rPr>
        <w:footnoteReference w:id="31"/>
      </w:r>
      <w:r>
        <w:rPr>
          <w:lang w:eastAsia="en-AU"/>
        </w:rPr>
        <w:t xml:space="preserve"> </w:t>
      </w:r>
    </w:p>
    <w:p w14:paraId="389B8CA6" w14:textId="762CB031" w:rsidR="008B21FA" w:rsidRDefault="008B21FA" w:rsidP="00D033AD">
      <w:pPr>
        <w:pStyle w:val="ListBullet"/>
        <w:rPr>
          <w:lang w:eastAsia="en-AU"/>
        </w:rPr>
      </w:pPr>
      <w:r w:rsidRPr="008B21FA">
        <w:rPr>
          <w:lang w:eastAsia="en-AU"/>
        </w:rPr>
        <w:t>the</w:t>
      </w:r>
      <w:r>
        <w:rPr>
          <w:lang w:eastAsia="en-AU"/>
        </w:rPr>
        <w:t xml:space="preserve"> </w:t>
      </w:r>
      <w:r w:rsidRPr="00D033AD">
        <w:rPr>
          <w:b/>
          <w:lang w:eastAsia="en-AU"/>
        </w:rPr>
        <w:t>Residential Care Services for Children</w:t>
      </w:r>
      <w:r>
        <w:rPr>
          <w:lang w:eastAsia="en-AU"/>
        </w:rPr>
        <w:t xml:space="preserve">, March 2014 and </w:t>
      </w:r>
      <w:r w:rsidRPr="00D033AD">
        <w:rPr>
          <w:b/>
          <w:lang w:eastAsia="en-AU"/>
        </w:rPr>
        <w:t>Early Intervention Services for Vulnerable Children and Families</w:t>
      </w:r>
      <w:r>
        <w:rPr>
          <w:lang w:eastAsia="en-AU"/>
        </w:rPr>
        <w:t>, May 2015 reports by the Victorian Auditor-General</w:t>
      </w:r>
      <w:r w:rsidR="00D033AD">
        <w:rPr>
          <w:lang w:eastAsia="en-AU"/>
        </w:rPr>
        <w:t>.</w:t>
      </w:r>
    </w:p>
    <w:p w14:paraId="426F88E2" w14:textId="7E279891" w:rsidR="00FB0137" w:rsidRPr="00D033AD" w:rsidRDefault="00FB0137" w:rsidP="00D033AD">
      <w:r w:rsidRPr="00D033AD">
        <w:t>All have made recommendations designed to improve the child protection system. The RCFV report also made recommendations concerning changes to service intake and processes that</w:t>
      </w:r>
      <w:r w:rsidR="005F01EB" w:rsidRPr="00D033AD">
        <w:t xml:space="preserve"> impact upon service delivery. </w:t>
      </w:r>
    </w:p>
    <w:p w14:paraId="4BE31201" w14:textId="77777777" w:rsidR="00FB0137" w:rsidRPr="00D033AD" w:rsidRDefault="00FB0137" w:rsidP="00D033AD">
      <w:r w:rsidRPr="00D033AD">
        <w:t>There are several other pending report</w:t>
      </w:r>
      <w:r w:rsidR="005F01EB" w:rsidRPr="00D033AD">
        <w:t>s that are relevant, including:</w:t>
      </w:r>
    </w:p>
    <w:p w14:paraId="61368A47" w14:textId="2E2CEBE2" w:rsidR="00FB0137" w:rsidRDefault="00FB0137" w:rsidP="00D033AD">
      <w:pPr>
        <w:pStyle w:val="ListBullet"/>
        <w:rPr>
          <w:lang w:eastAsia="en-AU"/>
        </w:rPr>
      </w:pPr>
      <w:r w:rsidRPr="00FB0137">
        <w:rPr>
          <w:b/>
          <w:lang w:eastAsia="en-AU"/>
        </w:rPr>
        <w:t>‘Taskforce 1000’</w:t>
      </w:r>
      <w:r w:rsidRPr="00D033AD">
        <w:rPr>
          <w:rStyle w:val="FootnoteReference"/>
          <w:lang w:eastAsia="en-AU"/>
        </w:rPr>
        <w:footnoteReference w:id="32"/>
      </w:r>
      <w:r w:rsidRPr="00D033AD">
        <w:rPr>
          <w:lang w:eastAsia="en-AU"/>
        </w:rPr>
        <w:t xml:space="preserve"> </w:t>
      </w:r>
      <w:r>
        <w:rPr>
          <w:lang w:eastAsia="en-AU"/>
        </w:rPr>
        <w:t xml:space="preserve">by the </w:t>
      </w:r>
      <w:r w:rsidR="003B65E6">
        <w:rPr>
          <w:lang w:eastAsia="en-AU"/>
        </w:rPr>
        <w:t>Department of Health and Human Services (</w:t>
      </w:r>
      <w:r>
        <w:rPr>
          <w:lang w:eastAsia="en-AU"/>
        </w:rPr>
        <w:t>DHHS</w:t>
      </w:r>
      <w:r w:rsidR="003B65E6">
        <w:rPr>
          <w:lang w:eastAsia="en-AU"/>
        </w:rPr>
        <w:t>)</w:t>
      </w:r>
      <w:r>
        <w:rPr>
          <w:lang w:eastAsia="en-AU"/>
        </w:rPr>
        <w:t xml:space="preserve"> and the Commissioner for Aboriginal Children and Young People, which examines the treatment of </w:t>
      </w:r>
      <w:r w:rsidR="00EA11E8">
        <w:rPr>
          <w:lang w:eastAsia="en-AU"/>
        </w:rPr>
        <w:t xml:space="preserve">Aboriginal and/or Torres Strait Islander </w:t>
      </w:r>
      <w:r w:rsidR="007445CF">
        <w:rPr>
          <w:lang w:eastAsia="en-AU"/>
        </w:rPr>
        <w:t xml:space="preserve">children in </w:t>
      </w:r>
      <w:r w:rsidR="006D3C43">
        <w:rPr>
          <w:lang w:eastAsia="en-AU"/>
        </w:rPr>
        <w:t>out-of-</w:t>
      </w:r>
      <w:r w:rsidR="007445CF">
        <w:rPr>
          <w:lang w:eastAsia="en-AU"/>
        </w:rPr>
        <w:t>home care</w:t>
      </w:r>
    </w:p>
    <w:p w14:paraId="04639E70" w14:textId="50AAEF57" w:rsidR="008128F4" w:rsidRDefault="008128F4" w:rsidP="00D033AD">
      <w:pPr>
        <w:pStyle w:val="ListBullet"/>
        <w:rPr>
          <w:lang w:eastAsia="en-AU"/>
        </w:rPr>
      </w:pPr>
      <w:r>
        <w:rPr>
          <w:lang w:eastAsia="en-AU"/>
        </w:rPr>
        <w:t xml:space="preserve">The pending </w:t>
      </w:r>
      <w:r w:rsidRPr="009241A7">
        <w:rPr>
          <w:b/>
          <w:lang w:eastAsia="en-AU"/>
        </w:rPr>
        <w:t>Family Law Council report into Families with Complex Needs and the Intersection of the Family Law and Child Protection Systems</w:t>
      </w:r>
    </w:p>
    <w:p w14:paraId="7CC1DD97" w14:textId="5E6DDBEF" w:rsidR="00514EA2" w:rsidRDefault="00FB0137" w:rsidP="00D033AD">
      <w:pPr>
        <w:pStyle w:val="ListBullet"/>
        <w:rPr>
          <w:lang w:eastAsia="en-AU"/>
        </w:rPr>
      </w:pPr>
      <w:r>
        <w:rPr>
          <w:lang w:eastAsia="en-AU"/>
        </w:rPr>
        <w:t xml:space="preserve">The </w:t>
      </w:r>
      <w:r w:rsidRPr="00FB0137">
        <w:rPr>
          <w:b/>
          <w:lang w:eastAsia="en-AU"/>
        </w:rPr>
        <w:t xml:space="preserve">Royal Commission into Institutional Responses to Child </w:t>
      </w:r>
      <w:r w:rsidR="00797E35">
        <w:rPr>
          <w:b/>
          <w:lang w:eastAsia="en-AU"/>
        </w:rPr>
        <w:t xml:space="preserve">Sexual </w:t>
      </w:r>
      <w:r w:rsidRPr="00FB0137">
        <w:rPr>
          <w:b/>
          <w:lang w:eastAsia="en-AU"/>
        </w:rPr>
        <w:t>Abuse</w:t>
      </w:r>
      <w:r w:rsidR="00CA6D8A">
        <w:rPr>
          <w:rStyle w:val="FootnoteReference"/>
          <w:b/>
          <w:lang w:eastAsia="en-AU"/>
        </w:rPr>
        <w:footnoteReference w:id="33"/>
      </w:r>
      <w:r>
        <w:rPr>
          <w:lang w:eastAsia="en-AU"/>
        </w:rPr>
        <w:t>, which is likely to make recommendations that impact upon this area</w:t>
      </w:r>
      <w:r w:rsidR="007445CF">
        <w:rPr>
          <w:lang w:eastAsia="en-AU"/>
        </w:rPr>
        <w:t>,</w:t>
      </w:r>
      <w:r>
        <w:rPr>
          <w:lang w:eastAsia="en-AU"/>
        </w:rPr>
        <w:t xml:space="preserve"> and</w:t>
      </w:r>
    </w:p>
    <w:p w14:paraId="345EDED2" w14:textId="03D85AD5" w:rsidR="00FB0137" w:rsidRPr="00FB0137" w:rsidRDefault="00FB0137" w:rsidP="00D033AD">
      <w:pPr>
        <w:pStyle w:val="ListBullet"/>
        <w:rPr>
          <w:lang w:eastAsia="en-AU"/>
        </w:rPr>
      </w:pPr>
      <w:r w:rsidRPr="00FB0137">
        <w:rPr>
          <w:lang w:eastAsia="en-AU"/>
        </w:rPr>
        <w:t xml:space="preserve">The </w:t>
      </w:r>
      <w:r w:rsidRPr="00FB0137">
        <w:rPr>
          <w:b/>
          <w:lang w:eastAsia="en-AU"/>
        </w:rPr>
        <w:t>review of the permanency amendments</w:t>
      </w:r>
      <w:r w:rsidRPr="00FB0137">
        <w:rPr>
          <w:lang w:eastAsia="en-AU"/>
        </w:rPr>
        <w:t xml:space="preserve"> </w:t>
      </w:r>
      <w:r w:rsidR="008B21FA">
        <w:rPr>
          <w:lang w:eastAsia="en-AU"/>
        </w:rPr>
        <w:t>b</w:t>
      </w:r>
      <w:r w:rsidRPr="00FB0137">
        <w:rPr>
          <w:lang w:eastAsia="en-AU"/>
        </w:rPr>
        <w:t>y the Commissioner for Children and Young People</w:t>
      </w:r>
      <w:r w:rsidR="00690A62">
        <w:rPr>
          <w:lang w:eastAsia="en-AU"/>
        </w:rPr>
        <w:t>.</w:t>
      </w:r>
      <w:r w:rsidR="00CA6D8A">
        <w:rPr>
          <w:rStyle w:val="FootnoteReference"/>
          <w:lang w:eastAsia="en-AU"/>
        </w:rPr>
        <w:footnoteReference w:id="34"/>
      </w:r>
    </w:p>
    <w:p w14:paraId="4665B610" w14:textId="20F18EEE" w:rsidR="00311175" w:rsidRDefault="008B21FA" w:rsidP="00311175">
      <w:pPr>
        <w:rPr>
          <w:lang w:val="en-US"/>
        </w:rPr>
      </w:pPr>
      <w:r>
        <w:rPr>
          <w:lang w:eastAsia="en-AU"/>
        </w:rPr>
        <w:t xml:space="preserve">In </w:t>
      </w:r>
      <w:r w:rsidR="00CF1171">
        <w:rPr>
          <w:lang w:eastAsia="en-AU"/>
        </w:rPr>
        <w:t>April</w:t>
      </w:r>
      <w:r>
        <w:rPr>
          <w:lang w:eastAsia="en-AU"/>
        </w:rPr>
        <w:t xml:space="preserve"> 2016 the Victorian Government announced the </w:t>
      </w:r>
      <w:r w:rsidRPr="008B21FA">
        <w:rPr>
          <w:b/>
          <w:lang w:eastAsia="en-AU"/>
        </w:rPr>
        <w:t>Roadmap for Reform: Strong Families, Safe Children</w:t>
      </w:r>
      <w:r w:rsidR="00690A62">
        <w:rPr>
          <w:b/>
          <w:lang w:eastAsia="en-AU"/>
        </w:rPr>
        <w:t>.</w:t>
      </w:r>
      <w:r>
        <w:rPr>
          <w:rStyle w:val="FootnoteReference"/>
          <w:b/>
          <w:lang w:eastAsia="en-AU"/>
        </w:rPr>
        <w:footnoteReference w:id="35"/>
      </w:r>
      <w:r>
        <w:rPr>
          <w:lang w:eastAsia="en-AU"/>
        </w:rPr>
        <w:t xml:space="preserve"> </w:t>
      </w:r>
      <w:r w:rsidR="00311175">
        <w:rPr>
          <w:lang w:val="en-US"/>
        </w:rPr>
        <w:t xml:space="preserve">This include initiatives to improve monitoring and oversight frameworks, strengthen home-based care options and introduce minimum qualifications and additional training for staff working with children in care. </w:t>
      </w:r>
    </w:p>
    <w:p w14:paraId="470652DD" w14:textId="39A9BE34" w:rsidR="00311175" w:rsidRPr="005202C9" w:rsidRDefault="00311175" w:rsidP="005202C9">
      <w:r>
        <w:rPr>
          <w:lang w:val="en-US"/>
        </w:rPr>
        <w:t>Many of these initiatives are already underway, with announcements in June this year of the move of 140 young people out of residential care into kinship placements</w:t>
      </w:r>
      <w:r>
        <w:rPr>
          <w:rStyle w:val="FootnoteReference"/>
          <w:lang w:val="en-US"/>
        </w:rPr>
        <w:footnoteReference w:id="36"/>
      </w:r>
      <w:r>
        <w:rPr>
          <w:lang w:val="en-US"/>
        </w:rPr>
        <w:t xml:space="preserve"> and in August of a $5.44 million </w:t>
      </w:r>
      <w:r w:rsidRPr="005202C9">
        <w:lastRenderedPageBreak/>
        <w:t>funding package to assist Aboriginal</w:t>
      </w:r>
      <w:r w:rsidR="00354259" w:rsidRPr="005202C9">
        <w:t xml:space="preserve"> and/or Torres Strait Islander</w:t>
      </w:r>
      <w:r w:rsidRPr="005202C9">
        <w:t xml:space="preserve"> young people in out-of-home care to remain connected to their culture and heritage.</w:t>
      </w:r>
      <w:r w:rsidRPr="005202C9">
        <w:rPr>
          <w:rStyle w:val="FootnoteReference"/>
        </w:rPr>
        <w:footnoteReference w:id="37"/>
      </w:r>
    </w:p>
    <w:p w14:paraId="5E596F53" w14:textId="3008576F" w:rsidR="008B21FA" w:rsidRPr="005202C9" w:rsidRDefault="008128F4" w:rsidP="005202C9">
      <w:r w:rsidRPr="005202C9">
        <w:t xml:space="preserve">Commonwealth and State Governments, through the </w:t>
      </w:r>
      <w:r w:rsidRPr="005202C9">
        <w:rPr>
          <w:i/>
        </w:rPr>
        <w:t xml:space="preserve">National Framework for Protecting Australia’s Children </w:t>
      </w:r>
      <w:r w:rsidR="005202C9">
        <w:t>2009–2020,</w:t>
      </w:r>
      <w:r w:rsidRPr="005202C9">
        <w:t xml:space="preserve"> have committed to work together to better protect vulnerable children, acknowledging that ‘protecting Australia’s children is everyone’s responsibility’</w:t>
      </w:r>
      <w:r w:rsidRPr="005202C9">
        <w:rPr>
          <w:rStyle w:val="FootnoteReference"/>
        </w:rPr>
        <w:footnoteReference w:id="38"/>
      </w:r>
      <w:r w:rsidRPr="005202C9">
        <w:t>.</w:t>
      </w:r>
    </w:p>
    <w:p w14:paraId="2810A71C" w14:textId="1E68BC20" w:rsidR="008128F4" w:rsidRPr="005202C9" w:rsidRDefault="008128F4" w:rsidP="005202C9">
      <w:r w:rsidRPr="005202C9">
        <w:t xml:space="preserve">Commonwealth and State Governments, through the </w:t>
      </w:r>
      <w:r w:rsidRPr="005202C9">
        <w:rPr>
          <w:i/>
        </w:rPr>
        <w:t>National Plan to Reduce Violence against Women and their Children</w:t>
      </w:r>
      <w:r w:rsidRPr="005202C9">
        <w:t xml:space="preserve"> </w:t>
      </w:r>
      <w:r w:rsidR="005202C9">
        <w:t>2010–</w:t>
      </w:r>
      <w:r w:rsidRPr="005202C9">
        <w:t>2022, have committed to work together to reduce violence against women and their children because ‘reducing violence is everyone’s business’.</w:t>
      </w:r>
      <w:r w:rsidRPr="005202C9">
        <w:rPr>
          <w:rStyle w:val="FootnoteReference"/>
        </w:rPr>
        <w:footnoteReference w:id="39"/>
      </w:r>
    </w:p>
    <w:p w14:paraId="21E79C7D" w14:textId="77777777" w:rsidR="0001247F" w:rsidRPr="005202C9" w:rsidRDefault="002407FB" w:rsidP="005202C9">
      <w:r w:rsidRPr="005202C9">
        <w:t>This history of review and change is not unique to Victoria. A similar pattern, of major reviews and legislative reform, can be observed in other Australian jurisdictions and internationally. There has been a general sense that despite great effort and good intentions previous attempts to improve the child protection system have failed to achieve their intended outcomes. The reviews have tended to highlight the need for renewed focus on prevention, earlier intervention and reducing the number of children in care. The 2015 review of the New Zealand system captures this sentiment in the opening line of the report:</w:t>
      </w:r>
    </w:p>
    <w:p w14:paraId="4D6B2D8B" w14:textId="078838FC" w:rsidR="002407FB" w:rsidRPr="005F01EB" w:rsidRDefault="005202C9" w:rsidP="005202C9">
      <w:pPr>
        <w:pStyle w:val="VLAquotation"/>
      </w:pPr>
      <w:r>
        <w:t>‘</w:t>
      </w:r>
      <w:r w:rsidR="002407FB" w:rsidRPr="002407FB">
        <w:t xml:space="preserve">Regular reviews of the contemporary care system in New Zealand have been undertaken, but not one has produced sustained positive changes in the lives </w:t>
      </w:r>
      <w:r w:rsidR="002407FB">
        <w:t>of our vulnerable young people.</w:t>
      </w:r>
      <w:r w:rsidR="002407FB">
        <w:rPr>
          <w:rStyle w:val="FootnoteReference"/>
          <w:i w:val="0"/>
        </w:rPr>
        <w:footnoteReference w:id="40"/>
      </w:r>
      <w:r>
        <w:t>’</w:t>
      </w:r>
    </w:p>
    <w:p w14:paraId="23BF07F0" w14:textId="4A2D59A2" w:rsidR="002407FB" w:rsidRDefault="002407FB" w:rsidP="00086408">
      <w:pPr>
        <w:spacing w:line="276" w:lineRule="auto"/>
      </w:pPr>
      <w:r>
        <w:t>This brief history of reports, inquiries and reviews into the child protection system reveals a number of key, recurring themes in the examination and assessment of Victoria’s child protection system</w:t>
      </w:r>
      <w:r w:rsidR="00F56688">
        <w:t>, including</w:t>
      </w:r>
      <w:r>
        <w:t>:</w:t>
      </w:r>
    </w:p>
    <w:p w14:paraId="72A03EE0" w14:textId="05CBE3F8" w:rsidR="002407FB" w:rsidRDefault="002407FB" w:rsidP="00F56688">
      <w:pPr>
        <w:pStyle w:val="ListBullet"/>
      </w:pPr>
      <w:r>
        <w:t xml:space="preserve">when and how the State </w:t>
      </w:r>
      <w:r w:rsidR="00F56688">
        <w:t>should intervene into a family</w:t>
      </w:r>
    </w:p>
    <w:p w14:paraId="08991C87" w14:textId="465D72A8" w:rsidR="002407FB" w:rsidRDefault="00D36412" w:rsidP="00F56688">
      <w:pPr>
        <w:pStyle w:val="ListBullet"/>
      </w:pPr>
      <w:r>
        <w:t xml:space="preserve">best practice service delivery </w:t>
      </w:r>
      <w:r w:rsidR="002407FB">
        <w:t>to children</w:t>
      </w:r>
      <w:r w:rsidR="00F56688">
        <w:t xml:space="preserve"> in the child protection system,</w:t>
      </w:r>
      <w:r w:rsidR="002407FB">
        <w:t xml:space="preserve"> and</w:t>
      </w:r>
    </w:p>
    <w:p w14:paraId="45E9188F" w14:textId="0D29152C" w:rsidR="00690A62" w:rsidRDefault="002407FB" w:rsidP="00F56688">
      <w:pPr>
        <w:pStyle w:val="ListBullet"/>
      </w:pPr>
      <w:r>
        <w:t>the design and delivery of child protection legal services, which is set by legislative frameworks and child protection policies</w:t>
      </w:r>
      <w:r w:rsidR="00F56688">
        <w:t>.</w:t>
      </w:r>
    </w:p>
    <w:p w14:paraId="73CE66BC" w14:textId="2127A9E3" w:rsidR="002F2571" w:rsidRPr="00002C33" w:rsidRDefault="00F56688" w:rsidP="00F56688">
      <w:pPr>
        <w:pStyle w:val="Figuretableheading"/>
      </w:pPr>
      <w:r>
        <w:br w:type="column"/>
      </w:r>
      <w:bookmarkStart w:id="13" w:name="Figure1"/>
      <w:bookmarkEnd w:id="13"/>
      <w:r w:rsidR="00002C33" w:rsidRPr="00002C33">
        <w:lastRenderedPageBreak/>
        <w:t>Figure 1</w:t>
      </w:r>
      <w:r>
        <w:t>:</w:t>
      </w:r>
      <w:r w:rsidR="00002C33" w:rsidRPr="00002C33">
        <w:t xml:space="preserve"> Child Protection timeline</w:t>
      </w:r>
    </w:p>
    <w:p w14:paraId="428568C4" w14:textId="77777777" w:rsidR="00002C33" w:rsidRDefault="00F650DE" w:rsidP="00086408">
      <w:pPr>
        <w:spacing w:line="276" w:lineRule="auto"/>
      </w:pPr>
      <w:r w:rsidDel="008128F4">
        <w:rPr>
          <w:rFonts w:cs="Arial"/>
          <w:noProof/>
          <w:lang w:eastAsia="en-AU"/>
        </w:rPr>
        <w:drawing>
          <wp:inline distT="0" distB="0" distL="0" distR="0" wp14:anchorId="3126F254" wp14:editId="06DB23BD">
            <wp:extent cx="6288657" cy="2095500"/>
            <wp:effectExtent l="0" t="0" r="0" b="57150"/>
            <wp:docPr id="1" name="Diagram 1" descr="Carney Inquiry 1984&#10;CYPA 1989&#10;Fogerty and Seargent Reports 1989&#10;Child Protection Outcomes Project 2003&#10;CYFA 2005&#10;Victroain Ombudman Report 2009&#10;VLRC Report 2010&#10;Victorian Ombudman Report 2010&#10;Cummins 2012&#10;Office of the Public Advocate 2013&#10;Residential Care Services for Children, VAGO 2014&#10;Children, Youth and Families Amendment (Permanent Care and Other Matters) Act 2014&#10;...as a good parent would..., CCYP, 2015&#10; Office of the Public Advocate 2015&#10;Early Intervention Services 2015 VAGO &#10;RCFV 2016&#10;Roadmap to Reform 2016&#10;" title="Child protection timelin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BFD9038" w14:textId="77777777" w:rsidR="002407FB" w:rsidRDefault="00002C33" w:rsidP="00865F38">
      <w:pPr>
        <w:pStyle w:val="Heading1numbered"/>
      </w:pPr>
      <w:bookmarkStart w:id="14" w:name="_Toc465244404"/>
      <w:r>
        <w:t>The child protection framework and the legal service response</w:t>
      </w:r>
      <w:bookmarkEnd w:id="14"/>
    </w:p>
    <w:p w14:paraId="199262CD" w14:textId="72F4CF4A" w:rsidR="00A63C7B" w:rsidRDefault="00D36412" w:rsidP="00086408">
      <w:pPr>
        <w:spacing w:line="276" w:lineRule="auto"/>
        <w:rPr>
          <w:lang w:eastAsia="en-AU"/>
        </w:rPr>
      </w:pPr>
      <w:r w:rsidRPr="00D36412">
        <w:rPr>
          <w:rFonts w:cs="Arial"/>
          <w:szCs w:val="22"/>
          <w:lang w:eastAsia="en-AU"/>
        </w:rPr>
        <w:t xml:space="preserve">Victoria’s child protection system is governed by the </w:t>
      </w:r>
      <w:r w:rsidR="00A63C7B">
        <w:rPr>
          <w:rFonts w:cs="Arial"/>
          <w:szCs w:val="22"/>
          <w:lang w:eastAsia="en-AU"/>
        </w:rPr>
        <w:t>CYFA</w:t>
      </w:r>
      <w:r w:rsidRPr="00D36412">
        <w:rPr>
          <w:rFonts w:cs="Arial"/>
          <w:szCs w:val="22"/>
          <w:lang w:eastAsia="en-AU"/>
        </w:rPr>
        <w:t>.</w:t>
      </w:r>
      <w:r>
        <w:rPr>
          <w:rFonts w:cs="Arial"/>
          <w:szCs w:val="22"/>
          <w:lang w:eastAsia="en-AU"/>
        </w:rPr>
        <w:t xml:space="preserve"> </w:t>
      </w:r>
      <w:r w:rsidRPr="00D36412">
        <w:rPr>
          <w:rFonts w:cs="Arial"/>
          <w:szCs w:val="22"/>
          <w:lang w:eastAsia="en-AU"/>
        </w:rPr>
        <w:t xml:space="preserve">The CYFA </w:t>
      </w:r>
      <w:r w:rsidR="00690A62">
        <w:rPr>
          <w:rFonts w:cs="Arial"/>
          <w:szCs w:val="22"/>
          <w:lang w:eastAsia="en-AU"/>
        </w:rPr>
        <w:t>requires</w:t>
      </w:r>
      <w:r w:rsidRPr="00D36412">
        <w:rPr>
          <w:rFonts w:cs="Arial"/>
          <w:szCs w:val="22"/>
          <w:lang w:eastAsia="en-AU"/>
        </w:rPr>
        <w:t xml:space="preserve"> that the State act to protect children in certain circumstances, including </w:t>
      </w:r>
      <w:r w:rsidR="00690A62">
        <w:rPr>
          <w:rFonts w:cs="Arial"/>
          <w:szCs w:val="22"/>
          <w:lang w:eastAsia="en-AU"/>
        </w:rPr>
        <w:t>when there is</w:t>
      </w:r>
      <w:r w:rsidRPr="00D36412">
        <w:rPr>
          <w:rFonts w:cs="Arial"/>
          <w:szCs w:val="22"/>
          <w:lang w:eastAsia="en-AU"/>
        </w:rPr>
        <w:t xml:space="preserve"> a significant risk of harm to a child. The CYFA provides a</w:t>
      </w:r>
      <w:r>
        <w:rPr>
          <w:lang w:eastAsia="en-AU"/>
        </w:rPr>
        <w:t xml:space="preserve"> </w:t>
      </w:r>
      <w:r w:rsidRPr="00D36412">
        <w:rPr>
          <w:rFonts w:cs="Arial"/>
          <w:szCs w:val="22"/>
          <w:lang w:eastAsia="en-AU"/>
        </w:rPr>
        <w:t>framework not only for protecting children but providing community services to support children and</w:t>
      </w:r>
      <w:r>
        <w:rPr>
          <w:lang w:eastAsia="en-AU"/>
        </w:rPr>
        <w:t xml:space="preserve"> </w:t>
      </w:r>
      <w:r w:rsidRPr="00D36412">
        <w:rPr>
          <w:rFonts w:cs="Arial"/>
          <w:szCs w:val="22"/>
          <w:lang w:eastAsia="en-AU"/>
        </w:rPr>
        <w:t>families.</w:t>
      </w:r>
      <w:r>
        <w:rPr>
          <w:rFonts w:cs="Arial"/>
          <w:szCs w:val="22"/>
          <w:lang w:eastAsia="en-AU"/>
        </w:rPr>
        <w:t xml:space="preserve"> </w:t>
      </w:r>
      <w:r w:rsidR="00A63C7B" w:rsidRPr="00D36412">
        <w:rPr>
          <w:rFonts w:cs="Arial"/>
          <w:szCs w:val="22"/>
          <w:lang w:eastAsia="en-AU"/>
        </w:rPr>
        <w:t>The CYFA requires the responsible Minister to establish and maintain child protection services. The</w:t>
      </w:r>
      <w:r w:rsidR="00A63C7B">
        <w:rPr>
          <w:lang w:eastAsia="en-AU"/>
        </w:rPr>
        <w:t xml:space="preserve"> </w:t>
      </w:r>
      <w:r w:rsidR="00A63C7B" w:rsidRPr="00D36412">
        <w:rPr>
          <w:rFonts w:cs="Arial"/>
          <w:szCs w:val="22"/>
          <w:lang w:eastAsia="en-AU"/>
        </w:rPr>
        <w:t xml:space="preserve">State’s obligations under the CYFA are performed by the </w:t>
      </w:r>
      <w:r w:rsidR="003B65E6">
        <w:rPr>
          <w:rFonts w:cs="Arial"/>
          <w:szCs w:val="22"/>
          <w:lang w:eastAsia="en-AU"/>
        </w:rPr>
        <w:t>DHHS</w:t>
      </w:r>
      <w:r w:rsidR="00A63C7B" w:rsidRPr="00D36412">
        <w:rPr>
          <w:rFonts w:cs="Arial"/>
          <w:szCs w:val="22"/>
          <w:lang w:eastAsia="en-AU"/>
        </w:rPr>
        <w:t>.</w:t>
      </w:r>
      <w:r w:rsidR="00A63C7B">
        <w:rPr>
          <w:lang w:eastAsia="en-AU"/>
        </w:rPr>
        <w:t xml:space="preserve"> </w:t>
      </w:r>
    </w:p>
    <w:p w14:paraId="1FE51DA1" w14:textId="2D6AA3F1" w:rsidR="00A63C7B" w:rsidRDefault="00A63C7B" w:rsidP="00086408">
      <w:pPr>
        <w:spacing w:line="276" w:lineRule="auto"/>
        <w:rPr>
          <w:lang w:eastAsia="en-AU"/>
        </w:rPr>
      </w:pPr>
      <w:r w:rsidRPr="00D36412">
        <w:rPr>
          <w:rFonts w:cs="Arial"/>
          <w:szCs w:val="22"/>
          <w:lang w:eastAsia="en-AU"/>
        </w:rPr>
        <w:t>Child Protection practitioners at DHHS are delegated to act as protective interveners to respond to</w:t>
      </w:r>
      <w:r>
        <w:rPr>
          <w:rFonts w:cs="Arial"/>
          <w:szCs w:val="22"/>
          <w:lang w:eastAsia="en-AU"/>
        </w:rPr>
        <w:t xml:space="preserve"> </w:t>
      </w:r>
      <w:r w:rsidR="009451B8">
        <w:rPr>
          <w:rFonts w:cs="Arial"/>
          <w:szCs w:val="22"/>
          <w:lang w:eastAsia="en-AU"/>
        </w:rPr>
        <w:t>reports</w:t>
      </w:r>
      <w:r w:rsidRPr="00D36412">
        <w:rPr>
          <w:rFonts w:cs="Arial"/>
          <w:szCs w:val="22"/>
          <w:lang w:eastAsia="en-AU"/>
        </w:rPr>
        <w:t xml:space="preserve"> of suspected child abuse or neglect, carry out investigations and, if an allegation is</w:t>
      </w:r>
      <w:r>
        <w:rPr>
          <w:rFonts w:cs="Arial"/>
          <w:szCs w:val="22"/>
          <w:lang w:eastAsia="en-AU"/>
        </w:rPr>
        <w:t xml:space="preserve"> </w:t>
      </w:r>
      <w:r w:rsidRPr="00D36412">
        <w:rPr>
          <w:rFonts w:cs="Arial"/>
          <w:szCs w:val="22"/>
          <w:lang w:eastAsia="en-AU"/>
        </w:rPr>
        <w:t>substantiated by the investigation, to reduce the risk to the child or young person.</w:t>
      </w:r>
      <w:r>
        <w:rPr>
          <w:rFonts w:cs="Arial"/>
          <w:szCs w:val="22"/>
          <w:lang w:eastAsia="en-AU"/>
        </w:rPr>
        <w:t xml:space="preserve"> </w:t>
      </w:r>
      <w:r w:rsidRPr="00D36412">
        <w:rPr>
          <w:rFonts w:cs="Arial"/>
          <w:szCs w:val="22"/>
          <w:lang w:eastAsia="en-AU"/>
        </w:rPr>
        <w:t>This may include taking a matter before the Family Division of the Children’s Court</w:t>
      </w:r>
      <w:r>
        <w:rPr>
          <w:rStyle w:val="FootnoteReference"/>
          <w:rFonts w:cs="Arial"/>
          <w:szCs w:val="22"/>
          <w:lang w:eastAsia="en-AU"/>
        </w:rPr>
        <w:footnoteReference w:id="41"/>
      </w:r>
      <w:r w:rsidRPr="00D36412">
        <w:rPr>
          <w:rFonts w:cs="Arial"/>
          <w:szCs w:val="22"/>
          <w:lang w:eastAsia="en-AU"/>
        </w:rPr>
        <w:t xml:space="preserve"> to ensure children</w:t>
      </w:r>
      <w:r>
        <w:rPr>
          <w:rFonts w:cs="Arial"/>
          <w:szCs w:val="22"/>
          <w:lang w:eastAsia="en-AU"/>
        </w:rPr>
        <w:t xml:space="preserve"> </w:t>
      </w:r>
      <w:r w:rsidRPr="00D36412">
        <w:rPr>
          <w:rFonts w:cs="Arial"/>
          <w:szCs w:val="22"/>
          <w:lang w:eastAsia="en-AU"/>
        </w:rPr>
        <w:t>and young people are protected and safe from harm, including by placing them under DHHS formal</w:t>
      </w:r>
      <w:r>
        <w:rPr>
          <w:rFonts w:cs="Arial"/>
          <w:szCs w:val="22"/>
          <w:lang w:eastAsia="en-AU"/>
        </w:rPr>
        <w:t xml:space="preserve"> </w:t>
      </w:r>
      <w:r w:rsidRPr="00D36412">
        <w:rPr>
          <w:rFonts w:cs="Arial"/>
          <w:szCs w:val="22"/>
          <w:lang w:eastAsia="en-AU"/>
        </w:rPr>
        <w:t>supervision or by removing them from the family. DHHS child protectio</w:t>
      </w:r>
      <w:r>
        <w:rPr>
          <w:rFonts w:cs="Arial"/>
          <w:szCs w:val="22"/>
          <w:lang w:eastAsia="en-AU"/>
        </w:rPr>
        <w:t xml:space="preserve">n applications taken before the </w:t>
      </w:r>
      <w:r w:rsidRPr="00D36412">
        <w:rPr>
          <w:rFonts w:cs="Arial"/>
          <w:szCs w:val="22"/>
          <w:lang w:eastAsia="en-AU"/>
        </w:rPr>
        <w:t>Children’s Court are conducted by the DHHS Child Protection Litigation Office</w:t>
      </w:r>
      <w:r>
        <w:rPr>
          <w:rStyle w:val="FootnoteReference"/>
          <w:rFonts w:cs="Arial"/>
          <w:szCs w:val="22"/>
          <w:lang w:eastAsia="en-AU"/>
        </w:rPr>
        <w:footnoteReference w:id="42"/>
      </w:r>
      <w:r w:rsidRPr="00D36412">
        <w:rPr>
          <w:rFonts w:cs="Arial"/>
          <w:szCs w:val="22"/>
          <w:lang w:eastAsia="en-AU"/>
        </w:rPr>
        <w:t xml:space="preserve"> and DHHS rural court</w:t>
      </w:r>
      <w:r>
        <w:rPr>
          <w:rFonts w:cs="Arial"/>
          <w:szCs w:val="22"/>
          <w:lang w:eastAsia="en-AU"/>
        </w:rPr>
        <w:t xml:space="preserve"> </w:t>
      </w:r>
      <w:r w:rsidRPr="00D36412">
        <w:rPr>
          <w:rFonts w:cs="Arial"/>
          <w:szCs w:val="22"/>
          <w:lang w:eastAsia="en-AU"/>
        </w:rPr>
        <w:t>officers, instructed by the relevant child protection practitioner.</w:t>
      </w:r>
    </w:p>
    <w:p w14:paraId="33AE6415" w14:textId="4F43CFA3" w:rsidR="00BD3B67" w:rsidRDefault="00A63C7B" w:rsidP="00086408">
      <w:pPr>
        <w:spacing w:line="276" w:lineRule="auto"/>
        <w:rPr>
          <w:lang w:eastAsia="en-AU"/>
        </w:rPr>
      </w:pPr>
      <w:r>
        <w:rPr>
          <w:lang w:eastAsia="en-AU"/>
        </w:rPr>
        <w:t xml:space="preserve">Key </w:t>
      </w:r>
      <w:r w:rsidR="00C813C9">
        <w:rPr>
          <w:lang w:eastAsia="en-AU"/>
        </w:rPr>
        <w:t>actors within the child protection system include the D</w:t>
      </w:r>
      <w:r>
        <w:rPr>
          <w:lang w:eastAsia="en-AU"/>
        </w:rPr>
        <w:t>HHS</w:t>
      </w:r>
      <w:r w:rsidR="00C813C9">
        <w:rPr>
          <w:lang w:eastAsia="en-AU"/>
        </w:rPr>
        <w:t>, the Children’s Court, the Commissioner for Children and Young People</w:t>
      </w:r>
      <w:r w:rsidR="001D105A">
        <w:rPr>
          <w:lang w:eastAsia="en-AU"/>
        </w:rPr>
        <w:t>,</w:t>
      </w:r>
      <w:r w:rsidR="00C813C9">
        <w:rPr>
          <w:lang w:eastAsia="en-AU"/>
        </w:rPr>
        <w:t xml:space="preserve"> Community Service Organisations (delivering child, adult and family services)</w:t>
      </w:r>
      <w:r w:rsidR="001D105A">
        <w:rPr>
          <w:lang w:eastAsia="en-AU"/>
        </w:rPr>
        <w:t>, kinship and foster carers</w:t>
      </w:r>
      <w:r w:rsidR="008128F4">
        <w:rPr>
          <w:lang w:eastAsia="en-AU"/>
        </w:rPr>
        <w:t xml:space="preserve"> and of course, the children, young people and families responding to the system</w:t>
      </w:r>
      <w:r w:rsidR="00C813C9">
        <w:rPr>
          <w:lang w:eastAsia="en-AU"/>
        </w:rPr>
        <w:t>. VLA provides legal advice and representation services to people who are involved in matters before the Children’s Court, both in the Family Division and the Crim</w:t>
      </w:r>
      <w:r>
        <w:rPr>
          <w:lang w:eastAsia="en-AU"/>
        </w:rPr>
        <w:t xml:space="preserve">inal Division. </w:t>
      </w:r>
    </w:p>
    <w:p w14:paraId="4442551E" w14:textId="77777777" w:rsidR="00BD3B67" w:rsidRDefault="00BD3B67" w:rsidP="00FF5DCA">
      <w:pPr>
        <w:pStyle w:val="Heading2numbered"/>
      </w:pPr>
      <w:bookmarkStart w:id="15" w:name="_Toc465244405"/>
      <w:r>
        <w:t>VLA Child Protection Program</w:t>
      </w:r>
      <w:bookmarkEnd w:id="15"/>
    </w:p>
    <w:p w14:paraId="3FC8316C" w14:textId="77777777" w:rsidR="00613330" w:rsidRDefault="00CC0F72" w:rsidP="00086408">
      <w:pPr>
        <w:spacing w:line="276" w:lineRule="auto"/>
        <w:rPr>
          <w:rFonts w:cs="Arial"/>
          <w:color w:val="000000"/>
          <w:szCs w:val="22"/>
          <w:lang w:eastAsia="en-AU"/>
        </w:rPr>
      </w:pPr>
      <w:r>
        <w:rPr>
          <w:lang w:eastAsia="en-AU"/>
        </w:rPr>
        <w:t>The removal of a child</w:t>
      </w:r>
      <w:r w:rsidR="001F3222">
        <w:rPr>
          <w:lang w:eastAsia="en-AU"/>
        </w:rPr>
        <w:t xml:space="preserve"> or young person</w:t>
      </w:r>
      <w:r>
        <w:rPr>
          <w:lang w:eastAsia="en-AU"/>
        </w:rPr>
        <w:t xml:space="preserve"> from the family is </w:t>
      </w:r>
      <w:r w:rsidRPr="00A63C7B">
        <w:rPr>
          <w:szCs w:val="22"/>
          <w:lang w:eastAsia="en-AU"/>
        </w:rPr>
        <w:t xml:space="preserve">one of the most serious actions that the State can take. </w:t>
      </w:r>
      <w:r w:rsidR="00A63C7B" w:rsidRPr="00A63C7B">
        <w:rPr>
          <w:szCs w:val="22"/>
          <w:lang w:eastAsia="en-AU"/>
        </w:rPr>
        <w:t>T</w:t>
      </w:r>
      <w:r w:rsidR="00A63C7B" w:rsidRPr="00A63C7B">
        <w:rPr>
          <w:rFonts w:cs="Arial"/>
          <w:color w:val="000000"/>
          <w:szCs w:val="22"/>
          <w:lang w:eastAsia="en-AU"/>
        </w:rPr>
        <w:t xml:space="preserve">he CYFA aims to encourage the participation of children, </w:t>
      </w:r>
      <w:r w:rsidR="00A63C7B">
        <w:rPr>
          <w:rFonts w:cs="Arial"/>
          <w:color w:val="000000"/>
          <w:szCs w:val="22"/>
          <w:lang w:eastAsia="en-AU"/>
        </w:rPr>
        <w:t xml:space="preserve">young people and their </w:t>
      </w:r>
      <w:r w:rsidR="00A63C7B">
        <w:rPr>
          <w:rFonts w:cs="Arial"/>
          <w:color w:val="000000"/>
          <w:szCs w:val="22"/>
          <w:lang w:eastAsia="en-AU"/>
        </w:rPr>
        <w:lastRenderedPageBreak/>
        <w:t xml:space="preserve">families </w:t>
      </w:r>
      <w:r w:rsidR="00A63C7B" w:rsidRPr="00A63C7B">
        <w:rPr>
          <w:rFonts w:cs="Arial"/>
          <w:color w:val="000000"/>
          <w:szCs w:val="22"/>
          <w:lang w:eastAsia="en-AU"/>
        </w:rPr>
        <w:t xml:space="preserve">in the </w:t>
      </w:r>
      <w:r w:rsidR="00A63C7B" w:rsidRPr="00B51334">
        <w:rPr>
          <w:rFonts w:cs="Arial"/>
          <w:color w:val="000000"/>
          <w:szCs w:val="22"/>
          <w:lang w:eastAsia="en-AU"/>
        </w:rPr>
        <w:t>decision-making processes that affect their lives, particularly for children and young people when</w:t>
      </w:r>
      <w:r w:rsidR="00613330">
        <w:rPr>
          <w:rFonts w:cs="Arial"/>
          <w:color w:val="000000"/>
          <w:szCs w:val="22"/>
          <w:lang w:eastAsia="en-AU"/>
        </w:rPr>
        <w:t xml:space="preserve"> </w:t>
      </w:r>
      <w:r w:rsidR="00A63C7B" w:rsidRPr="00B51334">
        <w:rPr>
          <w:rFonts w:cs="Arial"/>
          <w:color w:val="000000"/>
          <w:szCs w:val="22"/>
          <w:lang w:eastAsia="en-AU"/>
        </w:rPr>
        <w:t xml:space="preserve">the State initiates legal proceedings via a protection application. The </w:t>
      </w:r>
      <w:r w:rsidR="00BD3B67" w:rsidRPr="00B51334">
        <w:rPr>
          <w:rFonts w:cs="Arial"/>
          <w:color w:val="000000"/>
          <w:szCs w:val="22"/>
          <w:lang w:eastAsia="en-AU"/>
        </w:rPr>
        <w:t>right of children</w:t>
      </w:r>
      <w:r w:rsidR="001F3222">
        <w:rPr>
          <w:rFonts w:cs="Arial"/>
          <w:color w:val="000000"/>
          <w:szCs w:val="22"/>
          <w:lang w:eastAsia="en-AU"/>
        </w:rPr>
        <w:t xml:space="preserve"> and young people</w:t>
      </w:r>
      <w:r w:rsidR="00BD3B67" w:rsidRPr="00B51334">
        <w:rPr>
          <w:rFonts w:cs="Arial"/>
          <w:color w:val="000000"/>
          <w:szCs w:val="22"/>
          <w:lang w:eastAsia="en-AU"/>
        </w:rPr>
        <w:t xml:space="preserve"> to have their</w:t>
      </w:r>
      <w:r w:rsidR="00B51334" w:rsidRPr="00B51334">
        <w:rPr>
          <w:rFonts w:cs="Arial"/>
          <w:color w:val="000000"/>
          <w:szCs w:val="22"/>
          <w:lang w:eastAsia="en-AU"/>
        </w:rPr>
        <w:t xml:space="preserve"> </w:t>
      </w:r>
      <w:r w:rsidR="00A63C7B" w:rsidRPr="00B51334">
        <w:rPr>
          <w:rFonts w:cs="Arial"/>
          <w:color w:val="000000"/>
          <w:szCs w:val="22"/>
          <w:lang w:eastAsia="en-AU"/>
        </w:rPr>
        <w:t>voices heard in legal proceedings that affect their lives empowers</w:t>
      </w:r>
      <w:r w:rsidR="00BD3B67" w:rsidRPr="00B51334">
        <w:rPr>
          <w:rFonts w:cs="Arial"/>
          <w:color w:val="000000"/>
          <w:szCs w:val="22"/>
          <w:lang w:eastAsia="en-AU"/>
        </w:rPr>
        <w:t xml:space="preserve"> </w:t>
      </w:r>
      <w:r w:rsidR="00A63C7B" w:rsidRPr="00B51334">
        <w:rPr>
          <w:rFonts w:cs="Arial"/>
          <w:color w:val="000000"/>
          <w:szCs w:val="22"/>
          <w:lang w:eastAsia="en-AU"/>
        </w:rPr>
        <w:t>them, gives them a sense of self-worth, and promotes the idea that they, the subject of proceedings, are</w:t>
      </w:r>
      <w:r w:rsidR="00BD3B67" w:rsidRPr="00B51334">
        <w:rPr>
          <w:rFonts w:cs="Arial"/>
          <w:color w:val="000000"/>
          <w:szCs w:val="22"/>
          <w:lang w:eastAsia="en-AU"/>
        </w:rPr>
        <w:t xml:space="preserve"> </w:t>
      </w:r>
      <w:r w:rsidR="00A63C7B" w:rsidRPr="00B51334">
        <w:rPr>
          <w:rFonts w:cs="Arial"/>
          <w:color w:val="000000"/>
          <w:szCs w:val="22"/>
          <w:lang w:eastAsia="en-AU"/>
        </w:rPr>
        <w:t>important participants in the process. This right is enshrined in the United Nations Convention on the</w:t>
      </w:r>
      <w:r w:rsidR="00BD3B67" w:rsidRPr="00B51334">
        <w:rPr>
          <w:rFonts w:cs="Arial"/>
          <w:color w:val="000000"/>
          <w:szCs w:val="22"/>
          <w:lang w:eastAsia="en-AU"/>
        </w:rPr>
        <w:t xml:space="preserve"> </w:t>
      </w:r>
      <w:r w:rsidR="00A63C7B" w:rsidRPr="00B51334">
        <w:rPr>
          <w:rFonts w:cs="Arial"/>
          <w:color w:val="000000"/>
          <w:szCs w:val="22"/>
          <w:lang w:eastAsia="en-AU"/>
        </w:rPr>
        <w:t>Rights of the Child.</w:t>
      </w:r>
      <w:r w:rsidR="00BD3B67" w:rsidRPr="00B51334">
        <w:rPr>
          <w:rStyle w:val="FootnoteReference"/>
          <w:rFonts w:cs="Arial"/>
          <w:color w:val="000000"/>
          <w:sz w:val="22"/>
          <w:szCs w:val="22"/>
          <w:lang w:eastAsia="en-AU"/>
        </w:rPr>
        <w:footnoteReference w:id="43"/>
      </w:r>
    </w:p>
    <w:p w14:paraId="7E1CC7AF" w14:textId="77777777" w:rsidR="001F3222" w:rsidRDefault="00CC0F72" w:rsidP="00086408">
      <w:pPr>
        <w:spacing w:line="276" w:lineRule="auto"/>
        <w:rPr>
          <w:rFonts w:cs="Arial"/>
          <w:color w:val="000000"/>
          <w:szCs w:val="22"/>
          <w:lang w:eastAsia="en-AU"/>
        </w:rPr>
      </w:pPr>
      <w:r w:rsidRPr="00B51334">
        <w:rPr>
          <w:szCs w:val="22"/>
          <w:lang w:eastAsia="en-AU"/>
        </w:rPr>
        <w:t>VLA</w:t>
      </w:r>
      <w:r>
        <w:rPr>
          <w:lang w:eastAsia="en-AU"/>
        </w:rPr>
        <w:t xml:space="preserve"> has a significant presence in the Family Division of the Children’s Court, providing legal advice and representation services to Victorians who are involved in matters before the c</w:t>
      </w:r>
      <w:r w:rsidRPr="00613330">
        <w:rPr>
          <w:szCs w:val="22"/>
          <w:lang w:eastAsia="en-AU"/>
        </w:rPr>
        <w:t xml:space="preserve">ourt. </w:t>
      </w:r>
      <w:r w:rsidR="00613330" w:rsidRPr="00613330">
        <w:rPr>
          <w:rFonts w:cs="Arial"/>
          <w:color w:val="000000"/>
          <w:szCs w:val="22"/>
          <w:lang w:eastAsia="en-AU"/>
        </w:rPr>
        <w:t>This is partly</w:t>
      </w:r>
      <w:r w:rsidR="00613330">
        <w:rPr>
          <w:rFonts w:cs="Arial"/>
          <w:color w:val="000000"/>
          <w:szCs w:val="22"/>
          <w:lang w:eastAsia="en-AU"/>
        </w:rPr>
        <w:t xml:space="preserve"> because </w:t>
      </w:r>
      <w:r w:rsidR="00613330" w:rsidRPr="00613330">
        <w:rPr>
          <w:rFonts w:cs="Arial"/>
          <w:color w:val="000000"/>
          <w:szCs w:val="22"/>
          <w:lang w:eastAsia="en-AU"/>
        </w:rPr>
        <w:t>children aged 10 or older are required to be legally represented in child protection</w:t>
      </w:r>
      <w:r w:rsidR="00613330">
        <w:rPr>
          <w:rFonts w:cs="Arial"/>
          <w:color w:val="000000"/>
          <w:szCs w:val="22"/>
          <w:lang w:eastAsia="en-AU"/>
        </w:rPr>
        <w:t xml:space="preserve"> </w:t>
      </w:r>
      <w:r w:rsidR="00613330" w:rsidRPr="00613330">
        <w:rPr>
          <w:rFonts w:cs="Arial"/>
          <w:color w:val="000000"/>
          <w:szCs w:val="22"/>
          <w:lang w:eastAsia="en-AU"/>
        </w:rPr>
        <w:t>proceedings. Further, most families with whom DHHS Child Protection has involvement are low income</w:t>
      </w:r>
      <w:r w:rsidR="00613330">
        <w:rPr>
          <w:rFonts w:cs="Arial"/>
          <w:color w:val="000000"/>
          <w:szCs w:val="22"/>
          <w:lang w:eastAsia="en-AU"/>
        </w:rPr>
        <w:t xml:space="preserve"> </w:t>
      </w:r>
      <w:r w:rsidR="00613330" w:rsidRPr="00613330">
        <w:rPr>
          <w:rFonts w:cs="Arial"/>
          <w:color w:val="000000"/>
          <w:szCs w:val="22"/>
          <w:lang w:eastAsia="en-AU"/>
        </w:rPr>
        <w:t>and disadvantaged. They are some of Victoria’s most vulnerable citizens. Their poverty is often intergenerational</w:t>
      </w:r>
      <w:r w:rsidR="00613330">
        <w:rPr>
          <w:rFonts w:cs="Arial"/>
          <w:color w:val="000000"/>
          <w:szCs w:val="22"/>
          <w:lang w:eastAsia="en-AU"/>
        </w:rPr>
        <w:t xml:space="preserve"> </w:t>
      </w:r>
      <w:r w:rsidR="00613330" w:rsidRPr="00613330">
        <w:rPr>
          <w:rFonts w:cs="Arial"/>
          <w:color w:val="000000"/>
          <w:szCs w:val="22"/>
          <w:lang w:eastAsia="en-AU"/>
        </w:rPr>
        <w:t>and is multidimensional, with one or more of the following factors also generally present:</w:t>
      </w:r>
      <w:r w:rsidR="00613330">
        <w:rPr>
          <w:rFonts w:cs="Arial"/>
          <w:color w:val="000000"/>
          <w:szCs w:val="22"/>
          <w:lang w:eastAsia="en-AU"/>
        </w:rPr>
        <w:t xml:space="preserve"> </w:t>
      </w:r>
      <w:r w:rsidR="00613330" w:rsidRPr="00613330">
        <w:rPr>
          <w:rFonts w:cs="Arial"/>
          <w:color w:val="000000"/>
          <w:szCs w:val="22"/>
          <w:lang w:eastAsia="en-AU"/>
        </w:rPr>
        <w:t>lack of education, inadequate housing, social isolation, mental illness, family violence, or drug and/or</w:t>
      </w:r>
      <w:r w:rsidR="00613330">
        <w:rPr>
          <w:rFonts w:cs="Arial"/>
          <w:color w:val="000000"/>
          <w:szCs w:val="22"/>
          <w:lang w:eastAsia="en-AU"/>
        </w:rPr>
        <w:t xml:space="preserve"> </w:t>
      </w:r>
      <w:r w:rsidR="00613330" w:rsidRPr="00613330">
        <w:rPr>
          <w:rFonts w:cs="Arial"/>
          <w:color w:val="000000"/>
          <w:szCs w:val="22"/>
          <w:lang w:eastAsia="en-AU"/>
        </w:rPr>
        <w:t xml:space="preserve">alcohol abuse. </w:t>
      </w:r>
    </w:p>
    <w:p w14:paraId="31258168" w14:textId="77777777" w:rsidR="00613330" w:rsidRPr="00613330" w:rsidRDefault="00613330" w:rsidP="00086408">
      <w:pPr>
        <w:spacing w:line="276" w:lineRule="auto"/>
        <w:rPr>
          <w:rFonts w:cs="Arial"/>
          <w:color w:val="000000"/>
          <w:szCs w:val="22"/>
          <w:lang w:eastAsia="en-AU"/>
        </w:rPr>
      </w:pPr>
      <w:r w:rsidRPr="00613330">
        <w:rPr>
          <w:rFonts w:cs="Arial"/>
          <w:color w:val="000000"/>
          <w:szCs w:val="22"/>
          <w:lang w:eastAsia="en-AU"/>
        </w:rPr>
        <w:t>These parents cannot afford to pay for private legal representation and they generally</w:t>
      </w:r>
      <w:r>
        <w:rPr>
          <w:rFonts w:cs="Arial"/>
          <w:color w:val="000000"/>
          <w:szCs w:val="22"/>
          <w:lang w:eastAsia="en-AU"/>
        </w:rPr>
        <w:t xml:space="preserve"> </w:t>
      </w:r>
      <w:r w:rsidRPr="00613330">
        <w:rPr>
          <w:rFonts w:cs="Arial"/>
          <w:color w:val="000000"/>
          <w:szCs w:val="22"/>
          <w:lang w:eastAsia="en-AU"/>
        </w:rPr>
        <w:t>meet VLA’s means test for grants of legal assistance.</w:t>
      </w:r>
      <w:r>
        <w:rPr>
          <w:rFonts w:cs="Arial"/>
          <w:color w:val="000000"/>
          <w:szCs w:val="22"/>
          <w:lang w:eastAsia="en-AU"/>
        </w:rPr>
        <w:t xml:space="preserve"> </w:t>
      </w:r>
      <w:r w:rsidRPr="00613330">
        <w:rPr>
          <w:rFonts w:cs="Arial"/>
          <w:color w:val="000000"/>
          <w:szCs w:val="22"/>
          <w:lang w:eastAsia="en-AU"/>
        </w:rPr>
        <w:t>As a result, VLA is involved in relation to almost every party who is legally represented in Children’s</w:t>
      </w:r>
      <w:r w:rsidR="001F3222">
        <w:rPr>
          <w:rFonts w:cs="Arial"/>
          <w:color w:val="000000"/>
          <w:szCs w:val="22"/>
          <w:lang w:eastAsia="en-AU"/>
        </w:rPr>
        <w:t xml:space="preserve"> </w:t>
      </w:r>
      <w:r w:rsidRPr="00613330">
        <w:rPr>
          <w:rFonts w:cs="Arial"/>
          <w:color w:val="000000"/>
          <w:szCs w:val="22"/>
          <w:lang w:eastAsia="en-AU"/>
        </w:rPr>
        <w:t>Court Family Division proceedings in Victoria, either directly rep</w:t>
      </w:r>
      <w:r>
        <w:rPr>
          <w:rFonts w:cs="Arial"/>
          <w:color w:val="000000"/>
          <w:szCs w:val="22"/>
          <w:lang w:eastAsia="en-AU"/>
        </w:rPr>
        <w:t xml:space="preserve">resenting a party via our staff </w:t>
      </w:r>
      <w:r w:rsidRPr="00613330">
        <w:rPr>
          <w:rFonts w:cs="Arial"/>
          <w:color w:val="000000"/>
          <w:szCs w:val="22"/>
          <w:lang w:eastAsia="en-AU"/>
        </w:rPr>
        <w:t>practice or</w:t>
      </w:r>
      <w:r>
        <w:rPr>
          <w:rFonts w:cs="Arial"/>
          <w:color w:val="000000"/>
          <w:szCs w:val="22"/>
          <w:lang w:eastAsia="en-AU"/>
        </w:rPr>
        <w:t xml:space="preserve"> </w:t>
      </w:r>
      <w:r w:rsidRPr="00613330">
        <w:rPr>
          <w:rFonts w:cs="Arial"/>
          <w:color w:val="000000"/>
          <w:szCs w:val="22"/>
          <w:lang w:eastAsia="en-AU"/>
        </w:rPr>
        <w:t>as the arranger of funding for their legal representation.</w:t>
      </w:r>
    </w:p>
    <w:p w14:paraId="06E23DF0" w14:textId="320C7677" w:rsidR="00CC0F72" w:rsidRDefault="00535B30" w:rsidP="00086408">
      <w:pPr>
        <w:spacing w:line="276" w:lineRule="auto"/>
        <w:rPr>
          <w:lang w:eastAsia="en-AU"/>
        </w:rPr>
      </w:pPr>
      <w:r>
        <w:rPr>
          <w:lang w:eastAsia="en-AU"/>
        </w:rPr>
        <w:t>Relevant i</w:t>
      </w:r>
      <w:r w:rsidR="00CC0F72">
        <w:rPr>
          <w:lang w:eastAsia="en-AU"/>
        </w:rPr>
        <w:t xml:space="preserve">nformation concerning the </w:t>
      </w:r>
      <w:r w:rsidR="00FF5DCA">
        <w:rPr>
          <w:lang w:eastAsia="en-AU"/>
        </w:rPr>
        <w:t>VLA Child Protection program:</w:t>
      </w:r>
    </w:p>
    <w:p w14:paraId="306EDAC8" w14:textId="77777777" w:rsidR="002376A3" w:rsidRDefault="002376A3" w:rsidP="00535B30">
      <w:pPr>
        <w:pStyle w:val="ListBullet"/>
        <w:rPr>
          <w:lang w:eastAsia="en-AU"/>
        </w:rPr>
      </w:pPr>
      <w:r>
        <w:rPr>
          <w:lang w:eastAsia="en-AU"/>
        </w:rPr>
        <w:t>The objective of the VLA Child Protection program is to assist children and parents responding to child protection applications by the state by helping to ensure that any legal intervention is limited to that which is necessary to promote the child's</w:t>
      </w:r>
      <w:r w:rsidR="004C2B67">
        <w:rPr>
          <w:lang w:eastAsia="en-AU"/>
        </w:rPr>
        <w:t xml:space="preserve">, safety, </w:t>
      </w:r>
      <w:r>
        <w:rPr>
          <w:lang w:eastAsia="en-AU"/>
        </w:rPr>
        <w:t>wellbeing</w:t>
      </w:r>
      <w:r w:rsidR="004C2B67">
        <w:rPr>
          <w:lang w:eastAsia="en-AU"/>
        </w:rPr>
        <w:t xml:space="preserve"> and development</w:t>
      </w:r>
      <w:r>
        <w:rPr>
          <w:lang w:eastAsia="en-AU"/>
        </w:rPr>
        <w:t>.</w:t>
      </w:r>
    </w:p>
    <w:p w14:paraId="27CC0625" w14:textId="75B186DB" w:rsidR="00CC0F72" w:rsidRDefault="00CC0F72" w:rsidP="00535B30">
      <w:pPr>
        <w:pStyle w:val="ListBullet"/>
        <w:rPr>
          <w:lang w:eastAsia="en-AU"/>
        </w:rPr>
      </w:pPr>
      <w:r>
        <w:rPr>
          <w:lang w:eastAsia="en-AU"/>
        </w:rPr>
        <w:t>Child Protection is the largest program within the Family, Youth</w:t>
      </w:r>
      <w:r w:rsidR="00827E20">
        <w:rPr>
          <w:lang w:eastAsia="en-AU"/>
        </w:rPr>
        <w:t xml:space="preserve"> and Children’s Law Program and the third</w:t>
      </w:r>
      <w:r>
        <w:rPr>
          <w:lang w:eastAsia="en-AU"/>
        </w:rPr>
        <w:t xml:space="preserve"> largest within VLA</w:t>
      </w:r>
      <w:r w:rsidR="00827E20">
        <w:rPr>
          <w:lang w:eastAsia="en-AU"/>
        </w:rPr>
        <w:t xml:space="preserve">. </w:t>
      </w:r>
      <w:r w:rsidR="00827E20" w:rsidRPr="001F41A2">
        <w:rPr>
          <w:rFonts w:cs="Arial"/>
          <w:szCs w:val="22"/>
          <w:lang w:eastAsia="ko-KR"/>
        </w:rPr>
        <w:t>In 2015/16, the Child Protec</w:t>
      </w:r>
      <w:r w:rsidR="008F38B4" w:rsidRPr="001F41A2">
        <w:rPr>
          <w:rFonts w:cs="Arial"/>
          <w:szCs w:val="22"/>
          <w:lang w:eastAsia="ko-KR"/>
        </w:rPr>
        <w:t>tion program accounted for $21.3</w:t>
      </w:r>
      <w:r w:rsidR="007445CF">
        <w:rPr>
          <w:rFonts w:cs="Arial"/>
          <w:szCs w:val="22"/>
          <w:lang w:eastAsia="ko-KR"/>
        </w:rPr>
        <w:t>m</w:t>
      </w:r>
      <w:r w:rsidR="00827E20" w:rsidRPr="001F41A2">
        <w:rPr>
          <w:rFonts w:cs="Arial"/>
          <w:szCs w:val="22"/>
          <w:lang w:eastAsia="ko-KR"/>
        </w:rPr>
        <w:t xml:space="preserve"> or 14.2% of the VLA budget. The number of grants of assistance increased by 20% between 2013/14 and 2015/16</w:t>
      </w:r>
      <w:r w:rsidR="00535B30">
        <w:rPr>
          <w:rFonts w:cs="Arial"/>
          <w:szCs w:val="22"/>
          <w:lang w:eastAsia="ko-KR"/>
        </w:rPr>
        <w:t>.</w:t>
      </w:r>
    </w:p>
    <w:p w14:paraId="59148AF6" w14:textId="75231287" w:rsidR="002376A3" w:rsidRDefault="00CC0F72" w:rsidP="00535B30">
      <w:pPr>
        <w:pStyle w:val="ListBullet"/>
        <w:rPr>
          <w:lang w:eastAsia="en-AU"/>
        </w:rPr>
      </w:pPr>
      <w:r>
        <w:rPr>
          <w:lang w:eastAsia="en-AU"/>
        </w:rPr>
        <w:t>VLA staff lawyers, private practitioners and community legal centres (CLC</w:t>
      </w:r>
      <w:r w:rsidR="007445CF">
        <w:rPr>
          <w:lang w:eastAsia="en-AU"/>
        </w:rPr>
        <w:t>s</w:t>
      </w:r>
      <w:r>
        <w:rPr>
          <w:lang w:eastAsia="en-AU"/>
        </w:rPr>
        <w:t>) deliver child protection legal aid services</w:t>
      </w:r>
      <w:r w:rsidR="002376A3">
        <w:rPr>
          <w:lang w:eastAsia="en-AU"/>
        </w:rPr>
        <w:t xml:space="preserve">. </w:t>
      </w:r>
    </w:p>
    <w:p w14:paraId="0423F130" w14:textId="10EB7154" w:rsidR="00CC0F72" w:rsidRDefault="002376A3" w:rsidP="00535B30">
      <w:pPr>
        <w:pStyle w:val="ListBullet"/>
        <w:rPr>
          <w:lang w:eastAsia="en-AU"/>
        </w:rPr>
      </w:pPr>
      <w:r>
        <w:rPr>
          <w:lang w:eastAsia="en-AU"/>
        </w:rPr>
        <w:t>To deliver VLA fun</w:t>
      </w:r>
      <w:r w:rsidR="007445CF">
        <w:rPr>
          <w:lang w:eastAsia="en-AU"/>
        </w:rPr>
        <w:t>ded child protection services, p</w:t>
      </w:r>
      <w:r>
        <w:rPr>
          <w:lang w:eastAsia="en-AU"/>
        </w:rPr>
        <w:t xml:space="preserve">rivate </w:t>
      </w:r>
      <w:r w:rsidR="007445CF">
        <w:rPr>
          <w:lang w:eastAsia="en-AU"/>
        </w:rPr>
        <w:t>p</w:t>
      </w:r>
      <w:r>
        <w:rPr>
          <w:lang w:eastAsia="en-AU"/>
        </w:rPr>
        <w:t>ractitioners and CLC</w:t>
      </w:r>
      <w:r w:rsidR="007445CF">
        <w:rPr>
          <w:lang w:eastAsia="en-AU"/>
        </w:rPr>
        <w:t>s</w:t>
      </w:r>
      <w:r>
        <w:rPr>
          <w:lang w:eastAsia="en-AU"/>
        </w:rPr>
        <w:t xml:space="preserve"> must be on the VLA s</w:t>
      </w:r>
      <w:r w:rsidR="007445CF">
        <w:rPr>
          <w:lang w:eastAsia="en-AU"/>
        </w:rPr>
        <w:t xml:space="preserve">. </w:t>
      </w:r>
      <w:r>
        <w:rPr>
          <w:lang w:eastAsia="en-AU"/>
        </w:rPr>
        <w:t>2</w:t>
      </w:r>
      <w:r w:rsidR="001F3222">
        <w:rPr>
          <w:lang w:eastAsia="en-AU"/>
        </w:rPr>
        <w:t>9</w:t>
      </w:r>
      <w:r>
        <w:rPr>
          <w:lang w:eastAsia="en-AU"/>
        </w:rPr>
        <w:t xml:space="preserve">A Child Protection Panel. The panel was established to ensure that practitioners delivering this service have the requisite experience and knowledge. VLA staff deliver around 10% of the services conducted pursuant to </w:t>
      </w:r>
      <w:r w:rsidR="007445CF">
        <w:rPr>
          <w:lang w:eastAsia="en-AU"/>
        </w:rPr>
        <w:t>a grant of assistance. Private p</w:t>
      </w:r>
      <w:r>
        <w:rPr>
          <w:lang w:eastAsia="en-AU"/>
        </w:rPr>
        <w:t>ractitioners deliver around 89% and CLC</w:t>
      </w:r>
      <w:r w:rsidR="007445CF">
        <w:rPr>
          <w:lang w:eastAsia="en-AU"/>
        </w:rPr>
        <w:t>s</w:t>
      </w:r>
      <w:r>
        <w:rPr>
          <w:lang w:eastAsia="en-AU"/>
        </w:rPr>
        <w:t xml:space="preserve"> the balance. </w:t>
      </w:r>
    </w:p>
    <w:p w14:paraId="71E86E8A" w14:textId="7AF060B6" w:rsidR="002376A3" w:rsidRDefault="00CC0F72" w:rsidP="00535B30">
      <w:pPr>
        <w:pStyle w:val="ListBullet"/>
        <w:rPr>
          <w:lang w:eastAsia="en-AU"/>
        </w:rPr>
      </w:pPr>
      <w:r>
        <w:rPr>
          <w:lang w:eastAsia="en-AU"/>
        </w:rPr>
        <w:t>Within VLA, the Melbourne office based Child Protection team is responsible for providing legal services for children and families involved in the child protection system at the Melb</w:t>
      </w:r>
      <w:r w:rsidR="007445CF">
        <w:rPr>
          <w:lang w:eastAsia="en-AU"/>
        </w:rPr>
        <w:t>ourne and Moorabbin Children’s c</w:t>
      </w:r>
      <w:r>
        <w:rPr>
          <w:lang w:eastAsia="en-AU"/>
        </w:rPr>
        <w:t>ourts. The Youth Crime team and regional office staff also provide child protection legal services, with the Youth Crime lawyers assisting the Child Protection team and regional office staff servicing clients at the Broadmeadows and regio</w:t>
      </w:r>
      <w:r w:rsidR="001873B0">
        <w:rPr>
          <w:lang w:eastAsia="en-AU"/>
        </w:rPr>
        <w:t>nal (country) Children’s c</w:t>
      </w:r>
      <w:r w:rsidR="007445CF">
        <w:rPr>
          <w:lang w:eastAsia="en-AU"/>
        </w:rPr>
        <w:t>ourts.</w:t>
      </w:r>
    </w:p>
    <w:p w14:paraId="7CE5957F" w14:textId="77777777" w:rsidR="00C34723" w:rsidRDefault="002376A3" w:rsidP="00535B30">
      <w:pPr>
        <w:pStyle w:val="ListBullet"/>
        <w:rPr>
          <w:lang w:eastAsia="en-AU"/>
        </w:rPr>
      </w:pPr>
      <w:r>
        <w:rPr>
          <w:lang w:eastAsia="en-AU"/>
        </w:rPr>
        <w:lastRenderedPageBreak/>
        <w:t>The</w:t>
      </w:r>
      <w:r w:rsidR="00CC0F72">
        <w:rPr>
          <w:lang w:eastAsia="en-AU"/>
        </w:rPr>
        <w:t xml:space="preserve"> </w:t>
      </w:r>
      <w:r>
        <w:rPr>
          <w:lang w:eastAsia="en-AU"/>
        </w:rPr>
        <w:t xml:space="preserve">Victorian Aboriginal Legal Service and the Aboriginal Family Violence Prevention Legal Service </w:t>
      </w:r>
      <w:r w:rsidR="00C34723">
        <w:rPr>
          <w:lang w:eastAsia="en-AU"/>
        </w:rPr>
        <w:t>provide services to Aboriginal and/or Torres Strait Islander children and parents.</w:t>
      </w:r>
    </w:p>
    <w:p w14:paraId="0EA52299" w14:textId="77777777" w:rsidR="009E1D6D" w:rsidRDefault="00C34723" w:rsidP="00535B30">
      <w:pPr>
        <w:pStyle w:val="ListBullet"/>
        <w:rPr>
          <w:lang w:eastAsia="en-AU"/>
        </w:rPr>
      </w:pPr>
      <w:r>
        <w:rPr>
          <w:lang w:eastAsia="en-AU"/>
        </w:rPr>
        <w:t xml:space="preserve">A pilot with Women’s Legal Service and Loddon-Campaspe CLC is underway to delivery new child protection services at the Moorabbin Justice Centre and in the Bendigo region respectively. The services are able to assist with family violence and family law matters, in addition to the child protection proceedings. </w:t>
      </w:r>
    </w:p>
    <w:p w14:paraId="702D0BFD" w14:textId="77777777" w:rsidR="00CC0F72" w:rsidRDefault="00CC0F72" w:rsidP="00535B30">
      <w:pPr>
        <w:pStyle w:val="ListBullet"/>
        <w:rPr>
          <w:lang w:eastAsia="en-AU"/>
        </w:rPr>
      </w:pPr>
      <w:r>
        <w:rPr>
          <w:lang w:eastAsia="en-AU"/>
        </w:rPr>
        <w:t>VLA currently delivers or funds the delivery of the following suite of child protection legal services:</w:t>
      </w:r>
    </w:p>
    <w:p w14:paraId="0B31E2E6" w14:textId="635D43C5" w:rsidR="00CC0F72" w:rsidRDefault="00535B30" w:rsidP="00535B30">
      <w:pPr>
        <w:pStyle w:val="ListBullet2"/>
        <w:rPr>
          <w:lang w:eastAsia="en-AU"/>
        </w:rPr>
      </w:pPr>
      <w:r>
        <w:rPr>
          <w:lang w:eastAsia="en-AU"/>
        </w:rPr>
        <w:t>Community Legal Education</w:t>
      </w:r>
    </w:p>
    <w:p w14:paraId="13DA39F2" w14:textId="19980C76" w:rsidR="00CC0F72" w:rsidRDefault="007445CF" w:rsidP="00535B30">
      <w:pPr>
        <w:pStyle w:val="ListBullet2"/>
        <w:rPr>
          <w:lang w:eastAsia="en-AU"/>
        </w:rPr>
      </w:pPr>
      <w:r>
        <w:rPr>
          <w:lang w:eastAsia="en-AU"/>
        </w:rPr>
        <w:t>l</w:t>
      </w:r>
      <w:r w:rsidR="00CC0F72">
        <w:rPr>
          <w:lang w:eastAsia="en-AU"/>
        </w:rPr>
        <w:t>egal information (inc</w:t>
      </w:r>
      <w:r w:rsidR="00535B30">
        <w:rPr>
          <w:lang w:eastAsia="en-AU"/>
        </w:rPr>
        <w:t>luding cold and warm referrals)</w:t>
      </w:r>
    </w:p>
    <w:p w14:paraId="35EDA8B8" w14:textId="118A556F" w:rsidR="00CC0F72" w:rsidRDefault="007445CF" w:rsidP="00535B30">
      <w:pPr>
        <w:pStyle w:val="ListBullet2"/>
        <w:rPr>
          <w:lang w:eastAsia="en-AU"/>
        </w:rPr>
      </w:pPr>
      <w:r>
        <w:rPr>
          <w:lang w:eastAsia="en-AU"/>
        </w:rPr>
        <w:t>l</w:t>
      </w:r>
      <w:r w:rsidR="00CC0F72">
        <w:rPr>
          <w:lang w:eastAsia="en-AU"/>
        </w:rPr>
        <w:t>egal advice</w:t>
      </w:r>
      <w:r w:rsidR="00045FDA">
        <w:rPr>
          <w:lang w:eastAsia="en-AU"/>
        </w:rPr>
        <w:t>, through a free telephone advice line</w:t>
      </w:r>
    </w:p>
    <w:p w14:paraId="796E7055" w14:textId="5A2E1731" w:rsidR="00CC0F72" w:rsidRDefault="007445CF" w:rsidP="00535B30">
      <w:pPr>
        <w:pStyle w:val="ListBullet2"/>
        <w:rPr>
          <w:lang w:eastAsia="en-AU"/>
        </w:rPr>
      </w:pPr>
      <w:r>
        <w:rPr>
          <w:lang w:eastAsia="en-AU"/>
        </w:rPr>
        <w:t>m</w:t>
      </w:r>
      <w:r w:rsidR="00535B30">
        <w:rPr>
          <w:lang w:eastAsia="en-AU"/>
        </w:rPr>
        <w:t>inor assistance</w:t>
      </w:r>
    </w:p>
    <w:p w14:paraId="1CD876C0" w14:textId="2AE149FA" w:rsidR="00CC0F72" w:rsidRDefault="007445CF" w:rsidP="00535B30">
      <w:pPr>
        <w:pStyle w:val="ListBullet2"/>
        <w:rPr>
          <w:lang w:eastAsia="en-AU"/>
        </w:rPr>
      </w:pPr>
      <w:r>
        <w:rPr>
          <w:lang w:eastAsia="en-AU"/>
        </w:rPr>
        <w:t>d</w:t>
      </w:r>
      <w:r w:rsidR="00535B30">
        <w:rPr>
          <w:lang w:eastAsia="en-AU"/>
        </w:rPr>
        <w:t>uty lawyer services,</w:t>
      </w:r>
      <w:r w:rsidR="00CC0F72">
        <w:rPr>
          <w:lang w:eastAsia="en-AU"/>
        </w:rPr>
        <w:t xml:space="preserve"> and</w:t>
      </w:r>
    </w:p>
    <w:p w14:paraId="37505F9E" w14:textId="1AA36F7B" w:rsidR="00CC0F72" w:rsidRDefault="007445CF" w:rsidP="00535B30">
      <w:pPr>
        <w:pStyle w:val="ListBullet2"/>
        <w:rPr>
          <w:lang w:eastAsia="en-AU"/>
        </w:rPr>
      </w:pPr>
      <w:r>
        <w:rPr>
          <w:lang w:eastAsia="en-AU"/>
        </w:rPr>
        <w:t>c</w:t>
      </w:r>
      <w:r w:rsidR="00CC0F72">
        <w:rPr>
          <w:lang w:eastAsia="en-AU"/>
        </w:rPr>
        <w:t>asework under a grant of legal assistance.</w:t>
      </w:r>
      <w:r w:rsidR="009E1D6D">
        <w:rPr>
          <w:rStyle w:val="FootnoteReference"/>
          <w:lang w:eastAsia="en-AU"/>
        </w:rPr>
        <w:footnoteReference w:id="44"/>
      </w:r>
    </w:p>
    <w:p w14:paraId="21710F43" w14:textId="77777777" w:rsidR="00CC0F72" w:rsidRDefault="00CC0F72" w:rsidP="00535B30">
      <w:pPr>
        <w:pStyle w:val="Heading2numbered"/>
      </w:pPr>
      <w:bookmarkStart w:id="16" w:name="ScopeOfServices"/>
      <w:bookmarkStart w:id="17" w:name="_Toc465244406"/>
      <w:bookmarkEnd w:id="16"/>
      <w:r>
        <w:t>Scope of services</w:t>
      </w:r>
      <w:bookmarkEnd w:id="17"/>
    </w:p>
    <w:p w14:paraId="09632F2C" w14:textId="5AD53297" w:rsidR="00CA20DF" w:rsidRDefault="00535B30" w:rsidP="00086408">
      <w:pPr>
        <w:spacing w:line="276" w:lineRule="auto"/>
        <w:rPr>
          <w:lang w:eastAsia="en-AU"/>
        </w:rPr>
      </w:pPr>
      <w:r>
        <w:rPr>
          <w:lang w:eastAsia="en-AU"/>
        </w:rPr>
        <w:t>In 2014–</w:t>
      </w:r>
      <w:r w:rsidR="00CA20DF">
        <w:rPr>
          <w:lang w:eastAsia="en-AU"/>
        </w:rPr>
        <w:t>15, DHHS received 91,586 reports relating to children across Victoria</w:t>
      </w:r>
      <w:r w:rsidR="000D085C">
        <w:rPr>
          <w:lang w:eastAsia="en-AU"/>
        </w:rPr>
        <w:t>,</w:t>
      </w:r>
      <w:r w:rsidR="00CA20DF">
        <w:rPr>
          <w:rStyle w:val="FootnoteReference"/>
          <w:lang w:eastAsia="en-AU"/>
        </w:rPr>
        <w:footnoteReference w:id="45"/>
      </w:r>
      <w:r w:rsidR="000D085C">
        <w:rPr>
          <w:lang w:eastAsia="en-AU"/>
        </w:rPr>
        <w:t xml:space="preserve"> </w:t>
      </w:r>
      <w:r w:rsidR="000D085C">
        <w:rPr>
          <w:rFonts w:cs="Arial"/>
          <w:szCs w:val="22"/>
        </w:rPr>
        <w:t>up from 82,056 in 2013</w:t>
      </w:r>
      <w:r>
        <w:rPr>
          <w:rFonts w:cs="Arial"/>
          <w:szCs w:val="22"/>
        </w:rPr>
        <w:t>–14 and 73,272 in 2012–</w:t>
      </w:r>
      <w:r w:rsidR="000D085C">
        <w:rPr>
          <w:rFonts w:cs="Arial"/>
          <w:szCs w:val="22"/>
        </w:rPr>
        <w:t>13</w:t>
      </w:r>
      <w:r w:rsidR="00304893">
        <w:rPr>
          <w:rFonts w:cs="Arial"/>
          <w:szCs w:val="22"/>
        </w:rPr>
        <w:t>.</w:t>
      </w:r>
      <w:r w:rsidR="000D085C">
        <w:rPr>
          <w:rStyle w:val="FootnoteReference"/>
          <w:rFonts w:cs="Arial"/>
          <w:szCs w:val="22"/>
        </w:rPr>
        <w:footnoteReference w:id="46"/>
      </w:r>
      <w:r w:rsidR="00CA20DF">
        <w:rPr>
          <w:lang w:eastAsia="en-AU"/>
        </w:rPr>
        <w:t xml:space="preserve"> Of that total figure, 14,115 were substantiated, which required a decision to be made as to the extent of support and intervention necessary to ens</w:t>
      </w:r>
      <w:r w:rsidR="00DE39D3">
        <w:rPr>
          <w:lang w:eastAsia="en-AU"/>
        </w:rPr>
        <w:t>ure the child’s safety and well</w:t>
      </w:r>
      <w:r w:rsidR="00CA20DF">
        <w:rPr>
          <w:lang w:eastAsia="en-AU"/>
        </w:rPr>
        <w:t>being. Of the 14,115 substantiations, there were 4</w:t>
      </w:r>
      <w:r w:rsidR="007445CF">
        <w:rPr>
          <w:lang w:eastAsia="en-AU"/>
        </w:rPr>
        <w:t>,</w:t>
      </w:r>
      <w:r w:rsidR="00CA20DF">
        <w:rPr>
          <w:lang w:eastAsia="en-AU"/>
        </w:rPr>
        <w:t>927 initiations to the Children’s Court</w:t>
      </w:r>
      <w:r w:rsidR="00304893">
        <w:rPr>
          <w:lang w:eastAsia="en-AU"/>
        </w:rPr>
        <w:t>.</w:t>
      </w:r>
      <w:r w:rsidR="00CA20DF">
        <w:rPr>
          <w:rStyle w:val="FootnoteReference"/>
          <w:lang w:eastAsia="en-AU"/>
        </w:rPr>
        <w:footnoteReference w:id="47"/>
      </w:r>
      <w:r>
        <w:rPr>
          <w:lang w:eastAsia="en-AU"/>
        </w:rPr>
        <w:t xml:space="preserve"> This means that in 2014</w:t>
      </w:r>
      <w:r w:rsidR="007445CF">
        <w:rPr>
          <w:lang w:eastAsia="en-AU"/>
        </w:rPr>
        <w:t>–</w:t>
      </w:r>
      <w:r w:rsidR="00CA20DF">
        <w:rPr>
          <w:lang w:eastAsia="en-AU"/>
        </w:rPr>
        <w:t>15, of all repo</w:t>
      </w:r>
      <w:r w:rsidR="009451B8">
        <w:rPr>
          <w:lang w:eastAsia="en-AU"/>
        </w:rPr>
        <w:t>rts</w:t>
      </w:r>
      <w:r w:rsidR="00CA20DF">
        <w:rPr>
          <w:lang w:eastAsia="en-AU"/>
        </w:rPr>
        <w:t xml:space="preserve"> received and substantiated, 65% were dealt with wit</w:t>
      </w:r>
      <w:r w:rsidR="001873B0">
        <w:rPr>
          <w:lang w:eastAsia="en-AU"/>
        </w:rPr>
        <w:t>hout recourse to court or court-</w:t>
      </w:r>
      <w:r w:rsidR="00CA20DF">
        <w:rPr>
          <w:lang w:eastAsia="en-AU"/>
        </w:rPr>
        <w:t>based legal assistance. Nearly all substantiated cases will result in a case planning meeting.</w:t>
      </w:r>
      <w:r w:rsidR="00CA20DF">
        <w:rPr>
          <w:rStyle w:val="FootnoteReference"/>
          <w:lang w:eastAsia="en-AU"/>
        </w:rPr>
        <w:footnoteReference w:id="48"/>
      </w:r>
      <w:r w:rsidR="00CA20DF">
        <w:rPr>
          <w:lang w:eastAsia="en-AU"/>
        </w:rPr>
        <w:t xml:space="preserve"> </w:t>
      </w:r>
    </w:p>
    <w:p w14:paraId="3D155671" w14:textId="77777777" w:rsidR="00CA20DF" w:rsidRDefault="00045FDA" w:rsidP="00535B30">
      <w:pPr>
        <w:pStyle w:val="Heading3"/>
      </w:pPr>
      <w:r>
        <w:t>Community Legal Education</w:t>
      </w:r>
    </w:p>
    <w:p w14:paraId="76A21460" w14:textId="77777777" w:rsidR="00045FDA" w:rsidRPr="00045FDA" w:rsidRDefault="00045FDA" w:rsidP="00086408">
      <w:pPr>
        <w:spacing w:line="276" w:lineRule="auto"/>
        <w:rPr>
          <w:lang w:eastAsia="en-AU"/>
        </w:rPr>
      </w:pPr>
      <w:r>
        <w:rPr>
          <w:lang w:eastAsia="en-AU"/>
        </w:rPr>
        <w:t xml:space="preserve">While some forms of direct legal education concerning child protection is delivered, there is no systematic program for this. </w:t>
      </w:r>
    </w:p>
    <w:p w14:paraId="42F49339" w14:textId="17E22118" w:rsidR="00045FDA" w:rsidRPr="00CA20DF" w:rsidRDefault="007445CF" w:rsidP="00535B30">
      <w:pPr>
        <w:pStyle w:val="Heading3"/>
      </w:pPr>
      <w:r>
        <w:t>Legal i</w:t>
      </w:r>
      <w:r w:rsidR="00045FDA">
        <w:t xml:space="preserve">nformation and </w:t>
      </w:r>
      <w:r>
        <w:t>a</w:t>
      </w:r>
      <w:r w:rsidR="00045FDA">
        <w:t>dvice</w:t>
      </w:r>
    </w:p>
    <w:p w14:paraId="3BC0BE5C" w14:textId="77777777" w:rsidR="00045FDA" w:rsidRDefault="00045FDA" w:rsidP="00086408">
      <w:pPr>
        <w:spacing w:line="276" w:lineRule="auto"/>
        <w:rPr>
          <w:lang w:eastAsia="en-AU"/>
        </w:rPr>
      </w:pPr>
      <w:r>
        <w:rPr>
          <w:lang w:eastAsia="en-AU"/>
        </w:rPr>
        <w:t xml:space="preserve">Some information about the child protection system is available on the VLA website. This provides basic information about what to do and how to obtain legal assistance. </w:t>
      </w:r>
    </w:p>
    <w:p w14:paraId="6C53A24A" w14:textId="6BBEACE2" w:rsidR="00CA20DF" w:rsidRDefault="00CA20DF" w:rsidP="00086408">
      <w:pPr>
        <w:spacing w:line="276" w:lineRule="auto"/>
        <w:rPr>
          <w:lang w:eastAsia="en-AU"/>
        </w:rPr>
      </w:pPr>
      <w:r>
        <w:rPr>
          <w:lang w:eastAsia="en-AU"/>
        </w:rPr>
        <w:lastRenderedPageBreak/>
        <w:t xml:space="preserve">Presently the </w:t>
      </w:r>
      <w:r w:rsidR="00045FDA">
        <w:rPr>
          <w:lang w:eastAsia="en-AU"/>
        </w:rPr>
        <w:t>primary</w:t>
      </w:r>
      <w:r>
        <w:rPr>
          <w:lang w:eastAsia="en-AU"/>
        </w:rPr>
        <w:t xml:space="preserve"> form of legal assistance for pre-court events is telephone advice. Pre-court events include case planning meetings, where protective concerns are discussed, a care plan is developed, which must accord with a nominated plan on the ‘permanency hierarchy’ and conditions or ‘actions’ are agreed too</w:t>
      </w:r>
      <w:r w:rsidR="00304893">
        <w:rPr>
          <w:lang w:eastAsia="en-AU"/>
        </w:rPr>
        <w:t>.</w:t>
      </w:r>
      <w:r>
        <w:rPr>
          <w:rStyle w:val="FootnoteReference"/>
          <w:lang w:eastAsia="en-AU"/>
        </w:rPr>
        <w:footnoteReference w:id="49"/>
      </w:r>
      <w:r>
        <w:rPr>
          <w:lang w:eastAsia="en-AU"/>
        </w:rPr>
        <w:t xml:space="preserve"> </w:t>
      </w:r>
    </w:p>
    <w:p w14:paraId="5F85ED0A" w14:textId="6C5AFAF5" w:rsidR="00CA20DF" w:rsidRDefault="00CA20DF" w:rsidP="00086408">
      <w:pPr>
        <w:spacing w:line="276" w:lineRule="auto"/>
        <w:rPr>
          <w:lang w:eastAsia="en-AU"/>
        </w:rPr>
      </w:pPr>
      <w:r>
        <w:rPr>
          <w:lang w:eastAsia="en-AU"/>
        </w:rPr>
        <w:t>Parents and children engaged on a voluntary basis with DHHS, may contact Legal Help and speak with a lawyer from the Melbourne based Child Protection or Youth Crime program. Prior to advice being provided, Legal Help will conduct a ‘conflict of interest’ check. In circumstances where a ‘conflict of interest’ is identified, the caller may only receive ‘procedural advice’</w:t>
      </w:r>
      <w:r w:rsidR="009606E7">
        <w:rPr>
          <w:rStyle w:val="FootnoteReference"/>
          <w:lang w:eastAsia="en-AU"/>
        </w:rPr>
        <w:footnoteReference w:id="50"/>
      </w:r>
      <w:r>
        <w:rPr>
          <w:lang w:eastAsia="en-AU"/>
        </w:rPr>
        <w:t xml:space="preserve"> which is of limited assistance. </w:t>
      </w:r>
    </w:p>
    <w:p w14:paraId="2FE371B9" w14:textId="5C5C2900" w:rsidR="00045FDA" w:rsidRDefault="00045FDA" w:rsidP="00086408">
      <w:pPr>
        <w:spacing w:line="276" w:lineRule="auto"/>
        <w:rPr>
          <w:lang w:eastAsia="en-AU"/>
        </w:rPr>
      </w:pPr>
      <w:r>
        <w:rPr>
          <w:lang w:eastAsia="en-AU"/>
        </w:rPr>
        <w:t>In 2015/16 there were around 2</w:t>
      </w:r>
      <w:r w:rsidR="003D597B">
        <w:rPr>
          <w:lang w:eastAsia="en-AU"/>
        </w:rPr>
        <w:t>,</w:t>
      </w:r>
      <w:r>
        <w:rPr>
          <w:lang w:eastAsia="en-AU"/>
        </w:rPr>
        <w:t xml:space="preserve">000 telephone legal information and advice services provided. </w:t>
      </w:r>
    </w:p>
    <w:p w14:paraId="438E9EEC" w14:textId="6E6C95DA" w:rsidR="00CA20DF" w:rsidRPr="00CA20DF" w:rsidRDefault="003D597B" w:rsidP="00535B30">
      <w:pPr>
        <w:pStyle w:val="Heading3"/>
      </w:pPr>
      <w:r>
        <w:t>Duty l</w:t>
      </w:r>
      <w:r w:rsidR="00CA20DF" w:rsidRPr="00CA20DF">
        <w:t>awyer</w:t>
      </w:r>
    </w:p>
    <w:p w14:paraId="51739FF8" w14:textId="0FB1E2D4" w:rsidR="00CA20DF" w:rsidRDefault="00CA20DF" w:rsidP="00086408">
      <w:pPr>
        <w:spacing w:line="276" w:lineRule="auto"/>
        <w:rPr>
          <w:lang w:eastAsia="en-AU"/>
        </w:rPr>
      </w:pPr>
      <w:r>
        <w:rPr>
          <w:lang w:eastAsia="en-AU"/>
        </w:rPr>
        <w:t>The delivery of face-to-face legal services typically com</w:t>
      </w:r>
      <w:r w:rsidR="001873B0">
        <w:rPr>
          <w:lang w:eastAsia="en-AU"/>
        </w:rPr>
        <w:t>mences once proceedings are at c</w:t>
      </w:r>
      <w:r>
        <w:rPr>
          <w:lang w:eastAsia="en-AU"/>
        </w:rPr>
        <w:t>ourt. Child protection duty lawyer services are provided by a combination of in-house lawyers, private practitioners and, to a lesser extent, by Community Legal Centre lawyers. Clients frequently present with a range of complex needs and legal issues that may cross multiple jurisdictions. The duty lawyer service is provided at the first hearing date of an initiating</w:t>
      </w:r>
      <w:r w:rsidR="003D597B">
        <w:rPr>
          <w:lang w:eastAsia="en-AU"/>
        </w:rPr>
        <w:t xml:space="preserve"> application, most commonly, a p</w:t>
      </w:r>
      <w:r>
        <w:rPr>
          <w:lang w:eastAsia="en-AU"/>
        </w:rPr>
        <w:t xml:space="preserve">rotection </w:t>
      </w:r>
      <w:r w:rsidR="003D597B">
        <w:rPr>
          <w:lang w:eastAsia="en-AU"/>
        </w:rPr>
        <w:t>a</w:t>
      </w:r>
      <w:r>
        <w:rPr>
          <w:lang w:eastAsia="en-AU"/>
        </w:rPr>
        <w:t xml:space="preserve">pplication. The service generally transitions to ongoing casework for the child protection matter and, in some instances a variety of other legal needs under one or more grants of aid. As such, the child protection duty lawyer scheme serves as the primary intake mechanism for ongoing child protection casework and to a lesser extent family law, family violence, youth crime and other legal matters. </w:t>
      </w:r>
    </w:p>
    <w:p w14:paraId="5BCCDDEF" w14:textId="77777777" w:rsidR="00CA20DF" w:rsidRDefault="00CA20DF" w:rsidP="00086408">
      <w:pPr>
        <w:spacing w:line="276" w:lineRule="auto"/>
        <w:rPr>
          <w:lang w:eastAsia="en-AU"/>
        </w:rPr>
      </w:pPr>
      <w:r>
        <w:rPr>
          <w:lang w:eastAsia="en-AU"/>
        </w:rPr>
        <w:t xml:space="preserve">The process by which VLA becomes aware of applications for protection orders, and can thereby arrange representation, varies from region to region. In some regions, the DHHS provides advance notice of proposed applications. This enables arrangements to be made for legal representation of parties. In other areas this information is provided on the day, or the DHHS may have contacted local practitioners to arrange representation. </w:t>
      </w:r>
    </w:p>
    <w:p w14:paraId="5D6B08CB" w14:textId="77777777" w:rsidR="00CA20DF" w:rsidRPr="00CA20DF" w:rsidRDefault="00CA20DF" w:rsidP="00535B30">
      <w:pPr>
        <w:pStyle w:val="Heading3"/>
      </w:pPr>
      <w:r w:rsidRPr="00CA20DF">
        <w:t>Grant of assistance</w:t>
      </w:r>
    </w:p>
    <w:p w14:paraId="6E3D2DF5" w14:textId="52E679F4" w:rsidR="00CA20DF" w:rsidRDefault="00CA20DF" w:rsidP="00086408">
      <w:pPr>
        <w:spacing w:line="276" w:lineRule="auto"/>
        <w:rPr>
          <w:lang w:eastAsia="en-AU"/>
        </w:rPr>
      </w:pPr>
      <w:r>
        <w:rPr>
          <w:lang w:eastAsia="en-AU"/>
        </w:rPr>
        <w:t>At present, grants of aid for child protection matters are provided principally under two specific guidelines</w:t>
      </w:r>
      <w:r w:rsidR="00304893">
        <w:rPr>
          <w:lang w:eastAsia="en-AU"/>
        </w:rPr>
        <w:t>.</w:t>
      </w:r>
      <w:r>
        <w:rPr>
          <w:rStyle w:val="FootnoteReference"/>
          <w:lang w:eastAsia="en-AU"/>
        </w:rPr>
        <w:footnoteReference w:id="51"/>
      </w:r>
      <w:r w:rsidR="00C920FC">
        <w:rPr>
          <w:lang w:eastAsia="en-AU"/>
        </w:rPr>
        <w:t xml:space="preserve"> State F</w:t>
      </w:r>
      <w:r>
        <w:rPr>
          <w:lang w:eastAsia="en-AU"/>
        </w:rPr>
        <w:t xml:space="preserve">amily </w:t>
      </w:r>
      <w:r w:rsidR="00C920FC">
        <w:rPr>
          <w:lang w:eastAsia="en-AU"/>
        </w:rPr>
        <w:t>G</w:t>
      </w:r>
      <w:r>
        <w:rPr>
          <w:lang w:eastAsia="en-AU"/>
        </w:rPr>
        <w:t>uideline 1 provides that VLA may make a grant of legal assistance to a child who is the subject of an application in the Family Division of the</w:t>
      </w:r>
      <w:r w:rsidR="00C920FC">
        <w:rPr>
          <w:lang w:eastAsia="en-AU"/>
        </w:rPr>
        <w:t xml:space="preserve"> Children’s Court. As noted, children aged 10 and over are represented. Under State F</w:t>
      </w:r>
      <w:r>
        <w:rPr>
          <w:lang w:eastAsia="en-AU"/>
        </w:rPr>
        <w:t xml:space="preserve">amily </w:t>
      </w:r>
      <w:r w:rsidR="00C920FC">
        <w:rPr>
          <w:lang w:eastAsia="en-AU"/>
        </w:rPr>
        <w:t>G</w:t>
      </w:r>
      <w:r>
        <w:rPr>
          <w:lang w:eastAsia="en-AU"/>
        </w:rPr>
        <w:t xml:space="preserve">uideline 2, VLA may make a grant of legal assistance for a person to respond to certain proceedings in the Family Division of the </w:t>
      </w:r>
      <w:r>
        <w:rPr>
          <w:lang w:eastAsia="en-AU"/>
        </w:rPr>
        <w:lastRenderedPageBreak/>
        <w:t xml:space="preserve">Children’s Court if that person is a parent or otherwise meets the guideline’s criteria. </w:t>
      </w:r>
      <w:r w:rsidR="00C920FC">
        <w:rPr>
          <w:lang w:eastAsia="en-AU"/>
        </w:rPr>
        <w:t xml:space="preserve">The bulk of grants of assistance under this guideline are to parents. </w:t>
      </w:r>
      <w:r>
        <w:rPr>
          <w:lang w:eastAsia="en-AU"/>
        </w:rPr>
        <w:t xml:space="preserve">The parties and matters that are eligible for a grant of assistance are set out in detail in the guideline. </w:t>
      </w:r>
    </w:p>
    <w:p w14:paraId="3C190485" w14:textId="197DBF5C" w:rsidR="00CA20DF" w:rsidRDefault="00CA20DF" w:rsidP="00086408">
      <w:pPr>
        <w:spacing w:line="276" w:lineRule="auto"/>
        <w:rPr>
          <w:lang w:eastAsia="en-AU"/>
        </w:rPr>
      </w:pPr>
      <w:r>
        <w:rPr>
          <w:lang w:eastAsia="en-AU"/>
        </w:rPr>
        <w:t>Further guidelines were introduced to respond to the legislative changes to the CYFA that commenced on 1 March 2016, including funding for a child or parent to seek an internal and then external administrative review of a DHHS case planning</w:t>
      </w:r>
      <w:r w:rsidR="003D597B">
        <w:rPr>
          <w:lang w:eastAsia="en-AU"/>
        </w:rPr>
        <w:t xml:space="preserve"> decision in some circumstances,</w:t>
      </w:r>
      <w:r>
        <w:rPr>
          <w:lang w:eastAsia="en-AU"/>
        </w:rPr>
        <w:t xml:space="preserve"> funding a child or parent to initiate or respond to an application to revoke a protection order in limited circumstances and simplified grants funding for Interim Accommodation Order appeals. </w:t>
      </w:r>
    </w:p>
    <w:p w14:paraId="26CF272D" w14:textId="53BB1BC7" w:rsidR="00CA20DF" w:rsidRDefault="00CA20DF" w:rsidP="00086408">
      <w:pPr>
        <w:spacing w:line="276" w:lineRule="auto"/>
        <w:rPr>
          <w:lang w:eastAsia="en-AU"/>
        </w:rPr>
      </w:pPr>
      <w:r>
        <w:rPr>
          <w:lang w:eastAsia="en-AU"/>
        </w:rPr>
        <w:t xml:space="preserve">VLA does not currently fund </w:t>
      </w:r>
      <w:r w:rsidRPr="00CA20DF">
        <w:rPr>
          <w:b/>
          <w:lang w:eastAsia="en-AU"/>
        </w:rPr>
        <w:t>post-court</w:t>
      </w:r>
      <w:r>
        <w:rPr>
          <w:lang w:eastAsia="en-AU"/>
        </w:rPr>
        <w:t xml:space="preserve"> assistance or representation for clients at DHHS case planning meetings where decisions relating to ‘permanency’ and contact between parents and children may be decided</w:t>
      </w:r>
      <w:r w:rsidR="00304893">
        <w:rPr>
          <w:lang w:eastAsia="en-AU"/>
        </w:rPr>
        <w:t>.</w:t>
      </w:r>
      <w:r>
        <w:rPr>
          <w:rStyle w:val="FootnoteReference"/>
          <w:lang w:eastAsia="en-AU"/>
        </w:rPr>
        <w:footnoteReference w:id="52"/>
      </w:r>
    </w:p>
    <w:p w14:paraId="741EC069" w14:textId="77777777" w:rsidR="0038397A" w:rsidRDefault="0038397A" w:rsidP="00535B30">
      <w:pPr>
        <w:pStyle w:val="Heading1numbered"/>
      </w:pPr>
      <w:bookmarkStart w:id="18" w:name="_Toc465244407"/>
      <w:r>
        <w:t>Current demand for services and predicted future demand</w:t>
      </w:r>
      <w:bookmarkEnd w:id="18"/>
    </w:p>
    <w:p w14:paraId="5AC87EE5" w14:textId="77777777" w:rsidR="0038397A" w:rsidRDefault="0038397A" w:rsidP="00086408">
      <w:pPr>
        <w:spacing w:line="276" w:lineRule="auto"/>
        <w:rPr>
          <w:lang w:eastAsia="en-AU"/>
        </w:rPr>
      </w:pPr>
      <w:r>
        <w:rPr>
          <w:lang w:eastAsia="en-AU"/>
        </w:rPr>
        <w:t xml:space="preserve">Across Australia, the number of matters reported to child protection services, together with the number of substantiations and orders, has been increasing over recent years. </w:t>
      </w:r>
      <w:r w:rsidR="00EF271D">
        <w:rPr>
          <w:lang w:eastAsia="en-AU"/>
        </w:rPr>
        <w:t>Similarly,</w:t>
      </w:r>
      <w:r>
        <w:rPr>
          <w:lang w:eastAsia="en-AU"/>
        </w:rPr>
        <w:t xml:space="preserve"> the cost of child protection has been increasing rapidly. The Productivity Commission notes:</w:t>
      </w:r>
    </w:p>
    <w:p w14:paraId="58B8EFAE" w14:textId="292DAABE" w:rsidR="0038397A" w:rsidRPr="00EF271D" w:rsidRDefault="0038397A" w:rsidP="00535B30">
      <w:pPr>
        <w:pStyle w:val="VLAquotation"/>
        <w:rPr>
          <w:lang w:eastAsia="en-AU"/>
        </w:rPr>
      </w:pPr>
      <w:r w:rsidRPr="00EF271D">
        <w:rPr>
          <w:lang w:eastAsia="en-AU"/>
        </w:rPr>
        <w:t xml:space="preserve">Total recurrent expenditure on child protection, out-of-home care, family support services and intensive family support services was </w:t>
      </w:r>
      <w:r w:rsidR="003D597B">
        <w:rPr>
          <w:lang w:eastAsia="en-AU"/>
        </w:rPr>
        <w:t>$4.3 billion nationally in 2014–</w:t>
      </w:r>
      <w:r w:rsidRPr="00EF271D">
        <w:rPr>
          <w:lang w:eastAsia="en-AU"/>
        </w:rPr>
        <w:t>15 (a real increase of $239.2 m</w:t>
      </w:r>
      <w:r w:rsidR="003D597B">
        <w:rPr>
          <w:lang w:eastAsia="en-AU"/>
        </w:rPr>
        <w:t>illion (5.8 per cent) from 2013–</w:t>
      </w:r>
      <w:r w:rsidRPr="00EF271D">
        <w:rPr>
          <w:lang w:eastAsia="en-AU"/>
        </w:rPr>
        <w:t>14) of which out-of-home care services accounted for the majority (56.2 per cent, or $2.4 billion). Nationally, annual real expenditure on these services has increas</w:t>
      </w:r>
      <w:r w:rsidR="003D597B">
        <w:rPr>
          <w:lang w:eastAsia="en-AU"/>
        </w:rPr>
        <w:t>ed by $472.5 million since 2011–</w:t>
      </w:r>
      <w:r w:rsidRPr="00EF271D">
        <w:rPr>
          <w:lang w:eastAsia="en-AU"/>
        </w:rPr>
        <w:t>12, an average increase of 3.9 per cent per year for the past four years.</w:t>
      </w:r>
      <w:r w:rsidR="00EF271D">
        <w:rPr>
          <w:rStyle w:val="FootnoteReference"/>
          <w:i w:val="0"/>
          <w:lang w:eastAsia="en-AU"/>
        </w:rPr>
        <w:footnoteReference w:id="53"/>
      </w:r>
      <w:r w:rsidRPr="00EF271D">
        <w:rPr>
          <w:lang w:eastAsia="en-AU"/>
        </w:rPr>
        <w:t xml:space="preserve"> </w:t>
      </w:r>
    </w:p>
    <w:p w14:paraId="49CFD3E8" w14:textId="28A88540" w:rsidR="0038397A" w:rsidRDefault="0038397A" w:rsidP="00086408">
      <w:pPr>
        <w:spacing w:line="276" w:lineRule="auto"/>
        <w:rPr>
          <w:lang w:eastAsia="en-AU"/>
        </w:rPr>
      </w:pPr>
      <w:r>
        <w:rPr>
          <w:lang w:eastAsia="en-AU"/>
        </w:rPr>
        <w:t>The cost of the system had increased from $752 per Australian chi</w:t>
      </w:r>
      <w:r w:rsidR="003D597B">
        <w:rPr>
          <w:lang w:eastAsia="en-AU"/>
        </w:rPr>
        <w:t>ld, in 2011–</w:t>
      </w:r>
      <w:r w:rsidR="00535B30">
        <w:rPr>
          <w:lang w:eastAsia="en-AU"/>
        </w:rPr>
        <w:t>12, to $815 in 2014–</w:t>
      </w:r>
      <w:r>
        <w:rPr>
          <w:lang w:eastAsia="en-AU"/>
        </w:rPr>
        <w:t>15.</w:t>
      </w:r>
      <w:r w:rsidR="00EA0C43">
        <w:rPr>
          <w:rStyle w:val="FootnoteReference"/>
          <w:lang w:eastAsia="en-AU"/>
        </w:rPr>
        <w:footnoteReference w:id="54"/>
      </w:r>
      <w:r>
        <w:rPr>
          <w:lang w:eastAsia="en-AU"/>
        </w:rPr>
        <w:t xml:space="preserve"> </w:t>
      </w:r>
    </w:p>
    <w:p w14:paraId="2257F264" w14:textId="17A0A6B0" w:rsidR="003D597B" w:rsidRDefault="0038397A" w:rsidP="00086408">
      <w:pPr>
        <w:spacing w:line="276" w:lineRule="auto"/>
        <w:rPr>
          <w:lang w:eastAsia="en-AU"/>
        </w:rPr>
      </w:pPr>
      <w:r>
        <w:rPr>
          <w:lang w:eastAsia="en-AU"/>
        </w:rPr>
        <w:t>The increase in activity has also been experienced in Victoria. As Chart 1</w:t>
      </w:r>
      <w:r w:rsidR="00EA0C43">
        <w:rPr>
          <w:rStyle w:val="FootnoteReference"/>
          <w:lang w:eastAsia="en-AU"/>
        </w:rPr>
        <w:footnoteReference w:id="55"/>
      </w:r>
      <w:r>
        <w:rPr>
          <w:lang w:eastAsia="en-AU"/>
        </w:rPr>
        <w:t xml:space="preserve"> illustrates, the number of child protection </w:t>
      </w:r>
      <w:r w:rsidR="009451B8">
        <w:rPr>
          <w:rFonts w:cs="Arial"/>
          <w:szCs w:val="22"/>
          <w:lang w:eastAsia="en-AU"/>
        </w:rPr>
        <w:t>reports</w:t>
      </w:r>
      <w:r>
        <w:rPr>
          <w:lang w:eastAsia="en-AU"/>
        </w:rPr>
        <w:t>, investigations and subst</w:t>
      </w:r>
      <w:r w:rsidR="00535B30">
        <w:rPr>
          <w:lang w:eastAsia="en-AU"/>
        </w:rPr>
        <w:t>antiations doubled between 2005–06 and 2014–</w:t>
      </w:r>
      <w:r>
        <w:rPr>
          <w:lang w:eastAsia="en-AU"/>
        </w:rPr>
        <w:t xml:space="preserve">15. While the number of substantiations has increased (107%) over this period, there has been greater growth in </w:t>
      </w:r>
      <w:r w:rsidR="009451B8">
        <w:rPr>
          <w:rFonts w:cs="Arial"/>
          <w:szCs w:val="22"/>
          <w:lang w:eastAsia="en-AU"/>
        </w:rPr>
        <w:t>reports</w:t>
      </w:r>
      <w:r>
        <w:rPr>
          <w:lang w:eastAsia="en-AU"/>
        </w:rPr>
        <w:t xml:space="preserve"> (141%). What is evident from the data is that the majority of matters are dealt with by referrals </w:t>
      </w:r>
      <w:r w:rsidR="00535B30">
        <w:rPr>
          <w:lang w:eastAsia="en-AU"/>
        </w:rPr>
        <w:t>to other services and supports.</w:t>
      </w:r>
    </w:p>
    <w:p w14:paraId="63B06582" w14:textId="582C21F7" w:rsidR="00CD269A" w:rsidRDefault="00CD269A" w:rsidP="00CD269A">
      <w:pPr>
        <w:pStyle w:val="Figuretableheading"/>
      </w:pPr>
      <w:bookmarkStart w:id="19" w:name="Chart1"/>
      <w:bookmarkEnd w:id="19"/>
      <w:r>
        <w:rPr>
          <w:b w:val="0"/>
          <w:sz w:val="22"/>
          <w:lang w:eastAsia="en-AU"/>
        </w:rPr>
        <w:br w:type="column"/>
      </w:r>
      <w:r>
        <w:lastRenderedPageBreak/>
        <w:t>Chart 1 – Child protection trend</w:t>
      </w:r>
    </w:p>
    <w:p w14:paraId="5C528D1B" w14:textId="1F82457C" w:rsidR="001E765A" w:rsidRDefault="001E765A" w:rsidP="00086408">
      <w:pPr>
        <w:spacing w:line="276" w:lineRule="auto"/>
        <w:rPr>
          <w:lang w:eastAsia="en-AU"/>
        </w:rPr>
      </w:pPr>
      <w:r>
        <w:rPr>
          <w:noProof/>
          <w:lang w:eastAsia="en-AU"/>
        </w:rPr>
        <w:drawing>
          <wp:inline distT="0" distB="0" distL="0" distR="0" wp14:anchorId="1EE5D5DD" wp14:editId="163E4E04">
            <wp:extent cx="5285740" cy="3091180"/>
            <wp:effectExtent l="0" t="0" r="0" b="0"/>
            <wp:docPr id="12" name="Picture 12" descr="For further information about this chart, please contact childprotectionreview@vla.vic.gov.au" title="Chart 1 – Child protection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85740" cy="3091180"/>
                    </a:xfrm>
                    <a:prstGeom prst="rect">
                      <a:avLst/>
                    </a:prstGeom>
                    <a:noFill/>
                  </pic:spPr>
                </pic:pic>
              </a:graphicData>
            </a:graphic>
          </wp:inline>
        </w:drawing>
      </w:r>
    </w:p>
    <w:p w14:paraId="65FC2996" w14:textId="5A8C0E13" w:rsidR="001E765A" w:rsidRDefault="001E765A" w:rsidP="00086408">
      <w:pPr>
        <w:spacing w:line="276" w:lineRule="auto"/>
        <w:rPr>
          <w:lang w:eastAsia="en-AU"/>
        </w:rPr>
      </w:pPr>
      <w:r>
        <w:rPr>
          <w:lang w:eastAsia="en-AU"/>
        </w:rPr>
        <w:t>The increase in the number of matters substantiated appears to have an impact on the numbers of matters initiated in the Family Division of the Children’s Court, although the link is not a direct, one-for-one, relationship. The increase in substantiations has not translated into an equal increase in the number of initiations, although both have risen in recent years (</w:t>
      </w:r>
      <w:hyperlink w:anchor="Chart2" w:history="1">
        <w:r w:rsidRPr="006A2233">
          <w:rPr>
            <w:rStyle w:val="Hyperlink"/>
            <w:lang w:eastAsia="en-AU"/>
          </w:rPr>
          <w:t>Chart 2</w:t>
        </w:r>
      </w:hyperlink>
      <w:r>
        <w:rPr>
          <w:lang w:eastAsia="en-AU"/>
        </w:rPr>
        <w:t>)</w:t>
      </w:r>
      <w:r w:rsidR="00304893">
        <w:rPr>
          <w:lang w:eastAsia="en-AU"/>
        </w:rPr>
        <w:t>.</w:t>
      </w:r>
      <w:r w:rsidR="00EA0C43">
        <w:rPr>
          <w:rStyle w:val="FootnoteReference"/>
          <w:lang w:eastAsia="en-AU"/>
        </w:rPr>
        <w:footnoteReference w:id="56"/>
      </w:r>
      <w:r>
        <w:rPr>
          <w:lang w:eastAsia="en-AU"/>
        </w:rPr>
        <w:t xml:space="preserve"> The rate of substantiated reports leading to a court application has also changed over time: </w:t>
      </w:r>
    </w:p>
    <w:p w14:paraId="15D44519" w14:textId="2720168D" w:rsidR="001E765A" w:rsidRDefault="001E765A" w:rsidP="00535B30">
      <w:pPr>
        <w:pStyle w:val="ListBullet"/>
        <w:rPr>
          <w:lang w:eastAsia="en-AU"/>
        </w:rPr>
      </w:pPr>
      <w:r>
        <w:rPr>
          <w:lang w:eastAsia="en-AU"/>
        </w:rPr>
        <w:t>there being 1 initiation for each</w:t>
      </w:r>
      <w:r w:rsidR="00535B30">
        <w:rPr>
          <w:lang w:eastAsia="en-AU"/>
        </w:rPr>
        <w:t xml:space="preserve"> 2.6 substantiations in 2005/06</w:t>
      </w:r>
    </w:p>
    <w:p w14:paraId="0B6B8F40" w14:textId="2B27798A" w:rsidR="001E765A" w:rsidRDefault="001E765A" w:rsidP="00535B30">
      <w:pPr>
        <w:pStyle w:val="ListBullet"/>
        <w:rPr>
          <w:lang w:eastAsia="en-AU"/>
        </w:rPr>
      </w:pPr>
      <w:r>
        <w:rPr>
          <w:lang w:eastAsia="en-AU"/>
        </w:rPr>
        <w:t>increasing to 1 for each</w:t>
      </w:r>
      <w:r w:rsidR="00535B30">
        <w:rPr>
          <w:lang w:eastAsia="en-AU"/>
        </w:rPr>
        <w:t xml:space="preserve"> 2.2 substantiations in 2009/10,</w:t>
      </w:r>
      <w:r>
        <w:rPr>
          <w:lang w:eastAsia="en-AU"/>
        </w:rPr>
        <w:t xml:space="preserve"> and </w:t>
      </w:r>
    </w:p>
    <w:p w14:paraId="38634272" w14:textId="11F69BD2" w:rsidR="001E765A" w:rsidRDefault="001E765A" w:rsidP="00535B30">
      <w:pPr>
        <w:pStyle w:val="ListBullet"/>
        <w:rPr>
          <w:lang w:eastAsia="en-AU"/>
        </w:rPr>
      </w:pPr>
      <w:r>
        <w:rPr>
          <w:lang w:eastAsia="en-AU"/>
        </w:rPr>
        <w:t>dropping to 2.9 substantiati</w:t>
      </w:r>
      <w:r w:rsidR="00F71279">
        <w:rPr>
          <w:lang w:eastAsia="en-AU"/>
        </w:rPr>
        <w:t>ons per initiation in 2014/15.</w:t>
      </w:r>
    </w:p>
    <w:p w14:paraId="52F8F218" w14:textId="4016F909" w:rsidR="009C3BB3" w:rsidRDefault="001E765A" w:rsidP="00086408">
      <w:pPr>
        <w:spacing w:line="276" w:lineRule="auto"/>
        <w:rPr>
          <w:lang w:eastAsia="en-AU"/>
        </w:rPr>
      </w:pPr>
      <w:r>
        <w:rPr>
          <w:lang w:eastAsia="en-AU"/>
        </w:rPr>
        <w:t>This suggests that more matters, which have been substantiated, are now being dealt with outside of the court process. The trend also indicates that while the number of substantiations may vary, an increase in substantiations leads to an increase in court activity. As noted, there is limited legal assistance provi</w:t>
      </w:r>
      <w:r w:rsidR="00C81B39">
        <w:rPr>
          <w:lang w:eastAsia="en-AU"/>
        </w:rPr>
        <w:t>ded prior to a matter going to c</w:t>
      </w:r>
      <w:r>
        <w:rPr>
          <w:lang w:eastAsia="en-AU"/>
        </w:rPr>
        <w:t>ourt. These trends establish increased activity both inside and outside of court, and highlight the challenges of responsive funding, which meets the changing needs of children and</w:t>
      </w:r>
      <w:r w:rsidR="00A621BC">
        <w:rPr>
          <w:lang w:eastAsia="en-AU"/>
        </w:rPr>
        <w:t xml:space="preserve"> parents in child protection.</w:t>
      </w:r>
    </w:p>
    <w:p w14:paraId="70FFB284" w14:textId="7B748A69" w:rsidR="00CD269A" w:rsidRDefault="00CD269A" w:rsidP="00CD269A">
      <w:pPr>
        <w:pStyle w:val="Figuretableheading"/>
        <w:rPr>
          <w:lang w:eastAsia="en-AU"/>
        </w:rPr>
      </w:pPr>
      <w:bookmarkStart w:id="20" w:name="Chart2"/>
      <w:r>
        <w:rPr>
          <w:b w:val="0"/>
          <w:sz w:val="22"/>
          <w:lang w:eastAsia="en-AU"/>
        </w:rPr>
        <w:br w:type="column"/>
      </w:r>
      <w:r>
        <w:rPr>
          <w:lang w:eastAsia="en-AU"/>
        </w:rPr>
        <w:lastRenderedPageBreak/>
        <w:t>Chart 2 – Grants of assistance, substantiations and initiations</w:t>
      </w:r>
    </w:p>
    <w:bookmarkEnd w:id="20"/>
    <w:p w14:paraId="336C6507" w14:textId="378B2B0F" w:rsidR="009C3BB3" w:rsidRDefault="009C3BB3" w:rsidP="00086408">
      <w:pPr>
        <w:spacing w:line="276" w:lineRule="auto"/>
        <w:rPr>
          <w:lang w:eastAsia="en-AU"/>
        </w:rPr>
      </w:pPr>
      <w:r>
        <w:rPr>
          <w:noProof/>
          <w:lang w:eastAsia="en-AU"/>
        </w:rPr>
        <w:drawing>
          <wp:inline distT="0" distB="0" distL="0" distR="0" wp14:anchorId="26BD6FA8" wp14:editId="236666B9">
            <wp:extent cx="6093647" cy="3011518"/>
            <wp:effectExtent l="0" t="0" r="2540" b="17780"/>
            <wp:docPr id="2" name="Chart 2" descr="For further information about this chart, please contact childprotectionreview@vla.vic.gov.au" title="Chart 2 – Grants of assistance, substantiations and initiations"/>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06C7D01" w14:textId="42C576C5" w:rsidR="00DB7500" w:rsidRDefault="001E765A" w:rsidP="00086408">
      <w:pPr>
        <w:spacing w:line="276" w:lineRule="auto"/>
        <w:rPr>
          <w:lang w:eastAsia="en-AU"/>
        </w:rPr>
      </w:pPr>
      <w:r>
        <w:rPr>
          <w:lang w:eastAsia="en-AU"/>
        </w:rPr>
        <w:t>There also appears to be a correlation between substantiations and initiations, on the one hand, and grants of assistance on the other</w:t>
      </w:r>
      <w:r w:rsidR="00304893">
        <w:rPr>
          <w:lang w:eastAsia="en-AU"/>
        </w:rPr>
        <w:t>.</w:t>
      </w:r>
      <w:r>
        <w:rPr>
          <w:rStyle w:val="FootnoteReference"/>
          <w:lang w:eastAsia="en-AU"/>
        </w:rPr>
        <w:footnoteReference w:id="57"/>
      </w:r>
      <w:r>
        <w:rPr>
          <w:lang w:eastAsia="en-AU"/>
        </w:rPr>
        <w:t xml:space="preserve"> Over the last decade there have been similar increases in initiations (</w:t>
      </w:r>
      <w:r w:rsidR="000D399A">
        <w:rPr>
          <w:lang w:eastAsia="en-AU"/>
        </w:rPr>
        <w:t>42</w:t>
      </w:r>
      <w:r>
        <w:rPr>
          <w:lang w:eastAsia="en-AU"/>
        </w:rPr>
        <w:t>%) and grants (</w:t>
      </w:r>
      <w:r w:rsidR="000D399A">
        <w:rPr>
          <w:lang w:eastAsia="en-AU"/>
        </w:rPr>
        <w:t>46</w:t>
      </w:r>
      <w:r>
        <w:rPr>
          <w:lang w:eastAsia="en-AU"/>
        </w:rPr>
        <w:t xml:space="preserve">%). The decline </w:t>
      </w:r>
      <w:r w:rsidR="00535B30">
        <w:rPr>
          <w:lang w:eastAsia="en-AU"/>
        </w:rPr>
        <w:t>in grants of assistance in 2012–</w:t>
      </w:r>
      <w:r>
        <w:rPr>
          <w:lang w:eastAsia="en-AU"/>
        </w:rPr>
        <w:t xml:space="preserve">13 is attributable to changes in eligibility guidelines that restricted access, reducing the growth in the number of grants. </w:t>
      </w:r>
    </w:p>
    <w:p w14:paraId="6722D16D" w14:textId="296CBB1D" w:rsidR="00CD269A" w:rsidRDefault="00CD269A" w:rsidP="00CD269A">
      <w:pPr>
        <w:pStyle w:val="Figuretableheading"/>
        <w:rPr>
          <w:lang w:eastAsia="en-AU"/>
        </w:rPr>
      </w:pPr>
      <w:bookmarkStart w:id="21" w:name="Chart2point1"/>
      <w:r>
        <w:rPr>
          <w:b w:val="0"/>
          <w:sz w:val="22"/>
          <w:lang w:eastAsia="en-AU"/>
        </w:rPr>
        <w:br w:type="column"/>
      </w:r>
      <w:r>
        <w:rPr>
          <w:lang w:eastAsia="en-AU"/>
        </w:rPr>
        <w:lastRenderedPageBreak/>
        <w:t>Chart 2.1 – Primary grants and initiations (Victoria)</w:t>
      </w:r>
    </w:p>
    <w:bookmarkEnd w:id="21"/>
    <w:p w14:paraId="3D0489CC" w14:textId="7EA04FD0" w:rsidR="00DB7500" w:rsidRDefault="00DB7500" w:rsidP="00086408">
      <w:pPr>
        <w:spacing w:line="276" w:lineRule="auto"/>
        <w:rPr>
          <w:lang w:eastAsia="en-AU"/>
        </w:rPr>
      </w:pPr>
      <w:r>
        <w:rPr>
          <w:noProof/>
          <w:lang w:eastAsia="en-AU"/>
        </w:rPr>
        <w:drawing>
          <wp:inline distT="0" distB="0" distL="0" distR="0" wp14:anchorId="2FF9BB12" wp14:editId="13C11678">
            <wp:extent cx="5788550" cy="3323646"/>
            <wp:effectExtent l="0" t="0" r="3175" b="10160"/>
            <wp:docPr id="3" name="Chart 3" descr="For further information about this chart, please contact childprotectionreview@vla.vic.gov.au" title="Chart 2.1 – Primary grants and initiations (Victoria)"/>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227294E" w14:textId="77777777" w:rsidR="00BE3008" w:rsidRDefault="00BE3008" w:rsidP="00086408">
      <w:pPr>
        <w:spacing w:line="276" w:lineRule="auto"/>
        <w:rPr>
          <w:lang w:eastAsia="en-AU"/>
        </w:rPr>
      </w:pPr>
      <w:r>
        <w:rPr>
          <w:lang w:eastAsia="en-AU"/>
        </w:rPr>
        <w:t xml:space="preserve">It is estimated that there are about 1.6 children in each family group in the Children’s Court. </w:t>
      </w:r>
      <w:r w:rsidR="00DB7500">
        <w:rPr>
          <w:lang w:eastAsia="en-AU"/>
        </w:rPr>
        <w:t>Chart 2.1</w:t>
      </w:r>
      <w:r>
        <w:rPr>
          <w:lang w:eastAsia="en-AU"/>
        </w:rPr>
        <w:t xml:space="preserve"> depicts the number of primary grants of assistance and the number of family groups.</w:t>
      </w:r>
      <w:r w:rsidR="00DB7500">
        <w:rPr>
          <w:lang w:eastAsia="en-AU"/>
        </w:rPr>
        <w:t xml:space="preserve"> </w:t>
      </w:r>
      <w:r>
        <w:rPr>
          <w:lang w:eastAsia="en-AU"/>
        </w:rPr>
        <w:t>Both of these have increased by around 9% from</w:t>
      </w:r>
      <w:r w:rsidR="00ED266C">
        <w:rPr>
          <w:lang w:eastAsia="en-AU"/>
        </w:rPr>
        <w:t xml:space="preserve"> 2013/</w:t>
      </w:r>
      <w:r w:rsidR="001E765A">
        <w:rPr>
          <w:lang w:eastAsia="en-AU"/>
        </w:rPr>
        <w:t>14 to 201</w:t>
      </w:r>
      <w:r w:rsidR="00ED266C">
        <w:rPr>
          <w:lang w:eastAsia="en-AU"/>
        </w:rPr>
        <w:t>5/</w:t>
      </w:r>
      <w:r>
        <w:rPr>
          <w:lang w:eastAsia="en-AU"/>
        </w:rPr>
        <w:t>16</w:t>
      </w:r>
      <w:r w:rsidR="00ED266C">
        <w:rPr>
          <w:lang w:eastAsia="en-AU"/>
        </w:rPr>
        <w:t>.</w:t>
      </w:r>
    </w:p>
    <w:p w14:paraId="63687923" w14:textId="187F72CA" w:rsidR="001E765A" w:rsidRDefault="001E765A" w:rsidP="00086408">
      <w:pPr>
        <w:spacing w:line="276" w:lineRule="auto"/>
        <w:rPr>
          <w:lang w:eastAsia="en-AU"/>
        </w:rPr>
      </w:pPr>
      <w:r>
        <w:rPr>
          <w:lang w:eastAsia="en-AU"/>
        </w:rPr>
        <w:t>In 201</w:t>
      </w:r>
      <w:r w:rsidR="00EA0C43">
        <w:rPr>
          <w:lang w:eastAsia="en-AU"/>
        </w:rPr>
        <w:t>5/16</w:t>
      </w:r>
      <w:r>
        <w:rPr>
          <w:lang w:eastAsia="en-AU"/>
        </w:rPr>
        <w:t>, the Child Protection Program delivered</w:t>
      </w:r>
      <w:r w:rsidR="00404C49">
        <w:rPr>
          <w:lang w:eastAsia="en-AU"/>
        </w:rPr>
        <w:t xml:space="preserve"> around 4,500</w:t>
      </w:r>
      <w:r w:rsidR="00EA0C43">
        <w:rPr>
          <w:lang w:eastAsia="en-AU"/>
        </w:rPr>
        <w:t xml:space="preserve"> duty lawyer services and 7,712</w:t>
      </w:r>
      <w:r>
        <w:rPr>
          <w:lang w:eastAsia="en-AU"/>
        </w:rPr>
        <w:t xml:space="preserve"> grants of legal assistance. This represented a 9% increase in duty lawyer services and a </w:t>
      </w:r>
      <w:r w:rsidR="00EA0C43">
        <w:rPr>
          <w:lang w:eastAsia="en-AU"/>
        </w:rPr>
        <w:t>13</w:t>
      </w:r>
      <w:r>
        <w:rPr>
          <w:lang w:eastAsia="en-AU"/>
        </w:rPr>
        <w:t>% increase in the number of grants of assistance from 201</w:t>
      </w:r>
      <w:r w:rsidR="00EA0C43">
        <w:rPr>
          <w:lang w:eastAsia="en-AU"/>
        </w:rPr>
        <w:t>4/1</w:t>
      </w:r>
      <w:r w:rsidR="00BE3008">
        <w:rPr>
          <w:lang w:eastAsia="en-AU"/>
        </w:rPr>
        <w:t>5</w:t>
      </w:r>
      <w:r>
        <w:rPr>
          <w:lang w:eastAsia="en-AU"/>
        </w:rPr>
        <w:t>. A further 1</w:t>
      </w:r>
      <w:r w:rsidR="00D032D1">
        <w:rPr>
          <w:lang w:eastAsia="en-AU"/>
        </w:rPr>
        <w:t>5</w:t>
      </w:r>
      <w:r>
        <w:rPr>
          <w:lang w:eastAsia="en-AU"/>
        </w:rPr>
        <w:t>% increase in grants of assistance is forecast for 201</w:t>
      </w:r>
      <w:r w:rsidR="00EA0C43">
        <w:rPr>
          <w:lang w:eastAsia="en-AU"/>
        </w:rPr>
        <w:t>6/17</w:t>
      </w:r>
      <w:r>
        <w:rPr>
          <w:lang w:eastAsia="en-AU"/>
        </w:rPr>
        <w:t>, representing additional expenditure of around $2.</w:t>
      </w:r>
      <w:r w:rsidR="00CC5697">
        <w:rPr>
          <w:lang w:eastAsia="en-AU"/>
        </w:rPr>
        <w:t>9</w:t>
      </w:r>
      <w:r w:rsidR="00C81B39">
        <w:rPr>
          <w:lang w:eastAsia="en-AU"/>
        </w:rPr>
        <w:t>m</w:t>
      </w:r>
      <w:r>
        <w:rPr>
          <w:lang w:eastAsia="en-AU"/>
        </w:rPr>
        <w:t xml:space="preserve">. The provision of additional funding to the DHHS for the provision of additional frontline staff, and the significant increase in reporting of family violence incidents and subsequent </w:t>
      </w:r>
      <w:r w:rsidR="009451B8">
        <w:rPr>
          <w:rFonts w:cs="Arial"/>
          <w:szCs w:val="22"/>
          <w:lang w:eastAsia="en-AU"/>
        </w:rPr>
        <w:t>reports</w:t>
      </w:r>
      <w:r w:rsidR="009451B8">
        <w:rPr>
          <w:lang w:eastAsia="en-AU"/>
        </w:rPr>
        <w:t xml:space="preserve"> </w:t>
      </w:r>
      <w:r>
        <w:rPr>
          <w:lang w:eastAsia="en-AU"/>
        </w:rPr>
        <w:t xml:space="preserve">to the DHHS, have been key drivers of demand and are anticipated to continue to impact forecast growth. On the basis of the trends identified above, the projected number of </w:t>
      </w:r>
      <w:r w:rsidR="009451B8">
        <w:rPr>
          <w:rFonts w:cs="Arial"/>
          <w:szCs w:val="22"/>
          <w:lang w:eastAsia="en-AU"/>
        </w:rPr>
        <w:t>reports</w:t>
      </w:r>
      <w:r w:rsidR="009451B8">
        <w:rPr>
          <w:lang w:eastAsia="en-AU"/>
        </w:rPr>
        <w:t xml:space="preserve"> </w:t>
      </w:r>
      <w:r>
        <w:rPr>
          <w:lang w:eastAsia="en-AU"/>
        </w:rPr>
        <w:t xml:space="preserve">for 2016/17, contained in the </w:t>
      </w:r>
      <w:r w:rsidR="00CC5697">
        <w:rPr>
          <w:lang w:eastAsia="en-AU"/>
        </w:rPr>
        <w:t xml:space="preserve">Victorian </w:t>
      </w:r>
      <w:r>
        <w:rPr>
          <w:lang w:eastAsia="en-AU"/>
        </w:rPr>
        <w:t>State Budget, is likely to lead to an additional 850 grants of assistance, costing in excess of $</w:t>
      </w:r>
      <w:r w:rsidR="00C81B39">
        <w:rPr>
          <w:lang w:eastAsia="en-AU"/>
        </w:rPr>
        <w:t>2.1m</w:t>
      </w:r>
      <w:r>
        <w:rPr>
          <w:lang w:eastAsia="en-AU"/>
        </w:rPr>
        <w:t>, as well as more duty lawyer services.</w:t>
      </w:r>
    </w:p>
    <w:p w14:paraId="4A247C9C" w14:textId="35DC1778" w:rsidR="001E765A" w:rsidRDefault="001E765A" w:rsidP="00086408">
      <w:pPr>
        <w:spacing w:line="276" w:lineRule="auto"/>
        <w:rPr>
          <w:lang w:eastAsia="en-AU"/>
        </w:rPr>
      </w:pPr>
      <w:r>
        <w:rPr>
          <w:lang w:eastAsia="en-AU"/>
        </w:rPr>
        <w:t>The experience of the last 10 years suggests that, absent a reduction in the number of applications made by the DHHS, demand for services is likely to continue to rise. This will lead to an increase in expenditure by VLA on child protection legal services. Continued growth in this area, combined with growth in summary crime and family violence, will place ongoi</w:t>
      </w:r>
      <w:r w:rsidR="00F71279">
        <w:rPr>
          <w:lang w:eastAsia="en-AU"/>
        </w:rPr>
        <w:t>ng pressure on the VLA budget.</w:t>
      </w:r>
    </w:p>
    <w:p w14:paraId="1B1013AB" w14:textId="7BAEDE80" w:rsidR="001E765A" w:rsidRDefault="00CD269A" w:rsidP="00586C70">
      <w:pPr>
        <w:pStyle w:val="Heading2numbered"/>
        <w:numPr>
          <w:ilvl w:val="2"/>
          <w:numId w:val="49"/>
        </w:numPr>
        <w:ind w:left="426" w:hanging="426"/>
      </w:pPr>
      <w:bookmarkStart w:id="22" w:name="_Toc465244408"/>
      <w:r>
        <w:br w:type="column"/>
      </w:r>
      <w:r w:rsidR="006D3C43">
        <w:lastRenderedPageBreak/>
        <w:t>Children and young people in ‘out-of-h</w:t>
      </w:r>
      <w:r w:rsidR="001E765A">
        <w:t xml:space="preserve">ome </w:t>
      </w:r>
      <w:r w:rsidR="006D3C43">
        <w:t>c</w:t>
      </w:r>
      <w:r w:rsidR="001E765A">
        <w:t>are’</w:t>
      </w:r>
      <w:r w:rsidR="001E765A">
        <w:rPr>
          <w:rStyle w:val="FootnoteReference"/>
        </w:rPr>
        <w:footnoteReference w:id="58"/>
      </w:r>
      <w:bookmarkEnd w:id="22"/>
    </w:p>
    <w:p w14:paraId="7981D6BB" w14:textId="483AF4DF" w:rsidR="00CD269A" w:rsidRPr="00CD269A" w:rsidRDefault="00CD269A" w:rsidP="00CD269A">
      <w:pPr>
        <w:pStyle w:val="Figuretableheading"/>
      </w:pPr>
      <w:bookmarkStart w:id="23" w:name="Chart3"/>
      <w:r>
        <w:t>Chart 3 – Children in OOHC</w:t>
      </w:r>
    </w:p>
    <w:bookmarkEnd w:id="23"/>
    <w:p w14:paraId="52CF3A72" w14:textId="77777777" w:rsidR="001E765A" w:rsidRDefault="001E765A" w:rsidP="00086408">
      <w:pPr>
        <w:spacing w:line="276" w:lineRule="auto"/>
        <w:rPr>
          <w:lang w:eastAsia="en-AU"/>
        </w:rPr>
      </w:pPr>
      <w:r>
        <w:rPr>
          <w:noProof/>
          <w:lang w:eastAsia="en-AU"/>
        </w:rPr>
        <w:drawing>
          <wp:inline distT="0" distB="0" distL="0" distR="0" wp14:anchorId="4A02F412" wp14:editId="3B0E5D5B">
            <wp:extent cx="5285740" cy="3091180"/>
            <wp:effectExtent l="0" t="0" r="0" b="0"/>
            <wp:docPr id="14" name="Picture 14" descr="For further information about this chart, please contact childprotectionreview@vla.vic.gov.au" title="Chart 3 – Children in OO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85740" cy="3091180"/>
                    </a:xfrm>
                    <a:prstGeom prst="rect">
                      <a:avLst/>
                    </a:prstGeom>
                    <a:noFill/>
                  </pic:spPr>
                </pic:pic>
              </a:graphicData>
            </a:graphic>
          </wp:inline>
        </w:drawing>
      </w:r>
    </w:p>
    <w:p w14:paraId="73021182" w14:textId="4AA85602" w:rsidR="001E765A" w:rsidRDefault="001E765A" w:rsidP="00086408">
      <w:pPr>
        <w:spacing w:line="276" w:lineRule="auto"/>
        <w:rPr>
          <w:lang w:eastAsia="en-AU"/>
        </w:rPr>
      </w:pPr>
      <w:r>
        <w:rPr>
          <w:lang w:eastAsia="en-AU"/>
        </w:rPr>
        <w:t>The last decade has witnessed an increase in the number and rate of children in out</w:t>
      </w:r>
      <w:r w:rsidR="00D57CE2">
        <w:rPr>
          <w:lang w:eastAsia="en-AU"/>
        </w:rPr>
        <w:t>-of-</w:t>
      </w:r>
      <w:r>
        <w:rPr>
          <w:lang w:eastAsia="en-AU"/>
        </w:rPr>
        <w:t>home care (OOHC), particularly Aboriginal</w:t>
      </w:r>
      <w:r w:rsidR="00CC5697">
        <w:rPr>
          <w:lang w:eastAsia="en-AU"/>
        </w:rPr>
        <w:t xml:space="preserve"> and/or Torres Strait Islander</w:t>
      </w:r>
      <w:r>
        <w:rPr>
          <w:lang w:eastAsia="en-AU"/>
        </w:rPr>
        <w:t xml:space="preserve"> children (</w:t>
      </w:r>
      <w:r w:rsidR="006A2233" w:rsidRPr="006A2233">
        <w:rPr>
          <w:lang w:eastAsia="en-AU"/>
        </w:rPr>
        <w:t xml:space="preserve">see </w:t>
      </w:r>
      <w:hyperlink w:anchor="Chart3" w:history="1">
        <w:r w:rsidR="006A2233" w:rsidRPr="006A2233">
          <w:rPr>
            <w:rStyle w:val="Hyperlink"/>
            <w:lang w:eastAsia="en-AU"/>
          </w:rPr>
          <w:t>Chart</w:t>
        </w:r>
        <w:r w:rsidRPr="006A2233">
          <w:rPr>
            <w:rStyle w:val="Hyperlink"/>
            <w:lang w:eastAsia="en-AU"/>
          </w:rPr>
          <w:t xml:space="preserve"> 3</w:t>
        </w:r>
      </w:hyperlink>
      <w:r w:rsidRPr="006A2233">
        <w:rPr>
          <w:lang w:eastAsia="en-AU"/>
        </w:rPr>
        <w:t xml:space="preserve"> and </w:t>
      </w:r>
      <w:hyperlink w:anchor="Chart4" w:history="1">
        <w:r w:rsidR="006A2233" w:rsidRPr="006A2233">
          <w:rPr>
            <w:rStyle w:val="Hyperlink"/>
            <w:lang w:eastAsia="en-AU"/>
          </w:rPr>
          <w:t xml:space="preserve">Chart </w:t>
        </w:r>
        <w:r w:rsidRPr="006A2233">
          <w:rPr>
            <w:rStyle w:val="Hyperlink"/>
            <w:lang w:eastAsia="en-AU"/>
          </w:rPr>
          <w:t>4</w:t>
        </w:r>
      </w:hyperlink>
      <w:r>
        <w:rPr>
          <w:lang w:eastAsia="en-AU"/>
        </w:rPr>
        <w:t>)</w:t>
      </w:r>
      <w:r w:rsidR="00304893">
        <w:rPr>
          <w:lang w:eastAsia="en-AU"/>
        </w:rPr>
        <w:t>.</w:t>
      </w:r>
      <w:r w:rsidR="00CC5697">
        <w:rPr>
          <w:rStyle w:val="FootnoteReference"/>
          <w:lang w:eastAsia="en-AU"/>
        </w:rPr>
        <w:footnoteReference w:id="59"/>
      </w:r>
      <w:r>
        <w:rPr>
          <w:lang w:eastAsia="en-AU"/>
        </w:rPr>
        <w:t xml:space="preserve"> The rate of Aboriginal</w:t>
      </w:r>
      <w:r w:rsidR="00CC5697">
        <w:rPr>
          <w:lang w:eastAsia="en-AU"/>
        </w:rPr>
        <w:t xml:space="preserve"> and/or Torres Strait Islander</w:t>
      </w:r>
      <w:r>
        <w:rPr>
          <w:lang w:eastAsia="en-AU"/>
        </w:rPr>
        <w:t xml:space="preserve"> children in OOHC has increased from 29.8 to 71.5 per 100,000, with the number of children in OOHC tripling from 552 to 1</w:t>
      </w:r>
      <w:r w:rsidR="00D57CE2">
        <w:rPr>
          <w:lang w:eastAsia="en-AU"/>
        </w:rPr>
        <w:t>,</w:t>
      </w:r>
      <w:r>
        <w:rPr>
          <w:lang w:eastAsia="en-AU"/>
        </w:rPr>
        <w:t>511. While ove</w:t>
      </w:r>
      <w:r w:rsidR="00EA11E8">
        <w:rPr>
          <w:lang w:eastAsia="en-AU"/>
        </w:rPr>
        <w:t xml:space="preserve">r that period the rate for non-Aboriginal </w:t>
      </w:r>
      <w:r>
        <w:rPr>
          <w:lang w:eastAsia="en-AU"/>
        </w:rPr>
        <w:t>children increased from 3.7 to 5.7</w:t>
      </w:r>
      <w:r w:rsidR="00093D13">
        <w:rPr>
          <w:lang w:eastAsia="en-AU"/>
        </w:rPr>
        <w:t>,</w:t>
      </w:r>
      <w:r>
        <w:rPr>
          <w:lang w:eastAsia="en-AU"/>
        </w:rPr>
        <w:t xml:space="preserve"> and the number doubled from 4</w:t>
      </w:r>
      <w:r w:rsidR="00D57CE2">
        <w:rPr>
          <w:lang w:eastAsia="en-AU"/>
        </w:rPr>
        <w:t>,</w:t>
      </w:r>
      <w:r>
        <w:rPr>
          <w:lang w:eastAsia="en-AU"/>
        </w:rPr>
        <w:t>794 to 8</w:t>
      </w:r>
      <w:r w:rsidR="00D57CE2">
        <w:rPr>
          <w:lang w:eastAsia="en-AU"/>
        </w:rPr>
        <w:t>,</w:t>
      </w:r>
      <w:r>
        <w:rPr>
          <w:lang w:eastAsia="en-AU"/>
        </w:rPr>
        <w:t>567 (Productivity Commission, 2016). Of particular concern is the recent sharp increase in the number of children</w:t>
      </w:r>
      <w:r w:rsidR="00D57CE2">
        <w:rPr>
          <w:lang w:eastAsia="en-AU"/>
        </w:rPr>
        <w:t xml:space="preserve"> in OOHC in the last two years –</w:t>
      </w:r>
      <w:r>
        <w:rPr>
          <w:lang w:eastAsia="en-AU"/>
        </w:rPr>
        <w:t xml:space="preserve"> a 63% increase for Aboriginal </w:t>
      </w:r>
      <w:r w:rsidR="00CC5697">
        <w:rPr>
          <w:lang w:eastAsia="en-AU"/>
        </w:rPr>
        <w:t xml:space="preserve">and/or Torres Strait Islander </w:t>
      </w:r>
      <w:r>
        <w:rPr>
          <w:lang w:eastAsia="en-AU"/>
        </w:rPr>
        <w:t>children and 30% for non-</w:t>
      </w:r>
      <w:r w:rsidR="00EA11E8">
        <w:rPr>
          <w:lang w:eastAsia="en-AU"/>
        </w:rPr>
        <w:t>Aboriginal</w:t>
      </w:r>
      <w:r>
        <w:rPr>
          <w:lang w:eastAsia="en-AU"/>
        </w:rPr>
        <w:t xml:space="preserve"> children. Around one in 12 Victorian Aboriginal </w:t>
      </w:r>
      <w:r w:rsidR="00CC5697">
        <w:rPr>
          <w:lang w:eastAsia="en-AU"/>
        </w:rPr>
        <w:t xml:space="preserve">and/or Torres Strait Islander </w:t>
      </w:r>
      <w:r>
        <w:rPr>
          <w:lang w:eastAsia="en-AU"/>
        </w:rPr>
        <w:t>children is in OOHC</w:t>
      </w:r>
      <w:r w:rsidR="00CC5697">
        <w:rPr>
          <w:lang w:eastAsia="en-AU"/>
        </w:rPr>
        <w:t xml:space="preserve">, in contrast to the rate of </w:t>
      </w:r>
      <w:r>
        <w:rPr>
          <w:lang w:eastAsia="en-AU"/>
        </w:rPr>
        <w:t xml:space="preserve">one </w:t>
      </w:r>
      <w:r w:rsidR="00C17153">
        <w:rPr>
          <w:lang w:eastAsia="en-AU"/>
        </w:rPr>
        <w:t>in 200 non-</w:t>
      </w:r>
      <w:r w:rsidR="00EA11E8">
        <w:rPr>
          <w:lang w:eastAsia="en-AU"/>
        </w:rPr>
        <w:t>Aboriginal</w:t>
      </w:r>
      <w:r w:rsidR="00C17153">
        <w:rPr>
          <w:lang w:eastAsia="en-AU"/>
        </w:rPr>
        <w:t xml:space="preserve"> children.</w:t>
      </w:r>
      <w:r w:rsidR="00C17153">
        <w:rPr>
          <w:rStyle w:val="FootnoteReference"/>
          <w:lang w:eastAsia="en-AU"/>
        </w:rPr>
        <w:footnoteReference w:id="60"/>
      </w:r>
      <w:r>
        <w:rPr>
          <w:lang w:eastAsia="en-AU"/>
        </w:rPr>
        <w:t xml:space="preserve"> </w:t>
      </w:r>
      <w:r w:rsidR="00B831EA">
        <w:rPr>
          <w:lang w:eastAsia="en-AU"/>
        </w:rPr>
        <w:t xml:space="preserve">In 2014/15, approximately 40% of Victorian Aboriginal and/or Torres Strait Islander children were subject to a </w:t>
      </w:r>
      <w:r w:rsidR="009451B8">
        <w:rPr>
          <w:rFonts w:cs="Arial"/>
          <w:szCs w:val="22"/>
          <w:lang w:eastAsia="en-AU"/>
        </w:rPr>
        <w:t>reports</w:t>
      </w:r>
      <w:r w:rsidR="00B831EA">
        <w:rPr>
          <w:lang w:eastAsia="en-AU"/>
        </w:rPr>
        <w:t>, investigation or substanti</w:t>
      </w:r>
      <w:r w:rsidR="00D57CE2">
        <w:rPr>
          <w:lang w:eastAsia="en-AU"/>
        </w:rPr>
        <w:t xml:space="preserve">ation (and </w:t>
      </w:r>
      <w:r w:rsidR="00B831EA">
        <w:rPr>
          <w:lang w:eastAsia="en-AU"/>
        </w:rPr>
        <w:t>6.5% of non-</w:t>
      </w:r>
      <w:r w:rsidR="00EA11E8">
        <w:rPr>
          <w:lang w:eastAsia="en-AU"/>
        </w:rPr>
        <w:t>Aboriginal</w:t>
      </w:r>
      <w:r w:rsidR="00304893">
        <w:rPr>
          <w:lang w:eastAsia="en-AU"/>
        </w:rPr>
        <w:t xml:space="preserve"> children).</w:t>
      </w:r>
      <w:r w:rsidR="00B831EA">
        <w:rPr>
          <w:rStyle w:val="FootnoteReference"/>
          <w:lang w:eastAsia="en-AU"/>
        </w:rPr>
        <w:footnoteReference w:id="61"/>
      </w:r>
    </w:p>
    <w:p w14:paraId="3166B039" w14:textId="5B4E665A" w:rsidR="001E765A" w:rsidRDefault="001E765A" w:rsidP="00086408">
      <w:pPr>
        <w:spacing w:line="276" w:lineRule="auto"/>
        <w:rPr>
          <w:lang w:eastAsia="en-AU"/>
        </w:rPr>
      </w:pPr>
      <w:r>
        <w:rPr>
          <w:lang w:eastAsia="en-AU"/>
        </w:rPr>
        <w:t>As noted, there have been a number of policy and funding announcements made detailing programs designed to address the s</w:t>
      </w:r>
      <w:r w:rsidR="006D3C43">
        <w:rPr>
          <w:lang w:eastAsia="en-AU"/>
        </w:rPr>
        <w:t>teep incline in children in out-of-</w:t>
      </w:r>
      <w:r>
        <w:rPr>
          <w:lang w:eastAsia="en-AU"/>
        </w:rPr>
        <w:t xml:space="preserve">home care. </w:t>
      </w:r>
      <w:r w:rsidR="00CC5697">
        <w:rPr>
          <w:lang w:eastAsia="en-AU"/>
        </w:rPr>
        <w:t xml:space="preserve">These initiatives are in their early stages and the results will not be known for some time. </w:t>
      </w:r>
    </w:p>
    <w:p w14:paraId="55157925" w14:textId="382AEF23" w:rsidR="00CD269A" w:rsidRDefault="00CD269A" w:rsidP="00CD269A">
      <w:pPr>
        <w:pStyle w:val="Figuretableheading"/>
      </w:pPr>
      <w:bookmarkStart w:id="24" w:name="Chart4"/>
      <w:bookmarkStart w:id="25" w:name="_Toc462230092"/>
      <w:r>
        <w:rPr>
          <w:b w:val="0"/>
          <w:sz w:val="22"/>
        </w:rPr>
        <w:br w:type="column"/>
      </w:r>
      <w:r>
        <w:lastRenderedPageBreak/>
        <w:t>Chart 4 – Rate of children per 100,000 in OOHC</w:t>
      </w:r>
    </w:p>
    <w:bookmarkEnd w:id="24"/>
    <w:p w14:paraId="4B834842" w14:textId="35334A65" w:rsidR="001E765A" w:rsidRDefault="001E765A" w:rsidP="00086408">
      <w:pPr>
        <w:spacing w:line="276" w:lineRule="auto"/>
      </w:pPr>
      <w:r>
        <w:rPr>
          <w:noProof/>
          <w:lang w:eastAsia="en-AU"/>
        </w:rPr>
        <w:drawing>
          <wp:inline distT="0" distB="0" distL="0" distR="0" wp14:anchorId="150A4A65" wp14:editId="6DD5B542">
            <wp:extent cx="5285740" cy="3091180"/>
            <wp:effectExtent l="0" t="0" r="0" b="0"/>
            <wp:docPr id="15" name="Picture 15" descr="For further information about this chart, please contact childprotectionreview@vla.vic.gov.au" title="Chart 4 – Rate of children per 100,000 in OO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85740" cy="3091180"/>
                    </a:xfrm>
                    <a:prstGeom prst="rect">
                      <a:avLst/>
                    </a:prstGeom>
                    <a:noFill/>
                  </pic:spPr>
                </pic:pic>
              </a:graphicData>
            </a:graphic>
          </wp:inline>
        </w:drawing>
      </w:r>
      <w:bookmarkEnd w:id="25"/>
    </w:p>
    <w:p w14:paraId="0677E5BF" w14:textId="77777777" w:rsidR="00E50391" w:rsidRDefault="00E50391" w:rsidP="00535B30">
      <w:pPr>
        <w:pStyle w:val="Heading1numbered"/>
      </w:pPr>
      <w:bookmarkStart w:id="26" w:name="_Toc465244409"/>
      <w:r>
        <w:t>Geographical service gaps</w:t>
      </w:r>
      <w:bookmarkEnd w:id="26"/>
    </w:p>
    <w:p w14:paraId="40B574BA" w14:textId="77777777" w:rsidR="00C17153" w:rsidRDefault="00C17153" w:rsidP="00586C70">
      <w:pPr>
        <w:pStyle w:val="Heading2numbered"/>
        <w:numPr>
          <w:ilvl w:val="2"/>
          <w:numId w:val="50"/>
        </w:numPr>
        <w:ind w:left="567" w:hanging="567"/>
      </w:pPr>
      <w:bookmarkStart w:id="27" w:name="_Toc465244410"/>
      <w:r>
        <w:t>Geographical measures</w:t>
      </w:r>
      <w:bookmarkEnd w:id="27"/>
    </w:p>
    <w:p w14:paraId="0C4BE116" w14:textId="77777777" w:rsidR="00C17153" w:rsidRDefault="00C17153" w:rsidP="00086408">
      <w:pPr>
        <w:spacing w:line="276" w:lineRule="auto"/>
        <w:rPr>
          <w:lang w:eastAsia="en-AU"/>
        </w:rPr>
      </w:pPr>
      <w:r>
        <w:rPr>
          <w:lang w:eastAsia="en-AU"/>
        </w:rPr>
        <w:t>T</w:t>
      </w:r>
      <w:r w:rsidR="000C01AD">
        <w:rPr>
          <w:lang w:eastAsia="en-AU"/>
        </w:rPr>
        <w:t>his part examines the pattern of services across Victoria, and considers</w:t>
      </w:r>
      <w:r>
        <w:rPr>
          <w:lang w:eastAsia="en-AU"/>
        </w:rPr>
        <w:t>:</w:t>
      </w:r>
    </w:p>
    <w:p w14:paraId="5606B07A" w14:textId="05ABEB84" w:rsidR="00C17153" w:rsidRDefault="00C17153" w:rsidP="00535B30">
      <w:pPr>
        <w:pStyle w:val="ListBullet"/>
        <w:rPr>
          <w:lang w:eastAsia="en-AU"/>
        </w:rPr>
      </w:pPr>
      <w:r>
        <w:rPr>
          <w:lang w:eastAsia="en-AU"/>
        </w:rPr>
        <w:t>what legal ser</w:t>
      </w:r>
      <w:r w:rsidR="001211CE">
        <w:rPr>
          <w:lang w:eastAsia="en-AU"/>
        </w:rPr>
        <w:t>vices are currently provided across Victoria</w:t>
      </w:r>
      <w:r w:rsidR="00535B30">
        <w:rPr>
          <w:lang w:eastAsia="en-AU"/>
        </w:rPr>
        <w:t xml:space="preserve"> geographic location,</w:t>
      </w:r>
      <w:r>
        <w:rPr>
          <w:lang w:eastAsia="en-AU"/>
        </w:rPr>
        <w:t xml:space="preserve"> and</w:t>
      </w:r>
    </w:p>
    <w:p w14:paraId="59AD2DF5" w14:textId="77777777" w:rsidR="00C3714E" w:rsidRDefault="00C17153" w:rsidP="00535B30">
      <w:pPr>
        <w:pStyle w:val="ListBullet"/>
        <w:rPr>
          <w:lang w:eastAsia="en-AU"/>
        </w:rPr>
      </w:pPr>
      <w:r>
        <w:rPr>
          <w:lang w:eastAsia="en-AU"/>
        </w:rPr>
        <w:t>whether the legal services currently provided meet the demand for services in each geographical location.</w:t>
      </w:r>
    </w:p>
    <w:p w14:paraId="63C8F096" w14:textId="14D90C27" w:rsidR="00C17153" w:rsidRDefault="005C5D11" w:rsidP="00086408">
      <w:pPr>
        <w:spacing w:line="276" w:lineRule="auto"/>
        <w:rPr>
          <w:lang w:eastAsia="en-AU"/>
        </w:rPr>
      </w:pPr>
      <w:r>
        <w:rPr>
          <w:lang w:eastAsia="en-AU"/>
        </w:rPr>
        <w:t xml:space="preserve">In order to understand the distribution on child protection services it is useful to have an appreciation of the characteristics of Victorian children. </w:t>
      </w:r>
      <w:r w:rsidR="00D57CE2">
        <w:rPr>
          <w:lang w:eastAsia="en-AU"/>
        </w:rPr>
        <w:t>As at 2013–</w:t>
      </w:r>
      <w:r w:rsidR="00C17153">
        <w:rPr>
          <w:lang w:eastAsia="en-AU"/>
        </w:rPr>
        <w:t>14:</w:t>
      </w:r>
    </w:p>
    <w:p w14:paraId="2EC28981" w14:textId="445FA4D5" w:rsidR="00C17153" w:rsidRDefault="00C17153" w:rsidP="00535B30">
      <w:pPr>
        <w:pStyle w:val="ListBullet"/>
        <w:rPr>
          <w:lang w:eastAsia="en-AU"/>
        </w:rPr>
      </w:pPr>
      <w:r>
        <w:rPr>
          <w:lang w:eastAsia="en-AU"/>
        </w:rPr>
        <w:t>Victoria was home to 1,257,905 children aged 0 to 17</w:t>
      </w:r>
      <w:r>
        <w:rPr>
          <w:rStyle w:val="FootnoteReference"/>
          <w:lang w:eastAsia="en-AU"/>
        </w:rPr>
        <w:footnoteReference w:id="62"/>
      </w:r>
      <w:r>
        <w:rPr>
          <w:lang w:eastAsia="en-AU"/>
        </w:rPr>
        <w:t xml:space="preserve"> </w:t>
      </w:r>
    </w:p>
    <w:p w14:paraId="7821D9A0" w14:textId="5097EBEE" w:rsidR="00C17153" w:rsidRDefault="00C17153" w:rsidP="00535B30">
      <w:pPr>
        <w:pStyle w:val="ListBullet"/>
        <w:rPr>
          <w:lang w:eastAsia="en-AU"/>
        </w:rPr>
      </w:pPr>
      <w:r>
        <w:rPr>
          <w:lang w:eastAsia="en-AU"/>
        </w:rPr>
        <w:t xml:space="preserve">1.3% or 16,000 were Aboriginal </w:t>
      </w:r>
      <w:r w:rsidR="005C5D11">
        <w:rPr>
          <w:lang w:eastAsia="en-AU"/>
        </w:rPr>
        <w:t>and/</w:t>
      </w:r>
      <w:r>
        <w:rPr>
          <w:lang w:eastAsia="en-AU"/>
        </w:rPr>
        <w:t xml:space="preserve">or </w:t>
      </w:r>
      <w:r w:rsidR="00085CB6">
        <w:rPr>
          <w:lang w:eastAsia="en-AU"/>
        </w:rPr>
        <w:t>Torres Strait Islander children</w:t>
      </w:r>
      <w:r w:rsidR="00085CB6">
        <w:rPr>
          <w:rStyle w:val="FootnoteReference"/>
          <w:lang w:eastAsia="en-AU"/>
        </w:rPr>
        <w:footnoteReference w:id="63"/>
      </w:r>
    </w:p>
    <w:p w14:paraId="45A6BF11" w14:textId="7D91F26B" w:rsidR="00C17153" w:rsidRDefault="00C17153" w:rsidP="00535B30">
      <w:pPr>
        <w:pStyle w:val="ListBullet"/>
        <w:rPr>
          <w:lang w:eastAsia="en-AU"/>
        </w:rPr>
      </w:pPr>
      <w:r>
        <w:rPr>
          <w:lang w:eastAsia="en-AU"/>
        </w:rPr>
        <w:t>2% or 25,000 children required assistance with core needs indicating that</w:t>
      </w:r>
      <w:r w:rsidR="00085CB6">
        <w:rPr>
          <w:lang w:eastAsia="en-AU"/>
        </w:rPr>
        <w:t xml:space="preserve"> they had a profound disability</w:t>
      </w:r>
      <w:r w:rsidR="00535B30">
        <w:rPr>
          <w:lang w:eastAsia="en-AU"/>
        </w:rPr>
        <w:t>,</w:t>
      </w:r>
      <w:r w:rsidR="00085CB6">
        <w:rPr>
          <w:rStyle w:val="FootnoteReference"/>
          <w:lang w:eastAsia="en-AU"/>
        </w:rPr>
        <w:footnoteReference w:id="64"/>
      </w:r>
      <w:r>
        <w:rPr>
          <w:lang w:eastAsia="en-AU"/>
        </w:rPr>
        <w:t xml:space="preserve"> and</w:t>
      </w:r>
    </w:p>
    <w:p w14:paraId="28FCD767" w14:textId="457BF539" w:rsidR="00C17153" w:rsidRDefault="00C17153" w:rsidP="00535B30">
      <w:pPr>
        <w:pStyle w:val="ListBullet"/>
        <w:rPr>
          <w:lang w:eastAsia="en-AU"/>
        </w:rPr>
      </w:pPr>
      <w:r>
        <w:rPr>
          <w:lang w:eastAsia="en-AU"/>
        </w:rPr>
        <w:t>26.7% or 335,860 of Victorian children li</w:t>
      </w:r>
      <w:r w:rsidR="00085CB6">
        <w:rPr>
          <w:lang w:eastAsia="en-AU"/>
        </w:rPr>
        <w:t>ved in regional areas</w:t>
      </w:r>
      <w:r w:rsidR="00304893">
        <w:rPr>
          <w:lang w:eastAsia="en-AU"/>
        </w:rPr>
        <w:t>.</w:t>
      </w:r>
      <w:r w:rsidR="00085CB6">
        <w:rPr>
          <w:rStyle w:val="FootnoteReference"/>
          <w:lang w:eastAsia="en-AU"/>
        </w:rPr>
        <w:footnoteReference w:id="65"/>
      </w:r>
    </w:p>
    <w:p w14:paraId="06E0574C" w14:textId="77777777" w:rsidR="00C17153" w:rsidRDefault="00C17153" w:rsidP="00535B30">
      <w:pPr>
        <w:pStyle w:val="Heading2numbered"/>
      </w:pPr>
      <w:r>
        <w:tab/>
      </w:r>
      <w:bookmarkStart w:id="28" w:name="_Toc465244411"/>
      <w:r>
        <w:t>Ascertaining demand in regional and rural Victoria</w:t>
      </w:r>
      <w:bookmarkEnd w:id="28"/>
    </w:p>
    <w:p w14:paraId="77B06F9B" w14:textId="096601FF" w:rsidR="00085CB6" w:rsidRDefault="00C17153" w:rsidP="00086408">
      <w:pPr>
        <w:spacing w:line="276" w:lineRule="auto"/>
        <w:rPr>
          <w:lang w:eastAsia="en-AU"/>
        </w:rPr>
      </w:pPr>
      <w:r>
        <w:rPr>
          <w:lang w:eastAsia="en-AU"/>
        </w:rPr>
        <w:t xml:space="preserve">Limited data is available on the regional location of child protection reports and substantiations, as this information is generally reported at a state-wide level. This makes it difficult to accurately gauge </w:t>
      </w:r>
      <w:r>
        <w:rPr>
          <w:lang w:eastAsia="en-AU"/>
        </w:rPr>
        <w:lastRenderedPageBreak/>
        <w:t>the level of potential or actual demand for child protection legal services in regional and rural Victoria.</w:t>
      </w:r>
      <w:r w:rsidR="005C5D11">
        <w:rPr>
          <w:lang w:eastAsia="en-AU"/>
        </w:rPr>
        <w:t xml:space="preserve"> What is available is information about where applications are initiated and where grants of assistance are made.</w:t>
      </w:r>
    </w:p>
    <w:p w14:paraId="29674C6F" w14:textId="5A039748" w:rsidR="00CD269A" w:rsidRDefault="00CD269A" w:rsidP="00CD269A">
      <w:pPr>
        <w:pStyle w:val="Figuretableheading"/>
        <w:rPr>
          <w:lang w:eastAsia="en-AU"/>
        </w:rPr>
      </w:pPr>
      <w:bookmarkStart w:id="29" w:name="Chart5"/>
      <w:r w:rsidRPr="00404585">
        <w:rPr>
          <w:lang w:eastAsia="en-AU"/>
        </w:rPr>
        <w:t>Chart 5 – All grants of assistance and primary initiations (% of total metro and regional)</w:t>
      </w:r>
    </w:p>
    <w:bookmarkEnd w:id="29"/>
    <w:p w14:paraId="46B68DCF" w14:textId="77777777" w:rsidR="005C5D11" w:rsidRDefault="005C5D11" w:rsidP="00086408">
      <w:pPr>
        <w:spacing w:line="276" w:lineRule="auto"/>
        <w:rPr>
          <w:lang w:eastAsia="en-AU"/>
        </w:rPr>
      </w:pPr>
      <w:r>
        <w:rPr>
          <w:noProof/>
          <w:lang w:eastAsia="en-AU"/>
        </w:rPr>
        <w:drawing>
          <wp:inline distT="0" distB="0" distL="0" distR="0" wp14:anchorId="6CE5F60B" wp14:editId="2C911B81">
            <wp:extent cx="5999871" cy="3052689"/>
            <wp:effectExtent l="0" t="0" r="1270" b="14605"/>
            <wp:docPr id="18" name="Chart 18" descr="For further information about this chart, please contact childprotectionreview@vla.vic.gov.au" title="Chart 5 – All grants of assistance and primary initiations (% of total metro and regional)"/>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E7CE729" w14:textId="6ABB2458" w:rsidR="008F41B5" w:rsidRDefault="005C5D11" w:rsidP="00086408">
      <w:pPr>
        <w:spacing w:line="276" w:lineRule="auto"/>
        <w:rPr>
          <w:lang w:eastAsia="en-AU"/>
        </w:rPr>
      </w:pPr>
      <w:r>
        <w:rPr>
          <w:lang w:eastAsia="en-AU"/>
        </w:rPr>
        <w:t xml:space="preserve">Chart </w:t>
      </w:r>
      <w:r w:rsidR="00134FC9">
        <w:rPr>
          <w:lang w:eastAsia="en-AU"/>
        </w:rPr>
        <w:t>5</w:t>
      </w:r>
      <w:r w:rsidR="00563091">
        <w:rPr>
          <w:rStyle w:val="FootnoteReference"/>
          <w:lang w:eastAsia="en-AU"/>
        </w:rPr>
        <w:footnoteReference w:id="66"/>
      </w:r>
      <w:r w:rsidR="00134FC9">
        <w:rPr>
          <w:lang w:eastAsia="en-AU"/>
        </w:rPr>
        <w:t xml:space="preserve"> </w:t>
      </w:r>
      <w:r w:rsidR="00D86B21">
        <w:rPr>
          <w:lang w:eastAsia="en-AU"/>
        </w:rPr>
        <w:t>depicts primary initiations</w:t>
      </w:r>
      <w:r w:rsidR="00D86B21">
        <w:rPr>
          <w:rStyle w:val="FootnoteReference"/>
          <w:lang w:eastAsia="en-AU"/>
        </w:rPr>
        <w:footnoteReference w:id="67"/>
      </w:r>
      <w:r w:rsidR="00D86B21">
        <w:rPr>
          <w:lang w:eastAsia="en-AU"/>
        </w:rPr>
        <w:t xml:space="preserve"> </w:t>
      </w:r>
      <w:r w:rsidR="00183296">
        <w:rPr>
          <w:lang w:eastAsia="en-AU"/>
        </w:rPr>
        <w:t>commenced at</w:t>
      </w:r>
      <w:r w:rsidR="00C3714E">
        <w:rPr>
          <w:lang w:eastAsia="en-AU"/>
        </w:rPr>
        <w:t xml:space="preserve"> </w:t>
      </w:r>
      <w:r w:rsidR="008F41B5">
        <w:rPr>
          <w:lang w:eastAsia="en-AU"/>
        </w:rPr>
        <w:t>metropolitan</w:t>
      </w:r>
      <w:r w:rsidR="00C3714E">
        <w:rPr>
          <w:lang w:eastAsia="en-AU"/>
        </w:rPr>
        <w:t xml:space="preserve"> Melbourne </w:t>
      </w:r>
      <w:r w:rsidR="008F41B5">
        <w:rPr>
          <w:lang w:eastAsia="en-AU"/>
        </w:rPr>
        <w:t xml:space="preserve">Children’s Courts (Melbourne, Moorabbin </w:t>
      </w:r>
      <w:r w:rsidR="001873B0">
        <w:rPr>
          <w:lang w:eastAsia="en-AU"/>
        </w:rPr>
        <w:t>and Broadmeadows) and Regional c</w:t>
      </w:r>
      <w:r w:rsidR="008F41B5">
        <w:rPr>
          <w:lang w:eastAsia="en-AU"/>
        </w:rPr>
        <w:t>our</w:t>
      </w:r>
      <w:r w:rsidR="001873B0">
        <w:rPr>
          <w:lang w:eastAsia="en-AU"/>
        </w:rPr>
        <w:t>ts areas as categorised by the c</w:t>
      </w:r>
      <w:r w:rsidR="008F41B5">
        <w:rPr>
          <w:lang w:eastAsia="en-AU"/>
        </w:rPr>
        <w:t xml:space="preserve">ourt (Barwon South West, Grampians, Loddon Mallee, Hume and Gippsland). </w:t>
      </w:r>
      <w:r w:rsidR="00183296">
        <w:rPr>
          <w:lang w:eastAsia="en-AU"/>
        </w:rPr>
        <w:t>It also shows all grants of legal assistance, primary and secondary</w:t>
      </w:r>
      <w:r w:rsidR="00304893">
        <w:rPr>
          <w:lang w:eastAsia="en-AU"/>
        </w:rPr>
        <w:t>,</w:t>
      </w:r>
      <w:r w:rsidR="00183296">
        <w:rPr>
          <w:rStyle w:val="FootnoteReference"/>
          <w:lang w:eastAsia="en-AU"/>
        </w:rPr>
        <w:footnoteReference w:id="68"/>
      </w:r>
      <w:r w:rsidR="00183296">
        <w:rPr>
          <w:lang w:eastAsia="en-AU"/>
        </w:rPr>
        <w:t xml:space="preserve"> by VL</w:t>
      </w:r>
      <w:r w:rsidR="001873B0">
        <w:rPr>
          <w:lang w:eastAsia="en-AU"/>
        </w:rPr>
        <w:t>A in the same groupings as the c</w:t>
      </w:r>
      <w:r w:rsidR="00183296">
        <w:rPr>
          <w:lang w:eastAsia="en-AU"/>
        </w:rPr>
        <w:t>ourt data.</w:t>
      </w:r>
    </w:p>
    <w:p w14:paraId="18BD01DD" w14:textId="6E8F49CB" w:rsidR="00563091" w:rsidRDefault="00D86B21" w:rsidP="00086408">
      <w:pPr>
        <w:spacing w:line="276" w:lineRule="auto"/>
        <w:rPr>
          <w:lang w:eastAsia="en-AU"/>
        </w:rPr>
      </w:pPr>
      <w:r>
        <w:rPr>
          <w:lang w:eastAsia="en-AU"/>
        </w:rPr>
        <w:t>This chart</w:t>
      </w:r>
      <w:r w:rsidR="008F41B5">
        <w:rPr>
          <w:lang w:eastAsia="en-AU"/>
        </w:rPr>
        <w:t xml:space="preserve"> </w:t>
      </w:r>
      <w:r w:rsidR="00134FC9">
        <w:rPr>
          <w:lang w:eastAsia="en-AU"/>
        </w:rPr>
        <w:t>shows</w:t>
      </w:r>
      <w:r w:rsidR="00535B30">
        <w:rPr>
          <w:lang w:eastAsia="en-AU"/>
        </w:rPr>
        <w:t xml:space="preserve"> that</w:t>
      </w:r>
      <w:r w:rsidR="00563091">
        <w:rPr>
          <w:lang w:eastAsia="en-AU"/>
        </w:rPr>
        <w:t>:</w:t>
      </w:r>
    </w:p>
    <w:p w14:paraId="25FD3967" w14:textId="0B9D708E" w:rsidR="00563091" w:rsidRDefault="00134FC9" w:rsidP="00535B30">
      <w:pPr>
        <w:pStyle w:val="ListBullet"/>
        <w:rPr>
          <w:lang w:eastAsia="en-AU"/>
        </w:rPr>
      </w:pPr>
      <w:r>
        <w:rPr>
          <w:lang w:eastAsia="en-AU"/>
        </w:rPr>
        <w:t>there has been a stable division between metropolitan and regional areas in the proportion of initiations, at around 56</w:t>
      </w:r>
      <w:r w:rsidR="00843945">
        <w:rPr>
          <w:lang w:eastAsia="en-AU"/>
        </w:rPr>
        <w:t>% to 44%,</w:t>
      </w:r>
      <w:r>
        <w:rPr>
          <w:lang w:eastAsia="en-AU"/>
        </w:rPr>
        <w:t xml:space="preserve"> save that in 2015/16 there was almost an equal numbe</w:t>
      </w:r>
      <w:r w:rsidR="00535B30">
        <w:rPr>
          <w:lang w:eastAsia="en-AU"/>
        </w:rPr>
        <w:t>r of initiations in both areas</w:t>
      </w:r>
    </w:p>
    <w:p w14:paraId="7E8FEE25" w14:textId="5991D404" w:rsidR="00843945" w:rsidRDefault="00134FC9" w:rsidP="00535B30">
      <w:pPr>
        <w:pStyle w:val="ListBullet"/>
        <w:rPr>
          <w:lang w:eastAsia="en-AU"/>
        </w:rPr>
      </w:pPr>
      <w:r>
        <w:rPr>
          <w:lang w:eastAsia="en-AU"/>
        </w:rPr>
        <w:t xml:space="preserve">there has been a relatively stable divide in the total number of </w:t>
      </w:r>
      <w:r w:rsidR="00563091">
        <w:rPr>
          <w:lang w:eastAsia="en-AU"/>
        </w:rPr>
        <w:t>grants of assistance</w:t>
      </w:r>
      <w:r>
        <w:rPr>
          <w:lang w:eastAsia="en-AU"/>
        </w:rPr>
        <w:t>, although there was a much higher proportion in metropolitan areas</w:t>
      </w:r>
      <w:r w:rsidR="00D86B21">
        <w:rPr>
          <w:lang w:eastAsia="en-AU"/>
        </w:rPr>
        <w:t xml:space="preserve"> (</w:t>
      </w:r>
      <w:r w:rsidR="00843945">
        <w:rPr>
          <w:lang w:eastAsia="en-AU"/>
        </w:rPr>
        <w:t>64%</w:t>
      </w:r>
      <w:r w:rsidR="00D86B21">
        <w:rPr>
          <w:lang w:eastAsia="en-AU"/>
        </w:rPr>
        <w:t>)</w:t>
      </w:r>
      <w:r w:rsidR="00843945">
        <w:rPr>
          <w:lang w:eastAsia="en-AU"/>
        </w:rPr>
        <w:t xml:space="preserve"> </w:t>
      </w:r>
      <w:r w:rsidR="00D86B21">
        <w:rPr>
          <w:lang w:eastAsia="en-AU"/>
        </w:rPr>
        <w:t>than regional areas,</w:t>
      </w:r>
      <w:r w:rsidR="00535B30">
        <w:rPr>
          <w:lang w:eastAsia="en-AU"/>
        </w:rPr>
        <w:t xml:space="preserve"> 46%</w:t>
      </w:r>
    </w:p>
    <w:p w14:paraId="72AFF773" w14:textId="5464509B" w:rsidR="00563091" w:rsidRDefault="00535B30" w:rsidP="00535B30">
      <w:pPr>
        <w:pStyle w:val="ListBullet"/>
        <w:rPr>
          <w:lang w:eastAsia="en-AU"/>
        </w:rPr>
      </w:pPr>
      <w:r>
        <w:rPr>
          <w:lang w:eastAsia="en-AU"/>
        </w:rPr>
        <w:t>t</w:t>
      </w:r>
      <w:r w:rsidR="00843945">
        <w:rPr>
          <w:lang w:eastAsia="en-AU"/>
        </w:rPr>
        <w:t>he convergence in initiations</w:t>
      </w:r>
      <w:r w:rsidR="00D86B21">
        <w:rPr>
          <w:lang w:eastAsia="en-AU"/>
        </w:rPr>
        <w:t xml:space="preserve"> in 2015/16 saw</w:t>
      </w:r>
      <w:r w:rsidR="00843945">
        <w:rPr>
          <w:lang w:eastAsia="en-AU"/>
        </w:rPr>
        <w:t xml:space="preserve"> the division in grants reduce slightly in metro</w:t>
      </w:r>
      <w:r w:rsidR="00563091">
        <w:rPr>
          <w:lang w:eastAsia="en-AU"/>
        </w:rPr>
        <w:t>p</w:t>
      </w:r>
      <w:r w:rsidR="00843945">
        <w:rPr>
          <w:lang w:eastAsia="en-AU"/>
        </w:rPr>
        <w:t xml:space="preserve">olitan Melbourne </w:t>
      </w:r>
      <w:r w:rsidR="00D86B21">
        <w:rPr>
          <w:lang w:eastAsia="en-AU"/>
        </w:rPr>
        <w:t>(60%) and increase correspondingly in</w:t>
      </w:r>
      <w:r w:rsidR="00563091">
        <w:rPr>
          <w:lang w:eastAsia="en-AU"/>
        </w:rPr>
        <w:t xml:space="preserve"> regional Victoria</w:t>
      </w:r>
      <w:r w:rsidR="00D86B21">
        <w:rPr>
          <w:lang w:eastAsia="en-AU"/>
        </w:rPr>
        <w:t xml:space="preserve"> (40%)</w:t>
      </w:r>
      <w:r w:rsidR="00563091">
        <w:rPr>
          <w:lang w:eastAsia="en-AU"/>
        </w:rPr>
        <w:t>.</w:t>
      </w:r>
    </w:p>
    <w:p w14:paraId="63B4FA46" w14:textId="77777777" w:rsidR="005E608C" w:rsidRPr="00535B30" w:rsidRDefault="00563091" w:rsidP="00535B30">
      <w:r w:rsidRPr="00535B30">
        <w:t xml:space="preserve">This suggests that there is a misalignment of </w:t>
      </w:r>
      <w:r w:rsidR="00183296" w:rsidRPr="00535B30">
        <w:t>grants of assistance</w:t>
      </w:r>
      <w:r w:rsidRPr="00535B30">
        <w:t xml:space="preserve"> to initiations.</w:t>
      </w:r>
      <w:r w:rsidR="00843945" w:rsidRPr="00535B30">
        <w:t xml:space="preserve"> </w:t>
      </w:r>
    </w:p>
    <w:p w14:paraId="59A3DA02" w14:textId="2D529571" w:rsidR="005E608C" w:rsidRDefault="00843945" w:rsidP="00086408">
      <w:pPr>
        <w:spacing w:line="276" w:lineRule="auto"/>
        <w:rPr>
          <w:lang w:eastAsia="en-AU"/>
        </w:rPr>
      </w:pPr>
      <w:r>
        <w:rPr>
          <w:lang w:eastAsia="en-AU"/>
        </w:rPr>
        <w:lastRenderedPageBreak/>
        <w:t xml:space="preserve">This can be </w:t>
      </w:r>
      <w:r w:rsidR="00183296">
        <w:rPr>
          <w:lang w:eastAsia="en-AU"/>
        </w:rPr>
        <w:t>examined</w:t>
      </w:r>
      <w:r>
        <w:rPr>
          <w:lang w:eastAsia="en-AU"/>
        </w:rPr>
        <w:t xml:space="preserve"> further </w:t>
      </w:r>
      <w:r w:rsidR="00183296">
        <w:rPr>
          <w:lang w:eastAsia="en-AU"/>
        </w:rPr>
        <w:t>by</w:t>
      </w:r>
      <w:r>
        <w:rPr>
          <w:lang w:eastAsia="en-AU"/>
        </w:rPr>
        <w:t xml:space="preserve"> considering primary grants of assistance relative to primary initiations by family group</w:t>
      </w:r>
      <w:r w:rsidR="00535B30">
        <w:rPr>
          <w:lang w:eastAsia="en-AU"/>
        </w:rPr>
        <w:t>.</w:t>
      </w:r>
      <w:r w:rsidR="005E608C">
        <w:rPr>
          <w:rStyle w:val="FootnoteReference"/>
          <w:lang w:eastAsia="en-AU"/>
        </w:rPr>
        <w:footnoteReference w:id="69"/>
      </w:r>
      <w:r w:rsidR="005E608C">
        <w:rPr>
          <w:lang w:eastAsia="en-AU"/>
        </w:rPr>
        <w:t xml:space="preserve"> The number of grants of assistance </w:t>
      </w:r>
      <w:r w:rsidR="00F70908">
        <w:rPr>
          <w:lang w:eastAsia="en-AU"/>
        </w:rPr>
        <w:t xml:space="preserve">relative to the initiations by family group is much greater in metropolitan Melbourne than it is in regional areas </w:t>
      </w:r>
      <w:r w:rsidR="00F70908" w:rsidRPr="006A2233">
        <w:rPr>
          <w:lang w:eastAsia="en-AU"/>
        </w:rPr>
        <w:t xml:space="preserve">– see </w:t>
      </w:r>
      <w:hyperlink w:anchor="Chart6" w:history="1">
        <w:r w:rsidR="00F70908" w:rsidRPr="006A2233">
          <w:rPr>
            <w:rStyle w:val="Hyperlink"/>
            <w:lang w:eastAsia="en-AU"/>
          </w:rPr>
          <w:t>Chart 6</w:t>
        </w:r>
      </w:hyperlink>
      <w:r w:rsidR="00F70908">
        <w:rPr>
          <w:lang w:eastAsia="en-AU"/>
        </w:rPr>
        <w:t xml:space="preserve">. </w:t>
      </w:r>
      <w:r w:rsidR="009E2568">
        <w:rPr>
          <w:lang w:eastAsia="en-AU"/>
        </w:rPr>
        <w:t>In fact</w:t>
      </w:r>
      <w:r w:rsidR="000D085C">
        <w:rPr>
          <w:lang w:eastAsia="en-AU"/>
        </w:rPr>
        <w:t>,</w:t>
      </w:r>
      <w:r w:rsidR="009E2568">
        <w:rPr>
          <w:lang w:eastAsia="en-AU"/>
        </w:rPr>
        <w:t xml:space="preserve"> grants of assistance in metropolitan Melbourne increased in 2015/16 despite the number of initiations falling slightly from the previous year. </w:t>
      </w:r>
    </w:p>
    <w:p w14:paraId="2EB8B7C6" w14:textId="62CDE9FB" w:rsidR="00CD269A" w:rsidRDefault="00404585" w:rsidP="00CD269A">
      <w:pPr>
        <w:pStyle w:val="Figuretableheading"/>
        <w:rPr>
          <w:lang w:eastAsia="en-AU"/>
        </w:rPr>
      </w:pPr>
      <w:bookmarkStart w:id="30" w:name="Chart6"/>
      <w:r w:rsidRPr="00404585">
        <w:rPr>
          <w:lang w:eastAsia="en-AU"/>
        </w:rPr>
        <w:t>Chart 6 – Metro and r</w:t>
      </w:r>
      <w:r w:rsidR="00CD269A" w:rsidRPr="00404585">
        <w:rPr>
          <w:lang w:eastAsia="en-AU"/>
        </w:rPr>
        <w:t>egional initiations per family and primary grants of assistance</w:t>
      </w:r>
    </w:p>
    <w:bookmarkEnd w:id="30"/>
    <w:p w14:paraId="7DEF5950" w14:textId="77777777" w:rsidR="005E608C" w:rsidRDefault="005E608C" w:rsidP="00086408">
      <w:pPr>
        <w:spacing w:line="276" w:lineRule="auto"/>
        <w:rPr>
          <w:lang w:eastAsia="en-AU"/>
        </w:rPr>
      </w:pPr>
      <w:r>
        <w:rPr>
          <w:noProof/>
          <w:lang w:eastAsia="en-AU"/>
        </w:rPr>
        <w:drawing>
          <wp:inline distT="0" distB="0" distL="0" distR="0" wp14:anchorId="6D81A6E9" wp14:editId="7849ED76">
            <wp:extent cx="6210300" cy="3277870"/>
            <wp:effectExtent l="0" t="0" r="0" b="17780"/>
            <wp:docPr id="13" name="Chart 13" descr="For further information about this chart, please contact childprotectionreview@vla.vic.gov.au" title="Chart 6 – Metro and regional initiations per family and primary grants of assistance"/>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31346A1" w14:textId="77777777" w:rsidR="00F70908" w:rsidRDefault="00F70908" w:rsidP="00086408">
      <w:pPr>
        <w:spacing w:line="276" w:lineRule="auto"/>
        <w:rPr>
          <w:lang w:eastAsia="en-AU"/>
        </w:rPr>
      </w:pPr>
      <w:r>
        <w:rPr>
          <w:lang w:eastAsia="en-AU"/>
        </w:rPr>
        <w:t xml:space="preserve">The difference between metropolitan Melbourne and regional Victoria, and between regions, is highlighted when considering the number of grants per family group. It is noted children under the age of 10 are not usually represented, and the eligibility guidelines for assistance restrict the circumstances when assistance will be available to parents. As such, the average number of grants for each family group is likely to be less than two. </w:t>
      </w:r>
    </w:p>
    <w:p w14:paraId="35896076" w14:textId="35D53481" w:rsidR="00843945" w:rsidRDefault="00883212" w:rsidP="00086408">
      <w:pPr>
        <w:spacing w:line="276" w:lineRule="auto"/>
        <w:rPr>
          <w:lang w:eastAsia="en-AU"/>
        </w:rPr>
      </w:pPr>
      <w:hyperlink w:anchor="Chart7" w:history="1">
        <w:r w:rsidR="005E608C" w:rsidRPr="006A2233">
          <w:rPr>
            <w:rStyle w:val="Hyperlink"/>
            <w:lang w:eastAsia="en-AU"/>
          </w:rPr>
          <w:t>Chart 7</w:t>
        </w:r>
      </w:hyperlink>
      <w:r w:rsidR="006072F4">
        <w:rPr>
          <w:rStyle w:val="FootnoteReference"/>
          <w:lang w:eastAsia="en-AU"/>
        </w:rPr>
        <w:footnoteReference w:id="70"/>
      </w:r>
      <w:r w:rsidR="00563091">
        <w:rPr>
          <w:lang w:eastAsia="en-AU"/>
        </w:rPr>
        <w:t xml:space="preserve"> </w:t>
      </w:r>
      <w:r w:rsidR="000A79E4">
        <w:rPr>
          <w:lang w:eastAsia="en-AU"/>
        </w:rPr>
        <w:t xml:space="preserve">shows that in </w:t>
      </w:r>
      <w:r w:rsidR="00024BA3">
        <w:rPr>
          <w:lang w:eastAsia="en-AU"/>
        </w:rPr>
        <w:t xml:space="preserve">2015/16, in </w:t>
      </w:r>
      <w:r w:rsidR="000A79E4">
        <w:rPr>
          <w:lang w:eastAsia="en-AU"/>
        </w:rPr>
        <w:t>the metropolitan area there w</w:t>
      </w:r>
      <w:r w:rsidR="00A2611E">
        <w:rPr>
          <w:lang w:eastAsia="en-AU"/>
        </w:rPr>
        <w:t>as</w:t>
      </w:r>
      <w:r w:rsidR="000A79E4">
        <w:rPr>
          <w:lang w:eastAsia="en-AU"/>
        </w:rPr>
        <w:t xml:space="preserve"> around 1.7 grants of as</w:t>
      </w:r>
      <w:r w:rsidR="00D57CE2">
        <w:rPr>
          <w:lang w:eastAsia="en-AU"/>
        </w:rPr>
        <w:t>sistance for each family group.</w:t>
      </w:r>
      <w:r w:rsidR="000A79E4">
        <w:rPr>
          <w:lang w:eastAsia="en-AU"/>
        </w:rPr>
        <w:t xml:space="preserve"> Whereas</w:t>
      </w:r>
      <w:r w:rsidR="00614A94">
        <w:rPr>
          <w:lang w:eastAsia="en-AU"/>
        </w:rPr>
        <w:t>, in</w:t>
      </w:r>
      <w:r w:rsidR="000A79E4">
        <w:rPr>
          <w:lang w:eastAsia="en-AU"/>
        </w:rPr>
        <w:t xml:space="preserve"> regional areas </w:t>
      </w:r>
      <w:r w:rsidR="00614A94">
        <w:rPr>
          <w:lang w:eastAsia="en-AU"/>
        </w:rPr>
        <w:t>the a</w:t>
      </w:r>
      <w:r w:rsidR="000A79E4">
        <w:rPr>
          <w:lang w:eastAsia="en-AU"/>
        </w:rPr>
        <w:t xml:space="preserve">verage </w:t>
      </w:r>
      <w:r w:rsidR="00614A94">
        <w:rPr>
          <w:lang w:eastAsia="en-AU"/>
        </w:rPr>
        <w:t>was</w:t>
      </w:r>
      <w:r w:rsidR="000A79E4">
        <w:rPr>
          <w:lang w:eastAsia="en-AU"/>
        </w:rPr>
        <w:t xml:space="preserve"> 1.2 grants of assistance per family group. In some areas this falls to less than one grant of assistance for each family group</w:t>
      </w:r>
      <w:r w:rsidR="00014B93">
        <w:rPr>
          <w:lang w:eastAsia="en-AU"/>
        </w:rPr>
        <w:t>.</w:t>
      </w:r>
      <w:r w:rsidR="006072F4">
        <w:rPr>
          <w:lang w:eastAsia="en-AU"/>
        </w:rPr>
        <w:t xml:space="preserve"> </w:t>
      </w:r>
    </w:p>
    <w:p w14:paraId="73F62551" w14:textId="4D2B33EA" w:rsidR="00CD269A" w:rsidRDefault="00CD269A" w:rsidP="00CD269A">
      <w:pPr>
        <w:pStyle w:val="Figuretableheading"/>
        <w:rPr>
          <w:lang w:eastAsia="en-AU"/>
        </w:rPr>
      </w:pPr>
      <w:bookmarkStart w:id="31" w:name="Chart7"/>
      <w:bookmarkEnd w:id="31"/>
      <w:r>
        <w:rPr>
          <w:b w:val="0"/>
          <w:sz w:val="22"/>
          <w:lang w:eastAsia="en-AU"/>
        </w:rPr>
        <w:br w:type="column"/>
      </w:r>
      <w:r w:rsidRPr="00404585">
        <w:rPr>
          <w:lang w:eastAsia="en-AU"/>
        </w:rPr>
        <w:lastRenderedPageBreak/>
        <w:t>Chart 7 – Primary applications and primary grants of assistance</w:t>
      </w:r>
    </w:p>
    <w:p w14:paraId="72465DC4" w14:textId="1828E56C" w:rsidR="00843945" w:rsidRDefault="000A79E4" w:rsidP="00086408">
      <w:pPr>
        <w:spacing w:line="276" w:lineRule="auto"/>
        <w:rPr>
          <w:lang w:eastAsia="en-AU"/>
        </w:rPr>
      </w:pPr>
      <w:r>
        <w:rPr>
          <w:noProof/>
          <w:lang w:eastAsia="en-AU"/>
        </w:rPr>
        <w:drawing>
          <wp:inline distT="0" distB="0" distL="0" distR="0" wp14:anchorId="2115B7C3" wp14:editId="70194B43">
            <wp:extent cx="5641742" cy="2993865"/>
            <wp:effectExtent l="0" t="0" r="16510" b="16510"/>
            <wp:docPr id="4" name="Chart 4" descr="For further information about this chart, please contact childprotectionreview@vla.vic.gov.au" title="Chart 7 – Primary applications and primary grants of assistance"/>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0880C4F" w14:textId="2B278BC8" w:rsidR="00DE6482" w:rsidRDefault="00883212" w:rsidP="00086408">
      <w:pPr>
        <w:spacing w:line="276" w:lineRule="auto"/>
        <w:rPr>
          <w:lang w:eastAsia="en-AU"/>
        </w:rPr>
      </w:pPr>
      <w:hyperlink w:anchor="Chart5" w:history="1">
        <w:r w:rsidR="00563091" w:rsidRPr="00A96678">
          <w:rPr>
            <w:rStyle w:val="Hyperlink"/>
            <w:lang w:eastAsia="en-AU"/>
          </w:rPr>
          <w:t>Chart 5</w:t>
        </w:r>
      </w:hyperlink>
      <w:r w:rsidR="00563091">
        <w:rPr>
          <w:lang w:eastAsia="en-AU"/>
        </w:rPr>
        <w:t xml:space="preserve"> </w:t>
      </w:r>
      <w:r w:rsidR="00DE6482">
        <w:rPr>
          <w:lang w:eastAsia="en-AU"/>
        </w:rPr>
        <w:t>and</w:t>
      </w:r>
      <w:r w:rsidR="00892627">
        <w:rPr>
          <w:lang w:eastAsia="en-AU"/>
        </w:rPr>
        <w:t xml:space="preserve"> </w:t>
      </w:r>
      <w:hyperlink w:anchor="Chart6" w:history="1">
        <w:r w:rsidR="00892627" w:rsidRPr="00A96678">
          <w:rPr>
            <w:rStyle w:val="Hyperlink"/>
            <w:lang w:eastAsia="en-AU"/>
          </w:rPr>
          <w:t>Chart</w:t>
        </w:r>
        <w:r w:rsidR="00DE6482" w:rsidRPr="00A96678">
          <w:rPr>
            <w:rStyle w:val="Hyperlink"/>
            <w:lang w:eastAsia="en-AU"/>
          </w:rPr>
          <w:t xml:space="preserve"> 6</w:t>
        </w:r>
      </w:hyperlink>
      <w:r w:rsidR="00DE6482">
        <w:rPr>
          <w:lang w:eastAsia="en-AU"/>
        </w:rPr>
        <w:t xml:space="preserve"> indicate that there is a disproportionately high number of applications for protection orders in regional areas (almost 50%</w:t>
      </w:r>
      <w:r w:rsidR="006072F4">
        <w:rPr>
          <w:lang w:eastAsia="en-AU"/>
        </w:rPr>
        <w:t xml:space="preserve"> of all primary applications</w:t>
      </w:r>
      <w:r w:rsidR="00DE6482">
        <w:rPr>
          <w:lang w:eastAsia="en-AU"/>
        </w:rPr>
        <w:t>), relative to the population (around 26%). This not being matched in the provision of legal representation, although there are differences between regions.</w:t>
      </w:r>
    </w:p>
    <w:p w14:paraId="4E4CFFF3" w14:textId="77777777" w:rsidR="006072F4" w:rsidRDefault="006072F4" w:rsidP="00535B30">
      <w:pPr>
        <w:pStyle w:val="Heading2numbered"/>
      </w:pPr>
      <w:bookmarkStart w:id="32" w:name="_Toc465244412"/>
      <w:r w:rsidRPr="009733C3">
        <w:t>Nexus between socioeconomic d</w:t>
      </w:r>
      <w:r>
        <w:t>isadvantage and child protection</w:t>
      </w:r>
      <w:bookmarkEnd w:id="32"/>
    </w:p>
    <w:p w14:paraId="6155C998" w14:textId="6CC539EC" w:rsidR="00563091" w:rsidRDefault="00DE6482" w:rsidP="00086408">
      <w:pPr>
        <w:spacing w:line="276" w:lineRule="auto"/>
        <w:rPr>
          <w:lang w:eastAsia="en-AU"/>
        </w:rPr>
      </w:pPr>
      <w:r>
        <w:rPr>
          <w:lang w:eastAsia="en-AU"/>
        </w:rPr>
        <w:t>It is worth considering</w:t>
      </w:r>
      <w:r w:rsidR="006072F4">
        <w:rPr>
          <w:lang w:eastAsia="en-AU"/>
        </w:rPr>
        <w:t xml:space="preserve"> the information concerning the distribution of legal representation</w:t>
      </w:r>
      <w:r>
        <w:rPr>
          <w:lang w:eastAsia="en-AU"/>
        </w:rPr>
        <w:t xml:space="preserve"> in light of the findings in t</w:t>
      </w:r>
      <w:r w:rsidR="00563091">
        <w:rPr>
          <w:lang w:eastAsia="en-AU"/>
        </w:rPr>
        <w:t xml:space="preserve">he 2012 Cummins Report </w:t>
      </w:r>
      <w:r>
        <w:rPr>
          <w:lang w:eastAsia="en-AU"/>
        </w:rPr>
        <w:t>that</w:t>
      </w:r>
      <w:r w:rsidR="00563091">
        <w:rPr>
          <w:lang w:eastAsia="en-AU"/>
        </w:rPr>
        <w:t>:</w:t>
      </w:r>
    </w:p>
    <w:p w14:paraId="3323A84F" w14:textId="53498730" w:rsidR="00563091" w:rsidRDefault="00563091" w:rsidP="00535B30">
      <w:pPr>
        <w:pStyle w:val="ListBullet"/>
        <w:rPr>
          <w:lang w:eastAsia="en-AU"/>
        </w:rPr>
      </w:pPr>
      <w:r>
        <w:rPr>
          <w:lang w:eastAsia="en-AU"/>
        </w:rPr>
        <w:t>that children in r</w:t>
      </w:r>
      <w:r w:rsidR="006E38B1">
        <w:rPr>
          <w:lang w:eastAsia="en-AU"/>
        </w:rPr>
        <w:t>egional</w:t>
      </w:r>
      <w:r>
        <w:rPr>
          <w:lang w:eastAsia="en-AU"/>
        </w:rPr>
        <w:t xml:space="preserve"> Victoria are much mor</w:t>
      </w:r>
      <w:r w:rsidR="006D3C43">
        <w:rPr>
          <w:lang w:eastAsia="en-AU"/>
        </w:rPr>
        <w:t>e likely to be placed in out-of-</w:t>
      </w:r>
      <w:r>
        <w:rPr>
          <w:lang w:eastAsia="en-AU"/>
        </w:rPr>
        <w:t>home care</w:t>
      </w:r>
      <w:r>
        <w:rPr>
          <w:rStyle w:val="FootnoteReference"/>
          <w:lang w:eastAsia="en-AU"/>
        </w:rPr>
        <w:footnoteReference w:id="71"/>
      </w:r>
      <w:r w:rsidR="00535B30">
        <w:rPr>
          <w:lang w:eastAsia="en-AU"/>
        </w:rPr>
        <w:t>,</w:t>
      </w:r>
      <w:r>
        <w:rPr>
          <w:lang w:eastAsia="en-AU"/>
        </w:rPr>
        <w:t xml:space="preserve"> and</w:t>
      </w:r>
    </w:p>
    <w:p w14:paraId="79FC9B3D" w14:textId="67B43177" w:rsidR="00563091" w:rsidRDefault="006072F4" w:rsidP="00535B30">
      <w:pPr>
        <w:pStyle w:val="ListBullet"/>
        <w:rPr>
          <w:lang w:eastAsia="en-AU"/>
        </w:rPr>
      </w:pPr>
      <w:r>
        <w:rPr>
          <w:lang w:eastAsia="en-AU"/>
        </w:rPr>
        <w:t xml:space="preserve">there is </w:t>
      </w:r>
      <w:r w:rsidR="00563091">
        <w:rPr>
          <w:lang w:eastAsia="en-AU"/>
        </w:rPr>
        <w:t>a strong correlation between reports to child protection per-capita and indicators of disadvantage, with more reports in areas experiencing greater disadvantage</w:t>
      </w:r>
      <w:r w:rsidR="00304893">
        <w:rPr>
          <w:lang w:eastAsia="en-AU"/>
        </w:rPr>
        <w:t>.</w:t>
      </w:r>
      <w:r w:rsidR="00563091">
        <w:rPr>
          <w:rStyle w:val="FootnoteReference"/>
          <w:lang w:eastAsia="en-AU"/>
        </w:rPr>
        <w:footnoteReference w:id="72"/>
      </w:r>
      <w:r w:rsidR="00563091">
        <w:rPr>
          <w:lang w:eastAsia="en-AU"/>
        </w:rPr>
        <w:t xml:space="preserve"> </w:t>
      </w:r>
    </w:p>
    <w:p w14:paraId="6ADC6A5E" w14:textId="1C8BE617" w:rsidR="00563091" w:rsidRDefault="00DE6482" w:rsidP="00086408">
      <w:pPr>
        <w:spacing w:line="276" w:lineRule="auto"/>
        <w:rPr>
          <w:lang w:eastAsia="en-AU"/>
        </w:rPr>
      </w:pPr>
      <w:r>
        <w:rPr>
          <w:lang w:eastAsia="en-AU"/>
        </w:rPr>
        <w:t>Similarly, t</w:t>
      </w:r>
      <w:r w:rsidR="00563091">
        <w:rPr>
          <w:lang w:eastAsia="en-AU"/>
        </w:rPr>
        <w:t xml:space="preserve">he 2012 </w:t>
      </w:r>
      <w:r w:rsidR="00563091" w:rsidRPr="00563091">
        <w:rPr>
          <w:i/>
          <w:lang w:eastAsia="en-AU"/>
        </w:rPr>
        <w:t>State of Victoria’s Children Report</w:t>
      </w:r>
      <w:r w:rsidR="00563091">
        <w:rPr>
          <w:lang w:eastAsia="en-AU"/>
        </w:rPr>
        <w:t xml:space="preserve"> (2011</w:t>
      </w:r>
      <w:r w:rsidR="00535B30">
        <w:rPr>
          <w:lang w:eastAsia="en-AU"/>
        </w:rPr>
        <w:t>–</w:t>
      </w:r>
      <w:r w:rsidR="00563091">
        <w:rPr>
          <w:lang w:eastAsia="en-AU"/>
        </w:rPr>
        <w:t>12)</w:t>
      </w:r>
      <w:r w:rsidR="00563091">
        <w:rPr>
          <w:rStyle w:val="FootnoteReference"/>
          <w:lang w:eastAsia="en-AU"/>
        </w:rPr>
        <w:footnoteReference w:id="73"/>
      </w:r>
      <w:r w:rsidR="009914F0">
        <w:rPr>
          <w:lang w:eastAsia="en-AU"/>
        </w:rPr>
        <w:t>,</w:t>
      </w:r>
      <w:r w:rsidR="00563091">
        <w:rPr>
          <w:lang w:eastAsia="en-AU"/>
        </w:rPr>
        <w:t xml:space="preserve"> examined</w:t>
      </w:r>
      <w:r w:rsidR="00024BA3">
        <w:rPr>
          <w:lang w:eastAsia="en-AU"/>
        </w:rPr>
        <w:t xml:space="preserve"> how children in different areas</w:t>
      </w:r>
      <w:r w:rsidR="00563091">
        <w:rPr>
          <w:lang w:eastAsia="en-AU"/>
        </w:rPr>
        <w:t xml:space="preserve"> wer</w:t>
      </w:r>
      <w:r w:rsidR="00024BA3">
        <w:rPr>
          <w:lang w:eastAsia="en-AU"/>
        </w:rPr>
        <w:t>e faring against key indicators</w:t>
      </w:r>
      <w:r w:rsidR="00024BA3">
        <w:rPr>
          <w:rStyle w:val="FootnoteReference"/>
          <w:lang w:eastAsia="en-AU"/>
        </w:rPr>
        <w:footnoteReference w:id="74"/>
      </w:r>
      <w:r w:rsidR="00024BA3">
        <w:rPr>
          <w:lang w:eastAsia="en-AU"/>
        </w:rPr>
        <w:t>. It found that</w:t>
      </w:r>
      <w:r w:rsidR="002D5EE5">
        <w:rPr>
          <w:lang w:eastAsia="en-AU"/>
        </w:rPr>
        <w:t xml:space="preserve"> children in regional areas, when compared to metropolitan children, experienced much higher rates of</w:t>
      </w:r>
      <w:r w:rsidR="00563091">
        <w:rPr>
          <w:lang w:eastAsia="en-AU"/>
        </w:rPr>
        <w:t>:</w:t>
      </w:r>
    </w:p>
    <w:p w14:paraId="24E9980E" w14:textId="77777777" w:rsidR="00563091" w:rsidRDefault="00563091" w:rsidP="00535B30">
      <w:pPr>
        <w:pStyle w:val="ListBullet"/>
        <w:rPr>
          <w:lang w:eastAsia="en-AU"/>
        </w:rPr>
      </w:pPr>
      <w:r>
        <w:rPr>
          <w:lang w:eastAsia="en-AU"/>
        </w:rPr>
        <w:t>substantiated abuse</w:t>
      </w:r>
    </w:p>
    <w:p w14:paraId="307B06F6" w14:textId="7BF5733C" w:rsidR="00573D62" w:rsidRDefault="00563091" w:rsidP="00535B30">
      <w:pPr>
        <w:pStyle w:val="ListBullet"/>
        <w:rPr>
          <w:lang w:eastAsia="en-AU"/>
        </w:rPr>
      </w:pPr>
      <w:r>
        <w:rPr>
          <w:lang w:eastAsia="en-AU"/>
        </w:rPr>
        <w:t xml:space="preserve">children on a Protection Order </w:t>
      </w:r>
      <w:r w:rsidR="002D5EE5">
        <w:rPr>
          <w:lang w:eastAsia="en-AU"/>
        </w:rPr>
        <w:t>(</w:t>
      </w:r>
      <w:r>
        <w:rPr>
          <w:lang w:eastAsia="en-AU"/>
        </w:rPr>
        <w:t>double the metropolitan rate</w:t>
      </w:r>
      <w:r w:rsidR="002D5EE5">
        <w:rPr>
          <w:lang w:eastAsia="en-AU"/>
        </w:rPr>
        <w:t>)</w:t>
      </w:r>
    </w:p>
    <w:p w14:paraId="7AC6D5D8" w14:textId="0CF4D002" w:rsidR="00563091" w:rsidRDefault="00573D62" w:rsidP="00535B30">
      <w:pPr>
        <w:pStyle w:val="ListBullet"/>
        <w:rPr>
          <w:lang w:eastAsia="en-AU"/>
        </w:rPr>
      </w:pPr>
      <w:r>
        <w:rPr>
          <w:lang w:eastAsia="en-AU"/>
        </w:rPr>
        <w:t xml:space="preserve">children in </w:t>
      </w:r>
      <w:r w:rsidR="00563091">
        <w:rPr>
          <w:lang w:eastAsia="en-AU"/>
        </w:rPr>
        <w:t xml:space="preserve">OOHC </w:t>
      </w:r>
      <w:r>
        <w:rPr>
          <w:lang w:eastAsia="en-AU"/>
        </w:rPr>
        <w:t>(</w:t>
      </w:r>
      <w:r w:rsidR="00563091">
        <w:rPr>
          <w:lang w:eastAsia="en-AU"/>
        </w:rPr>
        <w:t xml:space="preserve">more than double </w:t>
      </w:r>
      <w:r>
        <w:rPr>
          <w:lang w:eastAsia="en-AU"/>
        </w:rPr>
        <w:t>than</w:t>
      </w:r>
      <w:r w:rsidR="00563091">
        <w:rPr>
          <w:lang w:eastAsia="en-AU"/>
        </w:rPr>
        <w:t xml:space="preserve"> with metropolitan</w:t>
      </w:r>
      <w:r>
        <w:rPr>
          <w:lang w:eastAsia="en-AU"/>
        </w:rPr>
        <w:t xml:space="preserve"> rate)</w:t>
      </w:r>
      <w:r w:rsidR="00535B30">
        <w:rPr>
          <w:lang w:eastAsia="en-AU"/>
        </w:rPr>
        <w:t>,</w:t>
      </w:r>
      <w:r w:rsidR="00563091">
        <w:rPr>
          <w:lang w:eastAsia="en-AU"/>
        </w:rPr>
        <w:t xml:space="preserve"> and</w:t>
      </w:r>
    </w:p>
    <w:p w14:paraId="3906AE70" w14:textId="1FFF3E4C" w:rsidR="00563091" w:rsidRDefault="00563091" w:rsidP="00535B30">
      <w:pPr>
        <w:pStyle w:val="ListBullet"/>
        <w:rPr>
          <w:lang w:eastAsia="en-AU"/>
        </w:rPr>
      </w:pPr>
      <w:r>
        <w:rPr>
          <w:lang w:eastAsia="en-AU"/>
        </w:rPr>
        <w:t>the highest rates of children in OOHC was in Gippsland (9.7 per 1</w:t>
      </w:r>
      <w:r w:rsidR="00D57CE2">
        <w:rPr>
          <w:lang w:eastAsia="en-AU"/>
        </w:rPr>
        <w:t>,</w:t>
      </w:r>
      <w:r>
        <w:rPr>
          <w:lang w:eastAsia="en-AU"/>
        </w:rPr>
        <w:t>000 population), the Grampians (8.9 per 1</w:t>
      </w:r>
      <w:r w:rsidR="00D57CE2">
        <w:rPr>
          <w:lang w:eastAsia="en-AU"/>
        </w:rPr>
        <w:t>,</w:t>
      </w:r>
      <w:r>
        <w:rPr>
          <w:lang w:eastAsia="en-AU"/>
        </w:rPr>
        <w:t>000 population) and Mallee (7.4 per 1</w:t>
      </w:r>
      <w:r w:rsidR="00D57CE2">
        <w:rPr>
          <w:lang w:eastAsia="en-AU"/>
        </w:rPr>
        <w:t>,</w:t>
      </w:r>
      <w:r>
        <w:rPr>
          <w:lang w:eastAsia="en-AU"/>
        </w:rPr>
        <w:t>000 population).</w:t>
      </w:r>
    </w:p>
    <w:p w14:paraId="505ED8FA" w14:textId="77777777" w:rsidR="00563091" w:rsidRPr="00535B30" w:rsidRDefault="00563091" w:rsidP="00535B30">
      <w:r w:rsidRPr="00535B30">
        <w:lastRenderedPageBreak/>
        <w:t>This indicates the relatively high level of need in regional areas.</w:t>
      </w:r>
    </w:p>
    <w:p w14:paraId="61B6C3F0" w14:textId="2BDAEB0C" w:rsidR="009733C3" w:rsidRDefault="009733C3" w:rsidP="00086408">
      <w:pPr>
        <w:spacing w:line="276" w:lineRule="auto"/>
        <w:rPr>
          <w:lang w:eastAsia="en-AU"/>
        </w:rPr>
      </w:pPr>
      <w:r w:rsidRPr="009733C3">
        <w:rPr>
          <w:lang w:eastAsia="en-AU"/>
        </w:rPr>
        <w:t>Disadvantage has been shown to</w:t>
      </w:r>
      <w:r>
        <w:rPr>
          <w:lang w:eastAsia="en-AU"/>
        </w:rPr>
        <w:t xml:space="preserve"> be geographically concentrated</w:t>
      </w:r>
      <w:r>
        <w:rPr>
          <w:rStyle w:val="FootnoteReference"/>
          <w:lang w:eastAsia="en-AU"/>
        </w:rPr>
        <w:footnoteReference w:id="75"/>
      </w:r>
      <w:r w:rsidRPr="009733C3">
        <w:rPr>
          <w:lang w:eastAsia="en-AU"/>
        </w:rPr>
        <w:t xml:space="preserve"> and some population groups are consistently overrepresented in data about disadvantage. In Victoria these groups are:</w:t>
      </w:r>
      <w:r w:rsidR="006E38B1">
        <w:rPr>
          <w:lang w:eastAsia="en-AU"/>
        </w:rPr>
        <w:t xml:space="preserve"> Aboriginal and/or Torres Strait Islanders, one parent families, people with non-English speaking backgrounds, the unemployed and people with a disability</w:t>
      </w:r>
      <w:r w:rsidR="00304893">
        <w:rPr>
          <w:lang w:eastAsia="en-AU"/>
        </w:rPr>
        <w:t>.</w:t>
      </w:r>
      <w:r w:rsidR="006E38B1">
        <w:rPr>
          <w:rStyle w:val="FootnoteReference"/>
          <w:lang w:eastAsia="en-AU"/>
        </w:rPr>
        <w:footnoteReference w:id="76"/>
      </w:r>
    </w:p>
    <w:p w14:paraId="3B87B537" w14:textId="45B11345" w:rsidR="009733C3" w:rsidRDefault="009733C3" w:rsidP="00086408">
      <w:pPr>
        <w:spacing w:line="276" w:lineRule="auto"/>
        <w:rPr>
          <w:lang w:eastAsia="en-AU"/>
        </w:rPr>
      </w:pPr>
      <w:r>
        <w:rPr>
          <w:lang w:eastAsia="en-AU"/>
        </w:rPr>
        <w:t>Data collated by the VLA Child Protection Program indicates that these same groups are representative of the client population accessing child protection legal assistance. In 2014/15 of over 6</w:t>
      </w:r>
      <w:r w:rsidR="00D57CE2">
        <w:rPr>
          <w:lang w:eastAsia="en-AU"/>
        </w:rPr>
        <w:t>,</w:t>
      </w:r>
      <w:r>
        <w:rPr>
          <w:lang w:eastAsia="en-AU"/>
        </w:rPr>
        <w:t>000 clients in receipt of a grant of assistance:</w:t>
      </w:r>
    </w:p>
    <w:p w14:paraId="603FCF74" w14:textId="46CD0B14" w:rsidR="009733C3" w:rsidRDefault="00535B30" w:rsidP="00535B30">
      <w:pPr>
        <w:pStyle w:val="ListBullet"/>
        <w:rPr>
          <w:lang w:eastAsia="en-AU"/>
        </w:rPr>
      </w:pPr>
      <w:r>
        <w:rPr>
          <w:lang w:eastAsia="en-AU"/>
        </w:rPr>
        <w:t>60% were female</w:t>
      </w:r>
    </w:p>
    <w:p w14:paraId="0B067221" w14:textId="10E4A9DE" w:rsidR="009733C3" w:rsidRDefault="00535B30" w:rsidP="00535B30">
      <w:pPr>
        <w:pStyle w:val="ListBullet"/>
        <w:rPr>
          <w:lang w:eastAsia="en-AU"/>
        </w:rPr>
      </w:pPr>
      <w:r>
        <w:rPr>
          <w:lang w:eastAsia="en-AU"/>
        </w:rPr>
        <w:t>36% were aged 15 years or under</w:t>
      </w:r>
    </w:p>
    <w:p w14:paraId="11551F6D" w14:textId="0E9A742D" w:rsidR="009733C3" w:rsidRDefault="009733C3" w:rsidP="00535B30">
      <w:pPr>
        <w:pStyle w:val="ListBullet"/>
        <w:rPr>
          <w:lang w:eastAsia="en-AU"/>
        </w:rPr>
      </w:pPr>
      <w:r>
        <w:rPr>
          <w:lang w:eastAsia="en-AU"/>
        </w:rPr>
        <w:t>9% identified as being an Aboriginal o</w:t>
      </w:r>
      <w:r w:rsidR="00535B30">
        <w:rPr>
          <w:lang w:eastAsia="en-AU"/>
        </w:rPr>
        <w:t>r Torres Strait Islander person</w:t>
      </w:r>
    </w:p>
    <w:p w14:paraId="09A35E5C" w14:textId="703BC5C4" w:rsidR="009733C3" w:rsidRDefault="009733C3" w:rsidP="00535B30">
      <w:pPr>
        <w:pStyle w:val="ListBullet"/>
        <w:rPr>
          <w:lang w:eastAsia="en-AU"/>
        </w:rPr>
      </w:pPr>
      <w:r>
        <w:rPr>
          <w:lang w:eastAsia="en-AU"/>
        </w:rPr>
        <w:t>53% were in receipt of a government pension or benefit, with most in receipt of either a parenting payment or Newstart. The bulk of the remaining clients were chil</w:t>
      </w:r>
      <w:r w:rsidR="00535B30">
        <w:rPr>
          <w:lang w:eastAsia="en-AU"/>
        </w:rPr>
        <w:t>dren and did not have an income,</w:t>
      </w:r>
      <w:r>
        <w:rPr>
          <w:lang w:eastAsia="en-AU"/>
        </w:rPr>
        <w:t xml:space="preserve"> and</w:t>
      </w:r>
    </w:p>
    <w:p w14:paraId="5B67A704" w14:textId="77777777" w:rsidR="009733C3" w:rsidRDefault="009733C3" w:rsidP="00535B30">
      <w:pPr>
        <w:pStyle w:val="ListBullet"/>
        <w:rPr>
          <w:lang w:eastAsia="en-AU"/>
        </w:rPr>
      </w:pPr>
      <w:r>
        <w:rPr>
          <w:lang w:eastAsia="en-AU"/>
        </w:rPr>
        <w:t>17% had a disability.</w:t>
      </w:r>
    </w:p>
    <w:p w14:paraId="327F3C1D" w14:textId="26519BDF" w:rsidR="009733C3" w:rsidRDefault="009733C3" w:rsidP="00086408">
      <w:pPr>
        <w:spacing w:line="276" w:lineRule="auto"/>
        <w:rPr>
          <w:lang w:eastAsia="en-AU"/>
        </w:rPr>
      </w:pPr>
      <w:r>
        <w:rPr>
          <w:lang w:eastAsia="en-AU"/>
        </w:rPr>
        <w:t xml:space="preserve">A longitudinal review of VLA’s most frequent users of legal aid services identified that they were likely to have sought help from VLA across multiple law areas (criminal, civil and family) and were significantly more likely to have seen us for a </w:t>
      </w:r>
      <w:r w:rsidRPr="009733C3">
        <w:rPr>
          <w:b/>
          <w:lang w:eastAsia="en-AU"/>
        </w:rPr>
        <w:t>child protection</w:t>
      </w:r>
      <w:r>
        <w:rPr>
          <w:lang w:eastAsia="en-AU"/>
        </w:rPr>
        <w:t xml:space="preserve"> or family violen</w:t>
      </w:r>
      <w:r w:rsidR="00535B30">
        <w:rPr>
          <w:lang w:eastAsia="en-AU"/>
        </w:rPr>
        <w:t xml:space="preserve">ce issue before the age of 18. </w:t>
      </w:r>
      <w:r>
        <w:rPr>
          <w:lang w:eastAsia="en-AU"/>
        </w:rPr>
        <w:t>The key risk factors were one or more of the following:</w:t>
      </w:r>
    </w:p>
    <w:p w14:paraId="56320172" w14:textId="32115D3B" w:rsidR="009733C3" w:rsidRDefault="009733C3" w:rsidP="00535B30">
      <w:pPr>
        <w:pStyle w:val="ListBullet"/>
        <w:rPr>
          <w:lang w:eastAsia="en-AU"/>
        </w:rPr>
      </w:pPr>
      <w:r>
        <w:rPr>
          <w:lang w:eastAsia="en-AU"/>
        </w:rPr>
        <w:t>early contact with VL</w:t>
      </w:r>
      <w:r w:rsidR="00535B30">
        <w:rPr>
          <w:lang w:eastAsia="en-AU"/>
        </w:rPr>
        <w:t>A (prior to 18 years of age)</w:t>
      </w:r>
    </w:p>
    <w:p w14:paraId="576E553E" w14:textId="3F111FF0" w:rsidR="009733C3" w:rsidRDefault="009733C3" w:rsidP="00535B30">
      <w:pPr>
        <w:pStyle w:val="ListBullet"/>
        <w:rPr>
          <w:lang w:eastAsia="en-AU"/>
        </w:rPr>
      </w:pPr>
      <w:r>
        <w:rPr>
          <w:lang w:eastAsia="en-AU"/>
        </w:rPr>
        <w:t>criminal offending at a young age, specific</w:t>
      </w:r>
      <w:r w:rsidR="00535B30">
        <w:rPr>
          <w:lang w:eastAsia="en-AU"/>
        </w:rPr>
        <w:t>ally between 10–17 years of age</w:t>
      </w:r>
    </w:p>
    <w:p w14:paraId="3EC91BC4" w14:textId="3C4A0431" w:rsidR="009733C3" w:rsidRDefault="009733C3" w:rsidP="00535B30">
      <w:pPr>
        <w:pStyle w:val="ListBullet"/>
        <w:rPr>
          <w:lang w:eastAsia="en-AU"/>
        </w:rPr>
      </w:pPr>
      <w:r>
        <w:rPr>
          <w:lang w:eastAsia="en-AU"/>
        </w:rPr>
        <w:t>having a psychiatric issue, acquired brain i</w:t>
      </w:r>
      <w:r w:rsidR="00535B30">
        <w:rPr>
          <w:lang w:eastAsia="en-AU"/>
        </w:rPr>
        <w:t>njury or a cognitive disability,</w:t>
      </w:r>
      <w:r>
        <w:rPr>
          <w:lang w:eastAsia="en-AU"/>
        </w:rPr>
        <w:t xml:space="preserve"> and</w:t>
      </w:r>
    </w:p>
    <w:p w14:paraId="443B0BCA" w14:textId="77777777" w:rsidR="009733C3" w:rsidRDefault="009733C3" w:rsidP="00535B30">
      <w:pPr>
        <w:pStyle w:val="ListBullet"/>
        <w:rPr>
          <w:lang w:eastAsia="en-AU"/>
        </w:rPr>
      </w:pPr>
      <w:r>
        <w:rPr>
          <w:lang w:eastAsia="en-AU"/>
        </w:rPr>
        <w:t>identifying as an Aboriginal or Torres Strait Islander.</w:t>
      </w:r>
    </w:p>
    <w:p w14:paraId="28401934" w14:textId="4F8B98F3" w:rsidR="009733C3" w:rsidRDefault="009733C3" w:rsidP="00086408">
      <w:pPr>
        <w:spacing w:line="276" w:lineRule="auto"/>
        <w:rPr>
          <w:lang w:eastAsia="en-AU"/>
        </w:rPr>
      </w:pPr>
      <w:r>
        <w:rPr>
          <w:lang w:eastAsia="en-AU"/>
        </w:rPr>
        <w:t>Regional Victoria has a larger proportion of Aboriginal and Torres Strait Islanders, as well as one-parent families and unemployed people</w:t>
      </w:r>
      <w:r w:rsidR="00304893">
        <w:rPr>
          <w:lang w:eastAsia="en-AU"/>
        </w:rPr>
        <w:t>.</w:t>
      </w:r>
      <w:r w:rsidR="006E38B1">
        <w:rPr>
          <w:rStyle w:val="FootnoteReference"/>
          <w:lang w:eastAsia="en-AU"/>
        </w:rPr>
        <w:footnoteReference w:id="77"/>
      </w:r>
      <w:r w:rsidR="00D57CE2">
        <w:rPr>
          <w:lang w:eastAsia="en-AU"/>
        </w:rPr>
        <w:t xml:space="preserve"> The S</w:t>
      </w:r>
      <w:r>
        <w:rPr>
          <w:lang w:eastAsia="en-AU"/>
        </w:rPr>
        <w:t>ocio</w:t>
      </w:r>
      <w:r w:rsidR="00D57CE2">
        <w:rPr>
          <w:lang w:eastAsia="en-AU"/>
        </w:rPr>
        <w:t>-E</w:t>
      </w:r>
      <w:r>
        <w:rPr>
          <w:lang w:eastAsia="en-AU"/>
        </w:rPr>
        <w:t xml:space="preserve">conomic </w:t>
      </w:r>
      <w:r w:rsidR="00D57CE2">
        <w:rPr>
          <w:lang w:eastAsia="en-AU"/>
        </w:rPr>
        <w:t>I</w:t>
      </w:r>
      <w:r>
        <w:rPr>
          <w:lang w:eastAsia="en-AU"/>
        </w:rPr>
        <w:t xml:space="preserve">ndexes for </w:t>
      </w:r>
      <w:r w:rsidR="00D57CE2">
        <w:rPr>
          <w:lang w:eastAsia="en-AU"/>
        </w:rPr>
        <w:t>A</w:t>
      </w:r>
      <w:r>
        <w:rPr>
          <w:lang w:eastAsia="en-AU"/>
        </w:rPr>
        <w:t>reas (SEIFA)</w:t>
      </w:r>
      <w:r>
        <w:rPr>
          <w:rStyle w:val="FootnoteReference"/>
          <w:lang w:eastAsia="en-AU"/>
        </w:rPr>
        <w:footnoteReference w:id="78"/>
      </w:r>
      <w:r>
        <w:rPr>
          <w:lang w:eastAsia="en-AU"/>
        </w:rPr>
        <w:t xml:space="preserve"> indicates that 11.6% (or 145,916) Victorian children live in the most socio-economically disadvantaged geographical areas in Victoria.</w:t>
      </w:r>
    </w:p>
    <w:p w14:paraId="3E13AB0B" w14:textId="3D626694" w:rsidR="009733C3" w:rsidRDefault="009733C3" w:rsidP="00086408">
      <w:pPr>
        <w:spacing w:line="276" w:lineRule="auto"/>
        <w:rPr>
          <w:lang w:eastAsia="en-AU"/>
        </w:rPr>
      </w:pPr>
      <w:r>
        <w:rPr>
          <w:lang w:eastAsia="en-AU"/>
        </w:rPr>
        <w:t>Nationally, of children</w:t>
      </w:r>
      <w:r w:rsidR="006E38B1">
        <w:rPr>
          <w:lang w:eastAsia="en-AU"/>
        </w:rPr>
        <w:t xml:space="preserve"> and young people</w:t>
      </w:r>
      <w:r>
        <w:rPr>
          <w:lang w:eastAsia="en-AU"/>
        </w:rPr>
        <w:t xml:space="preserve"> who were the subject of a substantiated child protection report, 42% were from the areas of the lowest socioeconomic status. Aboriginal and Torres Strait </w:t>
      </w:r>
      <w:r>
        <w:rPr>
          <w:lang w:eastAsia="en-AU"/>
        </w:rPr>
        <w:lastRenderedPageBreak/>
        <w:t>Islander children were far more likely to be from areas of t</w:t>
      </w:r>
      <w:r w:rsidR="00535B30">
        <w:rPr>
          <w:lang w:eastAsia="en-AU"/>
        </w:rPr>
        <w:t>he lowest socioeconomic status –</w:t>
      </w:r>
      <w:r>
        <w:rPr>
          <w:lang w:eastAsia="en-AU"/>
        </w:rPr>
        <w:t xml:space="preserve"> 57% compared to 37% for non-</w:t>
      </w:r>
      <w:r w:rsidR="006E38B1">
        <w:rPr>
          <w:lang w:eastAsia="en-AU"/>
        </w:rPr>
        <w:t xml:space="preserve">Aboriginal and/or Torres Strait Islander </w:t>
      </w:r>
      <w:r>
        <w:rPr>
          <w:lang w:eastAsia="en-AU"/>
        </w:rPr>
        <w:t>children</w:t>
      </w:r>
      <w:r w:rsidR="006E38B1">
        <w:rPr>
          <w:lang w:eastAsia="en-AU"/>
        </w:rPr>
        <w:t xml:space="preserve"> and young people</w:t>
      </w:r>
      <w:r w:rsidR="00304893">
        <w:rPr>
          <w:lang w:eastAsia="en-AU"/>
        </w:rPr>
        <w:t>.</w:t>
      </w:r>
      <w:r>
        <w:rPr>
          <w:rStyle w:val="FootnoteReference"/>
          <w:lang w:eastAsia="en-AU"/>
        </w:rPr>
        <w:footnoteReference w:id="79"/>
      </w:r>
    </w:p>
    <w:p w14:paraId="1395A5F5" w14:textId="77777777" w:rsidR="00B25D72" w:rsidRPr="00B25D72" w:rsidRDefault="00B32C0F" w:rsidP="00086408">
      <w:pPr>
        <w:spacing w:line="276" w:lineRule="auto"/>
        <w:rPr>
          <w:lang w:eastAsia="en-AU"/>
        </w:rPr>
      </w:pPr>
      <w:r>
        <w:rPr>
          <w:lang w:eastAsia="en-AU"/>
        </w:rPr>
        <w:t xml:space="preserve">A review of the </w:t>
      </w:r>
      <w:r w:rsidR="00F75837">
        <w:rPr>
          <w:lang w:eastAsia="en-AU"/>
        </w:rPr>
        <w:t xml:space="preserve">major </w:t>
      </w:r>
      <w:r>
        <w:rPr>
          <w:lang w:eastAsia="en-AU"/>
        </w:rPr>
        <w:t>population</w:t>
      </w:r>
      <w:r w:rsidR="00F75837">
        <w:rPr>
          <w:lang w:eastAsia="en-AU"/>
        </w:rPr>
        <w:t xml:space="preserve"> centres</w:t>
      </w:r>
      <w:r>
        <w:rPr>
          <w:lang w:eastAsia="en-AU"/>
        </w:rPr>
        <w:t xml:space="preserve"> in the rural areas</w:t>
      </w:r>
      <w:r>
        <w:rPr>
          <w:rStyle w:val="FootnoteReference"/>
          <w:lang w:eastAsia="en-AU"/>
        </w:rPr>
        <w:footnoteReference w:id="80"/>
      </w:r>
      <w:r w:rsidR="00F75837">
        <w:rPr>
          <w:lang w:eastAsia="en-AU"/>
        </w:rPr>
        <w:t xml:space="preserve"> shows</w:t>
      </w:r>
      <w:r w:rsidR="00B25D72" w:rsidRPr="00B25D72">
        <w:rPr>
          <w:lang w:eastAsia="en-AU"/>
        </w:rPr>
        <w:t>:</w:t>
      </w:r>
    </w:p>
    <w:p w14:paraId="6F0C5D20" w14:textId="5B535354" w:rsidR="00B25D72" w:rsidRPr="00B25D72" w:rsidRDefault="00B25D72" w:rsidP="00535B30">
      <w:pPr>
        <w:pStyle w:val="ListBullet"/>
        <w:rPr>
          <w:lang w:eastAsia="en-AU"/>
        </w:rPr>
      </w:pPr>
      <w:r w:rsidRPr="00B25D72">
        <w:rPr>
          <w:lang w:eastAsia="en-AU"/>
        </w:rPr>
        <w:t>all had an</w:t>
      </w:r>
      <w:r w:rsidR="002D5EE5" w:rsidRPr="002D5EE5">
        <w:rPr>
          <w:rFonts w:cs="Arial"/>
          <w:color w:val="545454"/>
        </w:rPr>
        <w:t xml:space="preserve"> </w:t>
      </w:r>
      <w:r w:rsidR="002D5EE5" w:rsidRPr="002D5EE5">
        <w:rPr>
          <w:rStyle w:val="st1"/>
          <w:rFonts w:cs="Arial"/>
        </w:rPr>
        <w:t xml:space="preserve">Index of Relative Socio-Economic Disadvantage </w:t>
      </w:r>
      <w:r w:rsidR="002D5EE5">
        <w:rPr>
          <w:rStyle w:val="st1"/>
          <w:rFonts w:cs="Arial"/>
        </w:rPr>
        <w:t>(</w:t>
      </w:r>
      <w:r w:rsidRPr="00B25D72">
        <w:rPr>
          <w:lang w:eastAsia="en-AU"/>
        </w:rPr>
        <w:t>IRSED</w:t>
      </w:r>
      <w:r w:rsidR="002D5EE5">
        <w:rPr>
          <w:lang w:eastAsia="en-AU"/>
        </w:rPr>
        <w:t>)</w:t>
      </w:r>
      <w:r w:rsidRPr="00B25D72">
        <w:rPr>
          <w:lang w:eastAsia="en-AU"/>
        </w:rPr>
        <w:t xml:space="preserve"> score that was lower than average, indicating higher levels</w:t>
      </w:r>
      <w:r w:rsidR="00535B30">
        <w:rPr>
          <w:lang w:eastAsia="en-AU"/>
        </w:rPr>
        <w:t xml:space="preserve"> of socio-economic disadvantage</w:t>
      </w:r>
    </w:p>
    <w:p w14:paraId="485D8C83" w14:textId="1FF2D92A" w:rsidR="00B25D72" w:rsidRPr="00B25D72" w:rsidRDefault="00B25D72" w:rsidP="00535B30">
      <w:pPr>
        <w:pStyle w:val="ListBullet"/>
        <w:rPr>
          <w:lang w:eastAsia="en-AU"/>
        </w:rPr>
      </w:pPr>
      <w:r w:rsidRPr="00B25D72">
        <w:rPr>
          <w:lang w:eastAsia="en-AU"/>
        </w:rPr>
        <w:t>the population of Aboriginal and</w:t>
      </w:r>
      <w:r w:rsidR="00B32C0F">
        <w:rPr>
          <w:lang w:eastAsia="en-AU"/>
        </w:rPr>
        <w:t>/or</w:t>
      </w:r>
      <w:r w:rsidRPr="00B25D72">
        <w:rPr>
          <w:lang w:eastAsia="en-AU"/>
        </w:rPr>
        <w:t xml:space="preserve"> Torres Strait Islanders were proportionately higher in all nominated regional areas, particularly Bairns</w:t>
      </w:r>
      <w:r w:rsidR="00535B30">
        <w:rPr>
          <w:lang w:eastAsia="en-AU"/>
        </w:rPr>
        <w:t>dale (Gippsland) and the Mallee,</w:t>
      </w:r>
      <w:r w:rsidRPr="00B25D72">
        <w:rPr>
          <w:lang w:eastAsia="en-AU"/>
        </w:rPr>
        <w:t xml:space="preserve"> and</w:t>
      </w:r>
    </w:p>
    <w:p w14:paraId="47E4490B" w14:textId="77777777" w:rsidR="00B25D72" w:rsidRDefault="00B25D72" w:rsidP="00535B30">
      <w:pPr>
        <w:pStyle w:val="ListBullet"/>
        <w:rPr>
          <w:lang w:eastAsia="en-AU"/>
        </w:rPr>
      </w:pPr>
      <w:r w:rsidRPr="00B25D72">
        <w:rPr>
          <w:lang w:eastAsia="en-AU"/>
        </w:rPr>
        <w:t>both Gippsland and Mallee also had higher than average rates of unemployment and a greater than average proportion of one parent families.</w:t>
      </w:r>
    </w:p>
    <w:p w14:paraId="1BD30177" w14:textId="20814E4F" w:rsidR="00F75837" w:rsidRDefault="00F75837" w:rsidP="00086408">
      <w:pPr>
        <w:spacing w:line="276" w:lineRule="auto"/>
        <w:rPr>
          <w:lang w:eastAsia="en-AU"/>
        </w:rPr>
      </w:pPr>
      <w:r w:rsidRPr="00D57CE2">
        <w:rPr>
          <w:lang w:eastAsia="en-AU"/>
        </w:rPr>
        <w:t xml:space="preserve">See </w:t>
      </w:r>
      <w:hyperlink w:anchor="_Annexure_1_–" w:history="1">
        <w:r w:rsidRPr="00D57CE2">
          <w:rPr>
            <w:rStyle w:val="Hyperlink"/>
            <w:lang w:eastAsia="en-AU"/>
          </w:rPr>
          <w:t xml:space="preserve">Annexure </w:t>
        </w:r>
        <w:r w:rsidR="006E38B1" w:rsidRPr="00D57CE2">
          <w:rPr>
            <w:rStyle w:val="Hyperlink"/>
            <w:lang w:eastAsia="en-AU"/>
          </w:rPr>
          <w:t>1</w:t>
        </w:r>
      </w:hyperlink>
      <w:r w:rsidR="006E38B1">
        <w:rPr>
          <w:lang w:eastAsia="en-AU"/>
        </w:rPr>
        <w:t xml:space="preserve"> for a more de</w:t>
      </w:r>
      <w:r w:rsidR="00F71279">
        <w:rPr>
          <w:lang w:eastAsia="en-AU"/>
        </w:rPr>
        <w:t>tailed examination of the data.</w:t>
      </w:r>
    </w:p>
    <w:p w14:paraId="605EB9D1" w14:textId="02E268A4" w:rsidR="00B25D72" w:rsidRDefault="00B25D72" w:rsidP="00535B30">
      <w:pPr>
        <w:pStyle w:val="Heading2numbered"/>
      </w:pPr>
      <w:bookmarkStart w:id="33" w:name="_Toc465244413"/>
      <w:r>
        <w:t>A snapshot of regional</w:t>
      </w:r>
      <w:r w:rsidR="006E38B1">
        <w:t xml:space="preserve"> </w:t>
      </w:r>
      <w:r>
        <w:t>services</w:t>
      </w:r>
      <w:bookmarkEnd w:id="33"/>
    </w:p>
    <w:p w14:paraId="6FDB38E9" w14:textId="0C83BEDE" w:rsidR="00A0181E" w:rsidRPr="00A0181E" w:rsidRDefault="00535B30" w:rsidP="00535B30">
      <w:pPr>
        <w:pStyle w:val="ListBullet"/>
        <w:rPr>
          <w:rFonts w:eastAsiaTheme="minorHAnsi"/>
        </w:rPr>
      </w:pPr>
      <w:r>
        <w:rPr>
          <w:rFonts w:eastAsiaTheme="minorHAnsi"/>
        </w:rPr>
        <w:t>Eight</w:t>
      </w:r>
      <w:r w:rsidR="00A0181E" w:rsidRPr="00A0181E">
        <w:rPr>
          <w:rFonts w:eastAsiaTheme="minorHAnsi"/>
        </w:rPr>
        <w:t xml:space="preserve"> major regional city Children’s Court to service regional and rural Victoria (Geelong, Warrnambool, Ballarat, Horsham, Bendigo, Shepparton, Bairnsdale and Morwell). These are serviced by generalist magistrates. The headquarter courts also service smaller courts in their district. Magistrates attend Mildura from Melbourne for a six-week circuit. </w:t>
      </w:r>
    </w:p>
    <w:p w14:paraId="48234073" w14:textId="14F60064" w:rsidR="00A0181E" w:rsidRPr="00A0181E" w:rsidRDefault="00A0181E" w:rsidP="00535B30">
      <w:pPr>
        <w:pStyle w:val="ListBullet"/>
        <w:rPr>
          <w:rFonts w:eastAsiaTheme="minorHAnsi"/>
        </w:rPr>
      </w:pPr>
      <w:r w:rsidRPr="00A0181E">
        <w:rPr>
          <w:rFonts w:eastAsiaTheme="minorHAnsi"/>
        </w:rPr>
        <w:t xml:space="preserve">The specialist Children’s Court services </w:t>
      </w:r>
      <w:r w:rsidR="00535B30">
        <w:rPr>
          <w:rFonts w:eastAsiaTheme="minorHAnsi"/>
        </w:rPr>
        <w:t>Melbourne, MJC and Broadmeadows</w:t>
      </w:r>
      <w:r w:rsidR="00FB188F">
        <w:rPr>
          <w:rFonts w:eastAsiaTheme="minorHAnsi"/>
        </w:rPr>
        <w:t>.</w:t>
      </w:r>
    </w:p>
    <w:p w14:paraId="55FAE19F" w14:textId="3DCD1862" w:rsidR="00A0181E" w:rsidRPr="00A0181E" w:rsidRDefault="00A0181E" w:rsidP="00FB188F">
      <w:pPr>
        <w:spacing w:before="0" w:after="160" w:line="276" w:lineRule="auto"/>
        <w:ind w:left="360"/>
        <w:contextualSpacing/>
        <w:jc w:val="both"/>
        <w:rPr>
          <w:rFonts w:eastAsiaTheme="minorHAnsi" w:cs="Arial"/>
          <w:szCs w:val="22"/>
        </w:rPr>
      </w:pPr>
      <w:r w:rsidRPr="00A0181E">
        <w:rPr>
          <w:rFonts w:ascii="Times New Roman" w:hAnsi="Times New Roman"/>
          <w:noProof/>
          <w:szCs w:val="22"/>
          <w:lang w:eastAsia="en-AU"/>
        </w:rPr>
        <w:drawing>
          <wp:inline distT="0" distB="0" distL="0" distR="0" wp14:anchorId="1D2EA178" wp14:editId="222EE1FD">
            <wp:extent cx="4849977" cy="3527256"/>
            <wp:effectExtent l="0" t="0" r="8255" b="0"/>
            <wp:docPr id="1025" name="Picture 1" descr="For further information about this chart, please contact childprotectionreview@vla.vic.gov.au" title="Child protection – Children's Court regional services snap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3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59389" cy="3534101"/>
                    </a:xfrm>
                    <a:prstGeom prst="rect">
                      <a:avLst/>
                    </a:prstGeom>
                    <a:noFill/>
                    <a:extLst/>
                  </pic:spPr>
                </pic:pic>
              </a:graphicData>
            </a:graphic>
          </wp:inline>
        </w:drawing>
      </w:r>
    </w:p>
    <w:p w14:paraId="03D49542" w14:textId="2D6EEA0E" w:rsidR="00A0181E" w:rsidRPr="00960F58" w:rsidRDefault="00A0181E" w:rsidP="00960F58">
      <w:pPr>
        <w:pStyle w:val="ListBullet"/>
        <w:rPr>
          <w:rFonts w:eastAsiaTheme="minorHAnsi"/>
        </w:rPr>
      </w:pPr>
      <w:r w:rsidRPr="00A0181E">
        <w:rPr>
          <w:rFonts w:eastAsiaTheme="minorHAnsi"/>
        </w:rPr>
        <w:t xml:space="preserve">21 DHHS offices located to service regional and rural Victoria (Geelong, Colac, Warrnambool, Portland, Hamilton, Ararat, Ballarat, Horsham, Mildura, Bendigo, Shepparton, </w:t>
      </w:r>
      <w:r w:rsidRPr="00A0181E">
        <w:rPr>
          <w:rFonts w:eastAsiaTheme="minorHAnsi"/>
        </w:rPr>
        <w:lastRenderedPageBreak/>
        <w:t>Seymour, Benalla, Wangaratta, Wodonga, Warrigal, Traralgon, Sale, Leongatha, Bairnsdale and Morwell), with a number of metropolit</w:t>
      </w:r>
      <w:r w:rsidR="00535B30">
        <w:rPr>
          <w:rFonts w:eastAsiaTheme="minorHAnsi"/>
        </w:rPr>
        <w:t>an offices throughout Melbourne</w:t>
      </w:r>
      <w:r w:rsidR="00D57CE2">
        <w:rPr>
          <w:rFonts w:eastAsiaTheme="minorHAnsi"/>
        </w:rPr>
        <w:t>.</w:t>
      </w:r>
    </w:p>
    <w:p w14:paraId="0D6EAE44" w14:textId="77777777" w:rsidR="00A0181E" w:rsidRPr="00A0181E" w:rsidRDefault="00A0181E" w:rsidP="00A0181E">
      <w:pPr>
        <w:spacing w:before="0" w:after="160" w:line="276" w:lineRule="auto"/>
        <w:ind w:left="360"/>
        <w:contextualSpacing/>
        <w:jc w:val="both"/>
        <w:rPr>
          <w:rFonts w:eastAsiaTheme="minorHAnsi" w:cs="Arial"/>
          <w:szCs w:val="22"/>
        </w:rPr>
      </w:pPr>
      <w:r w:rsidRPr="00A0181E">
        <w:rPr>
          <w:rFonts w:ascii="Times New Roman" w:hAnsi="Times New Roman"/>
          <w:noProof/>
          <w:szCs w:val="22"/>
          <w:lang w:eastAsia="en-AU"/>
        </w:rPr>
        <w:drawing>
          <wp:inline distT="0" distB="0" distL="0" distR="0" wp14:anchorId="7DA7A6A8" wp14:editId="773E3717">
            <wp:extent cx="4988967" cy="3667344"/>
            <wp:effectExtent l="19050" t="19050" r="21590" b="9525"/>
            <wp:docPr id="8" name="Picture 8" descr="For further information about this chart, please contact childprotectionreview@vla.vic.gov.au" title="Child protection – DHHS regional services snap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99648" cy="3675195"/>
                    </a:xfrm>
                    <a:prstGeom prst="rect">
                      <a:avLst/>
                    </a:prstGeom>
                    <a:noFill/>
                    <a:ln w="0" cmpd="sng">
                      <a:solidFill>
                        <a:srgbClr val="000000"/>
                      </a:solidFill>
                      <a:miter lim="800000"/>
                      <a:headEnd/>
                      <a:tailEnd/>
                    </a:ln>
                    <a:effectLst/>
                  </pic:spPr>
                </pic:pic>
              </a:graphicData>
            </a:graphic>
          </wp:inline>
        </w:drawing>
      </w:r>
    </w:p>
    <w:p w14:paraId="6D14C2D2" w14:textId="16529AE5" w:rsidR="00A0181E" w:rsidRPr="00A0181E" w:rsidRDefault="00535B30" w:rsidP="00960F58">
      <w:pPr>
        <w:pStyle w:val="ListBullet"/>
        <w:rPr>
          <w:rFonts w:eastAsiaTheme="minorHAnsi"/>
        </w:rPr>
      </w:pPr>
      <w:r>
        <w:rPr>
          <w:rFonts w:eastAsiaTheme="minorHAnsi"/>
        </w:rPr>
        <w:t>Eight</w:t>
      </w:r>
      <w:r w:rsidR="00A0181E" w:rsidRPr="00A0181E">
        <w:rPr>
          <w:rFonts w:eastAsiaTheme="minorHAnsi"/>
        </w:rPr>
        <w:t xml:space="preserve"> VLA offices located to service regional and rural Victoria (Geelong, Warrnambool, Ballarat, Horsham, Bendigo, Shepparton, Bairnsdale and Morwell). The Child Protection Team and the Youth Crime Team, both based in Melbourne service the Melbourne Children’s Court and the Moorabbin Justice Centre. Staff from the Broadmeadows office services th</w:t>
      </w:r>
      <w:r w:rsidR="00960F58">
        <w:rPr>
          <w:rFonts w:eastAsiaTheme="minorHAnsi"/>
        </w:rPr>
        <w:t>e Broadmeadows Children’s Court</w:t>
      </w:r>
      <w:r w:rsidR="00D57CE2">
        <w:rPr>
          <w:rFonts w:eastAsiaTheme="minorHAnsi"/>
        </w:rPr>
        <w:t>.</w:t>
      </w:r>
    </w:p>
    <w:p w14:paraId="5082DA4A" w14:textId="77777777" w:rsidR="00A0181E" w:rsidRPr="00A0181E" w:rsidRDefault="00A0181E" w:rsidP="00A0181E">
      <w:pPr>
        <w:spacing w:before="0" w:after="160" w:line="276" w:lineRule="auto"/>
        <w:ind w:left="360"/>
        <w:contextualSpacing/>
        <w:jc w:val="both"/>
        <w:rPr>
          <w:rFonts w:eastAsiaTheme="minorHAnsi" w:cs="Arial"/>
          <w:szCs w:val="22"/>
        </w:rPr>
      </w:pPr>
      <w:r w:rsidRPr="00A0181E">
        <w:rPr>
          <w:rFonts w:ascii="Times New Roman" w:hAnsi="Times New Roman"/>
          <w:noProof/>
          <w:szCs w:val="22"/>
          <w:lang w:eastAsia="en-AU"/>
        </w:rPr>
        <w:drawing>
          <wp:inline distT="0" distB="0" distL="0" distR="0" wp14:anchorId="6BE29255" wp14:editId="55B88D1B">
            <wp:extent cx="4556098" cy="3124835"/>
            <wp:effectExtent l="19050" t="19050" r="16510" b="18415"/>
            <wp:docPr id="9" name="Picture 9" descr="For further information about this chart, please contact childprotectionreview@vla.vic.gov.au" title="Child protection – VLA offices regional services snap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3835" cy="3137000"/>
                    </a:xfrm>
                    <a:prstGeom prst="rect">
                      <a:avLst/>
                    </a:prstGeom>
                    <a:noFill/>
                    <a:ln w="0" cmpd="sng">
                      <a:solidFill>
                        <a:srgbClr val="000000"/>
                      </a:solidFill>
                      <a:miter lim="800000"/>
                      <a:headEnd/>
                      <a:tailEnd/>
                    </a:ln>
                    <a:effectLst/>
                  </pic:spPr>
                </pic:pic>
              </a:graphicData>
            </a:graphic>
          </wp:inline>
        </w:drawing>
      </w:r>
    </w:p>
    <w:p w14:paraId="46FD2738" w14:textId="77777777" w:rsidR="00A0181E" w:rsidRPr="00A0181E" w:rsidRDefault="00A0181E" w:rsidP="00A0181E">
      <w:pPr>
        <w:spacing w:before="0" w:after="160" w:line="276" w:lineRule="auto"/>
        <w:ind w:left="360"/>
        <w:contextualSpacing/>
        <w:jc w:val="both"/>
        <w:rPr>
          <w:rFonts w:eastAsiaTheme="minorHAnsi" w:cs="Arial"/>
          <w:szCs w:val="22"/>
        </w:rPr>
      </w:pPr>
    </w:p>
    <w:p w14:paraId="52BF3691" w14:textId="04BC651A" w:rsidR="00A0181E" w:rsidRPr="00960F58" w:rsidRDefault="00960F58" w:rsidP="00960F58">
      <w:pPr>
        <w:pStyle w:val="ListBullet"/>
        <w:rPr>
          <w:rFonts w:eastAsiaTheme="minorHAnsi"/>
        </w:rPr>
      </w:pPr>
      <w:r>
        <w:rPr>
          <w:rFonts w:eastAsiaTheme="minorHAnsi"/>
        </w:rPr>
        <w:lastRenderedPageBreak/>
        <w:t>Six</w:t>
      </w:r>
      <w:r w:rsidR="00A0181E" w:rsidRPr="00A0181E">
        <w:rPr>
          <w:rFonts w:eastAsiaTheme="minorHAnsi"/>
        </w:rPr>
        <w:t xml:space="preserve"> Community Legal Services that provide child protection legal services (Loddon-Campaspe CLC, Victorian Aboriginal Legal Services and Aboriginal Family Violence Prevention and Legal Service, </w:t>
      </w:r>
      <w:r w:rsidR="00A0181E" w:rsidRPr="00A0181E">
        <w:rPr>
          <w:rFonts w:eastAsiaTheme="minorEastAsia"/>
          <w:lang w:eastAsia="en-AU"/>
        </w:rPr>
        <w:t>Hume Riverina Community Legal Centre, Women’s Legal Service and Emma House Domestic Violence Services</w:t>
      </w:r>
      <w:r w:rsidR="00D57CE2">
        <w:rPr>
          <w:rFonts w:eastAsiaTheme="minorHAnsi"/>
        </w:rPr>
        <w:t>).</w:t>
      </w:r>
    </w:p>
    <w:p w14:paraId="074B70BF" w14:textId="6DB3D7DD" w:rsidR="00A0181E" w:rsidRPr="00A0181E" w:rsidRDefault="00A0181E" w:rsidP="00960F58">
      <w:pPr>
        <w:spacing w:before="0" w:after="160" w:line="276" w:lineRule="auto"/>
        <w:ind w:left="360"/>
        <w:contextualSpacing/>
        <w:jc w:val="both"/>
        <w:rPr>
          <w:rFonts w:eastAsiaTheme="minorHAnsi" w:cs="Arial"/>
          <w:szCs w:val="22"/>
        </w:rPr>
      </w:pPr>
      <w:r w:rsidRPr="00A0181E">
        <w:rPr>
          <w:rFonts w:ascii="Times New Roman" w:hAnsi="Times New Roman"/>
          <w:noProof/>
          <w:szCs w:val="22"/>
          <w:lang w:eastAsia="en-AU"/>
        </w:rPr>
        <w:drawing>
          <wp:inline distT="0" distB="0" distL="0" distR="0" wp14:anchorId="293E1AF8" wp14:editId="785BB4AE">
            <wp:extent cx="4460230" cy="3189427"/>
            <wp:effectExtent l="19050" t="19050" r="17145" b="11430"/>
            <wp:docPr id="17" name="Picture 17" descr="For further information about this chart, please contact childprotectionreview@vla.vic.gov.au" title="Child protection – CLCs regional services snap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70286" cy="3196618"/>
                    </a:xfrm>
                    <a:prstGeom prst="rect">
                      <a:avLst/>
                    </a:prstGeom>
                    <a:noFill/>
                    <a:ln w="0" cmpd="sng">
                      <a:solidFill>
                        <a:srgbClr val="000000"/>
                      </a:solidFill>
                      <a:miter lim="800000"/>
                      <a:headEnd/>
                      <a:tailEnd/>
                    </a:ln>
                    <a:effectLst/>
                  </pic:spPr>
                </pic:pic>
              </a:graphicData>
            </a:graphic>
          </wp:inline>
        </w:drawing>
      </w:r>
    </w:p>
    <w:p w14:paraId="190815C9" w14:textId="6AF68637" w:rsidR="00A0181E" w:rsidRPr="00A0181E" w:rsidRDefault="00A0181E" w:rsidP="00960F58">
      <w:pPr>
        <w:pStyle w:val="ListBullet"/>
        <w:rPr>
          <w:rFonts w:eastAsiaTheme="minorHAnsi"/>
        </w:rPr>
      </w:pPr>
      <w:r w:rsidRPr="00A0181E">
        <w:rPr>
          <w:rFonts w:eastAsiaTheme="minorHAnsi"/>
        </w:rPr>
        <w:t>33 private practitioners on the section 29A Child Protection Lawyer Panel who service regional and rural Victoria (</w:t>
      </w:r>
      <w:r w:rsidR="00D57CE2">
        <w:rPr>
          <w:rFonts w:eastAsiaTheme="minorHAnsi"/>
        </w:rPr>
        <w:t>seven</w:t>
      </w:r>
      <w:r w:rsidRPr="00A0181E">
        <w:rPr>
          <w:rFonts w:eastAsiaTheme="minorHAnsi"/>
        </w:rPr>
        <w:t xml:space="preserve"> for Barwon South West (</w:t>
      </w:r>
      <w:r w:rsidR="00D57CE2">
        <w:rPr>
          <w:rFonts w:eastAsiaTheme="minorHAnsi"/>
        </w:rPr>
        <w:t>Geelong, Warrnambool), seven</w:t>
      </w:r>
      <w:r w:rsidRPr="00A0181E">
        <w:rPr>
          <w:rFonts w:eastAsiaTheme="minorHAnsi"/>
        </w:rPr>
        <w:t xml:space="preserve"> for </w:t>
      </w:r>
      <w:r w:rsidR="00D57CE2">
        <w:rPr>
          <w:rFonts w:eastAsiaTheme="minorHAnsi"/>
        </w:rPr>
        <w:t>Grampians (Ballarat, Horsham), four</w:t>
      </w:r>
      <w:r w:rsidRPr="00A0181E">
        <w:rPr>
          <w:rFonts w:eastAsiaTheme="minorHAnsi"/>
        </w:rPr>
        <w:t xml:space="preserve"> for Loddon Mallee (Bendigo/Mildura</w:t>
      </w:r>
      <w:r w:rsidR="00960F58">
        <w:rPr>
          <w:rFonts w:eastAsiaTheme="minorHAnsi"/>
        </w:rPr>
        <w:t xml:space="preserve">), </w:t>
      </w:r>
      <w:r w:rsidR="00D57CE2">
        <w:rPr>
          <w:rFonts w:eastAsiaTheme="minorHAnsi"/>
        </w:rPr>
        <w:t>eight</w:t>
      </w:r>
      <w:r w:rsidR="00960F58">
        <w:rPr>
          <w:rFonts w:eastAsiaTheme="minorHAnsi"/>
        </w:rPr>
        <w:t xml:space="preserve"> for Hume (Shepparton) and </w:t>
      </w:r>
      <w:r w:rsidR="00D57CE2">
        <w:rPr>
          <w:rFonts w:eastAsiaTheme="minorHAnsi"/>
        </w:rPr>
        <w:t>seven</w:t>
      </w:r>
      <w:r w:rsidRPr="00A0181E">
        <w:rPr>
          <w:rFonts w:eastAsiaTheme="minorHAnsi"/>
        </w:rPr>
        <w:t xml:space="preserve"> for Gippsland (Bairnsdale, Morwell)) and 30 firms in metropolitan Melbourne.</w:t>
      </w:r>
    </w:p>
    <w:p w14:paraId="7417F7A5" w14:textId="460F04BA" w:rsidR="00A0181E" w:rsidRPr="00A0181E" w:rsidRDefault="00A0181E" w:rsidP="00A0181E">
      <w:pPr>
        <w:spacing w:before="0" w:after="160" w:line="276" w:lineRule="auto"/>
        <w:ind w:left="360"/>
        <w:contextualSpacing/>
        <w:jc w:val="both"/>
        <w:rPr>
          <w:rFonts w:eastAsiaTheme="minorHAnsi" w:cs="Arial"/>
          <w:szCs w:val="22"/>
        </w:rPr>
      </w:pPr>
      <w:bookmarkStart w:id="34" w:name="_GoBack"/>
      <w:r w:rsidRPr="00A0181E">
        <w:rPr>
          <w:rFonts w:ascii="Times New Roman" w:hAnsi="Times New Roman"/>
          <w:noProof/>
          <w:szCs w:val="22"/>
          <w:lang w:eastAsia="en-AU"/>
        </w:rPr>
        <w:drawing>
          <wp:inline distT="0" distB="0" distL="0" distR="0" wp14:anchorId="05B7520F" wp14:editId="4FB52E50">
            <wp:extent cx="4447642" cy="2852901"/>
            <wp:effectExtent l="19050" t="19050" r="10160" b="24130"/>
            <wp:docPr id="19" name="Picture 19" descr="For further information about this chart, please contact childprotectionreview@vla.vic.gov.au" title="Child protection – PPs regional services snap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05300" cy="2889885"/>
                    </a:xfrm>
                    <a:prstGeom prst="rect">
                      <a:avLst/>
                    </a:prstGeom>
                    <a:noFill/>
                    <a:ln w="0" cmpd="sng">
                      <a:solidFill>
                        <a:srgbClr val="000000"/>
                      </a:solidFill>
                      <a:miter lim="800000"/>
                      <a:headEnd/>
                      <a:tailEnd/>
                    </a:ln>
                    <a:effectLst/>
                  </pic:spPr>
                </pic:pic>
              </a:graphicData>
            </a:graphic>
          </wp:inline>
        </w:drawing>
      </w:r>
      <w:bookmarkEnd w:id="34"/>
    </w:p>
    <w:p w14:paraId="3D15CFC6" w14:textId="350611D4" w:rsidR="00B25D72" w:rsidRDefault="00B25D72" w:rsidP="00086408">
      <w:pPr>
        <w:spacing w:line="276" w:lineRule="auto"/>
        <w:rPr>
          <w:lang w:eastAsia="en-AU"/>
        </w:rPr>
      </w:pPr>
      <w:r w:rsidRPr="00A0181E">
        <w:rPr>
          <w:szCs w:val="22"/>
          <w:lang w:eastAsia="en-AU"/>
        </w:rPr>
        <w:t xml:space="preserve">It would appear that there is a high level of need for child protection legal services in regional Victoria, which experience greater social disadvantage and higher levels of state intervention into </w:t>
      </w:r>
      <w:r w:rsidRPr="00A0181E">
        <w:rPr>
          <w:szCs w:val="22"/>
          <w:lang w:eastAsia="en-AU"/>
        </w:rPr>
        <w:lastRenderedPageBreak/>
        <w:t>families. Despite this, the level of legal services</w:t>
      </w:r>
      <w:r w:rsidR="005A627B" w:rsidRPr="00A0181E">
        <w:rPr>
          <w:szCs w:val="22"/>
          <w:lang w:eastAsia="en-AU"/>
        </w:rPr>
        <w:t xml:space="preserve"> pursuant to a grant of assistance</w:t>
      </w:r>
      <w:r w:rsidRPr="00A0181E">
        <w:rPr>
          <w:rStyle w:val="FootnoteReference"/>
          <w:sz w:val="22"/>
          <w:szCs w:val="22"/>
          <w:lang w:eastAsia="en-AU"/>
        </w:rPr>
        <w:footnoteReference w:id="81"/>
      </w:r>
      <w:r w:rsidRPr="00A0181E">
        <w:rPr>
          <w:szCs w:val="22"/>
          <w:lang w:eastAsia="en-AU"/>
        </w:rPr>
        <w:t xml:space="preserve"> currently provided does not appear to be reflecting the demand</w:t>
      </w:r>
      <w:r w:rsidRPr="00B25D72">
        <w:rPr>
          <w:lang w:eastAsia="en-AU"/>
        </w:rPr>
        <w:t xml:space="preserve">. </w:t>
      </w:r>
    </w:p>
    <w:p w14:paraId="7CC75CD3" w14:textId="0958F984" w:rsidR="009D4D24" w:rsidRDefault="009D4D24" w:rsidP="00960F58">
      <w:pPr>
        <w:pStyle w:val="Heading1numbered"/>
      </w:pPr>
      <w:bookmarkStart w:id="35" w:name="_Toc465244414"/>
      <w:r>
        <w:t>Gaps in access to legal assistance</w:t>
      </w:r>
      <w:bookmarkEnd w:id="35"/>
    </w:p>
    <w:p w14:paraId="4BE27D01" w14:textId="77777777" w:rsidR="00DA61B3" w:rsidRDefault="00DA61B3" w:rsidP="00086408">
      <w:pPr>
        <w:spacing w:line="276" w:lineRule="auto"/>
        <w:rPr>
          <w:lang w:eastAsia="en-AU"/>
        </w:rPr>
      </w:pPr>
      <w:r>
        <w:rPr>
          <w:lang w:eastAsia="en-AU"/>
        </w:rPr>
        <w:t>This section will examine the extent of legal service coverage currently available to children</w:t>
      </w:r>
      <w:r w:rsidR="006E38B1">
        <w:rPr>
          <w:lang w:eastAsia="en-AU"/>
        </w:rPr>
        <w:t>, young people</w:t>
      </w:r>
      <w:r>
        <w:rPr>
          <w:lang w:eastAsia="en-AU"/>
        </w:rPr>
        <w:t xml:space="preserve"> and parents navigating each stage of the child protection process. </w:t>
      </w:r>
    </w:p>
    <w:p w14:paraId="4AE26322" w14:textId="362DEB27" w:rsidR="00DA61B3" w:rsidRDefault="00960F58" w:rsidP="00086408">
      <w:pPr>
        <w:spacing w:line="276" w:lineRule="auto"/>
        <w:rPr>
          <w:lang w:eastAsia="en-AU"/>
        </w:rPr>
      </w:pPr>
      <w:r>
        <w:rPr>
          <w:lang w:eastAsia="en-AU"/>
        </w:rPr>
        <w:t>The s</w:t>
      </w:r>
      <w:r w:rsidR="00DA61B3">
        <w:rPr>
          <w:lang w:eastAsia="en-AU"/>
        </w:rPr>
        <w:t xml:space="preserve">can shall seek to identify gaps across the following three key areas: </w:t>
      </w:r>
    </w:p>
    <w:p w14:paraId="6A01EC09" w14:textId="6E209019" w:rsidR="00DA61B3" w:rsidRDefault="00960F58" w:rsidP="00960F58">
      <w:pPr>
        <w:pStyle w:val="ListBullet"/>
        <w:rPr>
          <w:lang w:eastAsia="en-AU"/>
        </w:rPr>
      </w:pPr>
      <w:r>
        <w:rPr>
          <w:lang w:eastAsia="en-AU"/>
        </w:rPr>
        <w:t>g</w:t>
      </w:r>
      <w:r w:rsidR="00DA61B3">
        <w:rPr>
          <w:lang w:eastAsia="en-AU"/>
        </w:rPr>
        <w:t xml:space="preserve">aps </w:t>
      </w:r>
      <w:r w:rsidR="00266C57">
        <w:rPr>
          <w:lang w:eastAsia="en-AU"/>
        </w:rPr>
        <w:t>relating to matters in court</w:t>
      </w:r>
    </w:p>
    <w:p w14:paraId="66C9098E" w14:textId="4D014007" w:rsidR="00DA61B3" w:rsidRDefault="00960F58" w:rsidP="00960F58">
      <w:pPr>
        <w:pStyle w:val="ListBullet"/>
        <w:rPr>
          <w:lang w:eastAsia="en-AU"/>
        </w:rPr>
      </w:pPr>
      <w:r>
        <w:rPr>
          <w:lang w:eastAsia="en-AU"/>
        </w:rPr>
        <w:t>g</w:t>
      </w:r>
      <w:r w:rsidR="00DA61B3">
        <w:rPr>
          <w:lang w:eastAsia="en-AU"/>
        </w:rPr>
        <w:t xml:space="preserve">aps </w:t>
      </w:r>
      <w:r w:rsidR="00266C57">
        <w:rPr>
          <w:lang w:eastAsia="en-AU"/>
        </w:rPr>
        <w:t>in service provision before and after court</w:t>
      </w:r>
      <w:r>
        <w:rPr>
          <w:lang w:eastAsia="en-AU"/>
        </w:rPr>
        <w:t>,</w:t>
      </w:r>
      <w:r w:rsidR="00DA61B3">
        <w:rPr>
          <w:lang w:eastAsia="en-AU"/>
        </w:rPr>
        <w:t xml:space="preserve"> and </w:t>
      </w:r>
    </w:p>
    <w:p w14:paraId="49808931" w14:textId="67551035" w:rsidR="00DA61B3" w:rsidRDefault="00960F58" w:rsidP="00960F58">
      <w:pPr>
        <w:pStyle w:val="ListBullet"/>
        <w:rPr>
          <w:lang w:eastAsia="en-AU"/>
        </w:rPr>
      </w:pPr>
      <w:r>
        <w:rPr>
          <w:lang w:eastAsia="en-AU"/>
        </w:rPr>
        <w:t>g</w:t>
      </w:r>
      <w:r w:rsidR="00DA61B3">
        <w:rPr>
          <w:lang w:eastAsia="en-AU"/>
        </w:rPr>
        <w:t>aps that may arise within the broader legislative framework.</w:t>
      </w:r>
    </w:p>
    <w:p w14:paraId="631BF943" w14:textId="2FEFD55F" w:rsidR="00DA61B3" w:rsidRDefault="00DA61B3" w:rsidP="00086408">
      <w:pPr>
        <w:spacing w:line="276" w:lineRule="auto"/>
        <w:rPr>
          <w:lang w:eastAsia="en-AU"/>
        </w:rPr>
      </w:pPr>
      <w:r>
        <w:rPr>
          <w:lang w:eastAsia="en-AU"/>
        </w:rPr>
        <w:t xml:space="preserve">The identification of gaps in legal service coverage helps the </w:t>
      </w:r>
      <w:r w:rsidR="00960F58">
        <w:rPr>
          <w:lang w:eastAsia="en-AU"/>
        </w:rPr>
        <w:t>r</w:t>
      </w:r>
      <w:r w:rsidR="003B65E6">
        <w:rPr>
          <w:lang w:eastAsia="en-AU"/>
        </w:rPr>
        <w:t xml:space="preserve">eview </w:t>
      </w:r>
      <w:r>
        <w:rPr>
          <w:lang w:eastAsia="en-AU"/>
        </w:rPr>
        <w:t xml:space="preserve">situate its purpose within the current legal and funding context. It also draws the focus of the </w:t>
      </w:r>
      <w:r w:rsidR="00960F58">
        <w:rPr>
          <w:lang w:eastAsia="en-AU"/>
        </w:rPr>
        <w:t>r</w:t>
      </w:r>
      <w:r w:rsidR="003B65E6">
        <w:rPr>
          <w:lang w:eastAsia="en-AU"/>
        </w:rPr>
        <w:t>eview</w:t>
      </w:r>
      <w:r>
        <w:rPr>
          <w:lang w:eastAsia="en-AU"/>
        </w:rPr>
        <w:t xml:space="preserve"> towards coverage gaps and the impact they may have upon children</w:t>
      </w:r>
      <w:r w:rsidR="00575B43">
        <w:rPr>
          <w:lang w:eastAsia="en-AU"/>
        </w:rPr>
        <w:t xml:space="preserve"> and young people</w:t>
      </w:r>
      <w:r>
        <w:rPr>
          <w:lang w:eastAsia="en-AU"/>
        </w:rPr>
        <w:t>, particularly those at risk of long term disadvantage.</w:t>
      </w:r>
    </w:p>
    <w:p w14:paraId="43365EB9" w14:textId="76E97DA0" w:rsidR="00DA61B3" w:rsidRDefault="00DA61B3" w:rsidP="00586C70">
      <w:pPr>
        <w:pStyle w:val="Heading2numbered"/>
        <w:numPr>
          <w:ilvl w:val="2"/>
          <w:numId w:val="51"/>
        </w:numPr>
        <w:ind w:left="567" w:hanging="567"/>
      </w:pPr>
      <w:bookmarkStart w:id="36" w:name="_Toc465244415"/>
      <w:r>
        <w:t>Gaps within the current funding guidelines</w:t>
      </w:r>
      <w:bookmarkEnd w:id="36"/>
    </w:p>
    <w:p w14:paraId="17DCC1D1" w14:textId="381CCF71" w:rsidR="00DA61B3" w:rsidRDefault="00DA61B3" w:rsidP="00086408">
      <w:pPr>
        <w:spacing w:line="276" w:lineRule="auto"/>
        <w:rPr>
          <w:lang w:eastAsia="en-AU"/>
        </w:rPr>
      </w:pPr>
      <w:r>
        <w:rPr>
          <w:lang w:eastAsia="en-AU"/>
        </w:rPr>
        <w:t xml:space="preserve">As outlined in </w:t>
      </w:r>
      <w:r w:rsidR="00FB188F">
        <w:rPr>
          <w:lang w:eastAsia="en-AU"/>
        </w:rPr>
        <w:t xml:space="preserve">the section entitled </w:t>
      </w:r>
      <w:hyperlink w:anchor="ScopeOfServices" w:history="1">
        <w:r w:rsidR="00FB188F" w:rsidRPr="00FB188F">
          <w:rPr>
            <w:rStyle w:val="Hyperlink"/>
            <w:lang w:eastAsia="en-AU"/>
          </w:rPr>
          <w:t>Scope of s</w:t>
        </w:r>
        <w:r w:rsidRPr="00FB188F">
          <w:rPr>
            <w:rStyle w:val="Hyperlink"/>
            <w:lang w:eastAsia="en-AU"/>
          </w:rPr>
          <w:t>ervices</w:t>
        </w:r>
      </w:hyperlink>
      <w:r>
        <w:rPr>
          <w:lang w:eastAsia="en-AU"/>
        </w:rPr>
        <w:t>, grants of aid for the majority of child protection matters are provided under State Family Guideline 1 and State F</w:t>
      </w:r>
      <w:r w:rsidR="007E220C">
        <w:rPr>
          <w:lang w:eastAsia="en-AU"/>
        </w:rPr>
        <w:t>amily Guideline 2</w:t>
      </w:r>
      <w:r w:rsidR="00304893">
        <w:rPr>
          <w:lang w:eastAsia="en-AU"/>
        </w:rPr>
        <w:t>.</w:t>
      </w:r>
      <w:r>
        <w:rPr>
          <w:rStyle w:val="FootnoteReference"/>
          <w:lang w:eastAsia="en-AU"/>
        </w:rPr>
        <w:footnoteReference w:id="82"/>
      </w:r>
      <w:r>
        <w:rPr>
          <w:lang w:eastAsia="en-AU"/>
        </w:rPr>
        <w:t xml:space="preserve"> Guidelines 1 and 2 may be summarised as follows:</w:t>
      </w:r>
    </w:p>
    <w:p w14:paraId="0B0423E7" w14:textId="6F6A1622" w:rsidR="00DA61B3" w:rsidRDefault="00DA61B3" w:rsidP="00960F58">
      <w:pPr>
        <w:pStyle w:val="ListBullet"/>
        <w:rPr>
          <w:lang w:eastAsia="en-AU"/>
        </w:rPr>
      </w:pPr>
      <w:r>
        <w:rPr>
          <w:lang w:eastAsia="en-AU"/>
        </w:rPr>
        <w:t>a child is eligible for a grant of assistance if they are the subject of an application in the Family D</w:t>
      </w:r>
      <w:r w:rsidR="00960F58">
        <w:rPr>
          <w:lang w:eastAsia="en-AU"/>
        </w:rPr>
        <w:t>ivision of the Children’s Court</w:t>
      </w:r>
    </w:p>
    <w:p w14:paraId="38E21881" w14:textId="62EAB441" w:rsidR="00DA61B3" w:rsidRDefault="00DA61B3" w:rsidP="00960F58">
      <w:pPr>
        <w:pStyle w:val="ListBullet"/>
        <w:rPr>
          <w:lang w:eastAsia="en-AU"/>
        </w:rPr>
      </w:pPr>
      <w:r>
        <w:rPr>
          <w:lang w:eastAsia="en-AU"/>
        </w:rPr>
        <w:t>a parent or third party may be eligible for a grant of assistance in respect of a Protection Application if they have reasonable prospects of their child being placed in their care</w:t>
      </w:r>
      <w:r>
        <w:rPr>
          <w:rStyle w:val="FootnoteReference"/>
          <w:lang w:eastAsia="en-AU"/>
        </w:rPr>
        <w:footnoteReference w:id="83"/>
      </w:r>
      <w:r w:rsidR="00960F58">
        <w:rPr>
          <w:lang w:eastAsia="en-AU"/>
        </w:rPr>
        <w:t>,</w:t>
      </w:r>
      <w:r>
        <w:rPr>
          <w:lang w:eastAsia="en-AU"/>
        </w:rPr>
        <w:t xml:space="preserve"> and</w:t>
      </w:r>
    </w:p>
    <w:p w14:paraId="54D2E08F" w14:textId="77777777" w:rsidR="00DA61B3" w:rsidRDefault="00DA61B3" w:rsidP="00960F58">
      <w:pPr>
        <w:pStyle w:val="ListBullet"/>
        <w:rPr>
          <w:lang w:eastAsia="en-AU"/>
        </w:rPr>
      </w:pPr>
      <w:r>
        <w:rPr>
          <w:lang w:eastAsia="en-AU"/>
        </w:rPr>
        <w:t>a parent or third party may be eligible for a grant of assistance in respect of any secondary application, including an application to breach, vary, extend, revoke or make a permanent care order) where they oppose any aspect of the application, including the grounds, proposed order or any condition of the proposed order or where they seek to have included a particular condition relating to a substantive issue which will significantly affect their lifestyle or their family lifestyle.</w:t>
      </w:r>
    </w:p>
    <w:p w14:paraId="38FDA3AB" w14:textId="77777777" w:rsidR="00DA61B3" w:rsidRDefault="00DA61B3" w:rsidP="00086408">
      <w:pPr>
        <w:spacing w:line="276" w:lineRule="auto"/>
        <w:rPr>
          <w:lang w:eastAsia="en-AU"/>
        </w:rPr>
      </w:pPr>
      <w:r>
        <w:rPr>
          <w:lang w:eastAsia="en-AU"/>
        </w:rPr>
        <w:t xml:space="preserve">In response to the 2016 legislative amendments made to the CYFA, VLA expanded the delivery of child protection legal services to Guidelines 3, 4 and 5, which provide: </w:t>
      </w:r>
    </w:p>
    <w:p w14:paraId="757CA92A" w14:textId="56A36D36" w:rsidR="00DA61B3" w:rsidRDefault="00DA61B3" w:rsidP="00960F58">
      <w:pPr>
        <w:pStyle w:val="ListBullet"/>
        <w:rPr>
          <w:lang w:eastAsia="en-AU"/>
        </w:rPr>
      </w:pPr>
      <w:r>
        <w:rPr>
          <w:lang w:eastAsia="en-AU"/>
        </w:rPr>
        <w:t xml:space="preserve">legal aid may be granted to a child or parent to appeal, or respond to an appeal against, </w:t>
      </w:r>
      <w:r w:rsidR="00960F58">
        <w:rPr>
          <w:lang w:eastAsia="en-AU"/>
        </w:rPr>
        <w:t>an interim accommodation order –</w:t>
      </w:r>
      <w:r>
        <w:rPr>
          <w:lang w:eastAsia="en-AU"/>
        </w:rPr>
        <w:t xml:space="preserve"> where there are reasonable prospects of the child being </w:t>
      </w:r>
      <w:r>
        <w:rPr>
          <w:lang w:eastAsia="en-AU"/>
        </w:rPr>
        <w:lastRenderedPageBreak/>
        <w:t>immediately placed in the care of a parent and, where it is a parent applicant, that parent has reasonable prospects of the child being pla</w:t>
      </w:r>
      <w:r w:rsidR="00960F58">
        <w:rPr>
          <w:lang w:eastAsia="en-AU"/>
        </w:rPr>
        <w:t>ced in their care (guideline 3)</w:t>
      </w:r>
    </w:p>
    <w:p w14:paraId="4A72AC7D" w14:textId="535CE7B9" w:rsidR="00DA61B3" w:rsidRDefault="00DA61B3" w:rsidP="00960F58">
      <w:pPr>
        <w:pStyle w:val="ListBullet"/>
        <w:rPr>
          <w:lang w:eastAsia="en-AU"/>
        </w:rPr>
      </w:pPr>
      <w:r>
        <w:rPr>
          <w:lang w:eastAsia="en-AU"/>
        </w:rPr>
        <w:t>to replace legal aid funding that was previously available for court review proceedings at the 12-month mark, a new guideline to fund requests for an internal DHHS administrative review of a case plan decision and, where unsuccessful, an external VCAT review of a case plan decision in limited circumsta</w:t>
      </w:r>
      <w:r w:rsidR="00960F58">
        <w:rPr>
          <w:lang w:eastAsia="en-AU"/>
        </w:rPr>
        <w:t>nces (guideline 4),</w:t>
      </w:r>
      <w:r>
        <w:rPr>
          <w:lang w:eastAsia="en-AU"/>
        </w:rPr>
        <w:t xml:space="preserve"> and</w:t>
      </w:r>
    </w:p>
    <w:p w14:paraId="2C50178B" w14:textId="08DCD683" w:rsidR="00DA61B3" w:rsidRDefault="00DA61B3" w:rsidP="00960F58">
      <w:pPr>
        <w:pStyle w:val="ListBullet"/>
        <w:rPr>
          <w:lang w:eastAsia="en-AU"/>
        </w:rPr>
      </w:pPr>
      <w:r>
        <w:rPr>
          <w:lang w:eastAsia="en-AU"/>
        </w:rPr>
        <w:t>funding to assist a child or parent to initiate, or respond to, an application to revoke a family reunification order in circumstances where there are reasonable prospects of the child being immediately placed in the care of a parent and, where it is a parent applicant, that parent has reasonable prospects of the child being placed in their care (guideline 5)</w:t>
      </w:r>
      <w:r w:rsidR="00960F58">
        <w:rPr>
          <w:lang w:eastAsia="en-AU"/>
        </w:rPr>
        <w:t>.</w:t>
      </w:r>
    </w:p>
    <w:p w14:paraId="17A40B10" w14:textId="5E8EA6AA" w:rsidR="00DA61B3" w:rsidRDefault="00DA61B3" w:rsidP="00086408">
      <w:pPr>
        <w:spacing w:line="276" w:lineRule="auto"/>
        <w:rPr>
          <w:lang w:eastAsia="en-AU"/>
        </w:rPr>
      </w:pPr>
      <w:r w:rsidRPr="00960F58">
        <w:t>Each guideline limits its scope with the inclusion of numerous threshold tests, which include the</w:t>
      </w:r>
      <w:r>
        <w:rPr>
          <w:lang w:eastAsia="en-AU"/>
        </w:rPr>
        <w:t xml:space="preserve"> means test</w:t>
      </w:r>
      <w:r>
        <w:rPr>
          <w:rStyle w:val="FootnoteReference"/>
          <w:lang w:eastAsia="en-AU"/>
        </w:rPr>
        <w:footnoteReference w:id="84"/>
      </w:r>
      <w:r>
        <w:rPr>
          <w:lang w:eastAsia="en-AU"/>
        </w:rPr>
        <w:t xml:space="preserve"> and State reasonableness test</w:t>
      </w:r>
      <w:r>
        <w:rPr>
          <w:rStyle w:val="FootnoteReference"/>
          <w:lang w:eastAsia="en-AU"/>
        </w:rPr>
        <w:footnoteReference w:id="85"/>
      </w:r>
      <w:r>
        <w:rPr>
          <w:lang w:eastAsia="en-AU"/>
        </w:rPr>
        <w:t xml:space="preserve">, </w:t>
      </w:r>
      <w:r w:rsidR="00960F58">
        <w:rPr>
          <w:lang w:eastAsia="en-AU"/>
        </w:rPr>
        <w:t>in addition to more particularis</w:t>
      </w:r>
      <w:r>
        <w:rPr>
          <w:lang w:eastAsia="en-AU"/>
        </w:rPr>
        <w:t>ed, content based tests such as: ‘are there reasonable prospects of reunification within the legislated timeframe’ or ‘where D</w:t>
      </w:r>
      <w:r w:rsidR="00960F58">
        <w:rPr>
          <w:lang w:eastAsia="en-AU"/>
        </w:rPr>
        <w:t xml:space="preserve">HHS propose out-of-home care’. </w:t>
      </w:r>
      <w:r>
        <w:rPr>
          <w:lang w:eastAsia="en-AU"/>
        </w:rPr>
        <w:t xml:space="preserve">These give rise to service gaps for particular client groups or matter types, such as: </w:t>
      </w:r>
    </w:p>
    <w:p w14:paraId="0B4916F1" w14:textId="5523EF9C" w:rsidR="00DA61B3" w:rsidRDefault="00DA61B3" w:rsidP="00960F58">
      <w:pPr>
        <w:pStyle w:val="ListBullet"/>
        <w:rPr>
          <w:lang w:eastAsia="en-AU"/>
        </w:rPr>
      </w:pPr>
      <w:r>
        <w:rPr>
          <w:lang w:eastAsia="en-AU"/>
        </w:rPr>
        <w:t>p</w:t>
      </w:r>
      <w:r w:rsidR="00997B90">
        <w:rPr>
          <w:lang w:eastAsia="en-AU"/>
        </w:rPr>
        <w:t>arents who are responding to a p</w:t>
      </w:r>
      <w:r>
        <w:rPr>
          <w:lang w:eastAsia="en-AU"/>
        </w:rPr>
        <w:t xml:space="preserve">rotection </w:t>
      </w:r>
      <w:r w:rsidR="00997B90">
        <w:rPr>
          <w:lang w:eastAsia="en-AU"/>
        </w:rPr>
        <w:t>a</w:t>
      </w:r>
      <w:r>
        <w:rPr>
          <w:lang w:eastAsia="en-AU"/>
        </w:rPr>
        <w:t>pplication will not receive funding to dispute grounds of an application, disposition (proposed order) or conditions in circumstances where they do not have reasonable prospects of having t</w:t>
      </w:r>
      <w:r w:rsidR="00960F58">
        <w:rPr>
          <w:lang w:eastAsia="en-AU"/>
        </w:rPr>
        <w:t>he child returned to their care</w:t>
      </w:r>
    </w:p>
    <w:p w14:paraId="0E01E2E3" w14:textId="0DBE6BCB" w:rsidR="000809BD" w:rsidRDefault="000809BD" w:rsidP="00960F58">
      <w:pPr>
        <w:pStyle w:val="ListBullet"/>
        <w:rPr>
          <w:lang w:eastAsia="en-AU"/>
        </w:rPr>
      </w:pPr>
      <w:r>
        <w:rPr>
          <w:lang w:eastAsia="en-AU"/>
        </w:rPr>
        <w:t xml:space="preserve">parents wanting to be involved in the placement of children where the child may not be returning to the </w:t>
      </w:r>
      <w:r w:rsidR="00777B46">
        <w:rPr>
          <w:lang w:eastAsia="en-AU"/>
        </w:rPr>
        <w:t>parents’</w:t>
      </w:r>
      <w:r>
        <w:rPr>
          <w:lang w:eastAsia="en-AU"/>
        </w:rPr>
        <w:t xml:space="preserve"> care, on an interim or final basis. This particularly important for Aboriginal and/or Torres Strait Islander children in order to maintain a cu</w:t>
      </w:r>
      <w:r w:rsidR="00960F58">
        <w:rPr>
          <w:lang w:eastAsia="en-AU"/>
        </w:rPr>
        <w:t>ltural connection and identity</w:t>
      </w:r>
    </w:p>
    <w:p w14:paraId="7969CEF1" w14:textId="6CCF8FEA" w:rsidR="00DA61B3" w:rsidRDefault="00DA61B3" w:rsidP="00960F58">
      <w:pPr>
        <w:pStyle w:val="ListBullet"/>
        <w:rPr>
          <w:lang w:eastAsia="en-AU"/>
        </w:rPr>
      </w:pPr>
      <w:r>
        <w:rPr>
          <w:lang w:eastAsia="en-AU"/>
        </w:rPr>
        <w:t>third parties, such as carers or grandparents, are not eligible for funding to seek internal or external review of case planning decisions, even if the decision relates direct</w:t>
      </w:r>
      <w:r w:rsidR="00960F58">
        <w:rPr>
          <w:lang w:eastAsia="en-AU"/>
        </w:rPr>
        <w:t>ly to them,</w:t>
      </w:r>
      <w:r>
        <w:rPr>
          <w:lang w:eastAsia="en-AU"/>
        </w:rPr>
        <w:t xml:space="preserve"> and</w:t>
      </w:r>
    </w:p>
    <w:p w14:paraId="6B34E165" w14:textId="77777777" w:rsidR="00DA61B3" w:rsidRDefault="00DA61B3" w:rsidP="00960F58">
      <w:pPr>
        <w:pStyle w:val="ListBullet"/>
        <w:rPr>
          <w:lang w:eastAsia="en-AU"/>
        </w:rPr>
      </w:pPr>
      <w:r>
        <w:rPr>
          <w:lang w:eastAsia="en-AU"/>
        </w:rPr>
        <w:t>children and parents may only seek to review a case planning de</w:t>
      </w:r>
      <w:r w:rsidR="005B372E">
        <w:rPr>
          <w:lang w:eastAsia="en-AU"/>
        </w:rPr>
        <w:t>cision in limited circumstances</w:t>
      </w:r>
      <w:r w:rsidR="005B372E">
        <w:rPr>
          <w:rStyle w:val="FootnoteReference"/>
          <w:lang w:eastAsia="en-AU"/>
        </w:rPr>
        <w:footnoteReference w:id="86"/>
      </w:r>
      <w:r>
        <w:rPr>
          <w:lang w:eastAsia="en-AU"/>
        </w:rPr>
        <w:t xml:space="preserve">. </w:t>
      </w:r>
    </w:p>
    <w:p w14:paraId="66B7C49E" w14:textId="1B6AC5F2" w:rsidR="00DA61B3" w:rsidRDefault="00DA61B3" w:rsidP="00086408">
      <w:pPr>
        <w:spacing w:line="276" w:lineRule="auto"/>
        <w:rPr>
          <w:lang w:eastAsia="en-AU"/>
        </w:rPr>
      </w:pPr>
      <w:r>
        <w:rPr>
          <w:lang w:eastAsia="en-AU"/>
        </w:rPr>
        <w:t>The application of threshold tests limits the availability of legal services, and this is necessary as part of the need to manage the ‘legal a</w:t>
      </w:r>
      <w:r w:rsidR="00960F58">
        <w:rPr>
          <w:lang w:eastAsia="en-AU"/>
        </w:rPr>
        <w:t>id fund’</w:t>
      </w:r>
      <w:r>
        <w:rPr>
          <w:lang w:eastAsia="en-AU"/>
        </w:rPr>
        <w:t xml:space="preserve">, particular in an environment where demand continues to grow. </w:t>
      </w:r>
      <w:r w:rsidR="00777B46">
        <w:rPr>
          <w:lang w:eastAsia="en-AU"/>
        </w:rPr>
        <w:t>However,</w:t>
      </w:r>
      <w:r>
        <w:rPr>
          <w:lang w:eastAsia="en-AU"/>
        </w:rPr>
        <w:t xml:space="preserve"> it is necessary to consider whether gaps created from within the guidelines reduce the overall effectiveness of child protection legal services, and if so, how best to address this issue.</w:t>
      </w:r>
    </w:p>
    <w:p w14:paraId="32FED504" w14:textId="0D400B21" w:rsidR="005B372E" w:rsidRDefault="00266C57" w:rsidP="00960F58">
      <w:pPr>
        <w:pStyle w:val="Heading2numbered"/>
      </w:pPr>
      <w:bookmarkStart w:id="37" w:name="_Toc465244416"/>
      <w:r>
        <w:lastRenderedPageBreak/>
        <w:t>Gaps in service provision before and after court</w:t>
      </w:r>
      <w:bookmarkEnd w:id="37"/>
      <w:r>
        <w:t xml:space="preserve"> </w:t>
      </w:r>
    </w:p>
    <w:p w14:paraId="753EB857" w14:textId="7EEB590C" w:rsidR="005B372E" w:rsidRDefault="005B372E" w:rsidP="00086408">
      <w:pPr>
        <w:spacing w:line="276" w:lineRule="auto"/>
        <w:rPr>
          <w:lang w:eastAsia="en-AU"/>
        </w:rPr>
      </w:pPr>
      <w:r>
        <w:rPr>
          <w:lang w:eastAsia="en-AU"/>
        </w:rPr>
        <w:t xml:space="preserve">As </w:t>
      </w:r>
      <w:r w:rsidR="00997B90">
        <w:rPr>
          <w:lang w:eastAsia="en-AU"/>
        </w:rPr>
        <w:t xml:space="preserve">previously </w:t>
      </w:r>
      <w:r>
        <w:rPr>
          <w:lang w:eastAsia="en-AU"/>
        </w:rPr>
        <w:t>outlined</w:t>
      </w:r>
      <w:r w:rsidR="009E1A00">
        <w:rPr>
          <w:lang w:eastAsia="en-AU"/>
        </w:rPr>
        <w:t xml:space="preserve">, around one third of </w:t>
      </w:r>
      <w:r>
        <w:rPr>
          <w:lang w:eastAsia="en-AU"/>
        </w:rPr>
        <w:t>all substantiated reports result</w:t>
      </w:r>
      <w:r w:rsidR="009E1A00">
        <w:rPr>
          <w:lang w:eastAsia="en-AU"/>
        </w:rPr>
        <w:t xml:space="preserve"> i</w:t>
      </w:r>
      <w:r>
        <w:rPr>
          <w:lang w:eastAsia="en-AU"/>
        </w:rPr>
        <w:t xml:space="preserve">n the initiation of court proceedings. </w:t>
      </w:r>
      <w:r w:rsidR="009E1A00">
        <w:rPr>
          <w:lang w:eastAsia="en-AU"/>
        </w:rPr>
        <w:t>While t</w:t>
      </w:r>
      <w:r>
        <w:rPr>
          <w:lang w:eastAsia="en-AU"/>
        </w:rPr>
        <w:t>he number of voluntary engagements reached, between DHHS with families, prior to the commencement of proceedings</w:t>
      </w:r>
      <w:r w:rsidR="009E1A00">
        <w:rPr>
          <w:lang w:eastAsia="en-AU"/>
        </w:rPr>
        <w:t xml:space="preserve"> is not publically available, there were 1,200 children placed in OOHC in 2014/15 on a voluntary basis</w:t>
      </w:r>
      <w:r>
        <w:rPr>
          <w:lang w:eastAsia="en-AU"/>
        </w:rPr>
        <w:t>.</w:t>
      </w:r>
      <w:r w:rsidR="009E1A00">
        <w:rPr>
          <w:rStyle w:val="FootnoteReference"/>
          <w:lang w:eastAsia="en-AU"/>
        </w:rPr>
        <w:footnoteReference w:id="87"/>
      </w:r>
      <w:r w:rsidR="009E1A00">
        <w:rPr>
          <w:lang w:eastAsia="en-AU"/>
        </w:rPr>
        <w:t xml:space="preserve"> </w:t>
      </w:r>
    </w:p>
    <w:p w14:paraId="0232E329" w14:textId="77777777" w:rsidR="005B372E" w:rsidRDefault="005B372E" w:rsidP="00086408">
      <w:pPr>
        <w:spacing w:line="276" w:lineRule="auto"/>
        <w:rPr>
          <w:lang w:eastAsia="en-AU"/>
        </w:rPr>
      </w:pPr>
      <w:r>
        <w:rPr>
          <w:lang w:eastAsia="en-AU"/>
        </w:rPr>
        <w:t xml:space="preserve">The legislative changes that commenced in March 2016 are underpinned </w:t>
      </w:r>
      <w:r w:rsidR="009E1A00">
        <w:rPr>
          <w:lang w:eastAsia="en-AU"/>
        </w:rPr>
        <w:t xml:space="preserve">by a focus on case planning. The case plan must be developed at </w:t>
      </w:r>
      <w:r w:rsidR="00A07DF6">
        <w:rPr>
          <w:lang w:eastAsia="en-AU"/>
        </w:rPr>
        <w:t xml:space="preserve">the early stage of a matter and </w:t>
      </w:r>
      <w:r w:rsidR="009E1A00">
        <w:rPr>
          <w:lang w:eastAsia="en-AU"/>
        </w:rPr>
        <w:t>must contain a</w:t>
      </w:r>
      <w:r>
        <w:rPr>
          <w:lang w:eastAsia="en-AU"/>
        </w:rPr>
        <w:t xml:space="preserve"> ‘permanency objective’</w:t>
      </w:r>
      <w:r w:rsidR="009E1A00">
        <w:rPr>
          <w:lang w:eastAsia="en-AU"/>
        </w:rPr>
        <w:t>.</w:t>
      </w:r>
      <w:r>
        <w:rPr>
          <w:rStyle w:val="FootnoteReference"/>
          <w:lang w:eastAsia="en-AU"/>
        </w:rPr>
        <w:footnoteReference w:id="88"/>
      </w:r>
      <w:r>
        <w:rPr>
          <w:lang w:eastAsia="en-AU"/>
        </w:rPr>
        <w:t xml:space="preserve"> </w:t>
      </w:r>
    </w:p>
    <w:p w14:paraId="7541519D" w14:textId="77777777" w:rsidR="005B372E" w:rsidRDefault="009E1A00" w:rsidP="00086408">
      <w:pPr>
        <w:spacing w:line="276" w:lineRule="auto"/>
        <w:rPr>
          <w:lang w:eastAsia="en-AU"/>
        </w:rPr>
      </w:pPr>
      <w:r>
        <w:rPr>
          <w:lang w:eastAsia="en-AU"/>
        </w:rPr>
        <w:t xml:space="preserve">Case </w:t>
      </w:r>
      <w:r w:rsidR="005B372E">
        <w:rPr>
          <w:lang w:eastAsia="en-AU"/>
        </w:rPr>
        <w:t>planning must:</w:t>
      </w:r>
    </w:p>
    <w:p w14:paraId="65E4FD4E" w14:textId="5CE3E62F" w:rsidR="005B372E" w:rsidRDefault="005B372E" w:rsidP="00960F58">
      <w:pPr>
        <w:pStyle w:val="ListBullet"/>
        <w:rPr>
          <w:lang w:eastAsia="en-AU"/>
        </w:rPr>
      </w:pPr>
      <w:r>
        <w:rPr>
          <w:lang w:eastAsia="en-AU"/>
        </w:rPr>
        <w:t>commence fr</w:t>
      </w:r>
      <w:r w:rsidR="00017B0A">
        <w:rPr>
          <w:lang w:eastAsia="en-AU"/>
        </w:rPr>
        <w:t>om the point of substantiation</w:t>
      </w:r>
    </w:p>
    <w:p w14:paraId="1CD68144" w14:textId="11892BE8" w:rsidR="005B372E" w:rsidRDefault="00017B0A" w:rsidP="00960F58">
      <w:pPr>
        <w:pStyle w:val="ListBullet"/>
        <w:rPr>
          <w:lang w:eastAsia="en-AU"/>
        </w:rPr>
      </w:pPr>
      <w:r>
        <w:rPr>
          <w:lang w:eastAsia="en-AU"/>
        </w:rPr>
        <w:t>include a permanency objective</w:t>
      </w:r>
    </w:p>
    <w:p w14:paraId="6C29BEB4" w14:textId="2B52CFC0" w:rsidR="005B372E" w:rsidRDefault="005B372E" w:rsidP="00960F58">
      <w:pPr>
        <w:pStyle w:val="ListBullet"/>
        <w:rPr>
          <w:lang w:eastAsia="en-AU"/>
        </w:rPr>
      </w:pPr>
      <w:r>
        <w:rPr>
          <w:lang w:eastAsia="en-AU"/>
        </w:rPr>
        <w:t>include an ‘actions table’, which ‘will set out the goals, tasks and timelines to implement the case plan’</w:t>
      </w:r>
      <w:r>
        <w:rPr>
          <w:rStyle w:val="FootnoteReference"/>
          <w:lang w:eastAsia="en-AU"/>
        </w:rPr>
        <w:footnoteReference w:id="89"/>
      </w:r>
      <w:r w:rsidR="00960F58">
        <w:rPr>
          <w:lang w:eastAsia="en-AU"/>
        </w:rPr>
        <w:t>, and</w:t>
      </w:r>
    </w:p>
    <w:p w14:paraId="1885F7A7" w14:textId="59458EBB" w:rsidR="005B372E" w:rsidRDefault="005B372E" w:rsidP="00960F58">
      <w:pPr>
        <w:pStyle w:val="ListBullet"/>
        <w:rPr>
          <w:lang w:eastAsia="en-AU"/>
        </w:rPr>
      </w:pPr>
      <w:r>
        <w:rPr>
          <w:lang w:eastAsia="en-AU"/>
        </w:rPr>
        <w:t xml:space="preserve">include a </w:t>
      </w:r>
      <w:r w:rsidR="00997B90">
        <w:rPr>
          <w:lang w:eastAsia="en-AU"/>
        </w:rPr>
        <w:t>c</w:t>
      </w:r>
      <w:r>
        <w:rPr>
          <w:lang w:eastAsia="en-AU"/>
        </w:rPr>
        <w:t>ultural support plan where the child is Aboriginal or Torres Strait Is</w:t>
      </w:r>
      <w:r w:rsidR="006D3C43">
        <w:rPr>
          <w:lang w:eastAsia="en-AU"/>
        </w:rPr>
        <w:t>lander and in court ordered out-of-</w:t>
      </w:r>
      <w:r>
        <w:rPr>
          <w:lang w:eastAsia="en-AU"/>
        </w:rPr>
        <w:t>home care</w:t>
      </w:r>
      <w:r w:rsidR="00960F58">
        <w:rPr>
          <w:lang w:eastAsia="en-AU"/>
        </w:rPr>
        <w:t>.</w:t>
      </w:r>
    </w:p>
    <w:p w14:paraId="06007AAF" w14:textId="73CE638A" w:rsidR="005B372E" w:rsidRDefault="005B372E" w:rsidP="00086408">
      <w:pPr>
        <w:spacing w:line="276" w:lineRule="auto"/>
        <w:rPr>
          <w:lang w:eastAsia="en-AU"/>
        </w:rPr>
      </w:pPr>
      <w:r>
        <w:rPr>
          <w:lang w:eastAsia="en-AU"/>
        </w:rPr>
        <w:t>The introduction of strict timeframes for reunification mean that children who ha</w:t>
      </w:r>
      <w:r w:rsidR="006D3C43">
        <w:rPr>
          <w:lang w:eastAsia="en-AU"/>
        </w:rPr>
        <w:t>ve been in court ordered out-of-</w:t>
      </w:r>
      <w:r>
        <w:rPr>
          <w:lang w:eastAsia="en-AU"/>
        </w:rPr>
        <w:t>home care for two years or more, must be</w:t>
      </w:r>
      <w:r w:rsidR="00997B90">
        <w:rPr>
          <w:lang w:eastAsia="en-AU"/>
        </w:rPr>
        <w:t xml:space="preserve"> placed on a Care by Secretary o</w:t>
      </w:r>
      <w:r>
        <w:rPr>
          <w:lang w:eastAsia="en-AU"/>
        </w:rPr>
        <w:t xml:space="preserve">rder, or </w:t>
      </w:r>
      <w:r w:rsidR="00997B90">
        <w:rPr>
          <w:lang w:eastAsia="en-AU"/>
        </w:rPr>
        <w:t>l</w:t>
      </w:r>
      <w:r w:rsidR="00227C32">
        <w:rPr>
          <w:lang w:eastAsia="en-AU"/>
        </w:rPr>
        <w:t>ong-term</w:t>
      </w:r>
      <w:r>
        <w:rPr>
          <w:lang w:eastAsia="en-AU"/>
        </w:rPr>
        <w:t xml:space="preserve"> Care by Secretary </w:t>
      </w:r>
      <w:r w:rsidR="00997B90">
        <w:rPr>
          <w:lang w:eastAsia="en-AU"/>
        </w:rPr>
        <w:t>o</w:t>
      </w:r>
      <w:r>
        <w:rPr>
          <w:lang w:eastAsia="en-AU"/>
        </w:rPr>
        <w:t xml:space="preserve">rder, neither of which have conditions attached to them. This means that all decisions relating to the </w:t>
      </w:r>
      <w:r w:rsidR="00997B90">
        <w:rPr>
          <w:lang w:eastAsia="en-AU"/>
        </w:rPr>
        <w:t>operation of Care by Secretary o</w:t>
      </w:r>
      <w:r>
        <w:rPr>
          <w:lang w:eastAsia="en-AU"/>
        </w:rPr>
        <w:t xml:space="preserve">rders and </w:t>
      </w:r>
      <w:r w:rsidR="00997B90">
        <w:rPr>
          <w:lang w:eastAsia="en-AU"/>
        </w:rPr>
        <w:t>l</w:t>
      </w:r>
      <w:r w:rsidR="00227C32">
        <w:rPr>
          <w:lang w:eastAsia="en-AU"/>
        </w:rPr>
        <w:t>ong-term</w:t>
      </w:r>
      <w:r w:rsidR="00997B90">
        <w:rPr>
          <w:lang w:eastAsia="en-AU"/>
        </w:rPr>
        <w:t xml:space="preserve"> Care by Secretary o</w:t>
      </w:r>
      <w:r>
        <w:rPr>
          <w:lang w:eastAsia="en-AU"/>
        </w:rPr>
        <w:t>rders, will occur within the case planning framework.</w:t>
      </w:r>
    </w:p>
    <w:p w14:paraId="5B6F2DF7" w14:textId="77777777" w:rsidR="005B372E" w:rsidRDefault="00F36A4B" w:rsidP="00086408">
      <w:pPr>
        <w:spacing w:line="276" w:lineRule="auto"/>
        <w:rPr>
          <w:lang w:eastAsia="en-AU"/>
        </w:rPr>
      </w:pPr>
      <w:r>
        <w:rPr>
          <w:lang w:eastAsia="en-AU"/>
        </w:rPr>
        <w:t xml:space="preserve">The case plan clearly is an important event in the determining the approach that will be taken. </w:t>
      </w:r>
      <w:r w:rsidR="005B372E">
        <w:rPr>
          <w:lang w:eastAsia="en-AU"/>
        </w:rPr>
        <w:t xml:space="preserve">VLA does not currently fund legal assistance or representation to attend case planning meetings. </w:t>
      </w:r>
    </w:p>
    <w:p w14:paraId="534344E1" w14:textId="00579D19" w:rsidR="005B372E" w:rsidRDefault="005B372E" w:rsidP="00960F58">
      <w:pPr>
        <w:pStyle w:val="Heading2numbered"/>
      </w:pPr>
      <w:bookmarkStart w:id="38" w:name="_Toc465244417"/>
      <w:r>
        <w:t xml:space="preserve">Gaps that may arise within the </w:t>
      </w:r>
      <w:r w:rsidR="00B769F6">
        <w:t>broader</w:t>
      </w:r>
      <w:r>
        <w:t xml:space="preserve"> legislative framework</w:t>
      </w:r>
      <w:bookmarkEnd w:id="38"/>
    </w:p>
    <w:p w14:paraId="56B65802" w14:textId="77777777" w:rsidR="005B372E" w:rsidRDefault="005B372E" w:rsidP="00086408">
      <w:pPr>
        <w:spacing w:line="276" w:lineRule="auto"/>
        <w:rPr>
          <w:lang w:eastAsia="en-AU"/>
        </w:rPr>
      </w:pPr>
      <w:r w:rsidRPr="005B372E">
        <w:rPr>
          <w:lang w:eastAsia="en-AU"/>
        </w:rPr>
        <w:t>Children and parents who traverse the child protection jurisdiction may cross into other legislative frameworks, or experience gaps within the existing Children’s Court framework. This section examines gaps that arise in the context of family and mental health law and how this impacts upon legal service delivery from a client perspective. It is not intended to represent an exhaustive examination of this issue.</w:t>
      </w:r>
    </w:p>
    <w:p w14:paraId="2C5B30A0" w14:textId="77777777" w:rsidR="005B372E" w:rsidRDefault="00E37387" w:rsidP="00960F58">
      <w:pPr>
        <w:pStyle w:val="Heading3"/>
      </w:pPr>
      <w:bookmarkStart w:id="39" w:name="_Toc465244418"/>
      <w:r>
        <w:t>Example 1: Family Law</w:t>
      </w:r>
      <w:bookmarkEnd w:id="39"/>
    </w:p>
    <w:p w14:paraId="4165332E" w14:textId="2F25563D" w:rsidR="00E37387" w:rsidRDefault="00E37387" w:rsidP="00086408">
      <w:pPr>
        <w:spacing w:line="276" w:lineRule="auto"/>
        <w:rPr>
          <w:lang w:eastAsia="en-AU"/>
        </w:rPr>
      </w:pPr>
      <w:r>
        <w:rPr>
          <w:lang w:eastAsia="en-AU"/>
        </w:rPr>
        <w:t xml:space="preserve">The Family </w:t>
      </w:r>
      <w:r w:rsidR="00603D37">
        <w:rPr>
          <w:lang w:eastAsia="en-AU"/>
        </w:rPr>
        <w:t xml:space="preserve">Law </w:t>
      </w:r>
      <w:r>
        <w:rPr>
          <w:lang w:eastAsia="en-AU"/>
        </w:rPr>
        <w:t>Court</w:t>
      </w:r>
      <w:r w:rsidR="00603D37">
        <w:rPr>
          <w:lang w:eastAsia="en-AU"/>
        </w:rPr>
        <w:t>s</w:t>
      </w:r>
      <w:r w:rsidR="00603D37">
        <w:rPr>
          <w:rStyle w:val="FootnoteReference"/>
          <w:lang w:eastAsia="en-AU"/>
        </w:rPr>
        <w:footnoteReference w:id="90"/>
      </w:r>
      <w:r>
        <w:rPr>
          <w:lang w:eastAsia="en-AU"/>
        </w:rPr>
        <w:t xml:space="preserve"> and Children’s Court jurisdictions overlap and yet ‘there are significant investigatory and jurisdictional gaps between the two systems’</w:t>
      </w:r>
      <w:r w:rsidR="00017B0A">
        <w:rPr>
          <w:lang w:eastAsia="en-AU"/>
        </w:rPr>
        <w:t>.</w:t>
      </w:r>
      <w:r>
        <w:rPr>
          <w:rStyle w:val="FootnoteReference"/>
          <w:lang w:eastAsia="en-AU"/>
        </w:rPr>
        <w:footnoteReference w:id="91"/>
      </w:r>
      <w:r>
        <w:rPr>
          <w:lang w:eastAsia="en-AU"/>
        </w:rPr>
        <w:t xml:space="preserve"> The Family Law Council summarise this fragmentation with the following observation:</w:t>
      </w:r>
    </w:p>
    <w:p w14:paraId="6269495F" w14:textId="0EFA7B72" w:rsidR="00E37387" w:rsidRPr="00E37387" w:rsidRDefault="00960F58" w:rsidP="00960F58">
      <w:pPr>
        <w:pStyle w:val="VLAquotation"/>
        <w:rPr>
          <w:lang w:eastAsia="en-AU"/>
        </w:rPr>
      </w:pPr>
      <w:r>
        <w:rPr>
          <w:lang w:eastAsia="en-AU"/>
        </w:rPr>
        <w:lastRenderedPageBreak/>
        <w:t>‘</w:t>
      </w:r>
      <w:r w:rsidR="00E37387" w:rsidRPr="00E37387">
        <w:rPr>
          <w:lang w:eastAsia="en-AU"/>
        </w:rPr>
        <w:t>the reality for a separating family experiencing contentious issues in respect of parenting capacity is that there is no single judicial forum that can provide them with a comprehensive response to address their disputes, particularly where there are underlying issues of fami</w:t>
      </w:r>
      <w:r>
        <w:rPr>
          <w:lang w:eastAsia="en-AU"/>
        </w:rPr>
        <w:t>ly violence and/or child abuse’</w:t>
      </w:r>
      <w:r w:rsidR="00E37387">
        <w:rPr>
          <w:rStyle w:val="FootnoteReference"/>
          <w:i w:val="0"/>
          <w:lang w:eastAsia="en-AU"/>
        </w:rPr>
        <w:footnoteReference w:id="92"/>
      </w:r>
    </w:p>
    <w:p w14:paraId="7C309D4C" w14:textId="3F29A590" w:rsidR="00E37387" w:rsidRDefault="00E37387" w:rsidP="00086408">
      <w:pPr>
        <w:spacing w:line="276" w:lineRule="auto"/>
        <w:rPr>
          <w:lang w:eastAsia="en-AU"/>
        </w:rPr>
      </w:pPr>
      <w:r>
        <w:rPr>
          <w:lang w:eastAsia="en-AU"/>
        </w:rPr>
        <w:t>There is a wealth of literature outlining the j</w:t>
      </w:r>
      <w:r w:rsidR="00997B90">
        <w:rPr>
          <w:lang w:eastAsia="en-AU"/>
        </w:rPr>
        <w:t>urisdictional gaps between the f</w:t>
      </w:r>
      <w:r>
        <w:rPr>
          <w:lang w:eastAsia="en-AU"/>
        </w:rPr>
        <w:t xml:space="preserve">amily </w:t>
      </w:r>
      <w:r w:rsidR="00997B90">
        <w:rPr>
          <w:lang w:eastAsia="en-AU"/>
        </w:rPr>
        <w:t>l</w:t>
      </w:r>
      <w:r>
        <w:rPr>
          <w:lang w:eastAsia="en-AU"/>
        </w:rPr>
        <w:t>aw and child protection systems, written from a Family Court perspective</w:t>
      </w:r>
      <w:r w:rsidR="00017B0A">
        <w:rPr>
          <w:lang w:eastAsia="en-AU"/>
        </w:rPr>
        <w:t>.</w:t>
      </w:r>
      <w:r>
        <w:rPr>
          <w:rStyle w:val="FootnoteReference"/>
          <w:lang w:eastAsia="en-AU"/>
        </w:rPr>
        <w:footnoteReference w:id="93"/>
      </w:r>
      <w:r>
        <w:rPr>
          <w:lang w:eastAsia="en-AU"/>
        </w:rPr>
        <w:t xml:space="preserve"> These may be summarised as follows:</w:t>
      </w:r>
    </w:p>
    <w:p w14:paraId="700F5A01" w14:textId="5116C386" w:rsidR="00E37387" w:rsidRDefault="00E37387" w:rsidP="00960F58">
      <w:pPr>
        <w:pStyle w:val="ListBullet"/>
        <w:rPr>
          <w:lang w:eastAsia="en-AU"/>
        </w:rPr>
      </w:pPr>
      <w:r>
        <w:rPr>
          <w:lang w:eastAsia="en-AU"/>
        </w:rPr>
        <w:t>The Family Courts are governed by federal legislation whereas the Children’s Court is gov</w:t>
      </w:r>
      <w:r w:rsidR="00997B90">
        <w:rPr>
          <w:lang w:eastAsia="en-AU"/>
        </w:rPr>
        <w:t>erned by State or t</w:t>
      </w:r>
      <w:r>
        <w:rPr>
          <w:lang w:eastAsia="en-AU"/>
        </w:rPr>
        <w:t>erritory based legislation, as are the correspondi</w:t>
      </w:r>
      <w:r w:rsidR="00017B0A">
        <w:rPr>
          <w:lang w:eastAsia="en-AU"/>
        </w:rPr>
        <w:t>ng child protection departments</w:t>
      </w:r>
      <w:r w:rsidR="00960F58">
        <w:rPr>
          <w:lang w:eastAsia="en-AU"/>
        </w:rPr>
        <w:t>.</w:t>
      </w:r>
    </w:p>
    <w:p w14:paraId="17FCB9B3" w14:textId="7AD2301F" w:rsidR="00E37387" w:rsidRDefault="00E37387" w:rsidP="00960F58">
      <w:pPr>
        <w:pStyle w:val="ListBullet"/>
        <w:rPr>
          <w:lang w:eastAsia="en-AU"/>
        </w:rPr>
      </w:pPr>
      <w:r>
        <w:rPr>
          <w:lang w:eastAsia="en-AU"/>
        </w:rPr>
        <w:t>Family Courts do not have independent forensic capacity, as they operate in a private law context and the individual parties have responsibility for the conduct and cost – unless le</w:t>
      </w:r>
      <w:r w:rsidR="00017B0A">
        <w:rPr>
          <w:lang w:eastAsia="en-AU"/>
        </w:rPr>
        <w:t>gally aided – of the litigation</w:t>
      </w:r>
      <w:r w:rsidR="00960F58">
        <w:rPr>
          <w:lang w:eastAsia="en-AU"/>
        </w:rPr>
        <w:t>.</w:t>
      </w:r>
    </w:p>
    <w:p w14:paraId="556CB9B4" w14:textId="434CCF21" w:rsidR="00E37387" w:rsidRDefault="00E37387" w:rsidP="00960F58">
      <w:pPr>
        <w:pStyle w:val="ListBullet"/>
        <w:rPr>
          <w:lang w:eastAsia="en-AU"/>
        </w:rPr>
      </w:pPr>
      <w:r>
        <w:rPr>
          <w:lang w:eastAsia="en-AU"/>
        </w:rPr>
        <w:t xml:space="preserve">There remains some uncertainty as to the Family Courts power to make an order which </w:t>
      </w:r>
      <w:r w:rsidR="00997B90">
        <w:rPr>
          <w:lang w:eastAsia="en-AU"/>
        </w:rPr>
        <w:t>places a child with a State or t</w:t>
      </w:r>
      <w:r>
        <w:rPr>
          <w:lang w:eastAsia="en-AU"/>
        </w:rPr>
        <w:t>erritory based child protection department w</w:t>
      </w:r>
      <w:r w:rsidR="00017B0A">
        <w:rPr>
          <w:lang w:eastAsia="en-AU"/>
        </w:rPr>
        <w:t>ithout the department’s consent</w:t>
      </w:r>
      <w:r w:rsidR="00960F58">
        <w:rPr>
          <w:lang w:eastAsia="en-AU"/>
        </w:rPr>
        <w:t>.</w:t>
      </w:r>
    </w:p>
    <w:p w14:paraId="471D18A4" w14:textId="088131AD" w:rsidR="00E37387" w:rsidRDefault="00E37387" w:rsidP="00960F58">
      <w:pPr>
        <w:pStyle w:val="ListBullet"/>
        <w:rPr>
          <w:lang w:eastAsia="en-AU"/>
        </w:rPr>
      </w:pPr>
      <w:r>
        <w:rPr>
          <w:lang w:eastAsia="en-AU"/>
        </w:rPr>
        <w:t>Investigations that are conducted by the child protection departments in a family law context are completed within the child protection framework for risk assessment, which has a higher threshold for substantiation and involvement</w:t>
      </w:r>
      <w:r w:rsidR="00960F58">
        <w:rPr>
          <w:lang w:eastAsia="en-AU"/>
        </w:rPr>
        <w:t>.</w:t>
      </w:r>
    </w:p>
    <w:p w14:paraId="424714C9" w14:textId="09A54B39" w:rsidR="00E37387" w:rsidRDefault="00E37387" w:rsidP="00960F58">
      <w:pPr>
        <w:pStyle w:val="ListBullet"/>
        <w:rPr>
          <w:lang w:eastAsia="en-AU"/>
        </w:rPr>
      </w:pPr>
      <w:r>
        <w:rPr>
          <w:lang w:eastAsia="en-AU"/>
        </w:rPr>
        <w:t>Concerns that disgruntled parties may use the fragmented system to ‘forum shop’ so as to re-litigate issues within a different court to obtain a different outcome, leading to re-telling stories and compounding trauma</w:t>
      </w:r>
      <w:r w:rsidR="00960F58">
        <w:rPr>
          <w:lang w:eastAsia="en-AU"/>
        </w:rPr>
        <w:t>.</w:t>
      </w:r>
      <w:r>
        <w:rPr>
          <w:rStyle w:val="FootnoteReference"/>
          <w:lang w:eastAsia="en-AU"/>
        </w:rPr>
        <w:footnoteReference w:id="94"/>
      </w:r>
    </w:p>
    <w:p w14:paraId="3BF52841" w14:textId="7D5784BF" w:rsidR="00E37387" w:rsidRDefault="00960F58" w:rsidP="00960F58">
      <w:pPr>
        <w:pStyle w:val="ListBullet"/>
        <w:rPr>
          <w:lang w:eastAsia="en-AU"/>
        </w:rPr>
      </w:pPr>
      <w:r>
        <w:rPr>
          <w:lang w:eastAsia="en-AU"/>
        </w:rPr>
        <w:t>General lack of co</w:t>
      </w:r>
      <w:r w:rsidR="00E37387">
        <w:rPr>
          <w:lang w:eastAsia="en-AU"/>
        </w:rPr>
        <w:t>operation between jurisdictions including the sharing</w:t>
      </w:r>
      <w:r w:rsidR="00017B0A">
        <w:rPr>
          <w:lang w:eastAsia="en-AU"/>
        </w:rPr>
        <w:t xml:space="preserve"> of information between courts</w:t>
      </w:r>
      <w:r>
        <w:rPr>
          <w:lang w:eastAsia="en-AU"/>
        </w:rPr>
        <w:t>.</w:t>
      </w:r>
    </w:p>
    <w:p w14:paraId="47161929" w14:textId="4B9A2E2F" w:rsidR="00E37387" w:rsidRDefault="00E37387" w:rsidP="00086408">
      <w:pPr>
        <w:spacing w:line="276" w:lineRule="auto"/>
        <w:rPr>
          <w:lang w:eastAsia="en-AU"/>
        </w:rPr>
      </w:pPr>
      <w:r>
        <w:rPr>
          <w:lang w:eastAsia="en-AU"/>
        </w:rPr>
        <w:t>The Magellan list in the Family Cour</w:t>
      </w:r>
      <w:r w:rsidR="000B797C">
        <w:rPr>
          <w:lang w:eastAsia="en-AU"/>
        </w:rPr>
        <w:t>t is an example of effective co</w:t>
      </w:r>
      <w:r>
        <w:rPr>
          <w:lang w:eastAsia="en-AU"/>
        </w:rPr>
        <w:t>operation between the Family Court and the child protection system. Key aspects of the program are</w:t>
      </w:r>
      <w:r w:rsidR="00017B0A">
        <w:rPr>
          <w:lang w:eastAsia="en-AU"/>
        </w:rPr>
        <w:t>:</w:t>
      </w:r>
      <w:r>
        <w:rPr>
          <w:rStyle w:val="FootnoteReference"/>
          <w:lang w:eastAsia="en-AU"/>
        </w:rPr>
        <w:footnoteReference w:id="95"/>
      </w:r>
    </w:p>
    <w:p w14:paraId="35D001AD" w14:textId="5A88DBE7" w:rsidR="00E37387" w:rsidRDefault="00E37387" w:rsidP="00960F58">
      <w:pPr>
        <w:pStyle w:val="ListBullet"/>
        <w:rPr>
          <w:lang w:eastAsia="en-AU"/>
        </w:rPr>
      </w:pPr>
      <w:r>
        <w:rPr>
          <w:lang w:eastAsia="en-AU"/>
        </w:rPr>
        <w:t>ha</w:t>
      </w:r>
      <w:r w:rsidR="00017B0A">
        <w:rPr>
          <w:lang w:eastAsia="en-AU"/>
        </w:rPr>
        <w:t>ving a judge manage the process</w:t>
      </w:r>
    </w:p>
    <w:p w14:paraId="07DD2424" w14:textId="103E2449" w:rsidR="00E37387" w:rsidRDefault="00E37387" w:rsidP="00960F58">
      <w:pPr>
        <w:pStyle w:val="ListBullet"/>
        <w:rPr>
          <w:lang w:eastAsia="en-AU"/>
        </w:rPr>
      </w:pPr>
      <w:r>
        <w:rPr>
          <w:lang w:eastAsia="en-AU"/>
        </w:rPr>
        <w:t>cooperation with other organisations, such as DHHS, which h</w:t>
      </w:r>
      <w:r w:rsidR="00017B0A">
        <w:rPr>
          <w:lang w:eastAsia="en-AU"/>
        </w:rPr>
        <w:t>ave had contact with the family</w:t>
      </w:r>
    </w:p>
    <w:p w14:paraId="49C027D5" w14:textId="62C85FBF" w:rsidR="00E37387" w:rsidRDefault="00E37387" w:rsidP="00960F58">
      <w:pPr>
        <w:pStyle w:val="ListBullet"/>
        <w:rPr>
          <w:lang w:eastAsia="en-AU"/>
        </w:rPr>
      </w:pPr>
      <w:r>
        <w:rPr>
          <w:lang w:eastAsia="en-AU"/>
        </w:rPr>
        <w:t>a focus on the children in the disput</w:t>
      </w:r>
      <w:r w:rsidR="000B797C">
        <w:rPr>
          <w:lang w:eastAsia="en-AU"/>
        </w:rPr>
        <w:t>e – with the appointment of an i</w:t>
      </w:r>
      <w:r>
        <w:rPr>
          <w:lang w:eastAsia="en-AU"/>
        </w:rPr>
        <w:t xml:space="preserve">ndependent </w:t>
      </w:r>
      <w:r w:rsidR="000B797C">
        <w:rPr>
          <w:lang w:eastAsia="en-AU"/>
        </w:rPr>
        <w:t>c</w:t>
      </w:r>
      <w:r>
        <w:rPr>
          <w:lang w:eastAsia="en-AU"/>
        </w:rPr>
        <w:t xml:space="preserve">hildren’s </w:t>
      </w:r>
      <w:r w:rsidR="000B797C">
        <w:rPr>
          <w:lang w:eastAsia="en-AU"/>
        </w:rPr>
        <w:t>l</w:t>
      </w:r>
      <w:r>
        <w:rPr>
          <w:lang w:eastAsia="en-AU"/>
        </w:rPr>
        <w:t>awyer (ICL) in almost all ca</w:t>
      </w:r>
      <w:r w:rsidR="00017B0A">
        <w:rPr>
          <w:lang w:eastAsia="en-AU"/>
        </w:rPr>
        <w:t>ses</w:t>
      </w:r>
    </w:p>
    <w:p w14:paraId="6BC4FD67" w14:textId="3E6901B6" w:rsidR="00E37387" w:rsidRDefault="00A21EA3" w:rsidP="00960F58">
      <w:pPr>
        <w:pStyle w:val="ListBullet"/>
        <w:rPr>
          <w:lang w:eastAsia="en-AU"/>
        </w:rPr>
      </w:pPr>
      <w:r>
        <w:rPr>
          <w:lang w:eastAsia="en-AU"/>
        </w:rPr>
        <w:t>t</w:t>
      </w:r>
      <w:r w:rsidR="000B797C">
        <w:rPr>
          <w:lang w:eastAsia="en-AU"/>
        </w:rPr>
        <w:t>he c</w:t>
      </w:r>
      <w:r w:rsidR="00E37387">
        <w:rPr>
          <w:lang w:eastAsia="en-AU"/>
        </w:rPr>
        <w:t>ourt’s ability to order expert investigations and assessments from the respective state/territory child protection agency a</w:t>
      </w:r>
      <w:r w:rsidR="00960F58">
        <w:rPr>
          <w:lang w:eastAsia="en-AU"/>
        </w:rPr>
        <w:t>nd/or a court family consultant,</w:t>
      </w:r>
      <w:r w:rsidR="00E37387">
        <w:rPr>
          <w:lang w:eastAsia="en-AU"/>
        </w:rPr>
        <w:t xml:space="preserve"> and</w:t>
      </w:r>
    </w:p>
    <w:p w14:paraId="7F3A4F40" w14:textId="514FC9D8" w:rsidR="00E37387" w:rsidRDefault="00017B0A" w:rsidP="00960F58">
      <w:pPr>
        <w:pStyle w:val="ListBullet"/>
        <w:rPr>
          <w:lang w:eastAsia="en-AU"/>
        </w:rPr>
      </w:pPr>
      <w:r>
        <w:rPr>
          <w:lang w:eastAsia="en-AU"/>
        </w:rPr>
        <w:lastRenderedPageBreak/>
        <w:t>tight time frames</w:t>
      </w:r>
      <w:r w:rsidR="00960F58">
        <w:rPr>
          <w:lang w:eastAsia="en-AU"/>
        </w:rPr>
        <w:t>.</w:t>
      </w:r>
    </w:p>
    <w:p w14:paraId="7AFF4DBF" w14:textId="100AA687" w:rsidR="00E37387" w:rsidRDefault="00E37387" w:rsidP="00086408">
      <w:pPr>
        <w:spacing w:line="276" w:lineRule="auto"/>
        <w:rPr>
          <w:lang w:eastAsia="en-AU"/>
        </w:rPr>
      </w:pPr>
      <w:r>
        <w:rPr>
          <w:lang w:eastAsia="en-AU"/>
        </w:rPr>
        <w:t xml:space="preserve">There are distinct issues that arise where proceedings are transferred from the Family Courts into the Children’s Court and vice versa, that </w:t>
      </w:r>
      <w:r w:rsidR="00960F58">
        <w:rPr>
          <w:lang w:eastAsia="en-AU"/>
        </w:rPr>
        <w:t xml:space="preserve">are less frequently described. </w:t>
      </w:r>
      <w:r>
        <w:rPr>
          <w:lang w:eastAsia="en-AU"/>
        </w:rPr>
        <w:t>The issues may be summarised as follows:</w:t>
      </w:r>
    </w:p>
    <w:p w14:paraId="2F569033" w14:textId="060FC4B6" w:rsidR="00E37387" w:rsidRDefault="00E37387" w:rsidP="00960F58">
      <w:pPr>
        <w:pStyle w:val="ListBullet"/>
        <w:rPr>
          <w:lang w:eastAsia="en-AU"/>
        </w:rPr>
      </w:pPr>
      <w:r>
        <w:rPr>
          <w:lang w:eastAsia="en-AU"/>
        </w:rPr>
        <w:t>uncertainty as to whether the Children’s Court is able to make family law o</w:t>
      </w:r>
      <w:r w:rsidR="00017B0A">
        <w:rPr>
          <w:lang w:eastAsia="en-AU"/>
        </w:rPr>
        <w:t>rders, such as parenting orders</w:t>
      </w:r>
    </w:p>
    <w:p w14:paraId="26E6B917" w14:textId="449129C4" w:rsidR="00E37387" w:rsidRDefault="00E37387" w:rsidP="00960F58">
      <w:pPr>
        <w:pStyle w:val="ListBullet"/>
        <w:rPr>
          <w:lang w:eastAsia="en-AU"/>
        </w:rPr>
      </w:pPr>
      <w:r>
        <w:rPr>
          <w:lang w:eastAsia="en-AU"/>
        </w:rPr>
        <w:t>a lack of familiarity, on the part of practitioners and Children’s Court Magistrates, resulting in confusion as to the process for transferring matter</w:t>
      </w:r>
      <w:r w:rsidR="00017B0A">
        <w:rPr>
          <w:lang w:eastAsia="en-AU"/>
        </w:rPr>
        <w:t>s into the federal jurisdiction</w:t>
      </w:r>
    </w:p>
    <w:p w14:paraId="7C57628C" w14:textId="77777777" w:rsidR="00E37387" w:rsidRDefault="00E37387" w:rsidP="00960F58">
      <w:pPr>
        <w:pStyle w:val="ListBullet"/>
        <w:rPr>
          <w:lang w:eastAsia="en-AU"/>
        </w:rPr>
      </w:pPr>
      <w:r>
        <w:rPr>
          <w:lang w:eastAsia="en-AU"/>
        </w:rPr>
        <w:t xml:space="preserve">a lack of practitioner knowledge and expertise in family law matters </w:t>
      </w:r>
      <w:r w:rsidR="00A21EA3">
        <w:rPr>
          <w:lang w:eastAsia="en-AU"/>
        </w:rPr>
        <w:t xml:space="preserve">resulting in a lack of </w:t>
      </w:r>
      <w:r>
        <w:rPr>
          <w:lang w:eastAsia="en-AU"/>
        </w:rPr>
        <w:t>awareness of options available to clients within the federal jurisdiction.</w:t>
      </w:r>
    </w:p>
    <w:p w14:paraId="3F6C81BB" w14:textId="66EBC4B8" w:rsidR="00E37387" w:rsidRDefault="00E37387" w:rsidP="00086408">
      <w:pPr>
        <w:spacing w:line="276" w:lineRule="auto"/>
        <w:rPr>
          <w:lang w:eastAsia="en-AU"/>
        </w:rPr>
      </w:pPr>
      <w:r>
        <w:rPr>
          <w:lang w:eastAsia="en-AU"/>
        </w:rPr>
        <w:t>The Australian Law Reform Commission’s r</w:t>
      </w:r>
      <w:r w:rsidR="00A21EA3">
        <w:rPr>
          <w:lang w:eastAsia="en-AU"/>
        </w:rPr>
        <w:t>eport on Family Violence (2010)</w:t>
      </w:r>
      <w:r w:rsidR="00A21EA3">
        <w:rPr>
          <w:rStyle w:val="FootnoteReference"/>
          <w:lang w:eastAsia="en-AU"/>
        </w:rPr>
        <w:footnoteReference w:id="96"/>
      </w:r>
      <w:r>
        <w:rPr>
          <w:lang w:eastAsia="en-AU"/>
        </w:rPr>
        <w:t xml:space="preserve"> described three stages or intersections when a decision as to w</w:t>
      </w:r>
      <w:r w:rsidR="001873B0">
        <w:rPr>
          <w:lang w:eastAsia="en-AU"/>
        </w:rPr>
        <w:t>hether a case should be in the F</w:t>
      </w:r>
      <w:r>
        <w:rPr>
          <w:lang w:eastAsia="en-AU"/>
        </w:rPr>
        <w:t>amily</w:t>
      </w:r>
      <w:r w:rsidR="00A21EA3">
        <w:rPr>
          <w:lang w:eastAsia="en-AU"/>
        </w:rPr>
        <w:t xml:space="preserve"> or </w:t>
      </w:r>
      <w:r w:rsidR="001873B0">
        <w:rPr>
          <w:lang w:eastAsia="en-AU"/>
        </w:rPr>
        <w:t>C</w:t>
      </w:r>
      <w:r w:rsidR="00A21EA3">
        <w:rPr>
          <w:lang w:eastAsia="en-AU"/>
        </w:rPr>
        <w:t>hildren’s court may arise:</w:t>
      </w:r>
    </w:p>
    <w:p w14:paraId="40B9B9ED" w14:textId="30DDB4F0" w:rsidR="00A21EA3" w:rsidRDefault="00E37387" w:rsidP="00586C70">
      <w:pPr>
        <w:pStyle w:val="VLA1"/>
        <w:numPr>
          <w:ilvl w:val="0"/>
          <w:numId w:val="52"/>
        </w:numPr>
        <w:rPr>
          <w:lang w:eastAsia="en-AU"/>
        </w:rPr>
      </w:pPr>
      <w:r>
        <w:rPr>
          <w:lang w:eastAsia="en-AU"/>
        </w:rPr>
        <w:t>during DHHS investigation, prior to the commencement of proceedings in the Children’s Court, when risk has been substantiated but a protective carer is identified and a reference</w:t>
      </w:r>
      <w:r w:rsidR="000B797C">
        <w:rPr>
          <w:lang w:eastAsia="en-AU"/>
        </w:rPr>
        <w:t xml:space="preserve"> to a family court is possible</w:t>
      </w:r>
    </w:p>
    <w:p w14:paraId="301E8E84" w14:textId="2C417312" w:rsidR="00E37387" w:rsidRDefault="00E37387" w:rsidP="00960F58">
      <w:pPr>
        <w:pStyle w:val="VLA1"/>
        <w:rPr>
          <w:lang w:eastAsia="en-AU"/>
        </w:rPr>
      </w:pPr>
      <w:r>
        <w:rPr>
          <w:lang w:eastAsia="en-AU"/>
        </w:rPr>
        <w:t>where proceedings have been commenced in the Children’s Court but a protective carer has been identified and the risks are such that the DHHS are seeking to withdraw upon attainment of famil</w:t>
      </w:r>
      <w:r w:rsidR="000B797C">
        <w:rPr>
          <w:lang w:eastAsia="en-AU"/>
        </w:rPr>
        <w:t>y law orders securing placement,</w:t>
      </w:r>
      <w:r>
        <w:rPr>
          <w:lang w:eastAsia="en-AU"/>
        </w:rPr>
        <w:t xml:space="preserve"> and </w:t>
      </w:r>
    </w:p>
    <w:p w14:paraId="1F4E3A7E" w14:textId="77777777" w:rsidR="00E37387" w:rsidRDefault="00E37387" w:rsidP="00960F58">
      <w:pPr>
        <w:pStyle w:val="VLA1"/>
        <w:rPr>
          <w:lang w:eastAsia="en-AU"/>
        </w:rPr>
      </w:pPr>
      <w:r>
        <w:rPr>
          <w:lang w:eastAsia="en-AU"/>
        </w:rPr>
        <w:t>after a hearing in the Children’s Court, where protective matters are resolved (w</w:t>
      </w:r>
      <w:r w:rsidR="00A21EA3">
        <w:rPr>
          <w:lang w:eastAsia="en-AU"/>
        </w:rPr>
        <w:t>h</w:t>
      </w:r>
      <w:r>
        <w:rPr>
          <w:lang w:eastAsia="en-AU"/>
        </w:rPr>
        <w:t>ether by withdrawal or expiration of a protective order) but a dispute remains between the parents as to who the child shall live with or spend time with.</w:t>
      </w:r>
      <w:r w:rsidR="00A20D4E">
        <w:rPr>
          <w:rStyle w:val="FootnoteReference"/>
          <w:lang w:eastAsia="en-AU"/>
        </w:rPr>
        <w:footnoteReference w:id="97"/>
      </w:r>
      <w:r>
        <w:rPr>
          <w:lang w:eastAsia="en-AU"/>
        </w:rPr>
        <w:t xml:space="preserve"> </w:t>
      </w:r>
    </w:p>
    <w:p w14:paraId="1726B3C4" w14:textId="44E2831F" w:rsidR="00E37387" w:rsidRDefault="00E37387" w:rsidP="00086408">
      <w:pPr>
        <w:spacing w:line="276" w:lineRule="auto"/>
        <w:rPr>
          <w:lang w:eastAsia="en-AU"/>
        </w:rPr>
      </w:pPr>
      <w:r>
        <w:rPr>
          <w:lang w:eastAsia="en-AU"/>
        </w:rPr>
        <w:t xml:space="preserve">From a client perspective, traversing the two jurisdictions can be confusing, time-consuming and repetitive. Only </w:t>
      </w:r>
      <w:r w:rsidR="000B797C">
        <w:rPr>
          <w:lang w:eastAsia="en-AU"/>
        </w:rPr>
        <w:t>four</w:t>
      </w:r>
      <w:r w:rsidR="008D2363">
        <w:rPr>
          <w:lang w:eastAsia="en-AU"/>
        </w:rPr>
        <w:t xml:space="preserve"> firms</w:t>
      </w:r>
      <w:r>
        <w:rPr>
          <w:lang w:eastAsia="en-AU"/>
        </w:rPr>
        <w:t xml:space="preserve"> on the Melbourne metropolitan s</w:t>
      </w:r>
      <w:r w:rsidR="000B797C">
        <w:rPr>
          <w:lang w:eastAsia="en-AU"/>
        </w:rPr>
        <w:t xml:space="preserve">. </w:t>
      </w:r>
      <w:r>
        <w:rPr>
          <w:lang w:eastAsia="en-AU"/>
        </w:rPr>
        <w:t xml:space="preserve">29A Child Protection panel are also on the Family Law or ICL panels, which means that there is a limited number who can deliver high quality services needed by </w:t>
      </w:r>
      <w:r w:rsidR="00A21EA3">
        <w:rPr>
          <w:lang w:eastAsia="en-AU"/>
        </w:rPr>
        <w:t>clients in both jurisdictions.</w:t>
      </w:r>
      <w:r w:rsidR="000D5DE5">
        <w:rPr>
          <w:lang w:eastAsia="en-AU"/>
        </w:rPr>
        <w:t xml:space="preserve"> </w:t>
      </w:r>
      <w:r w:rsidR="003E679D">
        <w:rPr>
          <w:lang w:eastAsia="en-AU"/>
        </w:rPr>
        <w:t>By comparison, there are 36 regional firms who sit on the s</w:t>
      </w:r>
      <w:r w:rsidR="000B797C">
        <w:rPr>
          <w:lang w:eastAsia="en-AU"/>
        </w:rPr>
        <w:t xml:space="preserve">. </w:t>
      </w:r>
      <w:r w:rsidR="003E679D">
        <w:rPr>
          <w:lang w:eastAsia="en-AU"/>
        </w:rPr>
        <w:t xml:space="preserve">29A Child Protection panel and also the Family Law or ICL panels. </w:t>
      </w:r>
    </w:p>
    <w:p w14:paraId="2178193E" w14:textId="77777777" w:rsidR="00960F58" w:rsidRDefault="00E37387" w:rsidP="00960F58">
      <w:pPr>
        <w:spacing w:line="276" w:lineRule="auto"/>
        <w:rPr>
          <w:lang w:eastAsia="en-AU"/>
        </w:rPr>
      </w:pPr>
      <w:r>
        <w:rPr>
          <w:lang w:eastAsia="en-AU"/>
        </w:rPr>
        <w:t>In the case of children who have been represented on a direct interest model in the Children’s Court, a change of jurisdiction to the Family Court can mean no lawyer, a new lawyer or a different type of lawyer, one that acts on ‘best interests’.</w:t>
      </w:r>
      <w:bookmarkStart w:id="40" w:name="_Toc465244419"/>
    </w:p>
    <w:p w14:paraId="055731DE" w14:textId="31C303DE" w:rsidR="00A21EA3" w:rsidRDefault="00A21EA3" w:rsidP="00960F58">
      <w:pPr>
        <w:pStyle w:val="Heading3"/>
      </w:pPr>
      <w:r>
        <w:lastRenderedPageBreak/>
        <w:t>Example 2: Mental Health and disability law</w:t>
      </w:r>
      <w:bookmarkEnd w:id="40"/>
    </w:p>
    <w:p w14:paraId="7D20D1B5" w14:textId="77777777" w:rsidR="00A21EA3" w:rsidRDefault="00A21EA3" w:rsidP="00086408">
      <w:pPr>
        <w:spacing w:line="276" w:lineRule="auto"/>
        <w:rPr>
          <w:lang w:eastAsia="en-AU"/>
        </w:rPr>
      </w:pPr>
      <w:r>
        <w:rPr>
          <w:lang w:eastAsia="en-AU"/>
        </w:rPr>
        <w:t>The presence of mental health problems, cognitive impairment or intellectual disability may be seen by child protection authorities as ‘key risk factors’ for child abuse and neglect</w:t>
      </w:r>
      <w:r>
        <w:rPr>
          <w:rStyle w:val="FootnoteReference"/>
          <w:lang w:eastAsia="en-AU"/>
        </w:rPr>
        <w:footnoteReference w:id="98"/>
      </w:r>
      <w:r>
        <w:rPr>
          <w:lang w:eastAsia="en-AU"/>
        </w:rPr>
        <w:t xml:space="preserve">. One or more of these factors are often present for families engaged with the child protection system. </w:t>
      </w:r>
    </w:p>
    <w:p w14:paraId="6F1A1891" w14:textId="79C85406" w:rsidR="00A21EA3" w:rsidRDefault="00A21EA3" w:rsidP="00086408">
      <w:pPr>
        <w:spacing w:line="276" w:lineRule="auto"/>
        <w:ind w:left="720"/>
        <w:rPr>
          <w:lang w:eastAsia="en-AU"/>
        </w:rPr>
      </w:pPr>
      <w:r>
        <w:rPr>
          <w:lang w:eastAsia="en-AU"/>
        </w:rPr>
        <w:t>An estimated 24% of all Victorian children are listed on a Health Care Card, indicating some form of disadvantage or parental ill health or disability. The risk factor that most commonly affects Victorian families with a child entering school is a history of paren</w:t>
      </w:r>
      <w:r w:rsidR="00506CF9">
        <w:rPr>
          <w:lang w:eastAsia="en-AU"/>
        </w:rPr>
        <w:t>tal mental health issues (6.5%)</w:t>
      </w:r>
      <w:r w:rsidR="00506CF9">
        <w:rPr>
          <w:rStyle w:val="FootnoteReference"/>
          <w:lang w:eastAsia="en-AU"/>
        </w:rPr>
        <w:footnoteReference w:id="99"/>
      </w:r>
    </w:p>
    <w:p w14:paraId="572D70C7" w14:textId="74D489CA" w:rsidR="00A21EA3" w:rsidRDefault="00A21EA3" w:rsidP="00086408">
      <w:pPr>
        <w:spacing w:line="276" w:lineRule="auto"/>
        <w:ind w:left="720"/>
        <w:rPr>
          <w:lang w:eastAsia="en-AU"/>
        </w:rPr>
      </w:pPr>
      <w:r>
        <w:rPr>
          <w:lang w:eastAsia="en-AU"/>
        </w:rPr>
        <w:t>Aboriginal children (7.4%), males (5.6%), children from the most disadvantaged areas (4.5%) and children from one parent families (6.0%) were more likely to have an intellectual disability, learning dis</w:t>
      </w:r>
      <w:r w:rsidR="00017B0A">
        <w:rPr>
          <w:lang w:eastAsia="en-AU"/>
        </w:rPr>
        <w:t>ability or developmental delay</w:t>
      </w:r>
      <w:r w:rsidR="00506CF9">
        <w:rPr>
          <w:rStyle w:val="FootnoteReference"/>
          <w:lang w:eastAsia="en-AU"/>
        </w:rPr>
        <w:footnoteReference w:id="100"/>
      </w:r>
    </w:p>
    <w:p w14:paraId="054C771C" w14:textId="77777777" w:rsidR="00A21EA3" w:rsidRDefault="00A21EA3" w:rsidP="00086408">
      <w:pPr>
        <w:spacing w:line="276" w:lineRule="auto"/>
        <w:ind w:left="720"/>
        <w:rPr>
          <w:lang w:eastAsia="en-AU"/>
        </w:rPr>
      </w:pPr>
      <w:r>
        <w:rPr>
          <w:lang w:eastAsia="en-AU"/>
        </w:rPr>
        <w:t>Children in OOHC were 11 times more likely to attend a ‘special school’ than the general population.</w:t>
      </w:r>
      <w:r w:rsidR="00506CF9">
        <w:rPr>
          <w:rStyle w:val="FootnoteReference"/>
          <w:lang w:eastAsia="en-AU"/>
        </w:rPr>
        <w:footnoteReference w:id="101"/>
      </w:r>
    </w:p>
    <w:p w14:paraId="61822777" w14:textId="4B9D91B3" w:rsidR="00A21EA3" w:rsidRDefault="00A21EA3" w:rsidP="00086408">
      <w:pPr>
        <w:spacing w:line="276" w:lineRule="auto"/>
        <w:rPr>
          <w:lang w:eastAsia="en-AU"/>
        </w:rPr>
      </w:pPr>
      <w:r>
        <w:rPr>
          <w:lang w:eastAsia="en-AU"/>
        </w:rPr>
        <w:t>The</w:t>
      </w:r>
      <w:r w:rsidR="00960F58">
        <w:rPr>
          <w:lang w:eastAsia="en-AU"/>
        </w:rPr>
        <w:t>se disabilities may affect the ‘</w:t>
      </w:r>
      <w:r>
        <w:rPr>
          <w:lang w:eastAsia="en-AU"/>
        </w:rPr>
        <w:t>capacity</w:t>
      </w:r>
      <w:r w:rsidR="00960F58">
        <w:rPr>
          <w:lang w:eastAsia="en-AU"/>
        </w:rPr>
        <w:t>’</w:t>
      </w:r>
      <w:r>
        <w:rPr>
          <w:lang w:eastAsia="en-AU"/>
        </w:rPr>
        <w:t xml:space="preserve"> of the parent, child or young person to be involved in proceedings. Generally, there is a presumption of capacity – the ability to understand </w:t>
      </w:r>
      <w:r w:rsidRPr="00506CF9">
        <w:rPr>
          <w:i/>
          <w:lang w:eastAsia="en-AU"/>
        </w:rPr>
        <w:t>the nature and possible consequences</w:t>
      </w:r>
      <w:r>
        <w:rPr>
          <w:lang w:eastAsia="en-AU"/>
        </w:rPr>
        <w:t xml:space="preserve"> of the proceeding or </w:t>
      </w:r>
      <w:r w:rsidRPr="00506CF9">
        <w:rPr>
          <w:i/>
          <w:lang w:eastAsia="en-AU"/>
        </w:rPr>
        <w:t>capable of adequately conducting or giving reliable instructions</w:t>
      </w:r>
      <w:r>
        <w:rPr>
          <w:lang w:eastAsia="en-AU"/>
        </w:rPr>
        <w:t>. Where a person lacks capacity the conduct of their proceedings can be undertaken by a person who does</w:t>
      </w:r>
      <w:r w:rsidR="00F71279">
        <w:rPr>
          <w:lang w:eastAsia="en-AU"/>
        </w:rPr>
        <w:t xml:space="preserve"> not suffer their limitations.</w:t>
      </w:r>
    </w:p>
    <w:p w14:paraId="5930E635" w14:textId="528FA690" w:rsidR="00A21EA3" w:rsidRDefault="00A21EA3" w:rsidP="00086408">
      <w:pPr>
        <w:spacing w:line="276" w:lineRule="auto"/>
        <w:rPr>
          <w:lang w:eastAsia="en-AU"/>
        </w:rPr>
      </w:pPr>
      <w:r>
        <w:rPr>
          <w:lang w:eastAsia="en-AU"/>
        </w:rPr>
        <w:t xml:space="preserve">A number of different terms are used to describe the legal position of the person who takes on the role of conduct of the proceedings for the </w:t>
      </w:r>
      <w:r w:rsidR="00D71943">
        <w:rPr>
          <w:lang w:eastAsia="en-AU"/>
        </w:rPr>
        <w:t>person deemed to lack capacity –</w:t>
      </w:r>
      <w:r>
        <w:rPr>
          <w:lang w:eastAsia="en-AU"/>
        </w:rPr>
        <w:t xml:space="preserve"> such as </w:t>
      </w:r>
      <w:r w:rsidR="00D71943">
        <w:rPr>
          <w:lang w:eastAsia="en-AU"/>
        </w:rPr>
        <w:t>‘</w:t>
      </w:r>
      <w:r w:rsidR="00D71943">
        <w:rPr>
          <w:i/>
          <w:lang w:eastAsia="en-AU"/>
        </w:rPr>
        <w:t>next friend’</w:t>
      </w:r>
      <w:r w:rsidRPr="00506CF9">
        <w:rPr>
          <w:i/>
          <w:lang w:eastAsia="en-AU"/>
        </w:rPr>
        <w:t xml:space="preserve">, </w:t>
      </w:r>
      <w:r w:rsidR="00D71943">
        <w:rPr>
          <w:i/>
          <w:lang w:eastAsia="en-AU"/>
        </w:rPr>
        <w:t>‘</w:t>
      </w:r>
      <w:r w:rsidRPr="00506CF9">
        <w:rPr>
          <w:i/>
          <w:lang w:eastAsia="en-AU"/>
        </w:rPr>
        <w:t>guardian ad litem</w:t>
      </w:r>
      <w:r w:rsidR="00D71943">
        <w:rPr>
          <w:i/>
          <w:lang w:eastAsia="en-AU"/>
        </w:rPr>
        <w:t>’</w:t>
      </w:r>
      <w:r w:rsidRPr="00506CF9">
        <w:rPr>
          <w:i/>
          <w:lang w:eastAsia="en-AU"/>
        </w:rPr>
        <w:t xml:space="preserve">, </w:t>
      </w:r>
      <w:r w:rsidR="00D71943">
        <w:rPr>
          <w:i/>
          <w:lang w:eastAsia="en-AU"/>
        </w:rPr>
        <w:t>‘</w:t>
      </w:r>
      <w:r w:rsidRPr="00506CF9">
        <w:rPr>
          <w:i/>
          <w:lang w:eastAsia="en-AU"/>
        </w:rPr>
        <w:t>litigation guardian</w:t>
      </w:r>
      <w:r w:rsidR="00D71943">
        <w:rPr>
          <w:i/>
          <w:lang w:eastAsia="en-AU"/>
        </w:rPr>
        <w:t>’</w:t>
      </w:r>
      <w:r>
        <w:rPr>
          <w:lang w:eastAsia="en-AU"/>
        </w:rPr>
        <w:t xml:space="preserve">, or </w:t>
      </w:r>
      <w:r w:rsidR="00D71943">
        <w:rPr>
          <w:lang w:eastAsia="en-AU"/>
        </w:rPr>
        <w:t>‘</w:t>
      </w:r>
      <w:r w:rsidRPr="00506CF9">
        <w:rPr>
          <w:lang w:eastAsia="en-AU"/>
        </w:rPr>
        <w:t>case guardian</w:t>
      </w:r>
      <w:r w:rsidR="00D71943">
        <w:rPr>
          <w:lang w:eastAsia="en-AU"/>
        </w:rPr>
        <w:t>’</w:t>
      </w:r>
      <w:r w:rsidRPr="00506CF9">
        <w:rPr>
          <w:lang w:eastAsia="en-AU"/>
        </w:rPr>
        <w:t>.</w:t>
      </w:r>
      <w:r>
        <w:rPr>
          <w:lang w:eastAsia="en-AU"/>
        </w:rPr>
        <w:t xml:space="preserve"> In Victoria, the Office of the Public Advocate (OPA) advocates on behalf of persons deemed incapable. As litigation guardian, they may also apply for a grant of legal assistance</w:t>
      </w:r>
      <w:r w:rsidR="00D71943">
        <w:rPr>
          <w:lang w:eastAsia="en-AU"/>
        </w:rPr>
        <w:t xml:space="preserve"> as they effectively ‘</w:t>
      </w:r>
      <w:r>
        <w:rPr>
          <w:lang w:eastAsia="en-AU"/>
        </w:rPr>
        <w:t>stand in the shoes</w:t>
      </w:r>
      <w:r w:rsidR="00D71943">
        <w:rPr>
          <w:lang w:eastAsia="en-AU"/>
        </w:rPr>
        <w:t>’</w:t>
      </w:r>
      <w:r>
        <w:rPr>
          <w:lang w:eastAsia="en-AU"/>
        </w:rPr>
        <w:t xml:space="preserve"> of the person they advocate on behalf of. </w:t>
      </w:r>
    </w:p>
    <w:p w14:paraId="43FC6143" w14:textId="6FE970DC" w:rsidR="00A21EA3" w:rsidRDefault="00A21EA3" w:rsidP="00086408">
      <w:pPr>
        <w:spacing w:line="276" w:lineRule="auto"/>
        <w:rPr>
          <w:lang w:eastAsia="en-AU"/>
        </w:rPr>
      </w:pPr>
      <w:r>
        <w:rPr>
          <w:lang w:eastAsia="en-AU"/>
        </w:rPr>
        <w:t xml:space="preserve">There have been occasions where, following the request of the Children’s court, a member of the OPA has advocated on behalf of a person with a disability. This service has only been extended to clients in metropolitan Melbourne. The OPA is not currently resourced to assist clients in their capacity as </w:t>
      </w:r>
      <w:r w:rsidR="00D71943">
        <w:rPr>
          <w:lang w:eastAsia="en-AU"/>
        </w:rPr>
        <w:t>‘</w:t>
      </w:r>
      <w:r>
        <w:rPr>
          <w:lang w:eastAsia="en-AU"/>
        </w:rPr>
        <w:t>litigation guardian</w:t>
      </w:r>
      <w:r w:rsidR="00D71943">
        <w:rPr>
          <w:lang w:eastAsia="en-AU"/>
        </w:rPr>
        <w:t>’</w:t>
      </w:r>
      <w:r>
        <w:rPr>
          <w:lang w:eastAsia="en-AU"/>
        </w:rPr>
        <w:t xml:space="preserve"> in the Children’s Court jurisdiction.</w:t>
      </w:r>
    </w:p>
    <w:p w14:paraId="442C114B" w14:textId="77777777" w:rsidR="00A21EA3" w:rsidRDefault="00A21EA3" w:rsidP="00086408">
      <w:pPr>
        <w:spacing w:line="276" w:lineRule="auto"/>
        <w:rPr>
          <w:lang w:eastAsia="en-AU"/>
        </w:rPr>
      </w:pPr>
      <w:r>
        <w:rPr>
          <w:lang w:eastAsia="en-AU"/>
        </w:rPr>
        <w:t>The</w:t>
      </w:r>
      <w:r w:rsidR="00575B43">
        <w:rPr>
          <w:lang w:eastAsia="en-AU"/>
        </w:rPr>
        <w:t>re is uncertainty as to whether the</w:t>
      </w:r>
      <w:r>
        <w:rPr>
          <w:lang w:eastAsia="en-AU"/>
        </w:rPr>
        <w:t xml:space="preserve"> Children’s Court has jurisdiction to appoint a litigation guardian. Order 15.03 of the </w:t>
      </w:r>
      <w:r w:rsidRPr="00506CF9">
        <w:rPr>
          <w:i/>
          <w:lang w:eastAsia="en-AU"/>
        </w:rPr>
        <w:t>Magistrates Court General Civil Procedure Rules 2010</w:t>
      </w:r>
      <w:r>
        <w:rPr>
          <w:lang w:eastAsia="en-AU"/>
        </w:rPr>
        <w:t xml:space="preserve">, provides that a litigation guardian must be appointed where a person is ‘under a disability’. </w:t>
      </w:r>
      <w:r w:rsidR="00777B46">
        <w:rPr>
          <w:lang w:eastAsia="en-AU"/>
        </w:rPr>
        <w:t>However,</w:t>
      </w:r>
      <w:r>
        <w:rPr>
          <w:lang w:eastAsia="en-AU"/>
        </w:rPr>
        <w:t xml:space="preserve"> this applies only to ‘civil proceedings’ pursuant to the </w:t>
      </w:r>
      <w:r w:rsidRPr="00506CF9">
        <w:rPr>
          <w:i/>
          <w:lang w:eastAsia="en-AU"/>
        </w:rPr>
        <w:t>Magistrates’ Court Act 1989</w:t>
      </w:r>
      <w:r>
        <w:rPr>
          <w:lang w:eastAsia="en-AU"/>
        </w:rPr>
        <w:t xml:space="preserve">, </w:t>
      </w:r>
      <w:r w:rsidR="00575B43">
        <w:rPr>
          <w:lang w:eastAsia="en-AU"/>
        </w:rPr>
        <w:t xml:space="preserve">of which </w:t>
      </w:r>
      <w:r>
        <w:rPr>
          <w:lang w:eastAsia="en-AU"/>
        </w:rPr>
        <w:t>proceedings in the Children’s Court</w:t>
      </w:r>
      <w:r w:rsidR="00575B43">
        <w:rPr>
          <w:lang w:eastAsia="en-AU"/>
        </w:rPr>
        <w:t xml:space="preserve"> appear excluded</w:t>
      </w:r>
      <w:r>
        <w:rPr>
          <w:lang w:eastAsia="en-AU"/>
        </w:rPr>
        <w:t>.</w:t>
      </w:r>
    </w:p>
    <w:p w14:paraId="69A04ECC" w14:textId="77777777" w:rsidR="00A21EA3" w:rsidRDefault="00A21EA3" w:rsidP="00086408">
      <w:pPr>
        <w:spacing w:line="276" w:lineRule="auto"/>
        <w:rPr>
          <w:lang w:eastAsia="en-AU"/>
        </w:rPr>
      </w:pPr>
      <w:r>
        <w:rPr>
          <w:lang w:eastAsia="en-AU"/>
        </w:rPr>
        <w:lastRenderedPageBreak/>
        <w:t xml:space="preserve">A child </w:t>
      </w:r>
      <w:r w:rsidR="00575B43">
        <w:rPr>
          <w:lang w:eastAsia="en-AU"/>
        </w:rPr>
        <w:t xml:space="preserve">or young person </w:t>
      </w:r>
      <w:r>
        <w:rPr>
          <w:lang w:eastAsia="en-AU"/>
        </w:rPr>
        <w:t>before the Children’s Court deemed to lack capacity may be represented by a lawyer acting on a ‘best interests’</w:t>
      </w:r>
      <w:r w:rsidR="00506CF9">
        <w:rPr>
          <w:lang w:eastAsia="en-AU"/>
        </w:rPr>
        <w:t xml:space="preserve"> basis</w:t>
      </w:r>
      <w:r w:rsidR="00506CF9">
        <w:rPr>
          <w:rStyle w:val="FootnoteReference"/>
          <w:lang w:eastAsia="en-AU"/>
        </w:rPr>
        <w:footnoteReference w:id="102"/>
      </w:r>
      <w:r>
        <w:rPr>
          <w:lang w:eastAsia="en-AU"/>
        </w:rPr>
        <w:t xml:space="preserve">. However, there is no similar provision available to parties over the age of 18. </w:t>
      </w:r>
    </w:p>
    <w:p w14:paraId="45FBDF2C" w14:textId="77777777" w:rsidR="00A21EA3" w:rsidRDefault="00A21EA3" w:rsidP="00086408">
      <w:pPr>
        <w:spacing w:line="276" w:lineRule="auto"/>
        <w:rPr>
          <w:lang w:eastAsia="en-AU"/>
        </w:rPr>
      </w:pPr>
      <w:r>
        <w:rPr>
          <w:lang w:eastAsia="en-AU"/>
        </w:rPr>
        <w:t xml:space="preserve">Parents detained as an involuntary psychiatric patient are generally unable to attend court (even under supervision) and, as a consequence, they are frequently absent from proceedings involving their children. </w:t>
      </w:r>
    </w:p>
    <w:p w14:paraId="6AAD6683" w14:textId="77777777" w:rsidR="00A21EA3" w:rsidRDefault="00A21EA3" w:rsidP="00086408">
      <w:pPr>
        <w:spacing w:line="276" w:lineRule="auto"/>
        <w:rPr>
          <w:lang w:eastAsia="en-AU"/>
        </w:rPr>
      </w:pPr>
      <w:r>
        <w:rPr>
          <w:lang w:eastAsia="en-AU"/>
        </w:rPr>
        <w:t xml:space="preserve">This disconnection between mental health, disability law and the Children’s Court means that a cohort of especially vulnerable clients </w:t>
      </w:r>
      <w:r w:rsidR="00F0042C">
        <w:rPr>
          <w:lang w:eastAsia="en-AU"/>
        </w:rPr>
        <w:t>is</w:t>
      </w:r>
      <w:r>
        <w:rPr>
          <w:lang w:eastAsia="en-AU"/>
        </w:rPr>
        <w:t xml:space="preserve"> either not receiving legal services or legal services that fail to respond to their specific needs.</w:t>
      </w:r>
    </w:p>
    <w:p w14:paraId="19428D07" w14:textId="0AB5F79F" w:rsidR="00506CF9" w:rsidRDefault="00D71943" w:rsidP="00D71943">
      <w:pPr>
        <w:pStyle w:val="Heading1numbered"/>
      </w:pPr>
      <w:bookmarkStart w:id="41" w:name="_Toc465244420"/>
      <w:r>
        <w:t>Client e</w:t>
      </w:r>
      <w:r w:rsidR="00940F0D">
        <w:t>xperiences</w:t>
      </w:r>
      <w:bookmarkEnd w:id="41"/>
    </w:p>
    <w:p w14:paraId="29290C6D" w14:textId="2DC71D87" w:rsidR="00B24E78" w:rsidRDefault="00940F0D" w:rsidP="00086408">
      <w:pPr>
        <w:spacing w:line="276" w:lineRule="auto"/>
        <w:rPr>
          <w:lang w:eastAsia="en-AU"/>
        </w:rPr>
      </w:pPr>
      <w:r>
        <w:rPr>
          <w:lang w:eastAsia="en-AU"/>
        </w:rPr>
        <w:t xml:space="preserve">There is limited information available concerning the experiences of clients of the Child Protection Program. </w:t>
      </w:r>
      <w:r w:rsidR="00B769F6">
        <w:rPr>
          <w:lang w:eastAsia="en-AU"/>
        </w:rPr>
        <w:t>Ho</w:t>
      </w:r>
      <w:r w:rsidR="00B769F6" w:rsidRPr="00B24E78">
        <w:rPr>
          <w:lang w:eastAsia="en-AU"/>
        </w:rPr>
        <w:t>wever,</w:t>
      </w:r>
      <w:r w:rsidRPr="00B24E78">
        <w:rPr>
          <w:lang w:eastAsia="en-AU"/>
        </w:rPr>
        <w:t xml:space="preserve"> one potential source is from the Client Satisfaction Survey conducted by VLA</w:t>
      </w:r>
      <w:r w:rsidR="00B24E78" w:rsidRPr="00B24E78">
        <w:rPr>
          <w:lang w:eastAsia="en-AU"/>
        </w:rPr>
        <w:t xml:space="preserve"> in 2015</w:t>
      </w:r>
      <w:r w:rsidRPr="00B24E78">
        <w:rPr>
          <w:lang w:eastAsia="en-AU"/>
        </w:rPr>
        <w:t xml:space="preserve">. </w:t>
      </w:r>
      <w:r w:rsidR="00B24E78" w:rsidRPr="00B24E78">
        <w:rPr>
          <w:lang w:eastAsia="en-AU"/>
        </w:rPr>
        <w:t>W</w:t>
      </w:r>
      <w:r w:rsidR="00B24E78" w:rsidRPr="00B24E78">
        <w:rPr>
          <w:rFonts w:cs="Arial"/>
          <w:szCs w:val="22"/>
          <w:lang w:val="en"/>
        </w:rPr>
        <w:t>e surveyed clients who had rece</w:t>
      </w:r>
      <w:r w:rsidR="00D12319">
        <w:rPr>
          <w:rFonts w:cs="Arial"/>
          <w:szCs w:val="22"/>
          <w:lang w:val="en"/>
        </w:rPr>
        <w:t>ived legal aid services in 2014–</w:t>
      </w:r>
      <w:r w:rsidR="00B24E78" w:rsidRPr="00B24E78">
        <w:rPr>
          <w:rFonts w:cs="Arial"/>
          <w:szCs w:val="22"/>
          <w:lang w:val="en"/>
        </w:rPr>
        <w:t xml:space="preserve">15 financial year. These included clients who had used our Legal Help telephone information service, legal advice, duty lawyer and legal representation (case work) services across all our program areas – civil, criminal and family law. For legal representation, it also included clients who had received services from private practitioners </w:t>
      </w:r>
      <w:r w:rsidR="00B24E78">
        <w:rPr>
          <w:rFonts w:cs="Arial"/>
          <w:szCs w:val="22"/>
          <w:lang w:val="en"/>
        </w:rPr>
        <w:t>as well as VLA salaried lawyers.</w:t>
      </w:r>
    </w:p>
    <w:p w14:paraId="26CE84FF" w14:textId="77777777" w:rsidR="00940F0D" w:rsidRDefault="00940F0D" w:rsidP="00086408">
      <w:pPr>
        <w:spacing w:line="276" w:lineRule="auto"/>
        <w:rPr>
          <w:lang w:eastAsia="en-AU"/>
        </w:rPr>
      </w:pPr>
      <w:r>
        <w:rPr>
          <w:lang w:eastAsia="en-AU"/>
        </w:rPr>
        <w:t xml:space="preserve">The most recent Survey was conducted in 2015. While the number and range of respondents was limited (no children were surveyed) this still provides some useful information. </w:t>
      </w:r>
    </w:p>
    <w:p w14:paraId="06D2835B" w14:textId="3C04B637" w:rsidR="007E686F" w:rsidRDefault="00940F0D" w:rsidP="00086408">
      <w:pPr>
        <w:spacing w:line="276" w:lineRule="auto"/>
        <w:rPr>
          <w:lang w:eastAsia="en-AU"/>
        </w:rPr>
      </w:pPr>
      <w:r>
        <w:rPr>
          <w:lang w:eastAsia="en-AU"/>
        </w:rPr>
        <w:t>The survey indicates a high degree of satisfaction with the services provided</w:t>
      </w:r>
      <w:r w:rsidR="0020147F">
        <w:rPr>
          <w:lang w:eastAsia="en-AU"/>
        </w:rPr>
        <w:t>, although the number of respondents who received a child protection service is small</w:t>
      </w:r>
      <w:r>
        <w:rPr>
          <w:lang w:eastAsia="en-AU"/>
        </w:rPr>
        <w:t xml:space="preserve"> (</w:t>
      </w:r>
      <w:r w:rsidRPr="006A2233">
        <w:rPr>
          <w:lang w:eastAsia="en-AU"/>
        </w:rPr>
        <w:t xml:space="preserve">see </w:t>
      </w:r>
      <w:hyperlink w:anchor="Table4" w:history="1">
        <w:r w:rsidRPr="006A2233">
          <w:rPr>
            <w:rStyle w:val="Hyperlink"/>
            <w:lang w:eastAsia="en-AU"/>
          </w:rPr>
          <w:t>Table 4</w:t>
        </w:r>
      </w:hyperlink>
      <w:r>
        <w:rPr>
          <w:lang w:eastAsia="en-AU"/>
        </w:rPr>
        <w:t>)</w:t>
      </w:r>
      <w:r w:rsidR="0020147F">
        <w:rPr>
          <w:lang w:eastAsia="en-AU"/>
        </w:rPr>
        <w:t>.</w:t>
      </w:r>
    </w:p>
    <w:p w14:paraId="5505DB8D" w14:textId="425FF122" w:rsidR="00940F0D" w:rsidRDefault="00940F0D" w:rsidP="00D71943">
      <w:pPr>
        <w:pStyle w:val="Figuretableheading"/>
        <w:rPr>
          <w:rFonts w:eastAsiaTheme="minorEastAsia"/>
          <w:lang w:eastAsia="en-AU"/>
        </w:rPr>
      </w:pPr>
      <w:bookmarkStart w:id="42" w:name="Table4"/>
      <w:bookmarkEnd w:id="42"/>
      <w:r w:rsidRPr="00B769F6">
        <w:rPr>
          <w:rFonts w:eastAsiaTheme="minorEastAsia"/>
          <w:lang w:eastAsia="en-AU"/>
        </w:rPr>
        <w:t>Table 4</w:t>
      </w:r>
      <w:r w:rsidR="00D71943">
        <w:rPr>
          <w:rFonts w:eastAsiaTheme="minorEastAsia"/>
          <w:lang w:eastAsia="en-AU"/>
        </w:rPr>
        <w:t>a:</w:t>
      </w:r>
      <w:r w:rsidR="00F65EB4">
        <w:rPr>
          <w:rFonts w:eastAsiaTheme="minorEastAsia"/>
          <w:lang w:eastAsia="en-AU"/>
        </w:rPr>
        <w:t xml:space="preserve"> Client Satisfaction Survey – Family Law</w:t>
      </w:r>
    </w:p>
    <w:tbl>
      <w:tblPr>
        <w:tblStyle w:val="TableGrid"/>
        <w:tblW w:w="10076" w:type="dxa"/>
        <w:tblLayout w:type="fixed"/>
        <w:tblLook w:val="04A0" w:firstRow="1" w:lastRow="0" w:firstColumn="1" w:lastColumn="0" w:noHBand="0" w:noVBand="1"/>
      </w:tblPr>
      <w:tblGrid>
        <w:gridCol w:w="2858"/>
        <w:gridCol w:w="1203"/>
        <w:gridCol w:w="1203"/>
        <w:gridCol w:w="1203"/>
        <w:gridCol w:w="1203"/>
        <w:gridCol w:w="1203"/>
        <w:gridCol w:w="1203"/>
      </w:tblGrid>
      <w:tr w:rsidR="00D71943" w:rsidRPr="00D71943" w14:paraId="262602CB" w14:textId="77777777" w:rsidTr="00D71943">
        <w:trPr>
          <w:tblHeader/>
        </w:trPr>
        <w:tc>
          <w:tcPr>
            <w:tcW w:w="2858" w:type="dxa"/>
            <w:shd w:val="clear" w:color="auto" w:fill="FFDDAB"/>
          </w:tcPr>
          <w:p w14:paraId="1533E34D" w14:textId="67EB4C80" w:rsidR="00D71943" w:rsidRPr="00D71943" w:rsidRDefault="00D71943" w:rsidP="00D71943">
            <w:pPr>
              <w:rPr>
                <w:rFonts w:eastAsiaTheme="minorEastAsia"/>
                <w:b/>
                <w:sz w:val="20"/>
                <w:szCs w:val="20"/>
              </w:rPr>
            </w:pPr>
            <w:r w:rsidRPr="00D71943">
              <w:rPr>
                <w:rFonts w:eastAsiaTheme="minorEastAsia"/>
                <w:b/>
                <w:sz w:val="20"/>
                <w:szCs w:val="20"/>
              </w:rPr>
              <w:t>Satisfaction with the outcome</w:t>
            </w:r>
          </w:p>
        </w:tc>
        <w:tc>
          <w:tcPr>
            <w:tcW w:w="1203" w:type="dxa"/>
            <w:shd w:val="clear" w:color="auto" w:fill="FFDDAB"/>
          </w:tcPr>
          <w:p w14:paraId="062E067A" w14:textId="77777777" w:rsidR="00D71943" w:rsidRDefault="00D71943" w:rsidP="00D71943">
            <w:pPr>
              <w:rPr>
                <w:rFonts w:eastAsiaTheme="minorEastAsia"/>
                <w:b/>
                <w:sz w:val="20"/>
                <w:szCs w:val="20"/>
              </w:rPr>
            </w:pPr>
            <w:r w:rsidRPr="00D71943">
              <w:rPr>
                <w:rFonts w:eastAsiaTheme="minorEastAsia"/>
                <w:b/>
                <w:sz w:val="20"/>
                <w:szCs w:val="20"/>
              </w:rPr>
              <w:t>Legal advice</w:t>
            </w:r>
          </w:p>
          <w:p w14:paraId="02A3B307" w14:textId="37DBCC01" w:rsidR="00D71943" w:rsidRPr="00D71943" w:rsidRDefault="00D71943" w:rsidP="00D71943">
            <w:pPr>
              <w:rPr>
                <w:rFonts w:eastAsiaTheme="minorEastAsia"/>
                <w:b/>
                <w:sz w:val="20"/>
                <w:szCs w:val="20"/>
              </w:rPr>
            </w:pPr>
            <w:r w:rsidRPr="00D71943">
              <w:rPr>
                <w:rFonts w:eastAsiaTheme="minorEastAsia"/>
                <w:b/>
                <w:sz w:val="20"/>
                <w:szCs w:val="20"/>
              </w:rPr>
              <w:t>total (n=310)</w:t>
            </w:r>
          </w:p>
        </w:tc>
        <w:tc>
          <w:tcPr>
            <w:tcW w:w="1203" w:type="dxa"/>
            <w:shd w:val="clear" w:color="auto" w:fill="FFDDAB"/>
          </w:tcPr>
          <w:p w14:paraId="5190FEA6" w14:textId="77777777" w:rsidR="00D71943" w:rsidRDefault="00D71943" w:rsidP="00D71943">
            <w:pPr>
              <w:rPr>
                <w:rFonts w:eastAsiaTheme="minorEastAsia"/>
                <w:b/>
                <w:sz w:val="20"/>
                <w:szCs w:val="20"/>
              </w:rPr>
            </w:pPr>
            <w:r w:rsidRPr="00D71943">
              <w:rPr>
                <w:rFonts w:eastAsiaTheme="minorEastAsia"/>
                <w:b/>
                <w:sz w:val="20"/>
                <w:szCs w:val="20"/>
              </w:rPr>
              <w:t>Legal advice</w:t>
            </w:r>
          </w:p>
          <w:p w14:paraId="5D17D3E8" w14:textId="572C1791" w:rsidR="00D71943" w:rsidRPr="00D71943" w:rsidRDefault="00D71943" w:rsidP="00D71943">
            <w:pPr>
              <w:rPr>
                <w:rFonts w:eastAsiaTheme="minorEastAsia"/>
                <w:b/>
                <w:sz w:val="20"/>
                <w:szCs w:val="20"/>
              </w:rPr>
            </w:pPr>
            <w:r w:rsidRPr="00D71943">
              <w:rPr>
                <w:rFonts w:eastAsiaTheme="minorEastAsia"/>
                <w:b/>
                <w:sz w:val="20"/>
                <w:szCs w:val="20"/>
              </w:rPr>
              <w:t>CP (n=9)</w:t>
            </w:r>
          </w:p>
        </w:tc>
        <w:tc>
          <w:tcPr>
            <w:tcW w:w="1203" w:type="dxa"/>
            <w:shd w:val="clear" w:color="auto" w:fill="FFDDAB"/>
          </w:tcPr>
          <w:p w14:paraId="3586FE7F" w14:textId="77777777" w:rsidR="00D71943" w:rsidRDefault="00D71943" w:rsidP="00D71943">
            <w:pPr>
              <w:rPr>
                <w:rFonts w:eastAsiaTheme="minorEastAsia"/>
                <w:b/>
                <w:sz w:val="20"/>
                <w:szCs w:val="20"/>
              </w:rPr>
            </w:pPr>
            <w:r w:rsidRPr="00D71943">
              <w:rPr>
                <w:rFonts w:eastAsiaTheme="minorEastAsia"/>
                <w:b/>
                <w:sz w:val="20"/>
                <w:szCs w:val="20"/>
              </w:rPr>
              <w:t>Casework</w:t>
            </w:r>
          </w:p>
          <w:p w14:paraId="7629463E" w14:textId="3EB4B4C0" w:rsidR="00D71943" w:rsidRPr="00D71943" w:rsidRDefault="00D71943" w:rsidP="00D71943">
            <w:pPr>
              <w:rPr>
                <w:rFonts w:eastAsiaTheme="minorEastAsia"/>
                <w:b/>
                <w:sz w:val="20"/>
                <w:szCs w:val="20"/>
              </w:rPr>
            </w:pPr>
            <w:r w:rsidRPr="00D71943">
              <w:rPr>
                <w:rFonts w:eastAsiaTheme="minorEastAsia"/>
                <w:b/>
                <w:sz w:val="20"/>
                <w:szCs w:val="20"/>
              </w:rPr>
              <w:t>total (n=321)</w:t>
            </w:r>
          </w:p>
        </w:tc>
        <w:tc>
          <w:tcPr>
            <w:tcW w:w="1203" w:type="dxa"/>
            <w:shd w:val="clear" w:color="auto" w:fill="FFDDAB"/>
          </w:tcPr>
          <w:p w14:paraId="5BE2361D" w14:textId="77777777" w:rsidR="00D71943" w:rsidRDefault="00D71943" w:rsidP="00D71943">
            <w:pPr>
              <w:rPr>
                <w:rFonts w:eastAsiaTheme="minorEastAsia"/>
                <w:b/>
                <w:sz w:val="20"/>
                <w:szCs w:val="20"/>
              </w:rPr>
            </w:pPr>
            <w:r w:rsidRPr="00D71943">
              <w:rPr>
                <w:rFonts w:eastAsiaTheme="minorEastAsia"/>
                <w:b/>
                <w:sz w:val="20"/>
                <w:szCs w:val="20"/>
              </w:rPr>
              <w:t>Casework</w:t>
            </w:r>
          </w:p>
          <w:p w14:paraId="2878BD00" w14:textId="02679C42" w:rsidR="00D71943" w:rsidRPr="00D71943" w:rsidRDefault="00D71943" w:rsidP="00D71943">
            <w:pPr>
              <w:rPr>
                <w:rFonts w:eastAsiaTheme="minorEastAsia"/>
                <w:b/>
                <w:sz w:val="20"/>
                <w:szCs w:val="20"/>
              </w:rPr>
            </w:pPr>
            <w:r w:rsidRPr="00D71943">
              <w:rPr>
                <w:rFonts w:eastAsiaTheme="minorEastAsia"/>
                <w:b/>
                <w:sz w:val="20"/>
                <w:szCs w:val="20"/>
              </w:rPr>
              <w:t>CP (n=34)</w:t>
            </w:r>
          </w:p>
        </w:tc>
        <w:tc>
          <w:tcPr>
            <w:tcW w:w="1203" w:type="dxa"/>
            <w:shd w:val="clear" w:color="auto" w:fill="FFDDAB"/>
          </w:tcPr>
          <w:p w14:paraId="758DB8E8" w14:textId="77777777" w:rsidR="00D71943" w:rsidRDefault="00D71943" w:rsidP="00D71943">
            <w:pPr>
              <w:rPr>
                <w:rFonts w:eastAsiaTheme="minorEastAsia"/>
                <w:b/>
                <w:sz w:val="20"/>
                <w:szCs w:val="20"/>
              </w:rPr>
            </w:pPr>
            <w:r w:rsidRPr="00D71943">
              <w:rPr>
                <w:rFonts w:eastAsiaTheme="minorEastAsia"/>
                <w:b/>
                <w:sz w:val="20"/>
                <w:szCs w:val="20"/>
              </w:rPr>
              <w:t>Duty lawyer</w:t>
            </w:r>
          </w:p>
          <w:p w14:paraId="3AF761DF" w14:textId="0BC3E751" w:rsidR="00D71943" w:rsidRPr="00D71943" w:rsidRDefault="00D71943" w:rsidP="00D71943">
            <w:pPr>
              <w:rPr>
                <w:rFonts w:eastAsiaTheme="minorEastAsia"/>
                <w:b/>
                <w:sz w:val="20"/>
                <w:szCs w:val="20"/>
              </w:rPr>
            </w:pPr>
            <w:r w:rsidRPr="00D71943">
              <w:rPr>
                <w:rFonts w:eastAsiaTheme="minorEastAsia"/>
                <w:b/>
                <w:sz w:val="20"/>
                <w:szCs w:val="20"/>
              </w:rPr>
              <w:t>total (n=290)</w:t>
            </w:r>
          </w:p>
        </w:tc>
        <w:tc>
          <w:tcPr>
            <w:tcW w:w="1203" w:type="dxa"/>
            <w:shd w:val="clear" w:color="auto" w:fill="FFDDAB"/>
          </w:tcPr>
          <w:p w14:paraId="2FF41A06" w14:textId="77777777" w:rsidR="00D71943" w:rsidRDefault="00D71943" w:rsidP="00D71943">
            <w:pPr>
              <w:rPr>
                <w:rFonts w:eastAsiaTheme="minorEastAsia"/>
                <w:b/>
                <w:sz w:val="20"/>
                <w:szCs w:val="20"/>
              </w:rPr>
            </w:pPr>
            <w:r w:rsidRPr="00D71943">
              <w:rPr>
                <w:rFonts w:eastAsiaTheme="minorEastAsia"/>
                <w:b/>
                <w:sz w:val="20"/>
                <w:szCs w:val="20"/>
              </w:rPr>
              <w:t>Duty lawyer</w:t>
            </w:r>
          </w:p>
          <w:p w14:paraId="3F727CAE" w14:textId="03B41E1E" w:rsidR="00D71943" w:rsidRPr="00D71943" w:rsidRDefault="00D71943" w:rsidP="00D71943">
            <w:pPr>
              <w:rPr>
                <w:rFonts w:eastAsiaTheme="minorEastAsia"/>
                <w:b/>
                <w:sz w:val="20"/>
                <w:szCs w:val="20"/>
              </w:rPr>
            </w:pPr>
            <w:r w:rsidRPr="00D71943">
              <w:rPr>
                <w:rFonts w:eastAsiaTheme="minorEastAsia"/>
                <w:b/>
                <w:sz w:val="20"/>
                <w:szCs w:val="20"/>
              </w:rPr>
              <w:t>CP (n=6)</w:t>
            </w:r>
          </w:p>
        </w:tc>
      </w:tr>
      <w:tr w:rsidR="00D71943" w:rsidRPr="00D71943" w14:paraId="7DC10F51" w14:textId="77777777" w:rsidTr="00D71943">
        <w:tc>
          <w:tcPr>
            <w:tcW w:w="2858" w:type="dxa"/>
          </w:tcPr>
          <w:p w14:paraId="1B45E896" w14:textId="24914A97" w:rsidR="00D71943" w:rsidRPr="00D71943" w:rsidRDefault="00D71943" w:rsidP="00D71943">
            <w:pPr>
              <w:rPr>
                <w:rFonts w:eastAsiaTheme="minorEastAsia"/>
                <w:sz w:val="20"/>
                <w:szCs w:val="20"/>
              </w:rPr>
            </w:pPr>
            <w:r>
              <w:rPr>
                <w:rFonts w:eastAsiaTheme="minorEastAsia"/>
                <w:sz w:val="20"/>
                <w:szCs w:val="20"/>
              </w:rPr>
              <w:t>Extremely satisfied</w:t>
            </w:r>
          </w:p>
        </w:tc>
        <w:tc>
          <w:tcPr>
            <w:tcW w:w="1203" w:type="dxa"/>
            <w:vAlign w:val="center"/>
          </w:tcPr>
          <w:p w14:paraId="63F876DD" w14:textId="20265BD1" w:rsidR="00D71943" w:rsidRPr="00D71943" w:rsidRDefault="00D71943" w:rsidP="00D71943">
            <w:pPr>
              <w:rPr>
                <w:rFonts w:eastAsiaTheme="minorEastAsia"/>
                <w:sz w:val="20"/>
                <w:szCs w:val="20"/>
              </w:rPr>
            </w:pPr>
            <w:r w:rsidRPr="00D71943">
              <w:rPr>
                <w:rFonts w:eastAsiaTheme="minorEastAsia"/>
                <w:sz w:val="20"/>
                <w:szCs w:val="20"/>
              </w:rPr>
              <w:t>27%</w:t>
            </w:r>
          </w:p>
        </w:tc>
        <w:tc>
          <w:tcPr>
            <w:tcW w:w="1203" w:type="dxa"/>
            <w:vAlign w:val="center"/>
          </w:tcPr>
          <w:p w14:paraId="4DF4FB37" w14:textId="7A9D3358" w:rsidR="00D71943" w:rsidRPr="00D71943" w:rsidRDefault="00D71943" w:rsidP="00D71943">
            <w:pPr>
              <w:rPr>
                <w:rFonts w:eastAsiaTheme="minorEastAsia"/>
                <w:sz w:val="20"/>
                <w:szCs w:val="20"/>
              </w:rPr>
            </w:pPr>
            <w:r w:rsidRPr="00D71943">
              <w:rPr>
                <w:rFonts w:eastAsiaTheme="minorEastAsia"/>
                <w:sz w:val="20"/>
                <w:szCs w:val="20"/>
              </w:rPr>
              <w:t>50%</w:t>
            </w:r>
          </w:p>
        </w:tc>
        <w:tc>
          <w:tcPr>
            <w:tcW w:w="1203" w:type="dxa"/>
            <w:vAlign w:val="center"/>
          </w:tcPr>
          <w:p w14:paraId="4A563B48" w14:textId="7BC7AFAD" w:rsidR="00D71943" w:rsidRPr="00D71943" w:rsidRDefault="00D71943" w:rsidP="00D71943">
            <w:pPr>
              <w:rPr>
                <w:rFonts w:eastAsiaTheme="minorEastAsia"/>
                <w:sz w:val="20"/>
                <w:szCs w:val="20"/>
              </w:rPr>
            </w:pPr>
            <w:r w:rsidRPr="00D71943">
              <w:rPr>
                <w:rFonts w:eastAsiaTheme="minorEastAsia"/>
                <w:sz w:val="20"/>
                <w:szCs w:val="20"/>
              </w:rPr>
              <w:t>46%</w:t>
            </w:r>
          </w:p>
        </w:tc>
        <w:tc>
          <w:tcPr>
            <w:tcW w:w="1203" w:type="dxa"/>
            <w:vAlign w:val="center"/>
          </w:tcPr>
          <w:p w14:paraId="692D0BE0" w14:textId="36AB71AA" w:rsidR="00D71943" w:rsidRPr="00D71943" w:rsidRDefault="00D71943" w:rsidP="00D71943">
            <w:pPr>
              <w:rPr>
                <w:rFonts w:eastAsiaTheme="minorEastAsia"/>
                <w:sz w:val="20"/>
                <w:szCs w:val="20"/>
              </w:rPr>
            </w:pPr>
            <w:r w:rsidRPr="00D71943">
              <w:rPr>
                <w:rFonts w:eastAsiaTheme="minorEastAsia"/>
                <w:sz w:val="20"/>
                <w:szCs w:val="20"/>
              </w:rPr>
              <w:t>51%</w:t>
            </w:r>
          </w:p>
        </w:tc>
        <w:tc>
          <w:tcPr>
            <w:tcW w:w="1203" w:type="dxa"/>
            <w:vAlign w:val="center"/>
          </w:tcPr>
          <w:p w14:paraId="002D7E99" w14:textId="6A345D4C" w:rsidR="00D71943" w:rsidRPr="00D71943" w:rsidRDefault="00D71943" w:rsidP="00D71943">
            <w:pPr>
              <w:rPr>
                <w:rFonts w:eastAsiaTheme="minorEastAsia"/>
                <w:sz w:val="20"/>
                <w:szCs w:val="20"/>
              </w:rPr>
            </w:pPr>
            <w:r w:rsidRPr="00D71943">
              <w:rPr>
                <w:rFonts w:eastAsiaTheme="minorEastAsia"/>
                <w:sz w:val="20"/>
                <w:szCs w:val="20"/>
              </w:rPr>
              <w:t>33%</w:t>
            </w:r>
          </w:p>
        </w:tc>
        <w:tc>
          <w:tcPr>
            <w:tcW w:w="1203" w:type="dxa"/>
            <w:vAlign w:val="center"/>
          </w:tcPr>
          <w:p w14:paraId="6C5E6E79" w14:textId="75EC24F1" w:rsidR="00D71943" w:rsidRPr="00D71943" w:rsidRDefault="00D71943" w:rsidP="00D71943">
            <w:pPr>
              <w:rPr>
                <w:rFonts w:eastAsiaTheme="minorEastAsia"/>
                <w:sz w:val="20"/>
                <w:szCs w:val="20"/>
              </w:rPr>
            </w:pPr>
            <w:r w:rsidRPr="00D71943">
              <w:rPr>
                <w:rFonts w:eastAsiaTheme="minorEastAsia"/>
                <w:sz w:val="20"/>
                <w:szCs w:val="20"/>
              </w:rPr>
              <w:t>29%</w:t>
            </w:r>
          </w:p>
        </w:tc>
      </w:tr>
      <w:tr w:rsidR="00D71943" w:rsidRPr="00D71943" w14:paraId="6D9EC319" w14:textId="77777777" w:rsidTr="00D71943">
        <w:tc>
          <w:tcPr>
            <w:tcW w:w="2858" w:type="dxa"/>
          </w:tcPr>
          <w:p w14:paraId="72758C49" w14:textId="29602043" w:rsidR="00D71943" w:rsidRPr="00D71943" w:rsidRDefault="00D71943" w:rsidP="00D71943">
            <w:pPr>
              <w:rPr>
                <w:rFonts w:eastAsiaTheme="minorEastAsia"/>
                <w:sz w:val="20"/>
                <w:szCs w:val="20"/>
              </w:rPr>
            </w:pPr>
            <w:r>
              <w:rPr>
                <w:rFonts w:eastAsiaTheme="minorEastAsia"/>
                <w:sz w:val="20"/>
                <w:szCs w:val="20"/>
              </w:rPr>
              <w:t>Satisfied</w:t>
            </w:r>
          </w:p>
        </w:tc>
        <w:tc>
          <w:tcPr>
            <w:tcW w:w="1203" w:type="dxa"/>
            <w:vAlign w:val="center"/>
          </w:tcPr>
          <w:p w14:paraId="2293C216" w14:textId="7F5226CF" w:rsidR="00D71943" w:rsidRPr="00D71943" w:rsidRDefault="00D71943" w:rsidP="00D71943">
            <w:pPr>
              <w:rPr>
                <w:rFonts w:eastAsiaTheme="minorEastAsia"/>
                <w:sz w:val="20"/>
                <w:szCs w:val="20"/>
              </w:rPr>
            </w:pPr>
            <w:r w:rsidRPr="00D71943">
              <w:rPr>
                <w:rFonts w:eastAsiaTheme="minorEastAsia"/>
                <w:sz w:val="20"/>
                <w:szCs w:val="20"/>
              </w:rPr>
              <w:t>21%</w:t>
            </w:r>
          </w:p>
        </w:tc>
        <w:tc>
          <w:tcPr>
            <w:tcW w:w="1203" w:type="dxa"/>
            <w:vAlign w:val="center"/>
          </w:tcPr>
          <w:p w14:paraId="19897952" w14:textId="0DA7DDBF" w:rsidR="00D71943" w:rsidRPr="00D71943" w:rsidRDefault="00D71943" w:rsidP="00D71943">
            <w:pPr>
              <w:rPr>
                <w:rFonts w:eastAsiaTheme="minorEastAsia"/>
                <w:sz w:val="20"/>
                <w:szCs w:val="20"/>
              </w:rPr>
            </w:pPr>
            <w:r w:rsidRPr="00D71943">
              <w:rPr>
                <w:rFonts w:eastAsiaTheme="minorEastAsia"/>
                <w:sz w:val="20"/>
                <w:szCs w:val="20"/>
              </w:rPr>
              <w:t>13%</w:t>
            </w:r>
          </w:p>
        </w:tc>
        <w:tc>
          <w:tcPr>
            <w:tcW w:w="1203" w:type="dxa"/>
            <w:vAlign w:val="center"/>
          </w:tcPr>
          <w:p w14:paraId="4A000286" w14:textId="7BF29650" w:rsidR="00D71943" w:rsidRPr="00D71943" w:rsidRDefault="00D71943" w:rsidP="00D71943">
            <w:pPr>
              <w:rPr>
                <w:rFonts w:eastAsiaTheme="minorEastAsia"/>
                <w:sz w:val="20"/>
                <w:szCs w:val="20"/>
              </w:rPr>
            </w:pPr>
            <w:r w:rsidRPr="00D71943">
              <w:rPr>
                <w:rFonts w:eastAsiaTheme="minorEastAsia"/>
                <w:sz w:val="20"/>
                <w:szCs w:val="20"/>
              </w:rPr>
              <w:t>24%</w:t>
            </w:r>
          </w:p>
        </w:tc>
        <w:tc>
          <w:tcPr>
            <w:tcW w:w="1203" w:type="dxa"/>
            <w:vAlign w:val="center"/>
          </w:tcPr>
          <w:p w14:paraId="7D6DB04F" w14:textId="247D8887" w:rsidR="00D71943" w:rsidRPr="00D71943" w:rsidRDefault="00D71943" w:rsidP="00D71943">
            <w:pPr>
              <w:rPr>
                <w:rFonts w:eastAsiaTheme="minorEastAsia"/>
                <w:sz w:val="20"/>
                <w:szCs w:val="20"/>
              </w:rPr>
            </w:pPr>
            <w:r w:rsidRPr="00D71943">
              <w:rPr>
                <w:rFonts w:eastAsiaTheme="minorEastAsia"/>
                <w:sz w:val="20"/>
                <w:szCs w:val="20"/>
              </w:rPr>
              <w:t>25%</w:t>
            </w:r>
          </w:p>
        </w:tc>
        <w:tc>
          <w:tcPr>
            <w:tcW w:w="1203" w:type="dxa"/>
            <w:vAlign w:val="center"/>
          </w:tcPr>
          <w:p w14:paraId="7411BA89" w14:textId="7EEB7A7B" w:rsidR="00D71943" w:rsidRPr="00D71943" w:rsidRDefault="00D71943" w:rsidP="00D71943">
            <w:pPr>
              <w:rPr>
                <w:rFonts w:eastAsiaTheme="minorEastAsia"/>
                <w:sz w:val="20"/>
                <w:szCs w:val="20"/>
              </w:rPr>
            </w:pPr>
            <w:r w:rsidRPr="00D71943">
              <w:rPr>
                <w:rFonts w:eastAsiaTheme="minorEastAsia"/>
                <w:sz w:val="20"/>
                <w:szCs w:val="20"/>
              </w:rPr>
              <w:t>31%</w:t>
            </w:r>
          </w:p>
        </w:tc>
        <w:tc>
          <w:tcPr>
            <w:tcW w:w="1203" w:type="dxa"/>
            <w:vAlign w:val="center"/>
          </w:tcPr>
          <w:p w14:paraId="672E1314" w14:textId="2AC6BFEA" w:rsidR="00D71943" w:rsidRPr="00D71943" w:rsidRDefault="00D71943" w:rsidP="00D71943">
            <w:pPr>
              <w:rPr>
                <w:rFonts w:eastAsiaTheme="minorEastAsia"/>
                <w:sz w:val="20"/>
                <w:szCs w:val="20"/>
              </w:rPr>
            </w:pPr>
            <w:r w:rsidRPr="00D71943">
              <w:rPr>
                <w:rFonts w:eastAsiaTheme="minorEastAsia"/>
                <w:sz w:val="20"/>
                <w:szCs w:val="20"/>
              </w:rPr>
              <w:t>56%</w:t>
            </w:r>
          </w:p>
        </w:tc>
      </w:tr>
      <w:tr w:rsidR="00D71943" w:rsidRPr="00D71943" w14:paraId="5AB5726C" w14:textId="77777777" w:rsidTr="00D71943">
        <w:tc>
          <w:tcPr>
            <w:tcW w:w="2858" w:type="dxa"/>
          </w:tcPr>
          <w:p w14:paraId="7EAF984E" w14:textId="2EEB5EB0" w:rsidR="00D71943" w:rsidRPr="00D71943" w:rsidRDefault="00D71943" w:rsidP="00D71943">
            <w:pPr>
              <w:rPr>
                <w:rFonts w:eastAsiaTheme="minorEastAsia"/>
                <w:sz w:val="20"/>
                <w:szCs w:val="20"/>
              </w:rPr>
            </w:pPr>
            <w:r>
              <w:rPr>
                <w:rFonts w:eastAsiaTheme="minorEastAsia"/>
                <w:sz w:val="20"/>
                <w:szCs w:val="20"/>
              </w:rPr>
              <w:t>Neutral</w:t>
            </w:r>
          </w:p>
        </w:tc>
        <w:tc>
          <w:tcPr>
            <w:tcW w:w="1203" w:type="dxa"/>
            <w:vAlign w:val="center"/>
          </w:tcPr>
          <w:p w14:paraId="3172DCDA" w14:textId="25BD37F8" w:rsidR="00D71943" w:rsidRPr="00D71943" w:rsidRDefault="00D71943" w:rsidP="00D71943">
            <w:pPr>
              <w:rPr>
                <w:rFonts w:eastAsiaTheme="minorEastAsia"/>
                <w:sz w:val="20"/>
                <w:szCs w:val="20"/>
              </w:rPr>
            </w:pPr>
            <w:r w:rsidRPr="00D71943">
              <w:rPr>
                <w:rFonts w:eastAsiaTheme="minorEastAsia"/>
                <w:sz w:val="20"/>
                <w:szCs w:val="20"/>
              </w:rPr>
              <w:t>13%</w:t>
            </w:r>
          </w:p>
        </w:tc>
        <w:tc>
          <w:tcPr>
            <w:tcW w:w="1203" w:type="dxa"/>
            <w:vAlign w:val="center"/>
          </w:tcPr>
          <w:p w14:paraId="1E8F5C0F" w14:textId="6718F544" w:rsidR="00D71943" w:rsidRPr="00D71943" w:rsidRDefault="00D71943" w:rsidP="00D71943">
            <w:pPr>
              <w:rPr>
                <w:rFonts w:eastAsiaTheme="minorEastAsia"/>
                <w:sz w:val="20"/>
                <w:szCs w:val="20"/>
              </w:rPr>
            </w:pPr>
            <w:r w:rsidRPr="00D71943">
              <w:rPr>
                <w:rFonts w:eastAsiaTheme="minorEastAsia"/>
                <w:sz w:val="20"/>
                <w:szCs w:val="20"/>
              </w:rPr>
              <w:t>0%</w:t>
            </w:r>
          </w:p>
        </w:tc>
        <w:tc>
          <w:tcPr>
            <w:tcW w:w="1203" w:type="dxa"/>
            <w:vAlign w:val="center"/>
          </w:tcPr>
          <w:p w14:paraId="7CCB5C26" w14:textId="4386192E" w:rsidR="00D71943" w:rsidRPr="00D71943" w:rsidRDefault="00D71943" w:rsidP="00D71943">
            <w:pPr>
              <w:rPr>
                <w:rFonts w:eastAsiaTheme="minorEastAsia"/>
                <w:sz w:val="20"/>
                <w:szCs w:val="20"/>
              </w:rPr>
            </w:pPr>
            <w:r w:rsidRPr="00D71943">
              <w:rPr>
                <w:rFonts w:eastAsiaTheme="minorEastAsia"/>
                <w:sz w:val="20"/>
                <w:szCs w:val="20"/>
              </w:rPr>
              <w:t>11%</w:t>
            </w:r>
          </w:p>
        </w:tc>
        <w:tc>
          <w:tcPr>
            <w:tcW w:w="1203" w:type="dxa"/>
            <w:vAlign w:val="center"/>
          </w:tcPr>
          <w:p w14:paraId="209B208F" w14:textId="0A80CDA2" w:rsidR="00D71943" w:rsidRPr="00D71943" w:rsidRDefault="00D71943" w:rsidP="00D71943">
            <w:pPr>
              <w:rPr>
                <w:rFonts w:eastAsiaTheme="minorEastAsia"/>
                <w:sz w:val="20"/>
                <w:szCs w:val="20"/>
              </w:rPr>
            </w:pPr>
            <w:r w:rsidRPr="00D71943">
              <w:rPr>
                <w:rFonts w:eastAsiaTheme="minorEastAsia"/>
                <w:sz w:val="20"/>
                <w:szCs w:val="20"/>
              </w:rPr>
              <w:t>7%</w:t>
            </w:r>
          </w:p>
        </w:tc>
        <w:tc>
          <w:tcPr>
            <w:tcW w:w="1203" w:type="dxa"/>
            <w:vAlign w:val="center"/>
          </w:tcPr>
          <w:p w14:paraId="7A3CC013" w14:textId="0A5D841D" w:rsidR="00D71943" w:rsidRPr="00D71943" w:rsidRDefault="00D71943" w:rsidP="00D71943">
            <w:pPr>
              <w:rPr>
                <w:rFonts w:eastAsiaTheme="minorEastAsia"/>
                <w:sz w:val="20"/>
                <w:szCs w:val="20"/>
              </w:rPr>
            </w:pPr>
            <w:r w:rsidRPr="00D71943">
              <w:rPr>
                <w:rFonts w:eastAsiaTheme="minorEastAsia"/>
                <w:sz w:val="20"/>
                <w:szCs w:val="20"/>
              </w:rPr>
              <w:t>11%</w:t>
            </w:r>
          </w:p>
        </w:tc>
        <w:tc>
          <w:tcPr>
            <w:tcW w:w="1203" w:type="dxa"/>
            <w:vAlign w:val="center"/>
          </w:tcPr>
          <w:p w14:paraId="07A1869A" w14:textId="40A21238" w:rsidR="00D71943" w:rsidRPr="00D71943" w:rsidRDefault="00D71943" w:rsidP="00D71943">
            <w:pPr>
              <w:rPr>
                <w:rFonts w:eastAsiaTheme="minorEastAsia"/>
                <w:sz w:val="20"/>
                <w:szCs w:val="20"/>
              </w:rPr>
            </w:pPr>
            <w:r w:rsidRPr="00D71943">
              <w:rPr>
                <w:rFonts w:eastAsiaTheme="minorEastAsia"/>
                <w:sz w:val="20"/>
                <w:szCs w:val="20"/>
              </w:rPr>
              <w:t>15%</w:t>
            </w:r>
          </w:p>
        </w:tc>
      </w:tr>
      <w:tr w:rsidR="00D71943" w:rsidRPr="00D71943" w14:paraId="6A322675" w14:textId="77777777" w:rsidTr="00D71943">
        <w:tc>
          <w:tcPr>
            <w:tcW w:w="2858" w:type="dxa"/>
          </w:tcPr>
          <w:p w14:paraId="7DF38713" w14:textId="6A3CE844" w:rsidR="00D71943" w:rsidRPr="00D71943" w:rsidRDefault="00D71943" w:rsidP="00D71943">
            <w:pPr>
              <w:rPr>
                <w:rFonts w:eastAsiaTheme="minorEastAsia"/>
                <w:sz w:val="20"/>
                <w:szCs w:val="20"/>
              </w:rPr>
            </w:pPr>
            <w:r>
              <w:rPr>
                <w:rFonts w:eastAsiaTheme="minorEastAsia"/>
                <w:sz w:val="20"/>
                <w:szCs w:val="20"/>
              </w:rPr>
              <w:t>Dissatisfied</w:t>
            </w:r>
          </w:p>
        </w:tc>
        <w:tc>
          <w:tcPr>
            <w:tcW w:w="1203" w:type="dxa"/>
            <w:vAlign w:val="center"/>
          </w:tcPr>
          <w:p w14:paraId="0291EF0C" w14:textId="24A1C556" w:rsidR="00D71943" w:rsidRPr="00D71943" w:rsidRDefault="00D71943" w:rsidP="00D71943">
            <w:pPr>
              <w:rPr>
                <w:rFonts w:eastAsiaTheme="minorEastAsia"/>
                <w:sz w:val="20"/>
                <w:szCs w:val="20"/>
              </w:rPr>
            </w:pPr>
            <w:r w:rsidRPr="00D71943">
              <w:rPr>
                <w:rFonts w:eastAsiaTheme="minorEastAsia"/>
                <w:sz w:val="20"/>
                <w:szCs w:val="20"/>
              </w:rPr>
              <w:t>11%</w:t>
            </w:r>
          </w:p>
        </w:tc>
        <w:tc>
          <w:tcPr>
            <w:tcW w:w="1203" w:type="dxa"/>
            <w:vAlign w:val="center"/>
          </w:tcPr>
          <w:p w14:paraId="338C5EAD" w14:textId="6D1C49A8" w:rsidR="00D71943" w:rsidRPr="00D71943" w:rsidRDefault="00D71943" w:rsidP="00D71943">
            <w:pPr>
              <w:rPr>
                <w:rFonts w:eastAsiaTheme="minorEastAsia"/>
                <w:sz w:val="20"/>
                <w:szCs w:val="20"/>
              </w:rPr>
            </w:pPr>
            <w:r w:rsidRPr="00D71943">
              <w:rPr>
                <w:rFonts w:eastAsiaTheme="minorEastAsia"/>
                <w:sz w:val="20"/>
                <w:szCs w:val="20"/>
              </w:rPr>
              <w:t>13%</w:t>
            </w:r>
          </w:p>
        </w:tc>
        <w:tc>
          <w:tcPr>
            <w:tcW w:w="1203" w:type="dxa"/>
            <w:vAlign w:val="center"/>
          </w:tcPr>
          <w:p w14:paraId="2B18D8FC" w14:textId="7142B4EE" w:rsidR="00D71943" w:rsidRPr="00D71943" w:rsidRDefault="00D71943" w:rsidP="00D71943">
            <w:pPr>
              <w:rPr>
                <w:rFonts w:eastAsiaTheme="minorEastAsia"/>
                <w:sz w:val="20"/>
                <w:szCs w:val="20"/>
              </w:rPr>
            </w:pPr>
            <w:r w:rsidRPr="00D71943">
              <w:rPr>
                <w:rFonts w:eastAsiaTheme="minorEastAsia"/>
                <w:sz w:val="20"/>
                <w:szCs w:val="20"/>
              </w:rPr>
              <w:t>7%</w:t>
            </w:r>
          </w:p>
        </w:tc>
        <w:tc>
          <w:tcPr>
            <w:tcW w:w="1203" w:type="dxa"/>
            <w:vAlign w:val="center"/>
          </w:tcPr>
          <w:p w14:paraId="7349069F" w14:textId="2723F4E4" w:rsidR="00D71943" w:rsidRPr="00D71943" w:rsidRDefault="00D71943" w:rsidP="00D71943">
            <w:pPr>
              <w:rPr>
                <w:rFonts w:eastAsiaTheme="minorEastAsia"/>
                <w:sz w:val="20"/>
                <w:szCs w:val="20"/>
              </w:rPr>
            </w:pPr>
            <w:r w:rsidRPr="00D71943">
              <w:rPr>
                <w:rFonts w:eastAsiaTheme="minorEastAsia"/>
                <w:sz w:val="20"/>
                <w:szCs w:val="20"/>
              </w:rPr>
              <w:t>8%</w:t>
            </w:r>
          </w:p>
        </w:tc>
        <w:tc>
          <w:tcPr>
            <w:tcW w:w="1203" w:type="dxa"/>
            <w:vAlign w:val="center"/>
          </w:tcPr>
          <w:p w14:paraId="5390021D" w14:textId="29768DFF" w:rsidR="00D71943" w:rsidRPr="00D71943" w:rsidRDefault="00D71943" w:rsidP="00D71943">
            <w:pPr>
              <w:rPr>
                <w:rFonts w:eastAsiaTheme="minorEastAsia"/>
                <w:sz w:val="20"/>
                <w:szCs w:val="20"/>
              </w:rPr>
            </w:pPr>
            <w:r w:rsidRPr="00D71943">
              <w:rPr>
                <w:rFonts w:eastAsiaTheme="minorEastAsia"/>
                <w:sz w:val="20"/>
                <w:szCs w:val="20"/>
              </w:rPr>
              <w:t>9%</w:t>
            </w:r>
          </w:p>
        </w:tc>
        <w:tc>
          <w:tcPr>
            <w:tcW w:w="1203" w:type="dxa"/>
            <w:vAlign w:val="center"/>
          </w:tcPr>
          <w:p w14:paraId="56ADF238" w14:textId="443227D5" w:rsidR="00D71943" w:rsidRPr="00D71943" w:rsidRDefault="00D71943" w:rsidP="00D71943">
            <w:pPr>
              <w:rPr>
                <w:rFonts w:eastAsiaTheme="minorEastAsia"/>
                <w:sz w:val="20"/>
                <w:szCs w:val="20"/>
              </w:rPr>
            </w:pPr>
            <w:r w:rsidRPr="00D71943">
              <w:rPr>
                <w:rFonts w:eastAsiaTheme="minorEastAsia"/>
                <w:sz w:val="20"/>
                <w:szCs w:val="20"/>
              </w:rPr>
              <w:t>0%</w:t>
            </w:r>
          </w:p>
        </w:tc>
      </w:tr>
      <w:tr w:rsidR="00D71943" w:rsidRPr="00D71943" w14:paraId="70C27685" w14:textId="77777777" w:rsidTr="00D71943">
        <w:tc>
          <w:tcPr>
            <w:tcW w:w="2858" w:type="dxa"/>
          </w:tcPr>
          <w:p w14:paraId="20FA47B9" w14:textId="1AEAE881" w:rsidR="00D71943" w:rsidRPr="00D71943" w:rsidRDefault="00D71943" w:rsidP="00D71943">
            <w:pPr>
              <w:rPr>
                <w:rFonts w:eastAsiaTheme="minorEastAsia"/>
                <w:sz w:val="20"/>
                <w:szCs w:val="20"/>
              </w:rPr>
            </w:pPr>
            <w:r>
              <w:rPr>
                <w:rFonts w:eastAsiaTheme="minorEastAsia"/>
                <w:sz w:val="20"/>
                <w:szCs w:val="20"/>
              </w:rPr>
              <w:t>Very dissatisfied</w:t>
            </w:r>
          </w:p>
        </w:tc>
        <w:tc>
          <w:tcPr>
            <w:tcW w:w="1203" w:type="dxa"/>
            <w:vAlign w:val="center"/>
          </w:tcPr>
          <w:p w14:paraId="3C9E494B" w14:textId="532EF90F" w:rsidR="00D71943" w:rsidRPr="00D71943" w:rsidRDefault="00D71943" w:rsidP="00D71943">
            <w:pPr>
              <w:rPr>
                <w:rFonts w:eastAsiaTheme="minorEastAsia"/>
                <w:sz w:val="20"/>
                <w:szCs w:val="20"/>
              </w:rPr>
            </w:pPr>
            <w:r w:rsidRPr="00D71943">
              <w:rPr>
                <w:rFonts w:eastAsiaTheme="minorEastAsia"/>
                <w:sz w:val="20"/>
                <w:szCs w:val="20"/>
              </w:rPr>
              <w:t>12%</w:t>
            </w:r>
          </w:p>
        </w:tc>
        <w:tc>
          <w:tcPr>
            <w:tcW w:w="1203" w:type="dxa"/>
            <w:vAlign w:val="center"/>
          </w:tcPr>
          <w:p w14:paraId="1F6E87DB" w14:textId="4C1596C1" w:rsidR="00D71943" w:rsidRPr="00D71943" w:rsidRDefault="00D71943" w:rsidP="00D71943">
            <w:pPr>
              <w:rPr>
                <w:rFonts w:eastAsiaTheme="minorEastAsia"/>
                <w:sz w:val="20"/>
                <w:szCs w:val="20"/>
              </w:rPr>
            </w:pPr>
            <w:r w:rsidRPr="00D71943">
              <w:rPr>
                <w:rFonts w:eastAsiaTheme="minorEastAsia"/>
                <w:sz w:val="20"/>
                <w:szCs w:val="20"/>
              </w:rPr>
              <w:t>13%</w:t>
            </w:r>
          </w:p>
        </w:tc>
        <w:tc>
          <w:tcPr>
            <w:tcW w:w="1203" w:type="dxa"/>
            <w:vAlign w:val="center"/>
          </w:tcPr>
          <w:p w14:paraId="6E5EAC94" w14:textId="73454FF0" w:rsidR="00D71943" w:rsidRPr="00D71943" w:rsidRDefault="00D71943" w:rsidP="00D71943">
            <w:pPr>
              <w:rPr>
                <w:rFonts w:eastAsiaTheme="minorEastAsia"/>
                <w:sz w:val="20"/>
                <w:szCs w:val="20"/>
              </w:rPr>
            </w:pPr>
            <w:r w:rsidRPr="00D71943">
              <w:rPr>
                <w:rFonts w:eastAsiaTheme="minorEastAsia"/>
                <w:sz w:val="20"/>
                <w:szCs w:val="20"/>
              </w:rPr>
              <w:t>7%</w:t>
            </w:r>
          </w:p>
        </w:tc>
        <w:tc>
          <w:tcPr>
            <w:tcW w:w="1203" w:type="dxa"/>
            <w:vAlign w:val="center"/>
          </w:tcPr>
          <w:p w14:paraId="410FA9AB" w14:textId="4518A49F" w:rsidR="00D71943" w:rsidRPr="00D71943" w:rsidRDefault="00D71943" w:rsidP="00D71943">
            <w:pPr>
              <w:rPr>
                <w:rFonts w:eastAsiaTheme="minorEastAsia"/>
                <w:sz w:val="20"/>
                <w:szCs w:val="20"/>
              </w:rPr>
            </w:pPr>
            <w:r w:rsidRPr="00D71943">
              <w:rPr>
                <w:rFonts w:eastAsiaTheme="minorEastAsia"/>
                <w:sz w:val="20"/>
                <w:szCs w:val="20"/>
              </w:rPr>
              <w:t>5%</w:t>
            </w:r>
          </w:p>
        </w:tc>
        <w:tc>
          <w:tcPr>
            <w:tcW w:w="1203" w:type="dxa"/>
            <w:vAlign w:val="center"/>
          </w:tcPr>
          <w:p w14:paraId="10ECE15C" w14:textId="5D703A1B" w:rsidR="00D71943" w:rsidRPr="00D71943" w:rsidRDefault="00D71943" w:rsidP="00D71943">
            <w:pPr>
              <w:rPr>
                <w:rFonts w:eastAsiaTheme="minorEastAsia"/>
                <w:sz w:val="20"/>
                <w:szCs w:val="20"/>
              </w:rPr>
            </w:pPr>
            <w:r w:rsidRPr="00D71943">
              <w:rPr>
                <w:rFonts w:eastAsiaTheme="minorEastAsia"/>
                <w:sz w:val="20"/>
                <w:szCs w:val="20"/>
              </w:rPr>
              <w:t>11%</w:t>
            </w:r>
          </w:p>
        </w:tc>
        <w:tc>
          <w:tcPr>
            <w:tcW w:w="1203" w:type="dxa"/>
            <w:vAlign w:val="center"/>
          </w:tcPr>
          <w:p w14:paraId="6A8E50E6" w14:textId="35720F8D" w:rsidR="00D71943" w:rsidRPr="00D71943" w:rsidRDefault="00D71943" w:rsidP="00D71943">
            <w:pPr>
              <w:rPr>
                <w:rFonts w:eastAsiaTheme="minorEastAsia"/>
                <w:sz w:val="20"/>
                <w:szCs w:val="20"/>
              </w:rPr>
            </w:pPr>
            <w:r w:rsidRPr="00D71943">
              <w:rPr>
                <w:rFonts w:eastAsiaTheme="minorEastAsia"/>
                <w:sz w:val="20"/>
                <w:szCs w:val="20"/>
              </w:rPr>
              <w:t>0%</w:t>
            </w:r>
          </w:p>
        </w:tc>
      </w:tr>
      <w:tr w:rsidR="00D71943" w:rsidRPr="00D71943" w14:paraId="16F07A36" w14:textId="77777777" w:rsidTr="00D71943">
        <w:tc>
          <w:tcPr>
            <w:tcW w:w="2858" w:type="dxa"/>
            <w:tcBorders>
              <w:bottom w:val="single" w:sz="4" w:space="0" w:color="auto"/>
            </w:tcBorders>
            <w:vAlign w:val="center"/>
          </w:tcPr>
          <w:p w14:paraId="6F49CCE4" w14:textId="0D89A43C" w:rsidR="00D71943" w:rsidRPr="00D71943" w:rsidRDefault="00F71279" w:rsidP="00D71943">
            <w:pPr>
              <w:rPr>
                <w:rFonts w:eastAsiaTheme="minorEastAsia"/>
                <w:sz w:val="20"/>
                <w:szCs w:val="20"/>
              </w:rPr>
            </w:pPr>
            <w:r>
              <w:rPr>
                <w:rFonts w:eastAsiaTheme="minorEastAsia"/>
                <w:sz w:val="20"/>
                <w:szCs w:val="20"/>
              </w:rPr>
              <w:t>Not applicable or don't know</w:t>
            </w:r>
          </w:p>
        </w:tc>
        <w:tc>
          <w:tcPr>
            <w:tcW w:w="1203" w:type="dxa"/>
            <w:tcBorders>
              <w:bottom w:val="single" w:sz="4" w:space="0" w:color="auto"/>
            </w:tcBorders>
            <w:vAlign w:val="center"/>
          </w:tcPr>
          <w:p w14:paraId="7D463B57" w14:textId="1760F556" w:rsidR="00D71943" w:rsidRPr="00D71943" w:rsidRDefault="00D71943" w:rsidP="00D71943">
            <w:pPr>
              <w:rPr>
                <w:rFonts w:eastAsiaTheme="minorEastAsia"/>
                <w:sz w:val="20"/>
                <w:szCs w:val="20"/>
              </w:rPr>
            </w:pPr>
            <w:r w:rsidRPr="00D71943">
              <w:rPr>
                <w:rFonts w:eastAsiaTheme="minorEastAsia"/>
                <w:sz w:val="20"/>
                <w:szCs w:val="20"/>
              </w:rPr>
              <w:t>16%</w:t>
            </w:r>
          </w:p>
        </w:tc>
        <w:tc>
          <w:tcPr>
            <w:tcW w:w="1203" w:type="dxa"/>
            <w:tcBorders>
              <w:bottom w:val="single" w:sz="4" w:space="0" w:color="auto"/>
            </w:tcBorders>
            <w:vAlign w:val="center"/>
          </w:tcPr>
          <w:p w14:paraId="0A5F63D5" w14:textId="7DB0A5F3" w:rsidR="00D71943" w:rsidRPr="00D71943" w:rsidRDefault="00D71943" w:rsidP="00D71943">
            <w:pPr>
              <w:rPr>
                <w:rFonts w:eastAsiaTheme="minorEastAsia"/>
                <w:sz w:val="20"/>
                <w:szCs w:val="20"/>
              </w:rPr>
            </w:pPr>
            <w:r w:rsidRPr="00D71943">
              <w:rPr>
                <w:rFonts w:eastAsiaTheme="minorEastAsia"/>
                <w:sz w:val="20"/>
                <w:szCs w:val="20"/>
              </w:rPr>
              <w:t>13%</w:t>
            </w:r>
          </w:p>
        </w:tc>
        <w:tc>
          <w:tcPr>
            <w:tcW w:w="1203" w:type="dxa"/>
            <w:tcBorders>
              <w:bottom w:val="single" w:sz="4" w:space="0" w:color="auto"/>
            </w:tcBorders>
            <w:vAlign w:val="center"/>
          </w:tcPr>
          <w:p w14:paraId="08859329" w14:textId="7CDB66F1" w:rsidR="00D71943" w:rsidRPr="00D71943" w:rsidRDefault="00D71943" w:rsidP="00D71943">
            <w:pPr>
              <w:rPr>
                <w:rFonts w:eastAsiaTheme="minorEastAsia"/>
                <w:sz w:val="20"/>
                <w:szCs w:val="20"/>
              </w:rPr>
            </w:pPr>
            <w:r w:rsidRPr="00D71943">
              <w:rPr>
                <w:rFonts w:eastAsiaTheme="minorEastAsia"/>
                <w:sz w:val="20"/>
                <w:szCs w:val="20"/>
              </w:rPr>
              <w:t>4%</w:t>
            </w:r>
          </w:p>
        </w:tc>
        <w:tc>
          <w:tcPr>
            <w:tcW w:w="1203" w:type="dxa"/>
            <w:tcBorders>
              <w:bottom w:val="single" w:sz="4" w:space="0" w:color="auto"/>
            </w:tcBorders>
            <w:vAlign w:val="center"/>
          </w:tcPr>
          <w:p w14:paraId="076B48E4" w14:textId="08091B93" w:rsidR="00D71943" w:rsidRPr="00D71943" w:rsidRDefault="00D71943" w:rsidP="00D71943">
            <w:pPr>
              <w:rPr>
                <w:rFonts w:eastAsiaTheme="minorEastAsia"/>
                <w:sz w:val="20"/>
                <w:szCs w:val="20"/>
              </w:rPr>
            </w:pPr>
            <w:r w:rsidRPr="00D71943">
              <w:rPr>
                <w:rFonts w:eastAsiaTheme="minorEastAsia"/>
                <w:sz w:val="20"/>
                <w:szCs w:val="20"/>
              </w:rPr>
              <w:t>4%</w:t>
            </w:r>
          </w:p>
        </w:tc>
        <w:tc>
          <w:tcPr>
            <w:tcW w:w="1203" w:type="dxa"/>
            <w:tcBorders>
              <w:bottom w:val="single" w:sz="4" w:space="0" w:color="auto"/>
            </w:tcBorders>
            <w:vAlign w:val="center"/>
          </w:tcPr>
          <w:p w14:paraId="39D800C3" w14:textId="607378CB" w:rsidR="00D71943" w:rsidRPr="00D71943" w:rsidRDefault="00D71943" w:rsidP="00D71943">
            <w:pPr>
              <w:rPr>
                <w:rFonts w:eastAsiaTheme="minorEastAsia"/>
                <w:sz w:val="20"/>
                <w:szCs w:val="20"/>
              </w:rPr>
            </w:pPr>
            <w:r w:rsidRPr="00D71943">
              <w:rPr>
                <w:rFonts w:eastAsiaTheme="minorEastAsia"/>
                <w:sz w:val="20"/>
                <w:szCs w:val="20"/>
              </w:rPr>
              <w:t>5%</w:t>
            </w:r>
          </w:p>
        </w:tc>
        <w:tc>
          <w:tcPr>
            <w:tcW w:w="1203" w:type="dxa"/>
            <w:tcBorders>
              <w:bottom w:val="single" w:sz="4" w:space="0" w:color="auto"/>
            </w:tcBorders>
            <w:vAlign w:val="center"/>
          </w:tcPr>
          <w:p w14:paraId="2EA1F994" w14:textId="48EDEBE5" w:rsidR="00D71943" w:rsidRPr="00D71943" w:rsidRDefault="00D71943" w:rsidP="00D71943">
            <w:pPr>
              <w:rPr>
                <w:rFonts w:eastAsiaTheme="minorEastAsia"/>
                <w:sz w:val="20"/>
                <w:szCs w:val="20"/>
              </w:rPr>
            </w:pPr>
            <w:r w:rsidRPr="00D71943">
              <w:rPr>
                <w:rFonts w:eastAsiaTheme="minorEastAsia"/>
                <w:sz w:val="20"/>
                <w:szCs w:val="20"/>
              </w:rPr>
              <w:t>0%</w:t>
            </w:r>
          </w:p>
        </w:tc>
      </w:tr>
      <w:tr w:rsidR="00D71943" w:rsidRPr="00D71943" w14:paraId="4FB23060" w14:textId="77777777" w:rsidTr="00D71943">
        <w:tc>
          <w:tcPr>
            <w:tcW w:w="2858" w:type="dxa"/>
            <w:shd w:val="pct12" w:color="auto" w:fill="auto"/>
            <w:vAlign w:val="center"/>
          </w:tcPr>
          <w:p w14:paraId="228D1C1F" w14:textId="6A7F9C76" w:rsidR="00D71943" w:rsidRPr="00D71943" w:rsidRDefault="00D71943" w:rsidP="00D71943">
            <w:pPr>
              <w:rPr>
                <w:rFonts w:eastAsiaTheme="minorEastAsia"/>
                <w:sz w:val="20"/>
                <w:szCs w:val="20"/>
              </w:rPr>
            </w:pPr>
            <w:r w:rsidRPr="00D71943">
              <w:rPr>
                <w:rFonts w:eastAsiaTheme="minorEastAsia"/>
                <w:sz w:val="20"/>
                <w:szCs w:val="20"/>
              </w:rPr>
              <w:t>Total Satisfied</w:t>
            </w:r>
          </w:p>
        </w:tc>
        <w:tc>
          <w:tcPr>
            <w:tcW w:w="1203" w:type="dxa"/>
            <w:shd w:val="pct12" w:color="auto" w:fill="auto"/>
            <w:vAlign w:val="center"/>
          </w:tcPr>
          <w:p w14:paraId="1A7C9513" w14:textId="3CA246C4" w:rsidR="00D71943" w:rsidRPr="00D71943" w:rsidRDefault="00D71943" w:rsidP="00D71943">
            <w:pPr>
              <w:rPr>
                <w:rFonts w:eastAsiaTheme="minorEastAsia"/>
                <w:sz w:val="20"/>
                <w:szCs w:val="20"/>
              </w:rPr>
            </w:pPr>
            <w:r w:rsidRPr="00D71943">
              <w:rPr>
                <w:rFonts w:eastAsiaTheme="minorEastAsia"/>
                <w:sz w:val="20"/>
                <w:szCs w:val="20"/>
              </w:rPr>
              <w:t>48%</w:t>
            </w:r>
          </w:p>
        </w:tc>
        <w:tc>
          <w:tcPr>
            <w:tcW w:w="1203" w:type="dxa"/>
            <w:shd w:val="pct12" w:color="auto" w:fill="auto"/>
            <w:vAlign w:val="center"/>
          </w:tcPr>
          <w:p w14:paraId="386FBC24" w14:textId="38819642" w:rsidR="00D71943" w:rsidRPr="00D71943" w:rsidRDefault="00D71943" w:rsidP="00D71943">
            <w:pPr>
              <w:rPr>
                <w:rFonts w:eastAsiaTheme="minorEastAsia"/>
                <w:sz w:val="20"/>
                <w:szCs w:val="20"/>
              </w:rPr>
            </w:pPr>
            <w:r w:rsidRPr="00D71943">
              <w:rPr>
                <w:rFonts w:eastAsiaTheme="minorEastAsia"/>
                <w:sz w:val="20"/>
                <w:szCs w:val="20"/>
              </w:rPr>
              <w:t>62%</w:t>
            </w:r>
          </w:p>
        </w:tc>
        <w:tc>
          <w:tcPr>
            <w:tcW w:w="1203" w:type="dxa"/>
            <w:shd w:val="pct12" w:color="auto" w:fill="auto"/>
            <w:vAlign w:val="center"/>
          </w:tcPr>
          <w:p w14:paraId="31917A6F" w14:textId="5E6E3FA3" w:rsidR="00D71943" w:rsidRPr="00D71943" w:rsidRDefault="00D71943" w:rsidP="00D71943">
            <w:pPr>
              <w:rPr>
                <w:rFonts w:eastAsiaTheme="minorEastAsia"/>
                <w:sz w:val="20"/>
                <w:szCs w:val="20"/>
              </w:rPr>
            </w:pPr>
            <w:r w:rsidRPr="00D71943">
              <w:rPr>
                <w:rFonts w:eastAsiaTheme="minorEastAsia"/>
                <w:sz w:val="20"/>
                <w:szCs w:val="20"/>
              </w:rPr>
              <w:t>70%</w:t>
            </w:r>
          </w:p>
        </w:tc>
        <w:tc>
          <w:tcPr>
            <w:tcW w:w="1203" w:type="dxa"/>
            <w:shd w:val="pct12" w:color="auto" w:fill="auto"/>
            <w:vAlign w:val="center"/>
          </w:tcPr>
          <w:p w14:paraId="3512C77F" w14:textId="468C2C00" w:rsidR="00D71943" w:rsidRPr="00D71943" w:rsidRDefault="00D71943" w:rsidP="00D71943">
            <w:pPr>
              <w:rPr>
                <w:rFonts w:eastAsiaTheme="minorEastAsia"/>
                <w:sz w:val="20"/>
                <w:szCs w:val="20"/>
              </w:rPr>
            </w:pPr>
            <w:r w:rsidRPr="00D71943">
              <w:rPr>
                <w:rFonts w:eastAsiaTheme="minorEastAsia"/>
                <w:sz w:val="20"/>
                <w:szCs w:val="20"/>
              </w:rPr>
              <w:t>76%</w:t>
            </w:r>
          </w:p>
        </w:tc>
        <w:tc>
          <w:tcPr>
            <w:tcW w:w="1203" w:type="dxa"/>
            <w:shd w:val="pct12" w:color="auto" w:fill="auto"/>
            <w:vAlign w:val="center"/>
          </w:tcPr>
          <w:p w14:paraId="2C7C1E71" w14:textId="0A80E966" w:rsidR="00D71943" w:rsidRPr="00D71943" w:rsidRDefault="00D71943" w:rsidP="00D71943">
            <w:pPr>
              <w:rPr>
                <w:rFonts w:eastAsiaTheme="minorEastAsia"/>
                <w:sz w:val="20"/>
                <w:szCs w:val="20"/>
              </w:rPr>
            </w:pPr>
            <w:r w:rsidRPr="00D71943">
              <w:rPr>
                <w:rFonts w:eastAsiaTheme="minorEastAsia"/>
                <w:sz w:val="20"/>
                <w:szCs w:val="20"/>
              </w:rPr>
              <w:t>64%</w:t>
            </w:r>
          </w:p>
        </w:tc>
        <w:tc>
          <w:tcPr>
            <w:tcW w:w="1203" w:type="dxa"/>
            <w:shd w:val="pct12" w:color="auto" w:fill="auto"/>
            <w:vAlign w:val="center"/>
          </w:tcPr>
          <w:p w14:paraId="30A89D95" w14:textId="0E86A907" w:rsidR="00D71943" w:rsidRPr="00D71943" w:rsidRDefault="00D71943" w:rsidP="00D71943">
            <w:pPr>
              <w:rPr>
                <w:rFonts w:eastAsiaTheme="minorEastAsia"/>
                <w:sz w:val="20"/>
                <w:szCs w:val="20"/>
              </w:rPr>
            </w:pPr>
            <w:r w:rsidRPr="00D71943">
              <w:rPr>
                <w:rFonts w:eastAsiaTheme="minorEastAsia"/>
                <w:sz w:val="20"/>
                <w:szCs w:val="20"/>
              </w:rPr>
              <w:t>85%</w:t>
            </w:r>
          </w:p>
        </w:tc>
      </w:tr>
    </w:tbl>
    <w:p w14:paraId="6CFF8D4E" w14:textId="45805AF9" w:rsidR="00940F0D" w:rsidRDefault="00940F0D" w:rsidP="00086408">
      <w:pPr>
        <w:spacing w:after="240" w:line="276" w:lineRule="auto"/>
        <w:jc w:val="both"/>
        <w:rPr>
          <w:rFonts w:eastAsiaTheme="minorHAnsi" w:cs="Arial"/>
          <w:color w:val="616365"/>
          <w:sz w:val="16"/>
          <w:szCs w:val="22"/>
        </w:rPr>
      </w:pPr>
      <w:r w:rsidRPr="00940F0D">
        <w:rPr>
          <w:rFonts w:eastAsiaTheme="minorHAnsi" w:cs="Arial"/>
          <w:color w:val="616365"/>
          <w:sz w:val="16"/>
          <w:szCs w:val="22"/>
        </w:rPr>
        <w:lastRenderedPageBreak/>
        <w:t>Q [2, 3, 4] How satisfied were you with the outcome of your case? Would you say you were…? (SR)</w:t>
      </w:r>
    </w:p>
    <w:p w14:paraId="77CB1C71" w14:textId="2BEEB350" w:rsidR="00D71943" w:rsidRDefault="00D71943" w:rsidP="00D71943">
      <w:pPr>
        <w:pStyle w:val="Figuretableheading"/>
        <w:rPr>
          <w:rFonts w:eastAsiaTheme="minorEastAsia"/>
          <w:lang w:eastAsia="en-AU"/>
        </w:rPr>
      </w:pPr>
      <w:r w:rsidRPr="00B769F6">
        <w:rPr>
          <w:rFonts w:eastAsiaTheme="minorEastAsia"/>
          <w:lang w:eastAsia="en-AU"/>
        </w:rPr>
        <w:t>Table 4</w:t>
      </w:r>
      <w:r>
        <w:rPr>
          <w:rFonts w:eastAsiaTheme="minorEastAsia"/>
          <w:lang w:eastAsia="en-AU"/>
        </w:rPr>
        <w:t>b: Likelihood of Legal Aid recommendation</w:t>
      </w:r>
    </w:p>
    <w:tbl>
      <w:tblPr>
        <w:tblStyle w:val="TableGrid"/>
        <w:tblW w:w="10076" w:type="dxa"/>
        <w:tblLayout w:type="fixed"/>
        <w:tblLook w:val="04A0" w:firstRow="1" w:lastRow="0" w:firstColumn="1" w:lastColumn="0" w:noHBand="0" w:noVBand="1"/>
      </w:tblPr>
      <w:tblGrid>
        <w:gridCol w:w="2858"/>
        <w:gridCol w:w="1203"/>
        <w:gridCol w:w="1203"/>
        <w:gridCol w:w="1203"/>
        <w:gridCol w:w="1203"/>
        <w:gridCol w:w="1203"/>
        <w:gridCol w:w="1203"/>
      </w:tblGrid>
      <w:tr w:rsidR="00D71943" w:rsidRPr="00D71943" w14:paraId="02C2A9E9" w14:textId="77777777" w:rsidTr="00D71943">
        <w:trPr>
          <w:tblHeader/>
        </w:trPr>
        <w:tc>
          <w:tcPr>
            <w:tcW w:w="2858" w:type="dxa"/>
            <w:shd w:val="clear" w:color="auto" w:fill="FFDDAB"/>
          </w:tcPr>
          <w:p w14:paraId="1AA8CD29" w14:textId="2ACB4126" w:rsidR="00D71943" w:rsidRPr="00D71943" w:rsidRDefault="00D71943" w:rsidP="00D71943">
            <w:pPr>
              <w:rPr>
                <w:rFonts w:eastAsiaTheme="minorEastAsia"/>
                <w:b/>
                <w:sz w:val="20"/>
                <w:szCs w:val="20"/>
              </w:rPr>
            </w:pPr>
            <w:r>
              <w:rPr>
                <w:rFonts w:eastAsiaTheme="minorEastAsia"/>
                <w:b/>
                <w:sz w:val="20"/>
                <w:szCs w:val="20"/>
              </w:rPr>
              <w:t>Recommending Legal Aid</w:t>
            </w:r>
          </w:p>
        </w:tc>
        <w:tc>
          <w:tcPr>
            <w:tcW w:w="1203" w:type="dxa"/>
            <w:shd w:val="clear" w:color="auto" w:fill="FFDDAB"/>
          </w:tcPr>
          <w:p w14:paraId="58D3653A" w14:textId="77777777" w:rsidR="00D71943" w:rsidRDefault="00D71943" w:rsidP="00D71943">
            <w:pPr>
              <w:rPr>
                <w:rFonts w:eastAsiaTheme="minorEastAsia"/>
                <w:b/>
                <w:sz w:val="20"/>
                <w:szCs w:val="20"/>
              </w:rPr>
            </w:pPr>
            <w:r w:rsidRPr="00D71943">
              <w:rPr>
                <w:rFonts w:eastAsiaTheme="minorEastAsia"/>
                <w:b/>
                <w:sz w:val="20"/>
                <w:szCs w:val="20"/>
              </w:rPr>
              <w:t>Legal advice</w:t>
            </w:r>
          </w:p>
          <w:p w14:paraId="40DF38EA" w14:textId="77777777" w:rsidR="00D71943" w:rsidRPr="00D71943" w:rsidRDefault="00D71943" w:rsidP="00D71943">
            <w:pPr>
              <w:rPr>
                <w:rFonts w:eastAsiaTheme="minorEastAsia"/>
                <w:b/>
                <w:sz w:val="20"/>
                <w:szCs w:val="20"/>
              </w:rPr>
            </w:pPr>
            <w:r w:rsidRPr="00D71943">
              <w:rPr>
                <w:rFonts w:eastAsiaTheme="minorEastAsia"/>
                <w:b/>
                <w:sz w:val="20"/>
                <w:szCs w:val="20"/>
              </w:rPr>
              <w:t>total (n=310)</w:t>
            </w:r>
          </w:p>
        </w:tc>
        <w:tc>
          <w:tcPr>
            <w:tcW w:w="1203" w:type="dxa"/>
            <w:shd w:val="clear" w:color="auto" w:fill="FFDDAB"/>
          </w:tcPr>
          <w:p w14:paraId="4E97307D" w14:textId="77777777" w:rsidR="00D71943" w:rsidRDefault="00D71943" w:rsidP="00D71943">
            <w:pPr>
              <w:rPr>
                <w:rFonts w:eastAsiaTheme="minorEastAsia"/>
                <w:b/>
                <w:sz w:val="20"/>
                <w:szCs w:val="20"/>
              </w:rPr>
            </w:pPr>
            <w:r w:rsidRPr="00D71943">
              <w:rPr>
                <w:rFonts w:eastAsiaTheme="minorEastAsia"/>
                <w:b/>
                <w:sz w:val="20"/>
                <w:szCs w:val="20"/>
              </w:rPr>
              <w:t>Legal advice</w:t>
            </w:r>
          </w:p>
          <w:p w14:paraId="192C1031" w14:textId="77777777" w:rsidR="00D71943" w:rsidRPr="00D71943" w:rsidRDefault="00D71943" w:rsidP="00D71943">
            <w:pPr>
              <w:rPr>
                <w:rFonts w:eastAsiaTheme="minorEastAsia"/>
                <w:b/>
                <w:sz w:val="20"/>
                <w:szCs w:val="20"/>
              </w:rPr>
            </w:pPr>
            <w:r w:rsidRPr="00D71943">
              <w:rPr>
                <w:rFonts w:eastAsiaTheme="minorEastAsia"/>
                <w:b/>
                <w:sz w:val="20"/>
                <w:szCs w:val="20"/>
              </w:rPr>
              <w:t>CP (n=9)</w:t>
            </w:r>
          </w:p>
        </w:tc>
        <w:tc>
          <w:tcPr>
            <w:tcW w:w="1203" w:type="dxa"/>
            <w:shd w:val="clear" w:color="auto" w:fill="FFDDAB"/>
          </w:tcPr>
          <w:p w14:paraId="4A75E70A" w14:textId="77777777" w:rsidR="00D71943" w:rsidRDefault="00D71943" w:rsidP="00D71943">
            <w:pPr>
              <w:rPr>
                <w:rFonts w:eastAsiaTheme="minorEastAsia"/>
                <w:b/>
                <w:sz w:val="20"/>
                <w:szCs w:val="20"/>
              </w:rPr>
            </w:pPr>
            <w:r w:rsidRPr="00D71943">
              <w:rPr>
                <w:rFonts w:eastAsiaTheme="minorEastAsia"/>
                <w:b/>
                <w:sz w:val="20"/>
                <w:szCs w:val="20"/>
              </w:rPr>
              <w:t>Casework</w:t>
            </w:r>
          </w:p>
          <w:p w14:paraId="282D502A" w14:textId="77777777" w:rsidR="00D71943" w:rsidRPr="00D71943" w:rsidRDefault="00D71943" w:rsidP="00D71943">
            <w:pPr>
              <w:rPr>
                <w:rFonts w:eastAsiaTheme="minorEastAsia"/>
                <w:b/>
                <w:sz w:val="20"/>
                <w:szCs w:val="20"/>
              </w:rPr>
            </w:pPr>
            <w:r w:rsidRPr="00D71943">
              <w:rPr>
                <w:rFonts w:eastAsiaTheme="minorEastAsia"/>
                <w:b/>
                <w:sz w:val="20"/>
                <w:szCs w:val="20"/>
              </w:rPr>
              <w:t>total (n=321)</w:t>
            </w:r>
          </w:p>
        </w:tc>
        <w:tc>
          <w:tcPr>
            <w:tcW w:w="1203" w:type="dxa"/>
            <w:shd w:val="clear" w:color="auto" w:fill="FFDDAB"/>
          </w:tcPr>
          <w:p w14:paraId="6D691374" w14:textId="77777777" w:rsidR="00D71943" w:rsidRDefault="00D71943" w:rsidP="00D71943">
            <w:pPr>
              <w:rPr>
                <w:rFonts w:eastAsiaTheme="minorEastAsia"/>
                <w:b/>
                <w:sz w:val="20"/>
                <w:szCs w:val="20"/>
              </w:rPr>
            </w:pPr>
            <w:r w:rsidRPr="00D71943">
              <w:rPr>
                <w:rFonts w:eastAsiaTheme="minorEastAsia"/>
                <w:b/>
                <w:sz w:val="20"/>
                <w:szCs w:val="20"/>
              </w:rPr>
              <w:t>Casework</w:t>
            </w:r>
          </w:p>
          <w:p w14:paraId="731C2BD2" w14:textId="77777777" w:rsidR="00D71943" w:rsidRPr="00D71943" w:rsidRDefault="00D71943" w:rsidP="00D71943">
            <w:pPr>
              <w:rPr>
                <w:rFonts w:eastAsiaTheme="minorEastAsia"/>
                <w:b/>
                <w:sz w:val="20"/>
                <w:szCs w:val="20"/>
              </w:rPr>
            </w:pPr>
            <w:r w:rsidRPr="00D71943">
              <w:rPr>
                <w:rFonts w:eastAsiaTheme="minorEastAsia"/>
                <w:b/>
                <w:sz w:val="20"/>
                <w:szCs w:val="20"/>
              </w:rPr>
              <w:t>CP (n=34)</w:t>
            </w:r>
          </w:p>
        </w:tc>
        <w:tc>
          <w:tcPr>
            <w:tcW w:w="1203" w:type="dxa"/>
            <w:shd w:val="clear" w:color="auto" w:fill="FFDDAB"/>
          </w:tcPr>
          <w:p w14:paraId="1AC9F9AC" w14:textId="77777777" w:rsidR="00D71943" w:rsidRDefault="00D71943" w:rsidP="00D71943">
            <w:pPr>
              <w:rPr>
                <w:rFonts w:eastAsiaTheme="minorEastAsia"/>
                <w:b/>
                <w:sz w:val="20"/>
                <w:szCs w:val="20"/>
              </w:rPr>
            </w:pPr>
            <w:r w:rsidRPr="00D71943">
              <w:rPr>
                <w:rFonts w:eastAsiaTheme="minorEastAsia"/>
                <w:b/>
                <w:sz w:val="20"/>
                <w:szCs w:val="20"/>
              </w:rPr>
              <w:t>Duty lawyer</w:t>
            </w:r>
          </w:p>
          <w:p w14:paraId="517C01FE" w14:textId="77777777" w:rsidR="00D71943" w:rsidRPr="00D71943" w:rsidRDefault="00D71943" w:rsidP="00D71943">
            <w:pPr>
              <w:rPr>
                <w:rFonts w:eastAsiaTheme="minorEastAsia"/>
                <w:b/>
                <w:sz w:val="20"/>
                <w:szCs w:val="20"/>
              </w:rPr>
            </w:pPr>
            <w:r w:rsidRPr="00D71943">
              <w:rPr>
                <w:rFonts w:eastAsiaTheme="minorEastAsia"/>
                <w:b/>
                <w:sz w:val="20"/>
                <w:szCs w:val="20"/>
              </w:rPr>
              <w:t>total (n=290)</w:t>
            </w:r>
          </w:p>
        </w:tc>
        <w:tc>
          <w:tcPr>
            <w:tcW w:w="1203" w:type="dxa"/>
            <w:shd w:val="clear" w:color="auto" w:fill="FFDDAB"/>
          </w:tcPr>
          <w:p w14:paraId="1D654431" w14:textId="77777777" w:rsidR="00D71943" w:rsidRDefault="00D71943" w:rsidP="00D71943">
            <w:pPr>
              <w:rPr>
                <w:rFonts w:eastAsiaTheme="minorEastAsia"/>
                <w:b/>
                <w:sz w:val="20"/>
                <w:szCs w:val="20"/>
              </w:rPr>
            </w:pPr>
            <w:r w:rsidRPr="00D71943">
              <w:rPr>
                <w:rFonts w:eastAsiaTheme="minorEastAsia"/>
                <w:b/>
                <w:sz w:val="20"/>
                <w:szCs w:val="20"/>
              </w:rPr>
              <w:t>Duty lawyer</w:t>
            </w:r>
          </w:p>
          <w:p w14:paraId="50F5DA40" w14:textId="77777777" w:rsidR="00D71943" w:rsidRPr="00D71943" w:rsidRDefault="00D71943" w:rsidP="00D71943">
            <w:pPr>
              <w:rPr>
                <w:rFonts w:eastAsiaTheme="minorEastAsia"/>
                <w:b/>
                <w:sz w:val="20"/>
                <w:szCs w:val="20"/>
              </w:rPr>
            </w:pPr>
            <w:r w:rsidRPr="00D71943">
              <w:rPr>
                <w:rFonts w:eastAsiaTheme="minorEastAsia"/>
                <w:b/>
                <w:sz w:val="20"/>
                <w:szCs w:val="20"/>
              </w:rPr>
              <w:t>CP (n=6)</w:t>
            </w:r>
          </w:p>
        </w:tc>
      </w:tr>
      <w:tr w:rsidR="00D71943" w:rsidRPr="00D71943" w14:paraId="5EFE23D4" w14:textId="77777777" w:rsidTr="00D71943">
        <w:tc>
          <w:tcPr>
            <w:tcW w:w="2858" w:type="dxa"/>
            <w:vAlign w:val="center"/>
          </w:tcPr>
          <w:p w14:paraId="00FD0F43" w14:textId="3066A0CB" w:rsidR="00D71943" w:rsidRPr="00D71943" w:rsidRDefault="00D71943" w:rsidP="00D71943">
            <w:pPr>
              <w:rPr>
                <w:rFonts w:eastAsiaTheme="minorEastAsia"/>
                <w:sz w:val="20"/>
                <w:szCs w:val="20"/>
              </w:rPr>
            </w:pPr>
            <w:r w:rsidRPr="00D71943">
              <w:rPr>
                <w:rFonts w:eastAsiaTheme="minorEastAsia"/>
                <w:sz w:val="20"/>
                <w:szCs w:val="20"/>
              </w:rPr>
              <w:t>Yes</w:t>
            </w:r>
          </w:p>
        </w:tc>
        <w:tc>
          <w:tcPr>
            <w:tcW w:w="1203" w:type="dxa"/>
            <w:vAlign w:val="center"/>
          </w:tcPr>
          <w:p w14:paraId="073F38FD" w14:textId="6C335027" w:rsidR="00D71943" w:rsidRPr="00D71943" w:rsidRDefault="00D71943" w:rsidP="00D71943">
            <w:pPr>
              <w:rPr>
                <w:rFonts w:eastAsiaTheme="minorEastAsia"/>
                <w:sz w:val="20"/>
                <w:szCs w:val="20"/>
              </w:rPr>
            </w:pPr>
            <w:r w:rsidRPr="00D71943">
              <w:rPr>
                <w:rFonts w:eastAsiaTheme="minorEastAsia"/>
                <w:sz w:val="20"/>
                <w:szCs w:val="20"/>
              </w:rPr>
              <w:t>83%</w:t>
            </w:r>
          </w:p>
        </w:tc>
        <w:tc>
          <w:tcPr>
            <w:tcW w:w="1203" w:type="dxa"/>
            <w:vAlign w:val="center"/>
          </w:tcPr>
          <w:p w14:paraId="1F79FC80" w14:textId="0796E228" w:rsidR="00D71943" w:rsidRPr="00D71943" w:rsidRDefault="00D71943" w:rsidP="00D71943">
            <w:pPr>
              <w:rPr>
                <w:rFonts w:eastAsiaTheme="minorEastAsia"/>
                <w:sz w:val="20"/>
                <w:szCs w:val="20"/>
              </w:rPr>
            </w:pPr>
            <w:r w:rsidRPr="00D71943">
              <w:rPr>
                <w:rFonts w:eastAsiaTheme="minorEastAsia"/>
                <w:sz w:val="20"/>
                <w:szCs w:val="20"/>
              </w:rPr>
              <w:t>75%</w:t>
            </w:r>
          </w:p>
        </w:tc>
        <w:tc>
          <w:tcPr>
            <w:tcW w:w="1203" w:type="dxa"/>
            <w:vAlign w:val="center"/>
          </w:tcPr>
          <w:p w14:paraId="25D882DD" w14:textId="426EC0EB" w:rsidR="00D71943" w:rsidRPr="00D71943" w:rsidRDefault="00D71943" w:rsidP="00D71943">
            <w:pPr>
              <w:rPr>
                <w:rFonts w:eastAsiaTheme="minorEastAsia"/>
                <w:sz w:val="20"/>
                <w:szCs w:val="20"/>
              </w:rPr>
            </w:pPr>
            <w:r w:rsidRPr="00D71943">
              <w:rPr>
                <w:rFonts w:eastAsiaTheme="minorEastAsia"/>
                <w:sz w:val="20"/>
                <w:szCs w:val="20"/>
              </w:rPr>
              <w:t>91%</w:t>
            </w:r>
          </w:p>
        </w:tc>
        <w:tc>
          <w:tcPr>
            <w:tcW w:w="1203" w:type="dxa"/>
            <w:vAlign w:val="center"/>
          </w:tcPr>
          <w:p w14:paraId="7E212575" w14:textId="2DEBCD8A" w:rsidR="00D71943" w:rsidRPr="00D71943" w:rsidRDefault="00D71943" w:rsidP="00D71943">
            <w:pPr>
              <w:rPr>
                <w:rFonts w:eastAsiaTheme="minorEastAsia"/>
                <w:sz w:val="20"/>
                <w:szCs w:val="20"/>
              </w:rPr>
            </w:pPr>
            <w:r w:rsidRPr="00D71943">
              <w:rPr>
                <w:rFonts w:eastAsiaTheme="minorEastAsia"/>
                <w:sz w:val="20"/>
                <w:szCs w:val="20"/>
              </w:rPr>
              <w:t>92%</w:t>
            </w:r>
          </w:p>
        </w:tc>
        <w:tc>
          <w:tcPr>
            <w:tcW w:w="1203" w:type="dxa"/>
            <w:vAlign w:val="center"/>
          </w:tcPr>
          <w:p w14:paraId="58A6FD27" w14:textId="4A38FCA0" w:rsidR="00D71943" w:rsidRPr="00D71943" w:rsidRDefault="00D71943" w:rsidP="00D71943">
            <w:pPr>
              <w:rPr>
                <w:rFonts w:eastAsiaTheme="minorEastAsia"/>
                <w:sz w:val="20"/>
                <w:szCs w:val="20"/>
              </w:rPr>
            </w:pPr>
            <w:r w:rsidRPr="00D71943">
              <w:rPr>
                <w:rFonts w:eastAsiaTheme="minorEastAsia"/>
                <w:sz w:val="20"/>
                <w:szCs w:val="20"/>
              </w:rPr>
              <w:t>86%</w:t>
            </w:r>
          </w:p>
        </w:tc>
        <w:tc>
          <w:tcPr>
            <w:tcW w:w="1203" w:type="dxa"/>
            <w:vAlign w:val="center"/>
          </w:tcPr>
          <w:p w14:paraId="194AA08E" w14:textId="074069A2" w:rsidR="00D71943" w:rsidRPr="00D71943" w:rsidRDefault="00D71943" w:rsidP="00D71943">
            <w:pPr>
              <w:rPr>
                <w:rFonts w:eastAsiaTheme="minorEastAsia"/>
                <w:sz w:val="20"/>
                <w:szCs w:val="20"/>
              </w:rPr>
            </w:pPr>
            <w:r w:rsidRPr="00D71943">
              <w:rPr>
                <w:rFonts w:eastAsiaTheme="minorEastAsia"/>
                <w:sz w:val="20"/>
                <w:szCs w:val="20"/>
              </w:rPr>
              <w:t>100%</w:t>
            </w:r>
          </w:p>
        </w:tc>
      </w:tr>
      <w:tr w:rsidR="00D71943" w:rsidRPr="00D71943" w14:paraId="14580713" w14:textId="77777777" w:rsidTr="00D71943">
        <w:tc>
          <w:tcPr>
            <w:tcW w:w="2858" w:type="dxa"/>
            <w:vAlign w:val="center"/>
          </w:tcPr>
          <w:p w14:paraId="56B1575A" w14:textId="4D2127B8" w:rsidR="00D71943" w:rsidRPr="00D71943" w:rsidRDefault="00D71943" w:rsidP="00D71943">
            <w:pPr>
              <w:rPr>
                <w:rFonts w:eastAsiaTheme="minorEastAsia"/>
                <w:sz w:val="20"/>
                <w:szCs w:val="20"/>
              </w:rPr>
            </w:pPr>
            <w:r w:rsidRPr="00D71943">
              <w:rPr>
                <w:rFonts w:eastAsiaTheme="minorEastAsia"/>
                <w:sz w:val="20"/>
                <w:szCs w:val="20"/>
              </w:rPr>
              <w:t>No</w:t>
            </w:r>
          </w:p>
        </w:tc>
        <w:tc>
          <w:tcPr>
            <w:tcW w:w="1203" w:type="dxa"/>
            <w:vAlign w:val="center"/>
          </w:tcPr>
          <w:p w14:paraId="6C7101A4" w14:textId="0BFD9CB5" w:rsidR="00D71943" w:rsidRPr="00D71943" w:rsidRDefault="00D71943" w:rsidP="00D71943">
            <w:pPr>
              <w:rPr>
                <w:rFonts w:eastAsiaTheme="minorEastAsia"/>
                <w:sz w:val="20"/>
                <w:szCs w:val="20"/>
              </w:rPr>
            </w:pPr>
            <w:r w:rsidRPr="00D71943">
              <w:rPr>
                <w:rFonts w:eastAsiaTheme="minorEastAsia"/>
                <w:sz w:val="20"/>
                <w:szCs w:val="20"/>
              </w:rPr>
              <w:t>10%</w:t>
            </w:r>
          </w:p>
        </w:tc>
        <w:tc>
          <w:tcPr>
            <w:tcW w:w="1203" w:type="dxa"/>
            <w:vAlign w:val="center"/>
          </w:tcPr>
          <w:p w14:paraId="4658EAA3" w14:textId="1B717D95" w:rsidR="00D71943" w:rsidRPr="00D71943" w:rsidRDefault="00D71943" w:rsidP="00D71943">
            <w:pPr>
              <w:rPr>
                <w:rFonts w:eastAsiaTheme="minorEastAsia"/>
                <w:sz w:val="20"/>
                <w:szCs w:val="20"/>
              </w:rPr>
            </w:pPr>
            <w:r w:rsidRPr="00D71943">
              <w:rPr>
                <w:rFonts w:eastAsiaTheme="minorEastAsia"/>
                <w:sz w:val="20"/>
                <w:szCs w:val="20"/>
              </w:rPr>
              <w:t>25%</w:t>
            </w:r>
          </w:p>
        </w:tc>
        <w:tc>
          <w:tcPr>
            <w:tcW w:w="1203" w:type="dxa"/>
            <w:vAlign w:val="center"/>
          </w:tcPr>
          <w:p w14:paraId="5C2E4502" w14:textId="6BEB8EF3" w:rsidR="00D71943" w:rsidRPr="00D71943" w:rsidRDefault="00D71943" w:rsidP="00D71943">
            <w:pPr>
              <w:rPr>
                <w:rFonts w:eastAsiaTheme="minorEastAsia"/>
                <w:sz w:val="20"/>
                <w:szCs w:val="20"/>
              </w:rPr>
            </w:pPr>
            <w:r w:rsidRPr="00D71943">
              <w:rPr>
                <w:rFonts w:eastAsiaTheme="minorEastAsia"/>
                <w:sz w:val="20"/>
                <w:szCs w:val="20"/>
              </w:rPr>
              <w:t>5%</w:t>
            </w:r>
          </w:p>
        </w:tc>
        <w:tc>
          <w:tcPr>
            <w:tcW w:w="1203" w:type="dxa"/>
            <w:vAlign w:val="center"/>
          </w:tcPr>
          <w:p w14:paraId="761A36BD" w14:textId="46D7E79A" w:rsidR="00D71943" w:rsidRPr="00D71943" w:rsidRDefault="00D71943" w:rsidP="00D71943">
            <w:pPr>
              <w:rPr>
                <w:rFonts w:eastAsiaTheme="minorEastAsia"/>
                <w:sz w:val="20"/>
                <w:szCs w:val="20"/>
              </w:rPr>
            </w:pPr>
            <w:r w:rsidRPr="00D71943">
              <w:rPr>
                <w:rFonts w:eastAsiaTheme="minorEastAsia"/>
                <w:sz w:val="20"/>
                <w:szCs w:val="20"/>
              </w:rPr>
              <w:t>4%</w:t>
            </w:r>
          </w:p>
        </w:tc>
        <w:tc>
          <w:tcPr>
            <w:tcW w:w="1203" w:type="dxa"/>
            <w:vAlign w:val="center"/>
          </w:tcPr>
          <w:p w14:paraId="66B2E8C5" w14:textId="63DCEB5D" w:rsidR="00D71943" w:rsidRPr="00D71943" w:rsidRDefault="00D71943" w:rsidP="00D71943">
            <w:pPr>
              <w:rPr>
                <w:rFonts w:eastAsiaTheme="minorEastAsia"/>
                <w:sz w:val="20"/>
                <w:szCs w:val="20"/>
              </w:rPr>
            </w:pPr>
            <w:r w:rsidRPr="00D71943">
              <w:rPr>
                <w:rFonts w:eastAsiaTheme="minorEastAsia"/>
                <w:sz w:val="20"/>
                <w:szCs w:val="20"/>
              </w:rPr>
              <w:t>5%</w:t>
            </w:r>
          </w:p>
        </w:tc>
        <w:tc>
          <w:tcPr>
            <w:tcW w:w="1203" w:type="dxa"/>
            <w:vAlign w:val="center"/>
          </w:tcPr>
          <w:p w14:paraId="7898ADFF" w14:textId="2D3E489F" w:rsidR="00D71943" w:rsidRPr="00D71943" w:rsidRDefault="00D71943" w:rsidP="00D71943">
            <w:pPr>
              <w:rPr>
                <w:rFonts w:eastAsiaTheme="minorEastAsia"/>
                <w:sz w:val="20"/>
                <w:szCs w:val="20"/>
              </w:rPr>
            </w:pPr>
            <w:r w:rsidRPr="00D71943">
              <w:rPr>
                <w:rFonts w:eastAsiaTheme="minorEastAsia"/>
                <w:sz w:val="20"/>
                <w:szCs w:val="20"/>
              </w:rPr>
              <w:t>0%</w:t>
            </w:r>
          </w:p>
        </w:tc>
      </w:tr>
      <w:tr w:rsidR="00D71943" w:rsidRPr="00D71943" w14:paraId="30264B84" w14:textId="77777777" w:rsidTr="00D71943">
        <w:tc>
          <w:tcPr>
            <w:tcW w:w="2858" w:type="dxa"/>
            <w:shd w:val="pct12" w:color="auto" w:fill="auto"/>
            <w:vAlign w:val="center"/>
          </w:tcPr>
          <w:p w14:paraId="6F34BC35" w14:textId="709364C3" w:rsidR="00D71943" w:rsidRPr="00D71943" w:rsidRDefault="00D71943" w:rsidP="00D71943">
            <w:pPr>
              <w:rPr>
                <w:rFonts w:eastAsiaTheme="minorEastAsia"/>
                <w:sz w:val="20"/>
                <w:szCs w:val="20"/>
              </w:rPr>
            </w:pPr>
            <w:r w:rsidRPr="00D71943">
              <w:rPr>
                <w:rFonts w:eastAsiaTheme="minorEastAsia"/>
                <w:sz w:val="20"/>
                <w:szCs w:val="20"/>
              </w:rPr>
              <w:t>Don’t know</w:t>
            </w:r>
          </w:p>
        </w:tc>
        <w:tc>
          <w:tcPr>
            <w:tcW w:w="1203" w:type="dxa"/>
            <w:shd w:val="pct12" w:color="auto" w:fill="auto"/>
            <w:vAlign w:val="center"/>
          </w:tcPr>
          <w:p w14:paraId="552535AA" w14:textId="618D8C11" w:rsidR="00D71943" w:rsidRPr="00D71943" w:rsidRDefault="00D71943" w:rsidP="00D71943">
            <w:pPr>
              <w:rPr>
                <w:rFonts w:eastAsiaTheme="minorEastAsia"/>
                <w:sz w:val="20"/>
                <w:szCs w:val="20"/>
              </w:rPr>
            </w:pPr>
            <w:r w:rsidRPr="00D71943">
              <w:rPr>
                <w:rFonts w:eastAsiaTheme="minorEastAsia"/>
                <w:sz w:val="20"/>
                <w:szCs w:val="20"/>
              </w:rPr>
              <w:t>8%</w:t>
            </w:r>
          </w:p>
        </w:tc>
        <w:tc>
          <w:tcPr>
            <w:tcW w:w="1203" w:type="dxa"/>
            <w:shd w:val="pct12" w:color="auto" w:fill="auto"/>
            <w:vAlign w:val="center"/>
          </w:tcPr>
          <w:p w14:paraId="0F8890B4" w14:textId="0E435281" w:rsidR="00D71943" w:rsidRPr="00D71943" w:rsidRDefault="00D71943" w:rsidP="00D71943">
            <w:pPr>
              <w:rPr>
                <w:rFonts w:eastAsiaTheme="minorEastAsia"/>
                <w:sz w:val="20"/>
                <w:szCs w:val="20"/>
              </w:rPr>
            </w:pPr>
            <w:r w:rsidRPr="00D71943">
              <w:rPr>
                <w:rFonts w:eastAsiaTheme="minorEastAsia"/>
                <w:sz w:val="20"/>
                <w:szCs w:val="20"/>
              </w:rPr>
              <w:t>0%</w:t>
            </w:r>
          </w:p>
        </w:tc>
        <w:tc>
          <w:tcPr>
            <w:tcW w:w="1203" w:type="dxa"/>
            <w:shd w:val="pct12" w:color="auto" w:fill="auto"/>
            <w:vAlign w:val="center"/>
          </w:tcPr>
          <w:p w14:paraId="052409FC" w14:textId="47C0C8AC" w:rsidR="00D71943" w:rsidRPr="00D71943" w:rsidRDefault="00D71943" w:rsidP="00D71943">
            <w:pPr>
              <w:rPr>
                <w:rFonts w:eastAsiaTheme="minorEastAsia"/>
                <w:sz w:val="20"/>
                <w:szCs w:val="20"/>
              </w:rPr>
            </w:pPr>
            <w:r w:rsidRPr="00D71943">
              <w:rPr>
                <w:rFonts w:eastAsiaTheme="minorEastAsia"/>
                <w:sz w:val="20"/>
                <w:szCs w:val="20"/>
              </w:rPr>
              <w:t>4%</w:t>
            </w:r>
          </w:p>
        </w:tc>
        <w:tc>
          <w:tcPr>
            <w:tcW w:w="1203" w:type="dxa"/>
            <w:shd w:val="pct12" w:color="auto" w:fill="auto"/>
            <w:vAlign w:val="center"/>
          </w:tcPr>
          <w:p w14:paraId="529FABB0" w14:textId="49DF55F6" w:rsidR="00D71943" w:rsidRPr="00D71943" w:rsidRDefault="00D71943" w:rsidP="00D71943">
            <w:pPr>
              <w:rPr>
                <w:rFonts w:eastAsiaTheme="minorEastAsia"/>
                <w:sz w:val="20"/>
                <w:szCs w:val="20"/>
              </w:rPr>
            </w:pPr>
            <w:r w:rsidRPr="00D71943">
              <w:rPr>
                <w:rFonts w:eastAsiaTheme="minorEastAsia"/>
                <w:sz w:val="20"/>
                <w:szCs w:val="20"/>
              </w:rPr>
              <w:t>3%</w:t>
            </w:r>
          </w:p>
        </w:tc>
        <w:tc>
          <w:tcPr>
            <w:tcW w:w="1203" w:type="dxa"/>
            <w:shd w:val="pct12" w:color="auto" w:fill="auto"/>
            <w:vAlign w:val="center"/>
          </w:tcPr>
          <w:p w14:paraId="528A600B" w14:textId="17F1924A" w:rsidR="00D71943" w:rsidRPr="00D71943" w:rsidRDefault="00D71943" w:rsidP="00D71943">
            <w:pPr>
              <w:rPr>
                <w:rFonts w:eastAsiaTheme="minorEastAsia"/>
                <w:sz w:val="20"/>
                <w:szCs w:val="20"/>
              </w:rPr>
            </w:pPr>
            <w:r w:rsidRPr="00D71943">
              <w:rPr>
                <w:rFonts w:eastAsiaTheme="minorEastAsia"/>
                <w:sz w:val="20"/>
                <w:szCs w:val="20"/>
              </w:rPr>
              <w:t>10%</w:t>
            </w:r>
          </w:p>
        </w:tc>
        <w:tc>
          <w:tcPr>
            <w:tcW w:w="1203" w:type="dxa"/>
            <w:shd w:val="pct12" w:color="auto" w:fill="auto"/>
            <w:vAlign w:val="center"/>
          </w:tcPr>
          <w:p w14:paraId="21936F6C" w14:textId="2985E525" w:rsidR="00D71943" w:rsidRPr="00D71943" w:rsidRDefault="00D71943" w:rsidP="00D71943">
            <w:pPr>
              <w:rPr>
                <w:rFonts w:eastAsiaTheme="minorEastAsia"/>
                <w:sz w:val="20"/>
                <w:szCs w:val="20"/>
              </w:rPr>
            </w:pPr>
            <w:r w:rsidRPr="00D71943">
              <w:rPr>
                <w:rFonts w:eastAsiaTheme="minorEastAsia"/>
                <w:sz w:val="20"/>
                <w:szCs w:val="20"/>
              </w:rPr>
              <w:t>0%</w:t>
            </w:r>
          </w:p>
        </w:tc>
      </w:tr>
    </w:tbl>
    <w:p w14:paraId="467F9B38" w14:textId="093A990E" w:rsidR="00940F0D" w:rsidRDefault="00940F0D" w:rsidP="00086408">
      <w:pPr>
        <w:spacing w:line="276" w:lineRule="auto"/>
        <w:rPr>
          <w:lang w:eastAsia="en-AU"/>
        </w:rPr>
      </w:pPr>
      <w:r>
        <w:rPr>
          <w:lang w:eastAsia="en-AU"/>
        </w:rPr>
        <w:t xml:space="preserve">Many of the comments as to possible improvements expressed the desire that lawyers spend more time with them, but acknowledging that the lawyers were busy. There was also a wish for contact </w:t>
      </w:r>
      <w:r w:rsidR="001873B0">
        <w:rPr>
          <w:lang w:eastAsia="en-AU"/>
        </w:rPr>
        <w:t>to be made prior to the day at c</w:t>
      </w:r>
      <w:r>
        <w:rPr>
          <w:lang w:eastAsia="en-AU"/>
        </w:rPr>
        <w:t>ourt. Some pertinent comments include:</w:t>
      </w:r>
    </w:p>
    <w:p w14:paraId="287287F1" w14:textId="65AEAAEE" w:rsidR="00940F0D" w:rsidRPr="00586C70" w:rsidRDefault="00586C70" w:rsidP="00586C70">
      <w:pPr>
        <w:pStyle w:val="ListBullet"/>
        <w:rPr>
          <w:i/>
          <w:lang w:eastAsia="en-AU"/>
        </w:rPr>
      </w:pPr>
      <w:r>
        <w:rPr>
          <w:i/>
          <w:lang w:eastAsia="en-AU"/>
        </w:rPr>
        <w:t>‘</w:t>
      </w:r>
      <w:r w:rsidR="00940F0D" w:rsidRPr="00586C70">
        <w:rPr>
          <w:i/>
          <w:lang w:eastAsia="en-AU"/>
        </w:rPr>
        <w:t>They’re so flat out, the</w:t>
      </w:r>
      <w:r>
        <w:rPr>
          <w:i/>
          <w:lang w:eastAsia="en-AU"/>
        </w:rPr>
        <w:t xml:space="preserve"> government funding isn’t there.’</w:t>
      </w:r>
    </w:p>
    <w:p w14:paraId="4CD5DECC" w14:textId="1B0C679D" w:rsidR="00940F0D" w:rsidRPr="00586C70" w:rsidRDefault="00586C70" w:rsidP="00586C70">
      <w:pPr>
        <w:pStyle w:val="ListBullet"/>
        <w:rPr>
          <w:i/>
          <w:lang w:eastAsia="en-AU"/>
        </w:rPr>
      </w:pPr>
      <w:r>
        <w:rPr>
          <w:i/>
          <w:lang w:eastAsia="en-AU"/>
        </w:rPr>
        <w:t>‘</w:t>
      </w:r>
      <w:r w:rsidR="00940F0D" w:rsidRPr="00586C70">
        <w:rPr>
          <w:i/>
          <w:lang w:eastAsia="en-AU"/>
        </w:rPr>
        <w:t>The application process was difficult at first, and finding out who your lawyer is ... I only met them on the day of court. Meeting before then would have def</w:t>
      </w:r>
      <w:r>
        <w:rPr>
          <w:i/>
          <w:lang w:eastAsia="en-AU"/>
        </w:rPr>
        <w:t>initely helped with my anxiety.’</w:t>
      </w:r>
    </w:p>
    <w:p w14:paraId="43D1256E" w14:textId="2813CECD" w:rsidR="00940F0D" w:rsidRPr="00586C70" w:rsidRDefault="00586C70" w:rsidP="00586C70">
      <w:pPr>
        <w:pStyle w:val="ListBullet"/>
        <w:rPr>
          <w:i/>
          <w:lang w:eastAsia="en-AU"/>
        </w:rPr>
      </w:pPr>
      <w:r>
        <w:rPr>
          <w:i/>
          <w:lang w:eastAsia="en-AU"/>
        </w:rPr>
        <w:t>‘</w:t>
      </w:r>
      <w:r w:rsidR="00940F0D" w:rsidRPr="00586C70">
        <w:rPr>
          <w:i/>
          <w:lang w:eastAsia="en-AU"/>
        </w:rPr>
        <w:t xml:space="preserve">Legal aid could meet up or discuss over the phone the strategy or the case </w:t>
      </w:r>
      <w:r>
        <w:rPr>
          <w:i/>
          <w:lang w:eastAsia="en-AU"/>
        </w:rPr>
        <w:t>few days before the court date.’</w:t>
      </w:r>
    </w:p>
    <w:p w14:paraId="4995C753" w14:textId="63FBC25D" w:rsidR="00940F0D" w:rsidRPr="00586C70" w:rsidRDefault="00586C70" w:rsidP="00586C70">
      <w:pPr>
        <w:pStyle w:val="ListBullet"/>
        <w:rPr>
          <w:i/>
          <w:lang w:eastAsia="en-AU"/>
        </w:rPr>
      </w:pPr>
      <w:r>
        <w:rPr>
          <w:i/>
          <w:lang w:eastAsia="en-AU"/>
        </w:rPr>
        <w:t>‘</w:t>
      </w:r>
      <w:r w:rsidR="00940F0D" w:rsidRPr="00586C70">
        <w:rPr>
          <w:i/>
          <w:lang w:eastAsia="en-AU"/>
        </w:rPr>
        <w:t>Ensure lawyers communicate more frequently with clients, so that clients know exactly what stage t</w:t>
      </w:r>
      <w:r>
        <w:rPr>
          <w:i/>
          <w:lang w:eastAsia="en-AU"/>
        </w:rPr>
        <w:t>heir application/matter is at.’</w:t>
      </w:r>
      <w:r w:rsidR="00940F0D" w:rsidRPr="00586C70">
        <w:rPr>
          <w:i/>
          <w:lang w:eastAsia="en-AU"/>
        </w:rPr>
        <w:t xml:space="preserve"> </w:t>
      </w:r>
    </w:p>
    <w:p w14:paraId="120C973E" w14:textId="7C999337" w:rsidR="00940F0D" w:rsidRDefault="00940F0D" w:rsidP="00586C70">
      <w:pPr>
        <w:pStyle w:val="Heading1numbered"/>
      </w:pPr>
      <w:bookmarkStart w:id="43" w:name="_Toc465244421"/>
      <w:r>
        <w:t>Compara</w:t>
      </w:r>
      <w:r w:rsidR="006261B7">
        <w:t>tive analysis of all State and t</w:t>
      </w:r>
      <w:r>
        <w:t>erritory Legal Aid Commissions</w:t>
      </w:r>
      <w:bookmarkEnd w:id="43"/>
    </w:p>
    <w:p w14:paraId="0812E212" w14:textId="59655665" w:rsidR="00940F0D" w:rsidRDefault="00D63275" w:rsidP="00086408">
      <w:pPr>
        <w:spacing w:line="276" w:lineRule="auto"/>
        <w:rPr>
          <w:lang w:eastAsia="en-AU"/>
        </w:rPr>
      </w:pPr>
      <w:r w:rsidRPr="00D63275">
        <w:rPr>
          <w:lang w:eastAsia="en-AU"/>
        </w:rPr>
        <w:t xml:space="preserve">As child protection is the responsibility of individual states and territories, each jurisdiction has its own legislative framework and system of service delivery. Details of the relevant legislation and key components are contained in </w:t>
      </w:r>
      <w:hyperlink w:anchor="_Annexure_2_–" w:history="1">
        <w:r w:rsidRPr="0043033B">
          <w:rPr>
            <w:rStyle w:val="Hyperlink"/>
            <w:lang w:eastAsia="en-AU"/>
          </w:rPr>
          <w:t xml:space="preserve">Annexure </w:t>
        </w:r>
        <w:r w:rsidR="00C248DC" w:rsidRPr="0043033B">
          <w:rPr>
            <w:rStyle w:val="Hyperlink"/>
            <w:lang w:eastAsia="en-AU"/>
          </w:rPr>
          <w:t>2</w:t>
        </w:r>
      </w:hyperlink>
      <w:r w:rsidRPr="00D63275">
        <w:rPr>
          <w:lang w:eastAsia="en-AU"/>
        </w:rPr>
        <w:t>.</w:t>
      </w:r>
    </w:p>
    <w:p w14:paraId="57777706" w14:textId="13D06D4F" w:rsidR="00D11015" w:rsidRDefault="00CD3C02" w:rsidP="00086408">
      <w:pPr>
        <w:spacing w:line="276" w:lineRule="auto"/>
        <w:rPr>
          <w:lang w:eastAsia="en-AU"/>
        </w:rPr>
      </w:pPr>
      <w:r>
        <w:rPr>
          <w:lang w:eastAsia="en-AU"/>
        </w:rPr>
        <w:t>W</w:t>
      </w:r>
      <w:r w:rsidR="00D63275" w:rsidRPr="00D63275">
        <w:rPr>
          <w:lang w:eastAsia="en-AU"/>
        </w:rPr>
        <w:t xml:space="preserve">hile the detail differs, there is a high degree of consistency between Australian jurisdictions. However, </w:t>
      </w:r>
      <w:r w:rsidR="00D11015">
        <w:rPr>
          <w:lang w:eastAsia="en-AU"/>
        </w:rPr>
        <w:t>two</w:t>
      </w:r>
      <w:r w:rsidR="00D63275" w:rsidRPr="00D63275">
        <w:rPr>
          <w:lang w:eastAsia="en-AU"/>
        </w:rPr>
        <w:t xml:space="preserve"> significant point</w:t>
      </w:r>
      <w:r w:rsidR="00D11015">
        <w:rPr>
          <w:lang w:eastAsia="en-AU"/>
        </w:rPr>
        <w:t>s</w:t>
      </w:r>
      <w:r w:rsidR="00D63275" w:rsidRPr="00D63275">
        <w:rPr>
          <w:lang w:eastAsia="en-AU"/>
        </w:rPr>
        <w:t xml:space="preserve"> of difference </w:t>
      </w:r>
      <w:r w:rsidR="00D11015">
        <w:rPr>
          <w:lang w:eastAsia="en-AU"/>
        </w:rPr>
        <w:t>are:</w:t>
      </w:r>
    </w:p>
    <w:p w14:paraId="1D1DFAA6" w14:textId="27FCB0DA" w:rsidR="00D11015" w:rsidRDefault="00D11015" w:rsidP="00586C70">
      <w:pPr>
        <w:pStyle w:val="VLAi"/>
        <w:rPr>
          <w:lang w:eastAsia="en-AU"/>
        </w:rPr>
      </w:pPr>
      <w:r>
        <w:rPr>
          <w:lang w:eastAsia="en-AU"/>
        </w:rPr>
        <w:t>the use of a fault based threshold for the making o</w:t>
      </w:r>
      <w:r w:rsidR="00586C70">
        <w:rPr>
          <w:lang w:eastAsia="en-AU"/>
        </w:rPr>
        <w:t>f Protection Orders in Victoria,</w:t>
      </w:r>
      <w:r>
        <w:rPr>
          <w:lang w:eastAsia="en-AU"/>
        </w:rPr>
        <w:t xml:space="preserve"> and</w:t>
      </w:r>
    </w:p>
    <w:p w14:paraId="22256123" w14:textId="77777777" w:rsidR="00D11015" w:rsidRDefault="00D63275" w:rsidP="00586C70">
      <w:pPr>
        <w:pStyle w:val="VLAi"/>
        <w:rPr>
          <w:lang w:eastAsia="en-AU"/>
        </w:rPr>
      </w:pPr>
      <w:r w:rsidRPr="00D63275">
        <w:rPr>
          <w:lang w:eastAsia="en-AU"/>
        </w:rPr>
        <w:t>the absence of permanency planning timeframes other than in</w:t>
      </w:r>
      <w:r w:rsidR="00D11015">
        <w:rPr>
          <w:lang w:eastAsia="en-AU"/>
        </w:rPr>
        <w:t xml:space="preserve"> Victoria and New South Wales. </w:t>
      </w:r>
    </w:p>
    <w:p w14:paraId="0F0C4359" w14:textId="621C7E9D" w:rsidR="00F66E39" w:rsidRDefault="00D11015" w:rsidP="00086408">
      <w:pPr>
        <w:spacing w:line="276" w:lineRule="auto"/>
        <w:rPr>
          <w:lang w:eastAsia="en-AU"/>
        </w:rPr>
      </w:pPr>
      <w:r>
        <w:rPr>
          <w:lang w:eastAsia="en-AU"/>
        </w:rPr>
        <w:t xml:space="preserve">Victoria is the only State that uses a fault </w:t>
      </w:r>
      <w:r w:rsidR="003E679D">
        <w:rPr>
          <w:lang w:eastAsia="en-AU"/>
        </w:rPr>
        <w:t xml:space="preserve">based </w:t>
      </w:r>
      <w:r>
        <w:rPr>
          <w:lang w:eastAsia="en-AU"/>
        </w:rPr>
        <w:t xml:space="preserve">threshold for the making of Protection Orders. </w:t>
      </w:r>
      <w:r w:rsidR="00A34D47">
        <w:rPr>
          <w:lang w:eastAsia="en-AU"/>
        </w:rPr>
        <w:t>F</w:t>
      </w:r>
      <w:r>
        <w:rPr>
          <w:lang w:eastAsia="en-AU"/>
        </w:rPr>
        <w:t xml:space="preserve">or a court to be satisfied that a child or young person is in need of protection, it must </w:t>
      </w:r>
      <w:r w:rsidR="00A34D47">
        <w:rPr>
          <w:lang w:eastAsia="en-AU"/>
        </w:rPr>
        <w:t xml:space="preserve">make a finding on one of the ‘grounds’ of harm. </w:t>
      </w:r>
      <w:r w:rsidR="006A2775">
        <w:rPr>
          <w:lang w:eastAsia="en-AU"/>
        </w:rPr>
        <w:t>For example, t</w:t>
      </w:r>
      <w:r w:rsidR="00A34D47">
        <w:rPr>
          <w:lang w:eastAsia="en-AU"/>
        </w:rPr>
        <w:t xml:space="preserve">he court will find that a child is in need of protection </w:t>
      </w:r>
      <w:r w:rsidR="003E679D">
        <w:rPr>
          <w:lang w:eastAsia="en-AU"/>
        </w:rPr>
        <w:t xml:space="preserve">where </w:t>
      </w:r>
      <w:r w:rsidR="00A34D47">
        <w:rPr>
          <w:lang w:eastAsia="en-AU"/>
        </w:rPr>
        <w:t>the child has suffered harm</w:t>
      </w:r>
      <w:r w:rsidR="006A2775">
        <w:rPr>
          <w:lang w:eastAsia="en-AU"/>
        </w:rPr>
        <w:t xml:space="preserve"> (physical/sexual/emotional)</w:t>
      </w:r>
      <w:r w:rsidR="00A34D47">
        <w:rPr>
          <w:lang w:eastAsia="en-AU"/>
        </w:rPr>
        <w:t xml:space="preserve"> and the ‘child’s parent have not protected or are unlikely to protect, the child from harm’</w:t>
      </w:r>
      <w:r w:rsidR="00017B0A">
        <w:rPr>
          <w:lang w:eastAsia="en-AU"/>
        </w:rPr>
        <w:t>.</w:t>
      </w:r>
      <w:r w:rsidR="00A34D47">
        <w:rPr>
          <w:rStyle w:val="FootnoteReference"/>
          <w:lang w:eastAsia="en-AU"/>
        </w:rPr>
        <w:footnoteReference w:id="103"/>
      </w:r>
      <w:r w:rsidR="00A34D47">
        <w:rPr>
          <w:lang w:eastAsia="en-AU"/>
        </w:rPr>
        <w:t xml:space="preserve"> </w:t>
      </w:r>
    </w:p>
    <w:p w14:paraId="648079AF" w14:textId="77777777" w:rsidR="00D11015" w:rsidRDefault="006A2775" w:rsidP="00086408">
      <w:pPr>
        <w:spacing w:line="276" w:lineRule="auto"/>
        <w:rPr>
          <w:lang w:eastAsia="en-AU"/>
        </w:rPr>
      </w:pPr>
      <w:r>
        <w:rPr>
          <w:lang w:eastAsia="en-AU"/>
        </w:rPr>
        <w:lastRenderedPageBreak/>
        <w:t>The fault based threshold introduces a forensic aspect to child protection investigations</w:t>
      </w:r>
      <w:r w:rsidR="00F66E39">
        <w:rPr>
          <w:lang w:eastAsia="en-AU"/>
        </w:rPr>
        <w:t>, where ‘proof’ of likely or actual harm is required to be established via written court reports. Focusing on ‘proof’ or ‘fault’ rather than ‘risk of harm’ and ‘safety’ can be unhelpful from a family engagement perspective. There are consequences for parents who concede ‘fault’, including its use in future Working with Children Checks</w:t>
      </w:r>
      <w:r w:rsidR="006B17CD">
        <w:rPr>
          <w:lang w:eastAsia="en-AU"/>
        </w:rPr>
        <w:t xml:space="preserve">. </w:t>
      </w:r>
      <w:r w:rsidR="00A34D47">
        <w:rPr>
          <w:lang w:eastAsia="en-AU"/>
        </w:rPr>
        <w:t xml:space="preserve">This </w:t>
      </w:r>
      <w:r w:rsidR="00F66E39">
        <w:rPr>
          <w:lang w:eastAsia="en-AU"/>
        </w:rPr>
        <w:t>use of a fault based threshold</w:t>
      </w:r>
      <w:r w:rsidR="00A34D47">
        <w:rPr>
          <w:lang w:eastAsia="en-AU"/>
        </w:rPr>
        <w:t xml:space="preserve"> is significant from a legal service perspective, as </w:t>
      </w:r>
      <w:r w:rsidR="003E679D">
        <w:rPr>
          <w:lang w:eastAsia="en-AU"/>
        </w:rPr>
        <w:t>‘proof’ of an application is a</w:t>
      </w:r>
      <w:r w:rsidR="00F66E39">
        <w:rPr>
          <w:lang w:eastAsia="en-AU"/>
        </w:rPr>
        <w:t xml:space="preserve"> bases for legal dispute. </w:t>
      </w:r>
    </w:p>
    <w:p w14:paraId="2FC90BF0" w14:textId="58EDBAA3" w:rsidR="00D63275" w:rsidRDefault="00D11015" w:rsidP="00086408">
      <w:pPr>
        <w:spacing w:line="276" w:lineRule="auto"/>
        <w:rPr>
          <w:lang w:eastAsia="en-AU"/>
        </w:rPr>
      </w:pPr>
      <w:r>
        <w:rPr>
          <w:lang w:eastAsia="en-AU"/>
        </w:rPr>
        <w:t>T</w:t>
      </w:r>
      <w:r w:rsidR="00D63275" w:rsidRPr="00D63275">
        <w:rPr>
          <w:lang w:eastAsia="en-AU"/>
        </w:rPr>
        <w:t xml:space="preserve">he permanency provisions in New South Wales are less restrictive than those in Victoria. The NSW legislation reserves the overriding discretion of the NSW Children’s Court to make a range of orders, unlike to position under the Victorian framework </w:t>
      </w:r>
      <w:r w:rsidR="006261B7">
        <w:rPr>
          <w:lang w:eastAsia="en-AU"/>
        </w:rPr>
        <w:t>where the c</w:t>
      </w:r>
      <w:r w:rsidR="00D63275" w:rsidRPr="00D63275">
        <w:rPr>
          <w:lang w:eastAsia="en-AU"/>
        </w:rPr>
        <w:t>ourt no longer has a power to order reunificatio</w:t>
      </w:r>
      <w:r w:rsidR="006D3C43">
        <w:rPr>
          <w:lang w:eastAsia="en-AU"/>
        </w:rPr>
        <w:t>n after a child has been out-of-</w:t>
      </w:r>
      <w:r w:rsidR="00D63275" w:rsidRPr="00D63275">
        <w:rPr>
          <w:lang w:eastAsia="en-AU"/>
        </w:rPr>
        <w:t>home for two years.</w:t>
      </w:r>
    </w:p>
    <w:p w14:paraId="4EDBB61A" w14:textId="126B56F8" w:rsidR="00D63275" w:rsidRDefault="007971FD" w:rsidP="008C795C">
      <w:pPr>
        <w:pStyle w:val="Figuretableheading"/>
        <w:rPr>
          <w:lang w:eastAsia="en-AU"/>
        </w:rPr>
      </w:pPr>
      <w:r>
        <w:rPr>
          <w:lang w:eastAsia="en-AU"/>
        </w:rPr>
        <w:t>Table 5: Key p</w:t>
      </w:r>
      <w:r w:rsidR="00D63275" w:rsidRPr="00D63275">
        <w:rPr>
          <w:lang w:eastAsia="en-AU"/>
        </w:rPr>
        <w:t xml:space="preserve">rinciples </w:t>
      </w:r>
      <w:r>
        <w:rPr>
          <w:lang w:eastAsia="en-AU"/>
        </w:rPr>
        <w:t>g</w:t>
      </w:r>
      <w:r w:rsidR="00D63275" w:rsidRPr="00D63275">
        <w:rPr>
          <w:lang w:eastAsia="en-AU"/>
        </w:rPr>
        <w:t xml:space="preserve">uiding the </w:t>
      </w:r>
      <w:r>
        <w:rPr>
          <w:lang w:eastAsia="en-AU"/>
        </w:rPr>
        <w:t>l</w:t>
      </w:r>
      <w:r w:rsidR="00D63275" w:rsidRPr="00D63275">
        <w:rPr>
          <w:lang w:eastAsia="en-AU"/>
        </w:rPr>
        <w:t>egislation</w:t>
      </w:r>
      <w:r w:rsidR="00DB6157">
        <w:rPr>
          <w:lang w:eastAsia="en-AU"/>
        </w:rPr>
        <w:t xml:space="preserve"> (availability)</w:t>
      </w:r>
    </w:p>
    <w:tbl>
      <w:tblPr>
        <w:tblStyle w:val="TableGrid3"/>
        <w:tblW w:w="10379" w:type="dxa"/>
        <w:tblInd w:w="-5" w:type="dxa"/>
        <w:tblLayout w:type="fixed"/>
        <w:tblLook w:val="04A0" w:firstRow="1" w:lastRow="0" w:firstColumn="1" w:lastColumn="0" w:noHBand="0" w:noVBand="1"/>
      </w:tblPr>
      <w:tblGrid>
        <w:gridCol w:w="1350"/>
        <w:gridCol w:w="1050"/>
        <w:gridCol w:w="1361"/>
        <w:gridCol w:w="1428"/>
        <w:gridCol w:w="1217"/>
        <w:gridCol w:w="1407"/>
        <w:gridCol w:w="1361"/>
        <w:gridCol w:w="1205"/>
      </w:tblGrid>
      <w:tr w:rsidR="00972ADC" w:rsidRPr="00972ADC" w14:paraId="47128AF8" w14:textId="77777777" w:rsidTr="00DB6157">
        <w:trPr>
          <w:tblHeader/>
        </w:trPr>
        <w:tc>
          <w:tcPr>
            <w:tcW w:w="1350" w:type="dxa"/>
            <w:shd w:val="pct12" w:color="auto" w:fill="auto"/>
          </w:tcPr>
          <w:p w14:paraId="5DE5DAF6" w14:textId="77777777" w:rsidR="00972ADC" w:rsidRPr="007971FD" w:rsidRDefault="00972ADC" w:rsidP="008C795C">
            <w:pPr>
              <w:spacing w:after="0" w:line="276" w:lineRule="auto"/>
              <w:jc w:val="left"/>
              <w:rPr>
                <w:rFonts w:cs="Arial"/>
                <w:b/>
                <w:sz w:val="20"/>
                <w:szCs w:val="20"/>
              </w:rPr>
            </w:pPr>
            <w:r w:rsidRPr="007971FD">
              <w:rPr>
                <w:rFonts w:cs="Arial"/>
                <w:b/>
                <w:sz w:val="20"/>
                <w:szCs w:val="20"/>
              </w:rPr>
              <w:t>Jurisdiction</w:t>
            </w:r>
          </w:p>
        </w:tc>
        <w:tc>
          <w:tcPr>
            <w:tcW w:w="1050" w:type="dxa"/>
            <w:shd w:val="pct12" w:color="auto" w:fill="auto"/>
          </w:tcPr>
          <w:p w14:paraId="560DEF33" w14:textId="77777777" w:rsidR="00972ADC" w:rsidRPr="007971FD" w:rsidRDefault="00972ADC" w:rsidP="008C795C">
            <w:pPr>
              <w:spacing w:after="0" w:line="276" w:lineRule="auto"/>
              <w:jc w:val="left"/>
              <w:rPr>
                <w:rFonts w:cs="Arial"/>
                <w:b/>
                <w:sz w:val="20"/>
                <w:szCs w:val="20"/>
              </w:rPr>
            </w:pPr>
            <w:r w:rsidRPr="007971FD">
              <w:rPr>
                <w:rFonts w:cs="Arial"/>
                <w:b/>
                <w:sz w:val="20"/>
                <w:szCs w:val="20"/>
              </w:rPr>
              <w:t>Best interest principle</w:t>
            </w:r>
          </w:p>
        </w:tc>
        <w:tc>
          <w:tcPr>
            <w:tcW w:w="1361" w:type="dxa"/>
            <w:shd w:val="pct12" w:color="auto" w:fill="auto"/>
          </w:tcPr>
          <w:p w14:paraId="6F9E5D94" w14:textId="77777777" w:rsidR="00972ADC" w:rsidRPr="007971FD" w:rsidRDefault="00972ADC" w:rsidP="008C795C">
            <w:pPr>
              <w:spacing w:after="0" w:line="276" w:lineRule="auto"/>
              <w:jc w:val="left"/>
              <w:rPr>
                <w:rFonts w:cs="Arial"/>
                <w:b/>
                <w:sz w:val="20"/>
                <w:szCs w:val="20"/>
              </w:rPr>
            </w:pPr>
            <w:r w:rsidRPr="007971FD">
              <w:rPr>
                <w:rFonts w:cs="Arial"/>
                <w:b/>
                <w:sz w:val="20"/>
                <w:szCs w:val="20"/>
              </w:rPr>
              <w:t>Early intervention</w:t>
            </w:r>
          </w:p>
        </w:tc>
        <w:tc>
          <w:tcPr>
            <w:tcW w:w="1428" w:type="dxa"/>
            <w:shd w:val="pct12" w:color="auto" w:fill="auto"/>
          </w:tcPr>
          <w:p w14:paraId="2978DFBE" w14:textId="4610B396" w:rsidR="00972ADC" w:rsidRPr="007971FD" w:rsidRDefault="008C795C" w:rsidP="008C795C">
            <w:pPr>
              <w:spacing w:after="0" w:line="276" w:lineRule="auto"/>
              <w:jc w:val="left"/>
              <w:rPr>
                <w:rFonts w:cs="Arial"/>
                <w:b/>
                <w:sz w:val="20"/>
                <w:szCs w:val="20"/>
              </w:rPr>
            </w:pPr>
            <w:r w:rsidRPr="007971FD">
              <w:rPr>
                <w:rFonts w:cs="Arial"/>
                <w:b/>
                <w:sz w:val="20"/>
                <w:szCs w:val="20"/>
              </w:rPr>
              <w:t xml:space="preserve">Participation by </w:t>
            </w:r>
            <w:r w:rsidR="00972ADC" w:rsidRPr="007971FD">
              <w:rPr>
                <w:rFonts w:cs="Arial"/>
                <w:b/>
                <w:sz w:val="20"/>
                <w:szCs w:val="20"/>
              </w:rPr>
              <w:t>children and young people</w:t>
            </w:r>
          </w:p>
        </w:tc>
        <w:tc>
          <w:tcPr>
            <w:tcW w:w="1217" w:type="dxa"/>
            <w:shd w:val="pct12" w:color="auto" w:fill="auto"/>
          </w:tcPr>
          <w:p w14:paraId="1D2C41EF" w14:textId="77777777" w:rsidR="00972ADC" w:rsidRPr="007971FD" w:rsidRDefault="00972ADC" w:rsidP="008C795C">
            <w:pPr>
              <w:spacing w:after="0" w:line="276" w:lineRule="auto"/>
              <w:jc w:val="left"/>
              <w:rPr>
                <w:rFonts w:cs="Arial"/>
                <w:b/>
                <w:sz w:val="20"/>
                <w:szCs w:val="20"/>
              </w:rPr>
            </w:pPr>
            <w:r w:rsidRPr="007971FD">
              <w:rPr>
                <w:rFonts w:cs="Arial"/>
                <w:b/>
                <w:sz w:val="20"/>
                <w:szCs w:val="20"/>
              </w:rPr>
              <w:t>Culturally specific responses to ATSI people</w:t>
            </w:r>
          </w:p>
        </w:tc>
        <w:tc>
          <w:tcPr>
            <w:tcW w:w="1407" w:type="dxa"/>
            <w:shd w:val="pct12" w:color="auto" w:fill="auto"/>
          </w:tcPr>
          <w:p w14:paraId="45EA335C" w14:textId="77777777" w:rsidR="00972ADC" w:rsidRPr="007971FD" w:rsidRDefault="00972ADC" w:rsidP="008C795C">
            <w:pPr>
              <w:spacing w:after="0" w:line="276" w:lineRule="auto"/>
              <w:jc w:val="left"/>
              <w:rPr>
                <w:rFonts w:cs="Arial"/>
                <w:b/>
                <w:sz w:val="20"/>
                <w:szCs w:val="20"/>
              </w:rPr>
            </w:pPr>
            <w:r w:rsidRPr="007971FD">
              <w:rPr>
                <w:rFonts w:cs="Arial"/>
                <w:b/>
                <w:sz w:val="20"/>
                <w:szCs w:val="20"/>
              </w:rPr>
              <w:t>Permanency planning – associated timeframes</w:t>
            </w:r>
          </w:p>
        </w:tc>
        <w:tc>
          <w:tcPr>
            <w:tcW w:w="1361" w:type="dxa"/>
            <w:shd w:val="pct12" w:color="auto" w:fill="auto"/>
          </w:tcPr>
          <w:p w14:paraId="44C1197A" w14:textId="77777777" w:rsidR="00972ADC" w:rsidRPr="007971FD" w:rsidRDefault="00972ADC" w:rsidP="008C795C">
            <w:pPr>
              <w:spacing w:after="0" w:line="276" w:lineRule="auto"/>
              <w:jc w:val="left"/>
              <w:rPr>
                <w:rFonts w:cs="Arial"/>
                <w:b/>
                <w:sz w:val="20"/>
                <w:szCs w:val="20"/>
              </w:rPr>
            </w:pPr>
            <w:r w:rsidRPr="007971FD">
              <w:rPr>
                <w:rFonts w:cs="Arial"/>
                <w:b/>
                <w:sz w:val="20"/>
                <w:szCs w:val="20"/>
              </w:rPr>
              <w:t>Limited intervention or hierarchy of intervention</w:t>
            </w:r>
          </w:p>
        </w:tc>
        <w:tc>
          <w:tcPr>
            <w:tcW w:w="1205" w:type="dxa"/>
            <w:shd w:val="pct12" w:color="auto" w:fill="auto"/>
          </w:tcPr>
          <w:p w14:paraId="3EFB3AFB" w14:textId="77777777" w:rsidR="00972ADC" w:rsidRPr="007971FD" w:rsidRDefault="00972ADC" w:rsidP="008C795C">
            <w:pPr>
              <w:spacing w:after="0" w:line="276" w:lineRule="auto"/>
              <w:jc w:val="left"/>
              <w:rPr>
                <w:rFonts w:cs="Arial"/>
                <w:b/>
                <w:sz w:val="20"/>
                <w:szCs w:val="20"/>
              </w:rPr>
            </w:pPr>
            <w:r w:rsidRPr="007971FD">
              <w:rPr>
                <w:rFonts w:cs="Arial"/>
                <w:b/>
                <w:sz w:val="20"/>
                <w:szCs w:val="20"/>
              </w:rPr>
              <w:t>No-fault threshold for making Protection Orders</w:t>
            </w:r>
          </w:p>
        </w:tc>
      </w:tr>
      <w:tr w:rsidR="007971FD" w:rsidRPr="00972ADC" w14:paraId="059B910C" w14:textId="77777777" w:rsidTr="007971FD">
        <w:tc>
          <w:tcPr>
            <w:tcW w:w="1350" w:type="dxa"/>
          </w:tcPr>
          <w:p w14:paraId="2D6A397E" w14:textId="77777777" w:rsidR="007971FD" w:rsidRPr="007971FD" w:rsidRDefault="007971FD" w:rsidP="007971FD">
            <w:pPr>
              <w:spacing w:after="0" w:line="276" w:lineRule="auto"/>
              <w:rPr>
                <w:rFonts w:cs="Arial"/>
                <w:b/>
                <w:szCs w:val="22"/>
              </w:rPr>
            </w:pPr>
            <w:r w:rsidRPr="007971FD">
              <w:rPr>
                <w:rFonts w:cs="Arial"/>
                <w:b/>
                <w:szCs w:val="22"/>
              </w:rPr>
              <w:t xml:space="preserve">Victoria </w:t>
            </w:r>
          </w:p>
        </w:tc>
        <w:tc>
          <w:tcPr>
            <w:tcW w:w="1050" w:type="dxa"/>
          </w:tcPr>
          <w:p w14:paraId="5F2C51BE" w14:textId="6FB77094" w:rsidR="007971FD" w:rsidRPr="007971FD" w:rsidRDefault="007971FD" w:rsidP="007971FD">
            <w:pPr>
              <w:rPr>
                <w:b/>
                <w:color w:val="538135" w:themeColor="accent6" w:themeShade="BF"/>
                <w:sz w:val="20"/>
                <w:szCs w:val="20"/>
              </w:rPr>
            </w:pPr>
            <w:r w:rsidRPr="007971FD">
              <w:rPr>
                <w:b/>
                <w:color w:val="538135" w:themeColor="accent6" w:themeShade="BF"/>
                <w:sz w:val="20"/>
                <w:szCs w:val="20"/>
              </w:rPr>
              <w:t>Yes</w:t>
            </w:r>
          </w:p>
        </w:tc>
        <w:tc>
          <w:tcPr>
            <w:tcW w:w="1361" w:type="dxa"/>
          </w:tcPr>
          <w:p w14:paraId="4248BDFD" w14:textId="26DE65FB" w:rsidR="007971FD" w:rsidRPr="007971FD" w:rsidRDefault="007971FD" w:rsidP="007971FD">
            <w:pPr>
              <w:rPr>
                <w:b/>
                <w:color w:val="538135" w:themeColor="accent6" w:themeShade="BF"/>
                <w:sz w:val="20"/>
                <w:szCs w:val="20"/>
              </w:rPr>
            </w:pPr>
            <w:r w:rsidRPr="007971FD">
              <w:rPr>
                <w:b/>
                <w:color w:val="538135" w:themeColor="accent6" w:themeShade="BF"/>
                <w:sz w:val="20"/>
                <w:szCs w:val="20"/>
              </w:rPr>
              <w:t>Yes</w:t>
            </w:r>
          </w:p>
        </w:tc>
        <w:tc>
          <w:tcPr>
            <w:tcW w:w="1428" w:type="dxa"/>
          </w:tcPr>
          <w:p w14:paraId="7BAD7630" w14:textId="66652F28" w:rsidR="007971FD" w:rsidRPr="007971FD" w:rsidRDefault="007971FD" w:rsidP="007971FD">
            <w:pPr>
              <w:rPr>
                <w:b/>
                <w:color w:val="538135" w:themeColor="accent6" w:themeShade="BF"/>
                <w:sz w:val="20"/>
                <w:szCs w:val="20"/>
              </w:rPr>
            </w:pPr>
            <w:r w:rsidRPr="007971FD">
              <w:rPr>
                <w:b/>
                <w:color w:val="538135" w:themeColor="accent6" w:themeShade="BF"/>
                <w:sz w:val="20"/>
                <w:szCs w:val="20"/>
              </w:rPr>
              <w:t>Yes</w:t>
            </w:r>
          </w:p>
        </w:tc>
        <w:tc>
          <w:tcPr>
            <w:tcW w:w="1217" w:type="dxa"/>
          </w:tcPr>
          <w:p w14:paraId="489C0320" w14:textId="0B11F637" w:rsidR="007971FD" w:rsidRPr="007971FD" w:rsidRDefault="007971FD" w:rsidP="007971FD">
            <w:pPr>
              <w:rPr>
                <w:b/>
                <w:color w:val="538135" w:themeColor="accent6" w:themeShade="BF"/>
                <w:sz w:val="20"/>
                <w:szCs w:val="20"/>
              </w:rPr>
            </w:pPr>
            <w:r w:rsidRPr="007971FD">
              <w:rPr>
                <w:b/>
                <w:color w:val="538135" w:themeColor="accent6" w:themeShade="BF"/>
                <w:sz w:val="20"/>
                <w:szCs w:val="20"/>
              </w:rPr>
              <w:t>Yes</w:t>
            </w:r>
          </w:p>
        </w:tc>
        <w:tc>
          <w:tcPr>
            <w:tcW w:w="1407" w:type="dxa"/>
          </w:tcPr>
          <w:p w14:paraId="2430CDD9" w14:textId="58B58DBA" w:rsidR="007971FD" w:rsidRPr="00F71448" w:rsidRDefault="007971FD" w:rsidP="007971FD">
            <w:pPr>
              <w:rPr>
                <w:sz w:val="20"/>
                <w:szCs w:val="20"/>
              </w:rPr>
            </w:pPr>
            <w:r w:rsidRPr="007971FD">
              <w:rPr>
                <w:b/>
                <w:color w:val="538135" w:themeColor="accent6" w:themeShade="BF"/>
                <w:sz w:val="20"/>
                <w:szCs w:val="20"/>
              </w:rPr>
              <w:t>Yes</w:t>
            </w:r>
          </w:p>
        </w:tc>
        <w:tc>
          <w:tcPr>
            <w:tcW w:w="1361" w:type="dxa"/>
          </w:tcPr>
          <w:p w14:paraId="7F55D4E5" w14:textId="61BEEFF4" w:rsidR="007971FD" w:rsidRPr="00F71448" w:rsidRDefault="007971FD" w:rsidP="007971FD">
            <w:pPr>
              <w:rPr>
                <w:sz w:val="20"/>
                <w:szCs w:val="20"/>
              </w:rPr>
            </w:pPr>
            <w:r w:rsidRPr="00F745C0">
              <w:rPr>
                <w:b/>
                <w:color w:val="538135" w:themeColor="accent6" w:themeShade="BF"/>
                <w:sz w:val="20"/>
                <w:szCs w:val="20"/>
              </w:rPr>
              <w:t>Yes</w:t>
            </w:r>
          </w:p>
        </w:tc>
        <w:tc>
          <w:tcPr>
            <w:tcW w:w="1205" w:type="dxa"/>
          </w:tcPr>
          <w:p w14:paraId="1AD557F2" w14:textId="64ECEC85" w:rsidR="007971FD" w:rsidRPr="00F71448" w:rsidRDefault="007971FD" w:rsidP="007971FD">
            <w:pPr>
              <w:rPr>
                <w:b/>
                <w:sz w:val="20"/>
                <w:szCs w:val="20"/>
              </w:rPr>
            </w:pPr>
            <w:r w:rsidRPr="00F71448">
              <w:rPr>
                <w:b/>
                <w:color w:val="C00000"/>
                <w:sz w:val="20"/>
                <w:szCs w:val="20"/>
              </w:rPr>
              <w:t>No</w:t>
            </w:r>
          </w:p>
        </w:tc>
      </w:tr>
      <w:tr w:rsidR="007971FD" w:rsidRPr="00972ADC" w14:paraId="1DD7CEF3" w14:textId="77777777" w:rsidTr="007971FD">
        <w:tc>
          <w:tcPr>
            <w:tcW w:w="1350" w:type="dxa"/>
          </w:tcPr>
          <w:p w14:paraId="3C181A54" w14:textId="77777777" w:rsidR="007971FD" w:rsidRPr="007971FD" w:rsidRDefault="007971FD" w:rsidP="007971FD">
            <w:pPr>
              <w:spacing w:after="0" w:line="276" w:lineRule="auto"/>
              <w:rPr>
                <w:rFonts w:cs="Arial"/>
                <w:b/>
                <w:szCs w:val="22"/>
              </w:rPr>
            </w:pPr>
            <w:r w:rsidRPr="007971FD">
              <w:rPr>
                <w:rFonts w:cs="Arial"/>
                <w:b/>
                <w:szCs w:val="22"/>
              </w:rPr>
              <w:t>ACT</w:t>
            </w:r>
          </w:p>
        </w:tc>
        <w:tc>
          <w:tcPr>
            <w:tcW w:w="1050" w:type="dxa"/>
          </w:tcPr>
          <w:p w14:paraId="03B6DF5D" w14:textId="4DEE400F" w:rsidR="007971FD" w:rsidRPr="007971FD" w:rsidRDefault="007971FD" w:rsidP="007971FD">
            <w:pPr>
              <w:rPr>
                <w:b/>
                <w:color w:val="538135" w:themeColor="accent6" w:themeShade="BF"/>
                <w:sz w:val="20"/>
                <w:szCs w:val="20"/>
              </w:rPr>
            </w:pPr>
            <w:r w:rsidRPr="007971FD">
              <w:rPr>
                <w:b/>
                <w:color w:val="538135" w:themeColor="accent6" w:themeShade="BF"/>
                <w:sz w:val="20"/>
                <w:szCs w:val="20"/>
              </w:rPr>
              <w:t>Yes</w:t>
            </w:r>
          </w:p>
        </w:tc>
        <w:tc>
          <w:tcPr>
            <w:tcW w:w="1361" w:type="dxa"/>
          </w:tcPr>
          <w:p w14:paraId="19A393E8" w14:textId="6EA1716D" w:rsidR="007971FD" w:rsidRPr="007971FD" w:rsidRDefault="007971FD" w:rsidP="007971FD">
            <w:pPr>
              <w:rPr>
                <w:b/>
                <w:color w:val="538135" w:themeColor="accent6" w:themeShade="BF"/>
                <w:sz w:val="20"/>
                <w:szCs w:val="20"/>
              </w:rPr>
            </w:pPr>
            <w:r w:rsidRPr="007971FD">
              <w:rPr>
                <w:b/>
                <w:color w:val="538135" w:themeColor="accent6" w:themeShade="BF"/>
                <w:sz w:val="20"/>
                <w:szCs w:val="20"/>
              </w:rPr>
              <w:t>Yes</w:t>
            </w:r>
          </w:p>
        </w:tc>
        <w:tc>
          <w:tcPr>
            <w:tcW w:w="1428" w:type="dxa"/>
          </w:tcPr>
          <w:p w14:paraId="336DE9B3" w14:textId="1DAE84B5" w:rsidR="007971FD" w:rsidRPr="007971FD" w:rsidRDefault="007971FD" w:rsidP="007971FD">
            <w:pPr>
              <w:rPr>
                <w:b/>
                <w:color w:val="538135" w:themeColor="accent6" w:themeShade="BF"/>
                <w:sz w:val="20"/>
                <w:szCs w:val="20"/>
              </w:rPr>
            </w:pPr>
            <w:r w:rsidRPr="007971FD">
              <w:rPr>
                <w:b/>
                <w:color w:val="538135" w:themeColor="accent6" w:themeShade="BF"/>
                <w:sz w:val="20"/>
                <w:szCs w:val="20"/>
              </w:rPr>
              <w:t>Yes</w:t>
            </w:r>
          </w:p>
        </w:tc>
        <w:tc>
          <w:tcPr>
            <w:tcW w:w="1217" w:type="dxa"/>
          </w:tcPr>
          <w:p w14:paraId="1AAB3745" w14:textId="5E41FB41" w:rsidR="007971FD" w:rsidRPr="007971FD" w:rsidRDefault="007971FD" w:rsidP="007971FD">
            <w:pPr>
              <w:rPr>
                <w:b/>
                <w:color w:val="538135" w:themeColor="accent6" w:themeShade="BF"/>
                <w:sz w:val="20"/>
                <w:szCs w:val="20"/>
              </w:rPr>
            </w:pPr>
            <w:r w:rsidRPr="007971FD">
              <w:rPr>
                <w:b/>
                <w:color w:val="538135" w:themeColor="accent6" w:themeShade="BF"/>
                <w:sz w:val="20"/>
                <w:szCs w:val="20"/>
              </w:rPr>
              <w:t>Yes</w:t>
            </w:r>
          </w:p>
        </w:tc>
        <w:tc>
          <w:tcPr>
            <w:tcW w:w="1407" w:type="dxa"/>
          </w:tcPr>
          <w:p w14:paraId="3574113B" w14:textId="64B2ED38" w:rsidR="007971FD" w:rsidRPr="00F71448" w:rsidRDefault="007971FD" w:rsidP="007971FD">
            <w:pPr>
              <w:rPr>
                <w:b/>
                <w:sz w:val="20"/>
                <w:szCs w:val="20"/>
              </w:rPr>
            </w:pPr>
            <w:r w:rsidRPr="00F71448">
              <w:rPr>
                <w:b/>
                <w:color w:val="C00000"/>
                <w:sz w:val="20"/>
                <w:szCs w:val="20"/>
              </w:rPr>
              <w:t>No</w:t>
            </w:r>
          </w:p>
        </w:tc>
        <w:tc>
          <w:tcPr>
            <w:tcW w:w="1361" w:type="dxa"/>
          </w:tcPr>
          <w:p w14:paraId="40C5E2FE" w14:textId="59DA95F5" w:rsidR="007971FD" w:rsidRPr="00F71448" w:rsidRDefault="007971FD" w:rsidP="007971FD">
            <w:pPr>
              <w:rPr>
                <w:sz w:val="20"/>
                <w:szCs w:val="20"/>
              </w:rPr>
            </w:pPr>
            <w:r w:rsidRPr="00F745C0">
              <w:rPr>
                <w:b/>
                <w:color w:val="538135" w:themeColor="accent6" w:themeShade="BF"/>
                <w:sz w:val="20"/>
                <w:szCs w:val="20"/>
              </w:rPr>
              <w:t>Yes</w:t>
            </w:r>
          </w:p>
        </w:tc>
        <w:tc>
          <w:tcPr>
            <w:tcW w:w="1205" w:type="dxa"/>
          </w:tcPr>
          <w:p w14:paraId="02A20CF5" w14:textId="7F043566" w:rsidR="007971FD" w:rsidRPr="00F71448" w:rsidRDefault="007971FD" w:rsidP="007971FD">
            <w:pPr>
              <w:rPr>
                <w:sz w:val="20"/>
                <w:szCs w:val="20"/>
              </w:rPr>
            </w:pPr>
            <w:r w:rsidRPr="004D3D3D">
              <w:rPr>
                <w:b/>
                <w:color w:val="538135" w:themeColor="accent6" w:themeShade="BF"/>
                <w:sz w:val="20"/>
                <w:szCs w:val="20"/>
              </w:rPr>
              <w:t>Yes</w:t>
            </w:r>
          </w:p>
        </w:tc>
      </w:tr>
      <w:tr w:rsidR="007971FD" w:rsidRPr="00972ADC" w14:paraId="544F7BC9" w14:textId="77777777" w:rsidTr="007971FD">
        <w:tc>
          <w:tcPr>
            <w:tcW w:w="1350" w:type="dxa"/>
          </w:tcPr>
          <w:p w14:paraId="7B2AFFBE" w14:textId="77777777" w:rsidR="007971FD" w:rsidRPr="007971FD" w:rsidRDefault="007971FD" w:rsidP="007971FD">
            <w:pPr>
              <w:spacing w:after="0" w:line="276" w:lineRule="auto"/>
              <w:rPr>
                <w:rFonts w:cs="Arial"/>
                <w:b/>
                <w:szCs w:val="22"/>
              </w:rPr>
            </w:pPr>
            <w:r w:rsidRPr="007971FD">
              <w:rPr>
                <w:rFonts w:cs="Arial"/>
                <w:b/>
                <w:szCs w:val="22"/>
              </w:rPr>
              <w:t>NSW</w:t>
            </w:r>
          </w:p>
        </w:tc>
        <w:tc>
          <w:tcPr>
            <w:tcW w:w="1050" w:type="dxa"/>
          </w:tcPr>
          <w:p w14:paraId="3BA20719" w14:textId="56909179" w:rsidR="007971FD" w:rsidRPr="007971FD" w:rsidRDefault="007971FD" w:rsidP="007971FD">
            <w:pPr>
              <w:rPr>
                <w:b/>
                <w:color w:val="538135" w:themeColor="accent6" w:themeShade="BF"/>
                <w:sz w:val="20"/>
                <w:szCs w:val="20"/>
              </w:rPr>
            </w:pPr>
            <w:r w:rsidRPr="007971FD">
              <w:rPr>
                <w:b/>
                <w:color w:val="538135" w:themeColor="accent6" w:themeShade="BF"/>
                <w:sz w:val="20"/>
                <w:szCs w:val="20"/>
              </w:rPr>
              <w:t>Yes</w:t>
            </w:r>
          </w:p>
        </w:tc>
        <w:tc>
          <w:tcPr>
            <w:tcW w:w="1361" w:type="dxa"/>
          </w:tcPr>
          <w:p w14:paraId="51F71349" w14:textId="32CC2063" w:rsidR="007971FD" w:rsidRPr="007971FD" w:rsidRDefault="007971FD" w:rsidP="007971FD">
            <w:pPr>
              <w:rPr>
                <w:b/>
                <w:color w:val="538135" w:themeColor="accent6" w:themeShade="BF"/>
                <w:sz w:val="20"/>
                <w:szCs w:val="20"/>
              </w:rPr>
            </w:pPr>
            <w:r w:rsidRPr="007971FD">
              <w:rPr>
                <w:b/>
                <w:color w:val="538135" w:themeColor="accent6" w:themeShade="BF"/>
                <w:sz w:val="20"/>
                <w:szCs w:val="20"/>
              </w:rPr>
              <w:t>Yes</w:t>
            </w:r>
          </w:p>
        </w:tc>
        <w:tc>
          <w:tcPr>
            <w:tcW w:w="1428" w:type="dxa"/>
          </w:tcPr>
          <w:p w14:paraId="0EABC31F" w14:textId="4F122C43" w:rsidR="007971FD" w:rsidRPr="007971FD" w:rsidRDefault="007971FD" w:rsidP="007971FD">
            <w:pPr>
              <w:rPr>
                <w:b/>
                <w:color w:val="538135" w:themeColor="accent6" w:themeShade="BF"/>
                <w:sz w:val="20"/>
                <w:szCs w:val="20"/>
              </w:rPr>
            </w:pPr>
            <w:r w:rsidRPr="007971FD">
              <w:rPr>
                <w:b/>
                <w:color w:val="538135" w:themeColor="accent6" w:themeShade="BF"/>
                <w:sz w:val="20"/>
                <w:szCs w:val="20"/>
              </w:rPr>
              <w:t>Yes</w:t>
            </w:r>
          </w:p>
        </w:tc>
        <w:tc>
          <w:tcPr>
            <w:tcW w:w="1217" w:type="dxa"/>
          </w:tcPr>
          <w:p w14:paraId="6E692971" w14:textId="5D9AE127" w:rsidR="007971FD" w:rsidRPr="007971FD" w:rsidRDefault="007971FD" w:rsidP="007971FD">
            <w:pPr>
              <w:rPr>
                <w:b/>
                <w:color w:val="538135" w:themeColor="accent6" w:themeShade="BF"/>
                <w:sz w:val="20"/>
                <w:szCs w:val="20"/>
              </w:rPr>
            </w:pPr>
            <w:r w:rsidRPr="007971FD">
              <w:rPr>
                <w:b/>
                <w:color w:val="538135" w:themeColor="accent6" w:themeShade="BF"/>
                <w:sz w:val="20"/>
                <w:szCs w:val="20"/>
              </w:rPr>
              <w:t>Yes</w:t>
            </w:r>
          </w:p>
        </w:tc>
        <w:tc>
          <w:tcPr>
            <w:tcW w:w="1407" w:type="dxa"/>
          </w:tcPr>
          <w:p w14:paraId="5367C232" w14:textId="425CE6B9" w:rsidR="007971FD" w:rsidRPr="00F71448" w:rsidRDefault="007971FD" w:rsidP="007971FD">
            <w:pPr>
              <w:rPr>
                <w:sz w:val="20"/>
                <w:szCs w:val="20"/>
              </w:rPr>
            </w:pPr>
            <w:r w:rsidRPr="007971FD">
              <w:rPr>
                <w:b/>
                <w:color w:val="538135" w:themeColor="accent6" w:themeShade="BF"/>
                <w:sz w:val="20"/>
                <w:szCs w:val="20"/>
              </w:rPr>
              <w:t>Yes</w:t>
            </w:r>
          </w:p>
        </w:tc>
        <w:tc>
          <w:tcPr>
            <w:tcW w:w="1361" w:type="dxa"/>
          </w:tcPr>
          <w:p w14:paraId="4E91D29A" w14:textId="6E76856A" w:rsidR="007971FD" w:rsidRPr="00F71448" w:rsidRDefault="007971FD" w:rsidP="007971FD">
            <w:pPr>
              <w:rPr>
                <w:sz w:val="20"/>
                <w:szCs w:val="20"/>
              </w:rPr>
            </w:pPr>
            <w:r w:rsidRPr="00F745C0">
              <w:rPr>
                <w:b/>
                <w:color w:val="538135" w:themeColor="accent6" w:themeShade="BF"/>
                <w:sz w:val="20"/>
                <w:szCs w:val="20"/>
              </w:rPr>
              <w:t>Yes</w:t>
            </w:r>
          </w:p>
        </w:tc>
        <w:tc>
          <w:tcPr>
            <w:tcW w:w="1205" w:type="dxa"/>
          </w:tcPr>
          <w:p w14:paraId="4B494100" w14:textId="07FDD397" w:rsidR="007971FD" w:rsidRPr="00F71448" w:rsidRDefault="007971FD" w:rsidP="007971FD">
            <w:pPr>
              <w:rPr>
                <w:sz w:val="20"/>
                <w:szCs w:val="20"/>
              </w:rPr>
            </w:pPr>
            <w:r w:rsidRPr="004D3D3D">
              <w:rPr>
                <w:b/>
                <w:color w:val="538135" w:themeColor="accent6" w:themeShade="BF"/>
                <w:sz w:val="20"/>
                <w:szCs w:val="20"/>
              </w:rPr>
              <w:t>Yes</w:t>
            </w:r>
          </w:p>
        </w:tc>
      </w:tr>
      <w:tr w:rsidR="007971FD" w:rsidRPr="00972ADC" w14:paraId="79101836" w14:textId="77777777" w:rsidTr="007971FD">
        <w:tc>
          <w:tcPr>
            <w:tcW w:w="1350" w:type="dxa"/>
          </w:tcPr>
          <w:p w14:paraId="084C9F3F" w14:textId="77777777" w:rsidR="007971FD" w:rsidRPr="007971FD" w:rsidRDefault="007971FD" w:rsidP="007971FD">
            <w:pPr>
              <w:spacing w:after="0" w:line="276" w:lineRule="auto"/>
              <w:rPr>
                <w:rFonts w:cs="Arial"/>
                <w:b/>
                <w:szCs w:val="22"/>
              </w:rPr>
            </w:pPr>
            <w:r w:rsidRPr="007971FD">
              <w:rPr>
                <w:rFonts w:cs="Arial"/>
                <w:b/>
                <w:szCs w:val="22"/>
              </w:rPr>
              <w:t>NT</w:t>
            </w:r>
          </w:p>
        </w:tc>
        <w:tc>
          <w:tcPr>
            <w:tcW w:w="1050" w:type="dxa"/>
          </w:tcPr>
          <w:p w14:paraId="7E85E376" w14:textId="54E943FB" w:rsidR="007971FD" w:rsidRPr="007971FD" w:rsidRDefault="007971FD" w:rsidP="007971FD">
            <w:pPr>
              <w:rPr>
                <w:b/>
                <w:color w:val="538135" w:themeColor="accent6" w:themeShade="BF"/>
                <w:sz w:val="20"/>
                <w:szCs w:val="20"/>
              </w:rPr>
            </w:pPr>
            <w:r w:rsidRPr="007971FD">
              <w:rPr>
                <w:b/>
                <w:color w:val="538135" w:themeColor="accent6" w:themeShade="BF"/>
                <w:sz w:val="20"/>
                <w:szCs w:val="20"/>
              </w:rPr>
              <w:t>Yes</w:t>
            </w:r>
          </w:p>
        </w:tc>
        <w:tc>
          <w:tcPr>
            <w:tcW w:w="1361" w:type="dxa"/>
          </w:tcPr>
          <w:p w14:paraId="7174332E" w14:textId="26A9630A" w:rsidR="007971FD" w:rsidRPr="007971FD" w:rsidRDefault="007971FD" w:rsidP="007971FD">
            <w:pPr>
              <w:rPr>
                <w:b/>
                <w:color w:val="538135" w:themeColor="accent6" w:themeShade="BF"/>
                <w:sz w:val="20"/>
                <w:szCs w:val="20"/>
              </w:rPr>
            </w:pPr>
            <w:r w:rsidRPr="007971FD">
              <w:rPr>
                <w:b/>
                <w:color w:val="538135" w:themeColor="accent6" w:themeShade="BF"/>
                <w:sz w:val="20"/>
                <w:szCs w:val="20"/>
              </w:rPr>
              <w:t>Yes</w:t>
            </w:r>
          </w:p>
        </w:tc>
        <w:tc>
          <w:tcPr>
            <w:tcW w:w="1428" w:type="dxa"/>
          </w:tcPr>
          <w:p w14:paraId="11DC5BBB" w14:textId="29792168" w:rsidR="007971FD" w:rsidRPr="007971FD" w:rsidRDefault="007971FD" w:rsidP="007971FD">
            <w:pPr>
              <w:rPr>
                <w:b/>
                <w:color w:val="538135" w:themeColor="accent6" w:themeShade="BF"/>
                <w:sz w:val="20"/>
                <w:szCs w:val="20"/>
              </w:rPr>
            </w:pPr>
            <w:r w:rsidRPr="007971FD">
              <w:rPr>
                <w:b/>
                <w:color w:val="538135" w:themeColor="accent6" w:themeShade="BF"/>
                <w:sz w:val="20"/>
                <w:szCs w:val="20"/>
              </w:rPr>
              <w:t>Yes</w:t>
            </w:r>
          </w:p>
        </w:tc>
        <w:tc>
          <w:tcPr>
            <w:tcW w:w="1217" w:type="dxa"/>
          </w:tcPr>
          <w:p w14:paraId="4DB7DDB0" w14:textId="582036D5" w:rsidR="007971FD" w:rsidRPr="007971FD" w:rsidRDefault="007971FD" w:rsidP="007971FD">
            <w:pPr>
              <w:rPr>
                <w:b/>
                <w:color w:val="538135" w:themeColor="accent6" w:themeShade="BF"/>
                <w:sz w:val="20"/>
                <w:szCs w:val="20"/>
              </w:rPr>
            </w:pPr>
            <w:r w:rsidRPr="007971FD">
              <w:rPr>
                <w:b/>
                <w:color w:val="538135" w:themeColor="accent6" w:themeShade="BF"/>
                <w:sz w:val="20"/>
                <w:szCs w:val="20"/>
              </w:rPr>
              <w:t>Yes</w:t>
            </w:r>
          </w:p>
        </w:tc>
        <w:tc>
          <w:tcPr>
            <w:tcW w:w="1407" w:type="dxa"/>
          </w:tcPr>
          <w:p w14:paraId="21C09117" w14:textId="6C372C86" w:rsidR="007971FD" w:rsidRPr="00F71448" w:rsidRDefault="007971FD" w:rsidP="007971FD">
            <w:pPr>
              <w:rPr>
                <w:b/>
                <w:sz w:val="20"/>
                <w:szCs w:val="20"/>
              </w:rPr>
            </w:pPr>
            <w:r w:rsidRPr="00F71448">
              <w:rPr>
                <w:b/>
                <w:color w:val="C00000"/>
                <w:sz w:val="20"/>
                <w:szCs w:val="20"/>
              </w:rPr>
              <w:t>No</w:t>
            </w:r>
          </w:p>
        </w:tc>
        <w:tc>
          <w:tcPr>
            <w:tcW w:w="1361" w:type="dxa"/>
          </w:tcPr>
          <w:p w14:paraId="738AE543" w14:textId="33A867EB" w:rsidR="007971FD" w:rsidRPr="00F71448" w:rsidRDefault="007971FD" w:rsidP="007971FD">
            <w:pPr>
              <w:rPr>
                <w:sz w:val="20"/>
                <w:szCs w:val="20"/>
              </w:rPr>
            </w:pPr>
            <w:r w:rsidRPr="00F745C0">
              <w:rPr>
                <w:b/>
                <w:color w:val="538135" w:themeColor="accent6" w:themeShade="BF"/>
                <w:sz w:val="20"/>
                <w:szCs w:val="20"/>
              </w:rPr>
              <w:t>Yes</w:t>
            </w:r>
          </w:p>
        </w:tc>
        <w:tc>
          <w:tcPr>
            <w:tcW w:w="1205" w:type="dxa"/>
          </w:tcPr>
          <w:p w14:paraId="328A273D" w14:textId="4BEEEF45" w:rsidR="007971FD" w:rsidRPr="00F71448" w:rsidRDefault="007971FD" w:rsidP="007971FD">
            <w:pPr>
              <w:rPr>
                <w:sz w:val="20"/>
                <w:szCs w:val="20"/>
              </w:rPr>
            </w:pPr>
            <w:r w:rsidRPr="004D3D3D">
              <w:rPr>
                <w:b/>
                <w:color w:val="538135" w:themeColor="accent6" w:themeShade="BF"/>
                <w:sz w:val="20"/>
                <w:szCs w:val="20"/>
              </w:rPr>
              <w:t>Yes</w:t>
            </w:r>
          </w:p>
        </w:tc>
      </w:tr>
      <w:tr w:rsidR="007971FD" w:rsidRPr="00972ADC" w14:paraId="5FA1CC17" w14:textId="77777777" w:rsidTr="007971FD">
        <w:tc>
          <w:tcPr>
            <w:tcW w:w="1350" w:type="dxa"/>
          </w:tcPr>
          <w:p w14:paraId="797DD3A3" w14:textId="77777777" w:rsidR="007971FD" w:rsidRPr="007971FD" w:rsidRDefault="007971FD" w:rsidP="007971FD">
            <w:pPr>
              <w:spacing w:after="0" w:line="276" w:lineRule="auto"/>
              <w:rPr>
                <w:rFonts w:cs="Arial"/>
                <w:b/>
                <w:szCs w:val="22"/>
              </w:rPr>
            </w:pPr>
            <w:r w:rsidRPr="007971FD">
              <w:rPr>
                <w:rFonts w:cs="Arial"/>
                <w:b/>
                <w:szCs w:val="22"/>
              </w:rPr>
              <w:t>QLD</w:t>
            </w:r>
          </w:p>
        </w:tc>
        <w:tc>
          <w:tcPr>
            <w:tcW w:w="1050" w:type="dxa"/>
          </w:tcPr>
          <w:p w14:paraId="6B2D1683" w14:textId="7E398A2D" w:rsidR="007971FD" w:rsidRPr="007971FD" w:rsidRDefault="007971FD" w:rsidP="007971FD">
            <w:pPr>
              <w:rPr>
                <w:b/>
                <w:color w:val="538135" w:themeColor="accent6" w:themeShade="BF"/>
                <w:sz w:val="20"/>
                <w:szCs w:val="20"/>
              </w:rPr>
            </w:pPr>
            <w:r w:rsidRPr="007971FD">
              <w:rPr>
                <w:b/>
                <w:color w:val="538135" w:themeColor="accent6" w:themeShade="BF"/>
                <w:sz w:val="20"/>
                <w:szCs w:val="20"/>
              </w:rPr>
              <w:t>Yes</w:t>
            </w:r>
          </w:p>
        </w:tc>
        <w:tc>
          <w:tcPr>
            <w:tcW w:w="1361" w:type="dxa"/>
          </w:tcPr>
          <w:p w14:paraId="3BC59AFF" w14:textId="47806C24" w:rsidR="007971FD" w:rsidRPr="007971FD" w:rsidRDefault="007971FD" w:rsidP="007971FD">
            <w:pPr>
              <w:rPr>
                <w:b/>
                <w:color w:val="538135" w:themeColor="accent6" w:themeShade="BF"/>
                <w:sz w:val="20"/>
                <w:szCs w:val="20"/>
              </w:rPr>
            </w:pPr>
            <w:r w:rsidRPr="007971FD">
              <w:rPr>
                <w:b/>
                <w:color w:val="538135" w:themeColor="accent6" w:themeShade="BF"/>
                <w:sz w:val="20"/>
                <w:szCs w:val="20"/>
              </w:rPr>
              <w:t>Yes</w:t>
            </w:r>
          </w:p>
        </w:tc>
        <w:tc>
          <w:tcPr>
            <w:tcW w:w="1428" w:type="dxa"/>
          </w:tcPr>
          <w:p w14:paraId="26D808C6" w14:textId="4263C579" w:rsidR="007971FD" w:rsidRPr="007971FD" w:rsidRDefault="007971FD" w:rsidP="007971FD">
            <w:pPr>
              <w:rPr>
                <w:b/>
                <w:color w:val="538135" w:themeColor="accent6" w:themeShade="BF"/>
                <w:sz w:val="20"/>
                <w:szCs w:val="20"/>
              </w:rPr>
            </w:pPr>
            <w:r w:rsidRPr="007971FD">
              <w:rPr>
                <w:b/>
                <w:color w:val="538135" w:themeColor="accent6" w:themeShade="BF"/>
                <w:sz w:val="20"/>
                <w:szCs w:val="20"/>
              </w:rPr>
              <w:t>Yes</w:t>
            </w:r>
          </w:p>
        </w:tc>
        <w:tc>
          <w:tcPr>
            <w:tcW w:w="1217" w:type="dxa"/>
          </w:tcPr>
          <w:p w14:paraId="48D54921" w14:textId="0FE7B555" w:rsidR="007971FD" w:rsidRPr="007971FD" w:rsidRDefault="007971FD" w:rsidP="007971FD">
            <w:pPr>
              <w:rPr>
                <w:b/>
                <w:color w:val="538135" w:themeColor="accent6" w:themeShade="BF"/>
                <w:sz w:val="20"/>
                <w:szCs w:val="20"/>
              </w:rPr>
            </w:pPr>
            <w:r w:rsidRPr="007971FD">
              <w:rPr>
                <w:b/>
                <w:color w:val="538135" w:themeColor="accent6" w:themeShade="BF"/>
                <w:sz w:val="20"/>
                <w:szCs w:val="20"/>
              </w:rPr>
              <w:t>Yes</w:t>
            </w:r>
          </w:p>
        </w:tc>
        <w:tc>
          <w:tcPr>
            <w:tcW w:w="1407" w:type="dxa"/>
          </w:tcPr>
          <w:p w14:paraId="39634F7B" w14:textId="693399D8" w:rsidR="007971FD" w:rsidRPr="00F71448" w:rsidRDefault="007971FD" w:rsidP="007971FD">
            <w:pPr>
              <w:rPr>
                <w:b/>
                <w:sz w:val="20"/>
                <w:szCs w:val="20"/>
              </w:rPr>
            </w:pPr>
            <w:r w:rsidRPr="00F71448">
              <w:rPr>
                <w:b/>
                <w:color w:val="C00000"/>
                <w:sz w:val="20"/>
                <w:szCs w:val="20"/>
              </w:rPr>
              <w:t>No</w:t>
            </w:r>
          </w:p>
        </w:tc>
        <w:tc>
          <w:tcPr>
            <w:tcW w:w="1361" w:type="dxa"/>
          </w:tcPr>
          <w:p w14:paraId="31ECE904" w14:textId="588BE9DA" w:rsidR="007971FD" w:rsidRPr="00F71448" w:rsidRDefault="007971FD" w:rsidP="007971FD">
            <w:pPr>
              <w:rPr>
                <w:sz w:val="20"/>
                <w:szCs w:val="20"/>
              </w:rPr>
            </w:pPr>
            <w:r w:rsidRPr="00F745C0">
              <w:rPr>
                <w:b/>
                <w:color w:val="538135" w:themeColor="accent6" w:themeShade="BF"/>
                <w:sz w:val="20"/>
                <w:szCs w:val="20"/>
              </w:rPr>
              <w:t>Yes</w:t>
            </w:r>
          </w:p>
        </w:tc>
        <w:tc>
          <w:tcPr>
            <w:tcW w:w="1205" w:type="dxa"/>
          </w:tcPr>
          <w:p w14:paraId="68B4154B" w14:textId="3816A07B" w:rsidR="007971FD" w:rsidRPr="00F71448" w:rsidRDefault="007971FD" w:rsidP="007971FD">
            <w:pPr>
              <w:rPr>
                <w:sz w:val="20"/>
                <w:szCs w:val="20"/>
              </w:rPr>
            </w:pPr>
            <w:r w:rsidRPr="004D3D3D">
              <w:rPr>
                <w:b/>
                <w:color w:val="538135" w:themeColor="accent6" w:themeShade="BF"/>
                <w:sz w:val="20"/>
                <w:szCs w:val="20"/>
              </w:rPr>
              <w:t>Yes</w:t>
            </w:r>
          </w:p>
        </w:tc>
      </w:tr>
      <w:tr w:rsidR="007971FD" w:rsidRPr="00972ADC" w14:paraId="2B156A4D" w14:textId="77777777" w:rsidTr="007971FD">
        <w:tc>
          <w:tcPr>
            <w:tcW w:w="1350" w:type="dxa"/>
          </w:tcPr>
          <w:p w14:paraId="5D1F7322" w14:textId="77777777" w:rsidR="007971FD" w:rsidRPr="007971FD" w:rsidRDefault="007971FD" w:rsidP="007971FD">
            <w:pPr>
              <w:spacing w:after="0" w:line="276" w:lineRule="auto"/>
              <w:rPr>
                <w:rFonts w:cs="Arial"/>
                <w:b/>
                <w:szCs w:val="22"/>
              </w:rPr>
            </w:pPr>
            <w:r w:rsidRPr="007971FD">
              <w:rPr>
                <w:rFonts w:cs="Arial"/>
                <w:b/>
                <w:szCs w:val="22"/>
              </w:rPr>
              <w:t>SA</w:t>
            </w:r>
          </w:p>
        </w:tc>
        <w:tc>
          <w:tcPr>
            <w:tcW w:w="1050" w:type="dxa"/>
          </w:tcPr>
          <w:p w14:paraId="1A90C4F5" w14:textId="47A1F286" w:rsidR="007971FD" w:rsidRPr="007971FD" w:rsidRDefault="007971FD" w:rsidP="007971FD">
            <w:pPr>
              <w:rPr>
                <w:b/>
                <w:color w:val="538135" w:themeColor="accent6" w:themeShade="BF"/>
                <w:sz w:val="20"/>
                <w:szCs w:val="20"/>
              </w:rPr>
            </w:pPr>
            <w:r w:rsidRPr="007971FD">
              <w:rPr>
                <w:b/>
                <w:color w:val="538135" w:themeColor="accent6" w:themeShade="BF"/>
                <w:sz w:val="20"/>
                <w:szCs w:val="20"/>
              </w:rPr>
              <w:t>Yes</w:t>
            </w:r>
          </w:p>
        </w:tc>
        <w:tc>
          <w:tcPr>
            <w:tcW w:w="1361" w:type="dxa"/>
          </w:tcPr>
          <w:p w14:paraId="3EE0AA2B" w14:textId="61429B13" w:rsidR="007971FD" w:rsidRPr="007971FD" w:rsidRDefault="007971FD" w:rsidP="007971FD">
            <w:pPr>
              <w:rPr>
                <w:b/>
                <w:color w:val="538135" w:themeColor="accent6" w:themeShade="BF"/>
                <w:sz w:val="20"/>
                <w:szCs w:val="20"/>
              </w:rPr>
            </w:pPr>
            <w:r w:rsidRPr="007971FD">
              <w:rPr>
                <w:b/>
                <w:color w:val="538135" w:themeColor="accent6" w:themeShade="BF"/>
                <w:sz w:val="20"/>
                <w:szCs w:val="20"/>
              </w:rPr>
              <w:t>Yes</w:t>
            </w:r>
          </w:p>
        </w:tc>
        <w:tc>
          <w:tcPr>
            <w:tcW w:w="1428" w:type="dxa"/>
          </w:tcPr>
          <w:p w14:paraId="4BED122E" w14:textId="22B2B12F" w:rsidR="007971FD" w:rsidRPr="007971FD" w:rsidRDefault="007971FD" w:rsidP="007971FD">
            <w:pPr>
              <w:rPr>
                <w:b/>
                <w:color w:val="538135" w:themeColor="accent6" w:themeShade="BF"/>
                <w:sz w:val="20"/>
                <w:szCs w:val="20"/>
              </w:rPr>
            </w:pPr>
            <w:r w:rsidRPr="007971FD">
              <w:rPr>
                <w:b/>
                <w:color w:val="538135" w:themeColor="accent6" w:themeShade="BF"/>
                <w:sz w:val="20"/>
                <w:szCs w:val="20"/>
              </w:rPr>
              <w:t>Yes</w:t>
            </w:r>
          </w:p>
        </w:tc>
        <w:tc>
          <w:tcPr>
            <w:tcW w:w="1217" w:type="dxa"/>
          </w:tcPr>
          <w:p w14:paraId="60DF5164" w14:textId="7A807AC2" w:rsidR="007971FD" w:rsidRPr="007971FD" w:rsidRDefault="007971FD" w:rsidP="007971FD">
            <w:pPr>
              <w:rPr>
                <w:b/>
                <w:color w:val="538135" w:themeColor="accent6" w:themeShade="BF"/>
                <w:sz w:val="20"/>
                <w:szCs w:val="20"/>
              </w:rPr>
            </w:pPr>
            <w:r w:rsidRPr="007971FD">
              <w:rPr>
                <w:b/>
                <w:color w:val="538135" w:themeColor="accent6" w:themeShade="BF"/>
                <w:sz w:val="20"/>
                <w:szCs w:val="20"/>
              </w:rPr>
              <w:t>Yes</w:t>
            </w:r>
          </w:p>
        </w:tc>
        <w:tc>
          <w:tcPr>
            <w:tcW w:w="1407" w:type="dxa"/>
          </w:tcPr>
          <w:p w14:paraId="72424BA2" w14:textId="6EA9FF0F" w:rsidR="007971FD" w:rsidRPr="00F71448" w:rsidRDefault="007971FD" w:rsidP="007971FD">
            <w:pPr>
              <w:rPr>
                <w:b/>
                <w:sz w:val="20"/>
                <w:szCs w:val="20"/>
              </w:rPr>
            </w:pPr>
            <w:r w:rsidRPr="00F71448">
              <w:rPr>
                <w:b/>
                <w:color w:val="C00000"/>
                <w:sz w:val="20"/>
                <w:szCs w:val="20"/>
              </w:rPr>
              <w:t>No</w:t>
            </w:r>
          </w:p>
        </w:tc>
        <w:tc>
          <w:tcPr>
            <w:tcW w:w="1361" w:type="dxa"/>
          </w:tcPr>
          <w:p w14:paraId="745C6BAD" w14:textId="6499086A" w:rsidR="007971FD" w:rsidRPr="00F71448" w:rsidRDefault="007971FD" w:rsidP="007971FD">
            <w:pPr>
              <w:rPr>
                <w:sz w:val="20"/>
                <w:szCs w:val="20"/>
              </w:rPr>
            </w:pPr>
            <w:r w:rsidRPr="00F745C0">
              <w:rPr>
                <w:b/>
                <w:color w:val="538135" w:themeColor="accent6" w:themeShade="BF"/>
                <w:sz w:val="20"/>
                <w:szCs w:val="20"/>
              </w:rPr>
              <w:t>Yes</w:t>
            </w:r>
          </w:p>
        </w:tc>
        <w:tc>
          <w:tcPr>
            <w:tcW w:w="1205" w:type="dxa"/>
          </w:tcPr>
          <w:p w14:paraId="189BC65C" w14:textId="39454084" w:rsidR="007971FD" w:rsidRPr="00F71448" w:rsidRDefault="007971FD" w:rsidP="007971FD">
            <w:pPr>
              <w:rPr>
                <w:sz w:val="20"/>
                <w:szCs w:val="20"/>
              </w:rPr>
            </w:pPr>
            <w:r w:rsidRPr="004D3D3D">
              <w:rPr>
                <w:b/>
                <w:color w:val="538135" w:themeColor="accent6" w:themeShade="BF"/>
                <w:sz w:val="20"/>
                <w:szCs w:val="20"/>
              </w:rPr>
              <w:t>Yes</w:t>
            </w:r>
          </w:p>
        </w:tc>
      </w:tr>
      <w:tr w:rsidR="007971FD" w:rsidRPr="00972ADC" w14:paraId="45A47355" w14:textId="77777777" w:rsidTr="007971FD">
        <w:tc>
          <w:tcPr>
            <w:tcW w:w="1350" w:type="dxa"/>
          </w:tcPr>
          <w:p w14:paraId="6F9BCC42" w14:textId="77777777" w:rsidR="007971FD" w:rsidRPr="007971FD" w:rsidRDefault="007971FD" w:rsidP="007971FD">
            <w:pPr>
              <w:spacing w:after="0" w:line="276" w:lineRule="auto"/>
              <w:rPr>
                <w:rFonts w:cs="Arial"/>
                <w:b/>
                <w:szCs w:val="22"/>
              </w:rPr>
            </w:pPr>
            <w:r w:rsidRPr="007971FD">
              <w:rPr>
                <w:rFonts w:cs="Arial"/>
                <w:b/>
                <w:szCs w:val="22"/>
              </w:rPr>
              <w:t>TAS</w:t>
            </w:r>
          </w:p>
        </w:tc>
        <w:tc>
          <w:tcPr>
            <w:tcW w:w="1050" w:type="dxa"/>
          </w:tcPr>
          <w:p w14:paraId="46F7FA56" w14:textId="7A5EA818" w:rsidR="007971FD" w:rsidRPr="007971FD" w:rsidRDefault="007971FD" w:rsidP="007971FD">
            <w:pPr>
              <w:rPr>
                <w:b/>
                <w:color w:val="538135" w:themeColor="accent6" w:themeShade="BF"/>
                <w:sz w:val="20"/>
                <w:szCs w:val="20"/>
              </w:rPr>
            </w:pPr>
            <w:r w:rsidRPr="007971FD">
              <w:rPr>
                <w:b/>
                <w:color w:val="538135" w:themeColor="accent6" w:themeShade="BF"/>
                <w:sz w:val="20"/>
                <w:szCs w:val="20"/>
              </w:rPr>
              <w:t>Yes</w:t>
            </w:r>
          </w:p>
        </w:tc>
        <w:tc>
          <w:tcPr>
            <w:tcW w:w="1361" w:type="dxa"/>
          </w:tcPr>
          <w:p w14:paraId="324B808C" w14:textId="13DD0865" w:rsidR="007971FD" w:rsidRPr="007971FD" w:rsidRDefault="007971FD" w:rsidP="007971FD">
            <w:pPr>
              <w:rPr>
                <w:b/>
                <w:color w:val="538135" w:themeColor="accent6" w:themeShade="BF"/>
                <w:sz w:val="20"/>
                <w:szCs w:val="20"/>
              </w:rPr>
            </w:pPr>
            <w:r w:rsidRPr="007971FD">
              <w:rPr>
                <w:b/>
                <w:color w:val="538135" w:themeColor="accent6" w:themeShade="BF"/>
                <w:sz w:val="20"/>
                <w:szCs w:val="20"/>
              </w:rPr>
              <w:t>Yes</w:t>
            </w:r>
          </w:p>
        </w:tc>
        <w:tc>
          <w:tcPr>
            <w:tcW w:w="1428" w:type="dxa"/>
          </w:tcPr>
          <w:p w14:paraId="158F4365" w14:textId="1B4B59DC" w:rsidR="007971FD" w:rsidRPr="007971FD" w:rsidRDefault="007971FD" w:rsidP="007971FD">
            <w:pPr>
              <w:rPr>
                <w:b/>
                <w:color w:val="538135" w:themeColor="accent6" w:themeShade="BF"/>
                <w:sz w:val="20"/>
                <w:szCs w:val="20"/>
              </w:rPr>
            </w:pPr>
            <w:r w:rsidRPr="007971FD">
              <w:rPr>
                <w:b/>
                <w:color w:val="538135" w:themeColor="accent6" w:themeShade="BF"/>
                <w:sz w:val="20"/>
                <w:szCs w:val="20"/>
              </w:rPr>
              <w:t>Yes</w:t>
            </w:r>
          </w:p>
        </w:tc>
        <w:tc>
          <w:tcPr>
            <w:tcW w:w="1217" w:type="dxa"/>
          </w:tcPr>
          <w:p w14:paraId="34192693" w14:textId="19094406" w:rsidR="007971FD" w:rsidRPr="007971FD" w:rsidRDefault="007971FD" w:rsidP="007971FD">
            <w:pPr>
              <w:rPr>
                <w:b/>
                <w:color w:val="538135" w:themeColor="accent6" w:themeShade="BF"/>
                <w:sz w:val="20"/>
                <w:szCs w:val="20"/>
              </w:rPr>
            </w:pPr>
            <w:r w:rsidRPr="007971FD">
              <w:rPr>
                <w:b/>
                <w:color w:val="538135" w:themeColor="accent6" w:themeShade="BF"/>
                <w:sz w:val="20"/>
                <w:szCs w:val="20"/>
              </w:rPr>
              <w:t>Yes</w:t>
            </w:r>
          </w:p>
        </w:tc>
        <w:tc>
          <w:tcPr>
            <w:tcW w:w="1407" w:type="dxa"/>
          </w:tcPr>
          <w:p w14:paraId="43E9A7AC" w14:textId="641F56FB" w:rsidR="007971FD" w:rsidRPr="00F71448" w:rsidRDefault="007971FD" w:rsidP="007971FD">
            <w:pPr>
              <w:rPr>
                <w:b/>
                <w:sz w:val="20"/>
                <w:szCs w:val="20"/>
              </w:rPr>
            </w:pPr>
            <w:r w:rsidRPr="00F71448">
              <w:rPr>
                <w:b/>
                <w:color w:val="C00000"/>
                <w:sz w:val="20"/>
                <w:szCs w:val="20"/>
              </w:rPr>
              <w:t>No</w:t>
            </w:r>
          </w:p>
        </w:tc>
        <w:tc>
          <w:tcPr>
            <w:tcW w:w="1361" w:type="dxa"/>
          </w:tcPr>
          <w:p w14:paraId="75D25C41" w14:textId="28D20CE0" w:rsidR="007971FD" w:rsidRPr="00F71448" w:rsidRDefault="007971FD" w:rsidP="007971FD">
            <w:pPr>
              <w:rPr>
                <w:sz w:val="20"/>
                <w:szCs w:val="20"/>
              </w:rPr>
            </w:pPr>
            <w:r w:rsidRPr="00F745C0">
              <w:rPr>
                <w:b/>
                <w:color w:val="538135" w:themeColor="accent6" w:themeShade="BF"/>
                <w:sz w:val="20"/>
                <w:szCs w:val="20"/>
              </w:rPr>
              <w:t>Yes</w:t>
            </w:r>
          </w:p>
        </w:tc>
        <w:tc>
          <w:tcPr>
            <w:tcW w:w="1205" w:type="dxa"/>
          </w:tcPr>
          <w:p w14:paraId="222A2399" w14:textId="22A27BEA" w:rsidR="007971FD" w:rsidRPr="00F71448" w:rsidRDefault="007971FD" w:rsidP="007971FD">
            <w:pPr>
              <w:rPr>
                <w:sz w:val="20"/>
                <w:szCs w:val="20"/>
              </w:rPr>
            </w:pPr>
            <w:r w:rsidRPr="004D3D3D">
              <w:rPr>
                <w:b/>
                <w:color w:val="538135" w:themeColor="accent6" w:themeShade="BF"/>
                <w:sz w:val="20"/>
                <w:szCs w:val="20"/>
              </w:rPr>
              <w:t>Yes</w:t>
            </w:r>
          </w:p>
        </w:tc>
      </w:tr>
      <w:tr w:rsidR="007971FD" w:rsidRPr="00972ADC" w14:paraId="71AA9987" w14:textId="77777777" w:rsidTr="007971FD">
        <w:tc>
          <w:tcPr>
            <w:tcW w:w="1350" w:type="dxa"/>
          </w:tcPr>
          <w:p w14:paraId="50E95A0C" w14:textId="77777777" w:rsidR="007971FD" w:rsidRPr="007971FD" w:rsidRDefault="007971FD" w:rsidP="007971FD">
            <w:pPr>
              <w:spacing w:after="0" w:line="276" w:lineRule="auto"/>
              <w:rPr>
                <w:rFonts w:cs="Arial"/>
                <w:b/>
                <w:szCs w:val="22"/>
              </w:rPr>
            </w:pPr>
            <w:r w:rsidRPr="007971FD">
              <w:rPr>
                <w:rFonts w:cs="Arial"/>
                <w:b/>
                <w:szCs w:val="22"/>
              </w:rPr>
              <w:t>WA</w:t>
            </w:r>
          </w:p>
        </w:tc>
        <w:tc>
          <w:tcPr>
            <w:tcW w:w="1050" w:type="dxa"/>
          </w:tcPr>
          <w:p w14:paraId="233053DB" w14:textId="1A7B09E2" w:rsidR="007971FD" w:rsidRPr="007971FD" w:rsidRDefault="007971FD" w:rsidP="007971FD">
            <w:pPr>
              <w:rPr>
                <w:b/>
                <w:color w:val="538135" w:themeColor="accent6" w:themeShade="BF"/>
                <w:sz w:val="20"/>
                <w:szCs w:val="20"/>
              </w:rPr>
            </w:pPr>
            <w:r w:rsidRPr="007971FD">
              <w:rPr>
                <w:b/>
                <w:color w:val="538135" w:themeColor="accent6" w:themeShade="BF"/>
                <w:sz w:val="20"/>
                <w:szCs w:val="20"/>
              </w:rPr>
              <w:t>Yes</w:t>
            </w:r>
          </w:p>
        </w:tc>
        <w:tc>
          <w:tcPr>
            <w:tcW w:w="1361" w:type="dxa"/>
          </w:tcPr>
          <w:p w14:paraId="100DB5B4" w14:textId="2B14F937" w:rsidR="007971FD" w:rsidRPr="007971FD" w:rsidRDefault="007971FD" w:rsidP="007971FD">
            <w:pPr>
              <w:rPr>
                <w:b/>
                <w:color w:val="538135" w:themeColor="accent6" w:themeShade="BF"/>
                <w:sz w:val="20"/>
                <w:szCs w:val="20"/>
              </w:rPr>
            </w:pPr>
            <w:r w:rsidRPr="007971FD">
              <w:rPr>
                <w:b/>
                <w:color w:val="538135" w:themeColor="accent6" w:themeShade="BF"/>
                <w:sz w:val="20"/>
                <w:szCs w:val="20"/>
              </w:rPr>
              <w:t>Yes</w:t>
            </w:r>
          </w:p>
        </w:tc>
        <w:tc>
          <w:tcPr>
            <w:tcW w:w="1428" w:type="dxa"/>
          </w:tcPr>
          <w:p w14:paraId="79007641" w14:textId="4293C307" w:rsidR="007971FD" w:rsidRPr="007971FD" w:rsidRDefault="007971FD" w:rsidP="007971FD">
            <w:pPr>
              <w:rPr>
                <w:b/>
                <w:color w:val="538135" w:themeColor="accent6" w:themeShade="BF"/>
                <w:sz w:val="20"/>
                <w:szCs w:val="20"/>
              </w:rPr>
            </w:pPr>
            <w:r w:rsidRPr="007971FD">
              <w:rPr>
                <w:b/>
                <w:color w:val="538135" w:themeColor="accent6" w:themeShade="BF"/>
                <w:sz w:val="20"/>
                <w:szCs w:val="20"/>
              </w:rPr>
              <w:t>Yes</w:t>
            </w:r>
          </w:p>
        </w:tc>
        <w:tc>
          <w:tcPr>
            <w:tcW w:w="1217" w:type="dxa"/>
          </w:tcPr>
          <w:p w14:paraId="21C5A0D7" w14:textId="26D8A802" w:rsidR="007971FD" w:rsidRPr="007971FD" w:rsidRDefault="007971FD" w:rsidP="007971FD">
            <w:pPr>
              <w:rPr>
                <w:b/>
                <w:color w:val="538135" w:themeColor="accent6" w:themeShade="BF"/>
                <w:sz w:val="20"/>
                <w:szCs w:val="20"/>
              </w:rPr>
            </w:pPr>
            <w:r w:rsidRPr="007971FD">
              <w:rPr>
                <w:b/>
                <w:color w:val="538135" w:themeColor="accent6" w:themeShade="BF"/>
                <w:sz w:val="20"/>
                <w:szCs w:val="20"/>
              </w:rPr>
              <w:t>Yes</w:t>
            </w:r>
          </w:p>
        </w:tc>
        <w:tc>
          <w:tcPr>
            <w:tcW w:w="1407" w:type="dxa"/>
          </w:tcPr>
          <w:p w14:paraId="35B80A15" w14:textId="6C32372C" w:rsidR="007971FD" w:rsidRPr="00F71448" w:rsidRDefault="007971FD" w:rsidP="007971FD">
            <w:pPr>
              <w:rPr>
                <w:b/>
                <w:sz w:val="20"/>
                <w:szCs w:val="20"/>
              </w:rPr>
            </w:pPr>
            <w:r w:rsidRPr="00F71448">
              <w:rPr>
                <w:b/>
                <w:color w:val="C00000"/>
                <w:sz w:val="20"/>
                <w:szCs w:val="20"/>
              </w:rPr>
              <w:t>No</w:t>
            </w:r>
          </w:p>
        </w:tc>
        <w:tc>
          <w:tcPr>
            <w:tcW w:w="1361" w:type="dxa"/>
          </w:tcPr>
          <w:p w14:paraId="7067A762" w14:textId="6F45A10F" w:rsidR="007971FD" w:rsidRPr="00F71448" w:rsidRDefault="007971FD" w:rsidP="007971FD">
            <w:pPr>
              <w:rPr>
                <w:sz w:val="20"/>
                <w:szCs w:val="20"/>
              </w:rPr>
            </w:pPr>
            <w:r w:rsidRPr="00F745C0">
              <w:rPr>
                <w:b/>
                <w:color w:val="538135" w:themeColor="accent6" w:themeShade="BF"/>
                <w:sz w:val="20"/>
                <w:szCs w:val="20"/>
              </w:rPr>
              <w:t>Yes</w:t>
            </w:r>
          </w:p>
        </w:tc>
        <w:tc>
          <w:tcPr>
            <w:tcW w:w="1205" w:type="dxa"/>
          </w:tcPr>
          <w:p w14:paraId="538D600C" w14:textId="029C180D" w:rsidR="007971FD" w:rsidRPr="00F71448" w:rsidRDefault="007971FD" w:rsidP="007971FD">
            <w:pPr>
              <w:rPr>
                <w:sz w:val="20"/>
                <w:szCs w:val="20"/>
              </w:rPr>
            </w:pPr>
            <w:r w:rsidRPr="004D3D3D">
              <w:rPr>
                <w:b/>
                <w:color w:val="538135" w:themeColor="accent6" w:themeShade="BF"/>
                <w:sz w:val="20"/>
                <w:szCs w:val="20"/>
              </w:rPr>
              <w:t>Yes</w:t>
            </w:r>
          </w:p>
        </w:tc>
      </w:tr>
    </w:tbl>
    <w:p w14:paraId="38D0C2D5" w14:textId="3CF7EFA3" w:rsidR="00D11015" w:rsidRDefault="00972ADC" w:rsidP="00086408">
      <w:pPr>
        <w:spacing w:line="276" w:lineRule="auto"/>
        <w:rPr>
          <w:lang w:eastAsia="en-AU"/>
        </w:rPr>
      </w:pPr>
      <w:r w:rsidRPr="00972ADC">
        <w:rPr>
          <w:lang w:eastAsia="en-AU"/>
        </w:rPr>
        <w:t>Similarly, each state and territory has its own Legal Aid Commission, which is responsible for the provision of child protection legal services that may include – legal information, education, advice and legal representation as a ‘duty’ or in some i</w:t>
      </w:r>
      <w:r w:rsidR="00F71279">
        <w:rPr>
          <w:lang w:eastAsia="en-AU"/>
        </w:rPr>
        <w:t>nstances, on an ongoing basis.</w:t>
      </w:r>
    </w:p>
    <w:p w14:paraId="3BCF49B5" w14:textId="77777777" w:rsidR="00B93B15" w:rsidRDefault="00B93B15" w:rsidP="00086408">
      <w:pPr>
        <w:spacing w:before="0" w:after="0" w:line="276" w:lineRule="auto"/>
        <w:rPr>
          <w:lang w:eastAsia="en-AU"/>
        </w:rPr>
      </w:pPr>
      <w:r>
        <w:rPr>
          <w:lang w:eastAsia="en-AU"/>
        </w:rPr>
        <w:br w:type="page"/>
      </w:r>
    </w:p>
    <w:p w14:paraId="1A4B86EA" w14:textId="4E141BF1" w:rsidR="00972ADC" w:rsidRDefault="00972ADC" w:rsidP="00DB6157">
      <w:pPr>
        <w:pStyle w:val="Figuretableheading"/>
        <w:rPr>
          <w:lang w:eastAsia="en-AU"/>
        </w:rPr>
      </w:pPr>
      <w:r w:rsidRPr="00972ADC">
        <w:rPr>
          <w:lang w:eastAsia="en-AU"/>
        </w:rPr>
        <w:lastRenderedPageBreak/>
        <w:t>Table 6: Comparative analysis of child protection legal services provided by state and territory Legal Aid Commissions</w:t>
      </w:r>
      <w:r w:rsidR="00DB6157">
        <w:rPr>
          <w:lang w:eastAsia="en-AU"/>
        </w:rPr>
        <w:t xml:space="preserve"> (availability)</w:t>
      </w:r>
    </w:p>
    <w:tbl>
      <w:tblPr>
        <w:tblStyle w:val="TableGrid1"/>
        <w:tblW w:w="10206" w:type="dxa"/>
        <w:tblInd w:w="-5" w:type="dxa"/>
        <w:tblLayout w:type="fixed"/>
        <w:tblLook w:val="04A0" w:firstRow="1" w:lastRow="0" w:firstColumn="1" w:lastColumn="0" w:noHBand="0" w:noVBand="1"/>
      </w:tblPr>
      <w:tblGrid>
        <w:gridCol w:w="1418"/>
        <w:gridCol w:w="1276"/>
        <w:gridCol w:w="992"/>
        <w:gridCol w:w="1276"/>
        <w:gridCol w:w="1275"/>
        <w:gridCol w:w="993"/>
        <w:gridCol w:w="1275"/>
        <w:gridCol w:w="1701"/>
      </w:tblGrid>
      <w:tr w:rsidR="00972ADC" w:rsidRPr="00972ADC" w14:paraId="67615092" w14:textId="77777777" w:rsidTr="00DB6157">
        <w:trPr>
          <w:tblHeader/>
        </w:trPr>
        <w:tc>
          <w:tcPr>
            <w:tcW w:w="1418" w:type="dxa"/>
            <w:shd w:val="pct12" w:color="auto" w:fill="auto"/>
          </w:tcPr>
          <w:p w14:paraId="5E837089" w14:textId="53A469F2" w:rsidR="00972ADC" w:rsidRPr="00DB6157" w:rsidRDefault="00DB6157" w:rsidP="00DB6157">
            <w:pPr>
              <w:spacing w:after="0" w:line="276" w:lineRule="auto"/>
              <w:jc w:val="left"/>
              <w:rPr>
                <w:rFonts w:cs="Arial"/>
                <w:b/>
                <w:sz w:val="20"/>
                <w:szCs w:val="20"/>
              </w:rPr>
            </w:pPr>
            <w:r>
              <w:rPr>
                <w:rFonts w:cs="Arial"/>
                <w:b/>
                <w:sz w:val="20"/>
                <w:szCs w:val="20"/>
              </w:rPr>
              <w:t>Jurisdiction</w:t>
            </w:r>
          </w:p>
        </w:tc>
        <w:tc>
          <w:tcPr>
            <w:tcW w:w="1276" w:type="dxa"/>
            <w:shd w:val="pct12" w:color="auto" w:fill="auto"/>
          </w:tcPr>
          <w:p w14:paraId="73811414" w14:textId="77777777" w:rsidR="00972ADC" w:rsidRPr="00DB6157" w:rsidRDefault="00972ADC" w:rsidP="00DB6157">
            <w:pPr>
              <w:spacing w:after="0" w:line="276" w:lineRule="auto"/>
              <w:jc w:val="left"/>
              <w:rPr>
                <w:rFonts w:cs="Arial"/>
                <w:b/>
                <w:sz w:val="20"/>
                <w:szCs w:val="20"/>
              </w:rPr>
            </w:pPr>
            <w:r w:rsidRPr="00DB6157">
              <w:rPr>
                <w:rFonts w:cs="Arial"/>
                <w:b/>
                <w:sz w:val="20"/>
                <w:szCs w:val="20"/>
              </w:rPr>
              <w:t>Pre-court assistance</w:t>
            </w:r>
          </w:p>
        </w:tc>
        <w:tc>
          <w:tcPr>
            <w:tcW w:w="992" w:type="dxa"/>
            <w:shd w:val="pct12" w:color="auto" w:fill="auto"/>
          </w:tcPr>
          <w:p w14:paraId="39EC3B14" w14:textId="77777777" w:rsidR="00972ADC" w:rsidRPr="00DB6157" w:rsidRDefault="00972ADC" w:rsidP="00DB6157">
            <w:pPr>
              <w:spacing w:after="0" w:line="276" w:lineRule="auto"/>
              <w:jc w:val="left"/>
              <w:rPr>
                <w:rFonts w:cs="Arial"/>
                <w:b/>
                <w:sz w:val="20"/>
                <w:szCs w:val="20"/>
              </w:rPr>
            </w:pPr>
            <w:r w:rsidRPr="00DB6157">
              <w:rPr>
                <w:rFonts w:cs="Arial"/>
                <w:b/>
                <w:sz w:val="20"/>
                <w:szCs w:val="20"/>
              </w:rPr>
              <w:t>Duty Lawyer Service</w:t>
            </w:r>
          </w:p>
        </w:tc>
        <w:tc>
          <w:tcPr>
            <w:tcW w:w="1276" w:type="dxa"/>
            <w:shd w:val="pct12" w:color="auto" w:fill="auto"/>
          </w:tcPr>
          <w:p w14:paraId="36A332D3" w14:textId="77777777" w:rsidR="00972ADC" w:rsidRPr="00DB6157" w:rsidRDefault="00972ADC" w:rsidP="00DB6157">
            <w:pPr>
              <w:spacing w:after="0" w:line="276" w:lineRule="auto"/>
              <w:jc w:val="left"/>
              <w:rPr>
                <w:rFonts w:cs="Arial"/>
                <w:b/>
                <w:sz w:val="20"/>
                <w:szCs w:val="20"/>
              </w:rPr>
            </w:pPr>
            <w:r w:rsidRPr="00DB6157">
              <w:rPr>
                <w:rFonts w:cs="Arial"/>
                <w:b/>
                <w:sz w:val="20"/>
                <w:szCs w:val="20"/>
              </w:rPr>
              <w:t>Court based assistance</w:t>
            </w:r>
          </w:p>
        </w:tc>
        <w:tc>
          <w:tcPr>
            <w:tcW w:w="1275" w:type="dxa"/>
            <w:shd w:val="pct12" w:color="auto" w:fill="auto"/>
          </w:tcPr>
          <w:p w14:paraId="2DE1AA36" w14:textId="77777777" w:rsidR="00972ADC" w:rsidRPr="00DB6157" w:rsidRDefault="00972ADC" w:rsidP="00DB6157">
            <w:pPr>
              <w:spacing w:after="0" w:line="276" w:lineRule="auto"/>
              <w:jc w:val="left"/>
              <w:rPr>
                <w:rFonts w:cs="Arial"/>
                <w:b/>
                <w:sz w:val="20"/>
                <w:szCs w:val="20"/>
              </w:rPr>
            </w:pPr>
            <w:r w:rsidRPr="00DB6157">
              <w:rPr>
                <w:rFonts w:cs="Arial"/>
                <w:b/>
                <w:sz w:val="20"/>
                <w:szCs w:val="20"/>
              </w:rPr>
              <w:t>Post-court assistance</w:t>
            </w:r>
          </w:p>
        </w:tc>
        <w:tc>
          <w:tcPr>
            <w:tcW w:w="993" w:type="dxa"/>
            <w:shd w:val="pct12" w:color="auto" w:fill="auto"/>
          </w:tcPr>
          <w:p w14:paraId="454BA020" w14:textId="77777777" w:rsidR="00972ADC" w:rsidRPr="00DB6157" w:rsidRDefault="00972ADC" w:rsidP="00DB6157">
            <w:pPr>
              <w:spacing w:after="0" w:line="276" w:lineRule="auto"/>
              <w:jc w:val="left"/>
              <w:rPr>
                <w:rFonts w:cs="Arial"/>
                <w:b/>
                <w:sz w:val="20"/>
                <w:szCs w:val="20"/>
              </w:rPr>
            </w:pPr>
            <w:r w:rsidRPr="00DB6157">
              <w:rPr>
                <w:rFonts w:cs="Arial"/>
                <w:b/>
                <w:sz w:val="20"/>
                <w:szCs w:val="20"/>
              </w:rPr>
              <w:t>Third Parties</w:t>
            </w:r>
          </w:p>
        </w:tc>
        <w:tc>
          <w:tcPr>
            <w:tcW w:w="1275" w:type="dxa"/>
            <w:shd w:val="pct12" w:color="auto" w:fill="auto"/>
          </w:tcPr>
          <w:p w14:paraId="014AC28C" w14:textId="77777777" w:rsidR="00972ADC" w:rsidRPr="00DB6157" w:rsidRDefault="00972ADC" w:rsidP="00DB6157">
            <w:pPr>
              <w:spacing w:after="0" w:line="276" w:lineRule="auto"/>
              <w:jc w:val="left"/>
              <w:rPr>
                <w:rFonts w:cs="Arial"/>
                <w:b/>
                <w:sz w:val="20"/>
                <w:szCs w:val="20"/>
              </w:rPr>
            </w:pPr>
            <w:r w:rsidRPr="00DB6157">
              <w:rPr>
                <w:rFonts w:cs="Arial"/>
                <w:b/>
                <w:sz w:val="20"/>
                <w:szCs w:val="20"/>
              </w:rPr>
              <w:t>Initiate application</w:t>
            </w:r>
          </w:p>
        </w:tc>
        <w:tc>
          <w:tcPr>
            <w:tcW w:w="1701" w:type="dxa"/>
            <w:shd w:val="pct12" w:color="auto" w:fill="auto"/>
          </w:tcPr>
          <w:p w14:paraId="2C161CF3" w14:textId="77777777" w:rsidR="00972ADC" w:rsidRPr="00DB6157" w:rsidRDefault="00972ADC" w:rsidP="00DB6157">
            <w:pPr>
              <w:spacing w:after="0" w:line="276" w:lineRule="auto"/>
              <w:jc w:val="left"/>
              <w:rPr>
                <w:rFonts w:cs="Arial"/>
                <w:b/>
                <w:sz w:val="20"/>
                <w:szCs w:val="20"/>
              </w:rPr>
            </w:pPr>
            <w:r w:rsidRPr="00DB6157">
              <w:rPr>
                <w:rFonts w:cs="Arial"/>
                <w:b/>
                <w:sz w:val="20"/>
                <w:szCs w:val="20"/>
              </w:rPr>
              <w:t>Administrative review</w:t>
            </w:r>
          </w:p>
        </w:tc>
      </w:tr>
      <w:tr w:rsidR="00DB6157" w:rsidRPr="00972ADC" w14:paraId="2F13EE58" w14:textId="77777777" w:rsidTr="00DB6157">
        <w:tc>
          <w:tcPr>
            <w:tcW w:w="1418" w:type="dxa"/>
          </w:tcPr>
          <w:p w14:paraId="1B5CE285" w14:textId="77777777" w:rsidR="00DB6157" w:rsidRPr="008674AD" w:rsidRDefault="00DB6157" w:rsidP="00DB6157">
            <w:pPr>
              <w:spacing w:after="160" w:line="276" w:lineRule="auto"/>
              <w:rPr>
                <w:rFonts w:eastAsiaTheme="minorEastAsia" w:cs="Arial"/>
                <w:sz w:val="18"/>
                <w:szCs w:val="18"/>
                <w:lang w:eastAsia="en-AU"/>
              </w:rPr>
            </w:pPr>
            <w:r w:rsidRPr="008674AD">
              <w:rPr>
                <w:rFonts w:eastAsiaTheme="minorEastAsia" w:cs="Arial"/>
                <w:sz w:val="18"/>
                <w:szCs w:val="18"/>
                <w:lang w:eastAsia="en-AU"/>
              </w:rPr>
              <w:t>Victoria</w:t>
            </w:r>
          </w:p>
        </w:tc>
        <w:tc>
          <w:tcPr>
            <w:tcW w:w="1276" w:type="dxa"/>
          </w:tcPr>
          <w:p w14:paraId="556AD2A5" w14:textId="7828E245" w:rsidR="00DB6157" w:rsidRPr="008674AD" w:rsidRDefault="00DB6157" w:rsidP="00DB6157">
            <w:pPr>
              <w:spacing w:after="160" w:line="276" w:lineRule="auto"/>
              <w:rPr>
                <w:rFonts w:asciiTheme="minorHAnsi" w:eastAsiaTheme="minorEastAsia" w:hAnsiTheme="minorHAnsi" w:cs="Arial"/>
                <w:color w:val="FF0000"/>
                <w:szCs w:val="22"/>
                <w:lang w:eastAsia="en-AU"/>
              </w:rPr>
            </w:pPr>
            <w:r w:rsidRPr="00F71448">
              <w:rPr>
                <w:b/>
                <w:color w:val="C00000"/>
                <w:sz w:val="20"/>
                <w:szCs w:val="20"/>
              </w:rPr>
              <w:t>No</w:t>
            </w:r>
          </w:p>
        </w:tc>
        <w:tc>
          <w:tcPr>
            <w:tcW w:w="992" w:type="dxa"/>
          </w:tcPr>
          <w:p w14:paraId="7E1FE4F8" w14:textId="002BC9C1" w:rsidR="00DB6157" w:rsidRPr="00DB6157" w:rsidRDefault="00DB6157" w:rsidP="00DB6157">
            <w:pPr>
              <w:spacing w:after="160" w:line="276" w:lineRule="auto"/>
              <w:rPr>
                <w:rFonts w:asciiTheme="minorHAnsi" w:eastAsiaTheme="minorEastAsia" w:hAnsiTheme="minorHAnsi" w:cs="Arial"/>
                <w:color w:val="538135" w:themeColor="accent6" w:themeShade="BF"/>
                <w:szCs w:val="22"/>
                <w:lang w:eastAsia="en-AU"/>
              </w:rPr>
            </w:pPr>
            <w:r w:rsidRPr="007971FD">
              <w:rPr>
                <w:b/>
                <w:color w:val="538135" w:themeColor="accent6" w:themeShade="BF"/>
                <w:sz w:val="20"/>
                <w:szCs w:val="20"/>
              </w:rPr>
              <w:t>Yes</w:t>
            </w:r>
          </w:p>
        </w:tc>
        <w:tc>
          <w:tcPr>
            <w:tcW w:w="1276" w:type="dxa"/>
          </w:tcPr>
          <w:p w14:paraId="28A006EA" w14:textId="1CBA051C" w:rsidR="00DB6157" w:rsidRPr="00DB6157" w:rsidRDefault="00DB6157" w:rsidP="00DB6157">
            <w:pPr>
              <w:spacing w:after="0" w:line="276" w:lineRule="auto"/>
              <w:rPr>
                <w:rFonts w:cs="Arial"/>
                <w:color w:val="00B050"/>
                <w:szCs w:val="22"/>
              </w:rPr>
            </w:pPr>
            <w:r w:rsidRPr="007971FD">
              <w:rPr>
                <w:b/>
                <w:color w:val="538135" w:themeColor="accent6" w:themeShade="BF"/>
                <w:sz w:val="20"/>
                <w:szCs w:val="20"/>
              </w:rPr>
              <w:t>Yes</w:t>
            </w:r>
          </w:p>
        </w:tc>
        <w:tc>
          <w:tcPr>
            <w:tcW w:w="1275" w:type="dxa"/>
          </w:tcPr>
          <w:p w14:paraId="1E360C90" w14:textId="1179C712" w:rsidR="00DB6157" w:rsidRPr="00972ADC" w:rsidRDefault="00DB6157" w:rsidP="00DB6157">
            <w:pPr>
              <w:spacing w:after="160" w:line="276" w:lineRule="auto"/>
              <w:rPr>
                <w:rFonts w:asciiTheme="minorHAnsi" w:eastAsiaTheme="minorEastAsia" w:hAnsiTheme="minorHAnsi" w:cs="Arial"/>
                <w:szCs w:val="22"/>
                <w:lang w:eastAsia="en-AU"/>
              </w:rPr>
            </w:pPr>
            <w:r w:rsidRPr="00012014">
              <w:rPr>
                <w:b/>
                <w:color w:val="C00000"/>
                <w:sz w:val="20"/>
                <w:szCs w:val="20"/>
              </w:rPr>
              <w:t>No</w:t>
            </w:r>
          </w:p>
        </w:tc>
        <w:tc>
          <w:tcPr>
            <w:tcW w:w="993" w:type="dxa"/>
          </w:tcPr>
          <w:p w14:paraId="1A8CA3B7" w14:textId="566D8AB3" w:rsidR="00DB6157" w:rsidRPr="00DB6157" w:rsidRDefault="00DB6157" w:rsidP="00DB6157">
            <w:pPr>
              <w:spacing w:after="160" w:line="276" w:lineRule="auto"/>
              <w:rPr>
                <w:rFonts w:asciiTheme="minorHAnsi" w:eastAsiaTheme="minorEastAsia" w:hAnsiTheme="minorHAnsi" w:cs="Arial"/>
                <w:color w:val="70AD47" w:themeColor="accent6"/>
                <w:szCs w:val="22"/>
                <w:lang w:eastAsia="en-AU"/>
              </w:rPr>
            </w:pPr>
            <w:r w:rsidRPr="007971FD">
              <w:rPr>
                <w:b/>
                <w:color w:val="538135" w:themeColor="accent6" w:themeShade="BF"/>
                <w:sz w:val="20"/>
                <w:szCs w:val="20"/>
              </w:rPr>
              <w:t>Yes</w:t>
            </w:r>
          </w:p>
        </w:tc>
        <w:tc>
          <w:tcPr>
            <w:tcW w:w="1275" w:type="dxa"/>
          </w:tcPr>
          <w:p w14:paraId="20716E30" w14:textId="5F34F5FD" w:rsidR="00DB6157" w:rsidRPr="00DB6157" w:rsidRDefault="00DB6157" w:rsidP="00DB6157">
            <w:pPr>
              <w:spacing w:after="160" w:line="276" w:lineRule="auto"/>
              <w:rPr>
                <w:rFonts w:asciiTheme="minorHAnsi" w:eastAsiaTheme="minorEastAsia" w:hAnsiTheme="minorHAnsi" w:cs="Arial"/>
                <w:szCs w:val="22"/>
                <w:lang w:eastAsia="en-AU"/>
              </w:rPr>
            </w:pPr>
            <w:r w:rsidRPr="007971FD">
              <w:rPr>
                <w:b/>
                <w:color w:val="538135" w:themeColor="accent6" w:themeShade="BF"/>
                <w:sz w:val="20"/>
                <w:szCs w:val="20"/>
              </w:rPr>
              <w:t>Yes</w:t>
            </w:r>
          </w:p>
        </w:tc>
        <w:tc>
          <w:tcPr>
            <w:tcW w:w="1701" w:type="dxa"/>
          </w:tcPr>
          <w:p w14:paraId="3A9CDE96" w14:textId="64207674" w:rsidR="00DB6157" w:rsidRPr="00DB6157" w:rsidRDefault="00DB6157" w:rsidP="00DB6157">
            <w:pPr>
              <w:spacing w:after="160" w:line="276" w:lineRule="auto"/>
              <w:rPr>
                <w:rFonts w:asciiTheme="minorHAnsi" w:eastAsiaTheme="minorEastAsia" w:hAnsiTheme="minorHAnsi" w:cs="Arial"/>
                <w:szCs w:val="22"/>
                <w:lang w:eastAsia="en-AU"/>
              </w:rPr>
            </w:pPr>
            <w:r w:rsidRPr="007971FD">
              <w:rPr>
                <w:b/>
                <w:color w:val="538135" w:themeColor="accent6" w:themeShade="BF"/>
                <w:sz w:val="20"/>
                <w:szCs w:val="20"/>
              </w:rPr>
              <w:t>Yes</w:t>
            </w:r>
          </w:p>
        </w:tc>
      </w:tr>
      <w:tr w:rsidR="00DB6157" w:rsidRPr="00972ADC" w14:paraId="0C893C1E" w14:textId="77777777" w:rsidTr="00DB6157">
        <w:tc>
          <w:tcPr>
            <w:tcW w:w="1418" w:type="dxa"/>
          </w:tcPr>
          <w:p w14:paraId="2AAB753F" w14:textId="77777777" w:rsidR="00DB6157" w:rsidRPr="008674AD" w:rsidRDefault="00DB6157" w:rsidP="00DB6157">
            <w:pPr>
              <w:spacing w:after="160" w:line="276" w:lineRule="auto"/>
              <w:rPr>
                <w:rFonts w:eastAsiaTheme="minorEastAsia" w:cs="Arial"/>
                <w:sz w:val="18"/>
                <w:szCs w:val="18"/>
                <w:lang w:eastAsia="en-AU"/>
              </w:rPr>
            </w:pPr>
            <w:r w:rsidRPr="008674AD">
              <w:rPr>
                <w:rFonts w:eastAsiaTheme="minorEastAsia" w:cs="Arial"/>
                <w:sz w:val="18"/>
                <w:szCs w:val="18"/>
                <w:lang w:eastAsia="en-AU"/>
              </w:rPr>
              <w:t>ACT</w:t>
            </w:r>
          </w:p>
        </w:tc>
        <w:tc>
          <w:tcPr>
            <w:tcW w:w="1276" w:type="dxa"/>
          </w:tcPr>
          <w:p w14:paraId="0EBDAC1C" w14:textId="1F324827" w:rsidR="00DB6157" w:rsidRPr="008674AD" w:rsidRDefault="00DB6157" w:rsidP="00DB6157">
            <w:pPr>
              <w:spacing w:after="160" w:line="276" w:lineRule="auto"/>
              <w:rPr>
                <w:rFonts w:asciiTheme="minorHAnsi" w:eastAsiaTheme="minorEastAsia" w:hAnsiTheme="minorHAnsi" w:cs="Arial"/>
                <w:color w:val="FF0000"/>
                <w:szCs w:val="22"/>
                <w:lang w:eastAsia="en-AU"/>
              </w:rPr>
            </w:pPr>
            <w:r w:rsidRPr="00F71448">
              <w:rPr>
                <w:b/>
                <w:color w:val="C00000"/>
                <w:sz w:val="20"/>
                <w:szCs w:val="20"/>
              </w:rPr>
              <w:t>No</w:t>
            </w:r>
          </w:p>
        </w:tc>
        <w:tc>
          <w:tcPr>
            <w:tcW w:w="992" w:type="dxa"/>
          </w:tcPr>
          <w:p w14:paraId="1D8066D2" w14:textId="237B4AFC" w:rsidR="00DB6157" w:rsidRPr="00BB17AC" w:rsidRDefault="00DB6157" w:rsidP="00DB6157">
            <w:pPr>
              <w:spacing w:after="160" w:line="276" w:lineRule="auto"/>
              <w:rPr>
                <w:rFonts w:asciiTheme="minorHAnsi" w:eastAsiaTheme="minorEastAsia" w:hAnsiTheme="minorHAnsi" w:cs="Arial"/>
                <w:color w:val="FF0000"/>
                <w:szCs w:val="22"/>
                <w:lang w:eastAsia="en-AU"/>
              </w:rPr>
            </w:pPr>
            <w:r w:rsidRPr="00F71448">
              <w:rPr>
                <w:b/>
                <w:color w:val="C00000"/>
                <w:sz w:val="20"/>
                <w:szCs w:val="20"/>
              </w:rPr>
              <w:t>No</w:t>
            </w:r>
          </w:p>
        </w:tc>
        <w:tc>
          <w:tcPr>
            <w:tcW w:w="1276" w:type="dxa"/>
          </w:tcPr>
          <w:p w14:paraId="61F5460D" w14:textId="3F4335CD" w:rsidR="00DB6157" w:rsidRPr="00DB6157" w:rsidRDefault="00DB6157" w:rsidP="00DB6157">
            <w:pPr>
              <w:spacing w:after="160" w:line="276" w:lineRule="auto"/>
              <w:rPr>
                <w:rFonts w:asciiTheme="minorHAnsi" w:eastAsiaTheme="minorEastAsia" w:hAnsiTheme="minorHAnsi" w:cs="Arial"/>
                <w:color w:val="70AD47" w:themeColor="accent6"/>
                <w:szCs w:val="22"/>
                <w:lang w:eastAsia="en-AU"/>
              </w:rPr>
            </w:pPr>
            <w:r w:rsidRPr="00DB6157">
              <w:rPr>
                <w:b/>
                <w:color w:val="538135" w:themeColor="accent6" w:themeShade="BF"/>
                <w:sz w:val="20"/>
                <w:szCs w:val="20"/>
              </w:rPr>
              <w:t>Yes</w:t>
            </w:r>
          </w:p>
        </w:tc>
        <w:tc>
          <w:tcPr>
            <w:tcW w:w="1275" w:type="dxa"/>
          </w:tcPr>
          <w:p w14:paraId="198D50AB" w14:textId="51D8FD8E" w:rsidR="00DB6157" w:rsidRPr="00972ADC" w:rsidRDefault="00DB6157" w:rsidP="00DB6157">
            <w:pPr>
              <w:spacing w:after="160" w:line="276" w:lineRule="auto"/>
              <w:rPr>
                <w:rFonts w:asciiTheme="minorHAnsi" w:eastAsiaTheme="minorEastAsia" w:hAnsiTheme="minorHAnsi" w:cs="Arial"/>
                <w:szCs w:val="22"/>
                <w:lang w:eastAsia="en-AU"/>
              </w:rPr>
            </w:pPr>
            <w:r w:rsidRPr="00012014">
              <w:rPr>
                <w:b/>
                <w:color w:val="C00000"/>
                <w:sz w:val="20"/>
                <w:szCs w:val="20"/>
              </w:rPr>
              <w:t>No</w:t>
            </w:r>
          </w:p>
        </w:tc>
        <w:tc>
          <w:tcPr>
            <w:tcW w:w="993" w:type="dxa"/>
          </w:tcPr>
          <w:p w14:paraId="5D5C71D5" w14:textId="3D2044C2" w:rsidR="00DB6157" w:rsidRPr="00DB6157" w:rsidRDefault="00DB6157" w:rsidP="00DB6157">
            <w:pPr>
              <w:spacing w:after="160" w:line="276" w:lineRule="auto"/>
              <w:rPr>
                <w:rFonts w:asciiTheme="minorHAnsi" w:eastAsiaTheme="minorEastAsia" w:hAnsiTheme="minorHAnsi" w:cs="Arial"/>
                <w:color w:val="70AD47" w:themeColor="accent6"/>
                <w:szCs w:val="22"/>
                <w:lang w:eastAsia="en-AU"/>
              </w:rPr>
            </w:pPr>
            <w:r w:rsidRPr="007971FD">
              <w:rPr>
                <w:b/>
                <w:color w:val="538135" w:themeColor="accent6" w:themeShade="BF"/>
                <w:sz w:val="20"/>
                <w:szCs w:val="20"/>
              </w:rPr>
              <w:t>Yes</w:t>
            </w:r>
          </w:p>
        </w:tc>
        <w:tc>
          <w:tcPr>
            <w:tcW w:w="1275" w:type="dxa"/>
          </w:tcPr>
          <w:p w14:paraId="3E87DDAF" w14:textId="64CA0BA0" w:rsidR="00DB6157" w:rsidRPr="00972ADC" w:rsidRDefault="00DB6157" w:rsidP="00DB6157">
            <w:pPr>
              <w:spacing w:after="160" w:line="276" w:lineRule="auto"/>
              <w:rPr>
                <w:rFonts w:asciiTheme="minorHAnsi" w:eastAsiaTheme="minorEastAsia" w:hAnsiTheme="minorHAnsi" w:cs="Arial"/>
                <w:szCs w:val="22"/>
                <w:lang w:eastAsia="en-AU"/>
              </w:rPr>
            </w:pPr>
            <w:r w:rsidRPr="00F71448">
              <w:rPr>
                <w:b/>
                <w:color w:val="C00000"/>
                <w:sz w:val="20"/>
                <w:szCs w:val="20"/>
              </w:rPr>
              <w:t>No</w:t>
            </w:r>
          </w:p>
        </w:tc>
        <w:tc>
          <w:tcPr>
            <w:tcW w:w="1701" w:type="dxa"/>
          </w:tcPr>
          <w:p w14:paraId="7D504C3A" w14:textId="250E57CA" w:rsidR="00DB6157" w:rsidRPr="00972ADC" w:rsidRDefault="00DB6157" w:rsidP="00DB6157">
            <w:pPr>
              <w:spacing w:after="160" w:line="276" w:lineRule="auto"/>
              <w:rPr>
                <w:rFonts w:asciiTheme="minorHAnsi" w:eastAsiaTheme="minorEastAsia" w:hAnsiTheme="minorHAnsi" w:cs="Arial"/>
                <w:szCs w:val="22"/>
                <w:lang w:eastAsia="en-AU"/>
              </w:rPr>
            </w:pPr>
            <w:r w:rsidRPr="00F71448">
              <w:rPr>
                <w:b/>
                <w:color w:val="C00000"/>
                <w:sz w:val="20"/>
                <w:szCs w:val="20"/>
              </w:rPr>
              <w:t>No</w:t>
            </w:r>
          </w:p>
        </w:tc>
      </w:tr>
      <w:tr w:rsidR="00DB6157" w:rsidRPr="00972ADC" w14:paraId="150EC591" w14:textId="77777777" w:rsidTr="00DB6157">
        <w:tc>
          <w:tcPr>
            <w:tcW w:w="1418" w:type="dxa"/>
          </w:tcPr>
          <w:p w14:paraId="07D405DF" w14:textId="77777777" w:rsidR="00DB6157" w:rsidRPr="008674AD" w:rsidRDefault="00DB6157" w:rsidP="00DB6157">
            <w:pPr>
              <w:spacing w:after="160" w:line="276" w:lineRule="auto"/>
              <w:rPr>
                <w:rFonts w:eastAsiaTheme="minorEastAsia" w:cs="Arial"/>
                <w:sz w:val="18"/>
                <w:szCs w:val="18"/>
                <w:lang w:eastAsia="en-AU"/>
              </w:rPr>
            </w:pPr>
            <w:r w:rsidRPr="008674AD">
              <w:rPr>
                <w:rFonts w:eastAsiaTheme="minorEastAsia" w:cs="Arial"/>
                <w:sz w:val="18"/>
                <w:szCs w:val="18"/>
                <w:lang w:eastAsia="en-AU"/>
              </w:rPr>
              <w:t>NSW</w:t>
            </w:r>
          </w:p>
        </w:tc>
        <w:tc>
          <w:tcPr>
            <w:tcW w:w="1276" w:type="dxa"/>
          </w:tcPr>
          <w:p w14:paraId="6BF1ED9D" w14:textId="5A58DA62" w:rsidR="00DB6157" w:rsidRPr="00DB6157" w:rsidRDefault="00DB6157" w:rsidP="00DB6157">
            <w:pPr>
              <w:spacing w:after="160" w:line="276" w:lineRule="auto"/>
              <w:rPr>
                <w:rFonts w:asciiTheme="minorHAnsi" w:eastAsiaTheme="minorEastAsia" w:hAnsiTheme="minorHAnsi" w:cs="Arial"/>
                <w:szCs w:val="22"/>
                <w:lang w:eastAsia="en-AU"/>
              </w:rPr>
            </w:pPr>
            <w:r w:rsidRPr="007971FD">
              <w:rPr>
                <w:b/>
                <w:color w:val="538135" w:themeColor="accent6" w:themeShade="BF"/>
                <w:sz w:val="20"/>
                <w:szCs w:val="20"/>
              </w:rPr>
              <w:t>Yes</w:t>
            </w:r>
          </w:p>
        </w:tc>
        <w:tc>
          <w:tcPr>
            <w:tcW w:w="992" w:type="dxa"/>
          </w:tcPr>
          <w:p w14:paraId="3B358351" w14:textId="4911DFFD" w:rsidR="00DB6157" w:rsidRPr="00DB6157" w:rsidRDefault="00DB6157" w:rsidP="00DB6157">
            <w:pPr>
              <w:spacing w:after="160" w:line="276" w:lineRule="auto"/>
              <w:rPr>
                <w:rFonts w:asciiTheme="minorHAnsi" w:eastAsiaTheme="minorEastAsia" w:hAnsiTheme="minorHAnsi" w:cs="Arial"/>
                <w:szCs w:val="22"/>
                <w:lang w:eastAsia="en-AU"/>
              </w:rPr>
            </w:pPr>
            <w:r w:rsidRPr="007971FD">
              <w:rPr>
                <w:b/>
                <w:color w:val="538135" w:themeColor="accent6" w:themeShade="BF"/>
                <w:sz w:val="20"/>
                <w:szCs w:val="20"/>
              </w:rPr>
              <w:t>Yes</w:t>
            </w:r>
          </w:p>
        </w:tc>
        <w:tc>
          <w:tcPr>
            <w:tcW w:w="1276" w:type="dxa"/>
          </w:tcPr>
          <w:p w14:paraId="0EFB87D4" w14:textId="1073C48E" w:rsidR="00DB6157" w:rsidRPr="00DB6157" w:rsidRDefault="00DB6157" w:rsidP="00DB6157">
            <w:pPr>
              <w:spacing w:after="160" w:line="276" w:lineRule="auto"/>
              <w:rPr>
                <w:rFonts w:asciiTheme="minorHAnsi" w:eastAsiaTheme="minorEastAsia" w:hAnsiTheme="minorHAnsi" w:cs="Arial"/>
                <w:color w:val="70AD47" w:themeColor="accent6"/>
                <w:szCs w:val="22"/>
                <w:lang w:eastAsia="en-AU"/>
              </w:rPr>
            </w:pPr>
            <w:r w:rsidRPr="00DB6157">
              <w:rPr>
                <w:b/>
                <w:color w:val="538135" w:themeColor="accent6" w:themeShade="BF"/>
                <w:sz w:val="20"/>
                <w:szCs w:val="20"/>
              </w:rPr>
              <w:t>Yes</w:t>
            </w:r>
          </w:p>
        </w:tc>
        <w:tc>
          <w:tcPr>
            <w:tcW w:w="1275" w:type="dxa"/>
          </w:tcPr>
          <w:p w14:paraId="62969BD7" w14:textId="14B131A2" w:rsidR="00DB6157" w:rsidRPr="00DB6157" w:rsidRDefault="00DB6157" w:rsidP="00DB6157">
            <w:pPr>
              <w:spacing w:after="160" w:line="276" w:lineRule="auto"/>
              <w:rPr>
                <w:rFonts w:asciiTheme="minorHAnsi" w:eastAsiaTheme="minorEastAsia" w:hAnsiTheme="minorHAnsi" w:cs="Arial"/>
                <w:szCs w:val="22"/>
                <w:lang w:eastAsia="en-AU"/>
              </w:rPr>
            </w:pPr>
            <w:r w:rsidRPr="007971FD">
              <w:rPr>
                <w:b/>
                <w:color w:val="538135" w:themeColor="accent6" w:themeShade="BF"/>
                <w:sz w:val="20"/>
                <w:szCs w:val="20"/>
              </w:rPr>
              <w:t>Yes</w:t>
            </w:r>
          </w:p>
        </w:tc>
        <w:tc>
          <w:tcPr>
            <w:tcW w:w="993" w:type="dxa"/>
          </w:tcPr>
          <w:p w14:paraId="46E5806A" w14:textId="5C0288C3" w:rsidR="00DB6157" w:rsidRPr="00DB6157" w:rsidRDefault="00DB6157" w:rsidP="00DB6157">
            <w:pPr>
              <w:spacing w:after="160" w:line="276" w:lineRule="auto"/>
              <w:rPr>
                <w:rFonts w:asciiTheme="minorHAnsi" w:eastAsiaTheme="minorEastAsia" w:hAnsiTheme="minorHAnsi" w:cs="Arial"/>
                <w:color w:val="70AD47" w:themeColor="accent6"/>
                <w:szCs w:val="22"/>
                <w:lang w:eastAsia="en-AU"/>
              </w:rPr>
            </w:pPr>
            <w:r w:rsidRPr="007971FD">
              <w:rPr>
                <w:b/>
                <w:color w:val="538135" w:themeColor="accent6" w:themeShade="BF"/>
                <w:sz w:val="20"/>
                <w:szCs w:val="20"/>
              </w:rPr>
              <w:t>Yes</w:t>
            </w:r>
          </w:p>
        </w:tc>
        <w:tc>
          <w:tcPr>
            <w:tcW w:w="1275" w:type="dxa"/>
          </w:tcPr>
          <w:p w14:paraId="6D7C3F44" w14:textId="0A0C7957" w:rsidR="00DB6157" w:rsidRPr="00DB6157" w:rsidRDefault="00DB6157" w:rsidP="00DB6157">
            <w:pPr>
              <w:spacing w:after="160" w:line="276" w:lineRule="auto"/>
              <w:rPr>
                <w:rFonts w:asciiTheme="minorHAnsi" w:eastAsiaTheme="minorEastAsia" w:hAnsiTheme="minorHAnsi" w:cs="Arial"/>
                <w:szCs w:val="22"/>
                <w:lang w:eastAsia="en-AU"/>
              </w:rPr>
            </w:pPr>
            <w:r w:rsidRPr="007971FD">
              <w:rPr>
                <w:b/>
                <w:color w:val="538135" w:themeColor="accent6" w:themeShade="BF"/>
                <w:sz w:val="20"/>
                <w:szCs w:val="20"/>
              </w:rPr>
              <w:t>Yes</w:t>
            </w:r>
          </w:p>
        </w:tc>
        <w:tc>
          <w:tcPr>
            <w:tcW w:w="1701" w:type="dxa"/>
          </w:tcPr>
          <w:p w14:paraId="52940EF6" w14:textId="7CC34510" w:rsidR="00DB6157" w:rsidRPr="00DB6157" w:rsidRDefault="00DB6157" w:rsidP="00DB6157">
            <w:pPr>
              <w:spacing w:after="160" w:line="276" w:lineRule="auto"/>
              <w:rPr>
                <w:rFonts w:asciiTheme="minorHAnsi" w:eastAsiaTheme="minorEastAsia" w:hAnsiTheme="minorHAnsi" w:cs="Arial"/>
                <w:szCs w:val="22"/>
                <w:lang w:eastAsia="en-AU"/>
              </w:rPr>
            </w:pPr>
            <w:r w:rsidRPr="007971FD">
              <w:rPr>
                <w:b/>
                <w:color w:val="538135" w:themeColor="accent6" w:themeShade="BF"/>
                <w:sz w:val="20"/>
                <w:szCs w:val="20"/>
              </w:rPr>
              <w:t>Yes</w:t>
            </w:r>
          </w:p>
        </w:tc>
      </w:tr>
      <w:tr w:rsidR="00DB6157" w:rsidRPr="00972ADC" w14:paraId="401E9597" w14:textId="77777777" w:rsidTr="00DB6157">
        <w:tc>
          <w:tcPr>
            <w:tcW w:w="1418" w:type="dxa"/>
          </w:tcPr>
          <w:p w14:paraId="72BE091D" w14:textId="77777777" w:rsidR="00DB6157" w:rsidRPr="008674AD" w:rsidRDefault="00DB6157" w:rsidP="00DB6157">
            <w:pPr>
              <w:spacing w:after="160" w:line="276" w:lineRule="auto"/>
              <w:rPr>
                <w:rFonts w:eastAsiaTheme="minorEastAsia" w:cs="Arial"/>
                <w:sz w:val="18"/>
                <w:szCs w:val="18"/>
                <w:lang w:eastAsia="en-AU"/>
              </w:rPr>
            </w:pPr>
            <w:r w:rsidRPr="008674AD">
              <w:rPr>
                <w:rFonts w:eastAsiaTheme="minorEastAsia" w:cs="Arial"/>
                <w:sz w:val="18"/>
                <w:szCs w:val="18"/>
                <w:lang w:eastAsia="en-AU"/>
              </w:rPr>
              <w:t>NT</w:t>
            </w:r>
          </w:p>
        </w:tc>
        <w:tc>
          <w:tcPr>
            <w:tcW w:w="1276" w:type="dxa"/>
          </w:tcPr>
          <w:p w14:paraId="7F709BA3" w14:textId="37A07BE1" w:rsidR="00DB6157" w:rsidRPr="008674AD" w:rsidRDefault="00DB6157" w:rsidP="00DB6157">
            <w:pPr>
              <w:spacing w:after="160" w:line="276" w:lineRule="auto"/>
              <w:rPr>
                <w:rFonts w:asciiTheme="minorHAnsi" w:eastAsiaTheme="minorEastAsia" w:hAnsiTheme="minorHAnsi" w:cs="Arial"/>
                <w:color w:val="FF0000"/>
                <w:szCs w:val="22"/>
                <w:lang w:eastAsia="en-AU"/>
              </w:rPr>
            </w:pPr>
            <w:r w:rsidRPr="00F71448">
              <w:rPr>
                <w:b/>
                <w:color w:val="C00000"/>
                <w:sz w:val="20"/>
                <w:szCs w:val="20"/>
              </w:rPr>
              <w:t>No</w:t>
            </w:r>
          </w:p>
        </w:tc>
        <w:tc>
          <w:tcPr>
            <w:tcW w:w="992" w:type="dxa"/>
          </w:tcPr>
          <w:p w14:paraId="1E0FB108" w14:textId="636E086B" w:rsidR="00DB6157" w:rsidRPr="00BB17AC" w:rsidRDefault="00DB6157" w:rsidP="00DB6157">
            <w:pPr>
              <w:spacing w:after="160" w:line="276" w:lineRule="auto"/>
              <w:rPr>
                <w:rFonts w:asciiTheme="minorHAnsi" w:eastAsiaTheme="minorEastAsia" w:hAnsiTheme="minorHAnsi" w:cs="Arial"/>
                <w:color w:val="FF0000"/>
                <w:szCs w:val="22"/>
                <w:lang w:eastAsia="en-AU"/>
              </w:rPr>
            </w:pPr>
            <w:r w:rsidRPr="0008517F">
              <w:rPr>
                <w:b/>
                <w:color w:val="C00000"/>
                <w:sz w:val="20"/>
                <w:szCs w:val="20"/>
              </w:rPr>
              <w:t>No</w:t>
            </w:r>
          </w:p>
        </w:tc>
        <w:tc>
          <w:tcPr>
            <w:tcW w:w="1276" w:type="dxa"/>
          </w:tcPr>
          <w:p w14:paraId="5B073A46" w14:textId="44482F36" w:rsidR="00DB6157" w:rsidRPr="00DB6157" w:rsidRDefault="00DB6157" w:rsidP="00DB6157">
            <w:pPr>
              <w:spacing w:after="160" w:line="276" w:lineRule="auto"/>
              <w:rPr>
                <w:rFonts w:asciiTheme="minorHAnsi" w:eastAsiaTheme="minorEastAsia" w:hAnsiTheme="minorHAnsi" w:cs="Arial"/>
                <w:color w:val="70AD47" w:themeColor="accent6"/>
                <w:szCs w:val="22"/>
                <w:lang w:eastAsia="en-AU"/>
              </w:rPr>
            </w:pPr>
            <w:r w:rsidRPr="00DB6157">
              <w:rPr>
                <w:b/>
                <w:color w:val="538135" w:themeColor="accent6" w:themeShade="BF"/>
                <w:sz w:val="20"/>
                <w:szCs w:val="20"/>
              </w:rPr>
              <w:t>Yes</w:t>
            </w:r>
          </w:p>
        </w:tc>
        <w:tc>
          <w:tcPr>
            <w:tcW w:w="1275" w:type="dxa"/>
          </w:tcPr>
          <w:p w14:paraId="3F537C60" w14:textId="12C9EDBD" w:rsidR="00DB6157" w:rsidRPr="00972ADC" w:rsidRDefault="00DB6157" w:rsidP="00DB6157">
            <w:pPr>
              <w:spacing w:after="160" w:line="276" w:lineRule="auto"/>
              <w:rPr>
                <w:rFonts w:asciiTheme="minorHAnsi" w:eastAsiaTheme="minorEastAsia" w:hAnsiTheme="minorHAnsi" w:cs="Arial"/>
                <w:szCs w:val="22"/>
                <w:lang w:eastAsia="en-AU"/>
              </w:rPr>
            </w:pPr>
            <w:r w:rsidRPr="00F71448">
              <w:rPr>
                <w:b/>
                <w:color w:val="C00000"/>
                <w:sz w:val="20"/>
                <w:szCs w:val="20"/>
              </w:rPr>
              <w:t>No</w:t>
            </w:r>
          </w:p>
        </w:tc>
        <w:tc>
          <w:tcPr>
            <w:tcW w:w="993" w:type="dxa"/>
          </w:tcPr>
          <w:p w14:paraId="00D74CC4" w14:textId="5D1D0018" w:rsidR="00DB6157" w:rsidRPr="00972ADC" w:rsidRDefault="00DB6157" w:rsidP="00DB6157">
            <w:pPr>
              <w:spacing w:after="160" w:line="276" w:lineRule="auto"/>
              <w:rPr>
                <w:rFonts w:asciiTheme="minorHAnsi" w:eastAsiaTheme="minorEastAsia" w:hAnsiTheme="minorHAnsi" w:cs="Arial"/>
                <w:szCs w:val="22"/>
                <w:lang w:eastAsia="en-AU"/>
              </w:rPr>
            </w:pPr>
            <w:r w:rsidRPr="00F71448">
              <w:rPr>
                <w:b/>
                <w:color w:val="C00000"/>
                <w:sz w:val="20"/>
                <w:szCs w:val="20"/>
              </w:rPr>
              <w:t>No</w:t>
            </w:r>
          </w:p>
        </w:tc>
        <w:tc>
          <w:tcPr>
            <w:tcW w:w="1275" w:type="dxa"/>
          </w:tcPr>
          <w:p w14:paraId="5EA89F2B" w14:textId="6D8730B0" w:rsidR="00DB6157" w:rsidRPr="00972ADC" w:rsidRDefault="00DB6157" w:rsidP="00DB6157">
            <w:pPr>
              <w:spacing w:after="160" w:line="276" w:lineRule="auto"/>
              <w:rPr>
                <w:rFonts w:asciiTheme="minorHAnsi" w:eastAsiaTheme="minorEastAsia" w:hAnsiTheme="minorHAnsi" w:cs="Arial"/>
                <w:szCs w:val="22"/>
                <w:lang w:eastAsia="en-AU"/>
              </w:rPr>
            </w:pPr>
            <w:r w:rsidRPr="00F71448">
              <w:rPr>
                <w:b/>
                <w:color w:val="C00000"/>
                <w:sz w:val="20"/>
                <w:szCs w:val="20"/>
              </w:rPr>
              <w:t>No</w:t>
            </w:r>
          </w:p>
        </w:tc>
        <w:tc>
          <w:tcPr>
            <w:tcW w:w="1701" w:type="dxa"/>
          </w:tcPr>
          <w:p w14:paraId="05EF15A9" w14:textId="4FB6E592" w:rsidR="00DB6157" w:rsidRPr="00972ADC" w:rsidRDefault="00DB6157" w:rsidP="00DB6157">
            <w:pPr>
              <w:spacing w:after="160" w:line="276" w:lineRule="auto"/>
              <w:rPr>
                <w:rFonts w:asciiTheme="minorHAnsi" w:eastAsiaTheme="minorEastAsia" w:hAnsiTheme="minorHAnsi" w:cs="Arial"/>
                <w:szCs w:val="22"/>
                <w:lang w:eastAsia="en-AU"/>
              </w:rPr>
            </w:pPr>
            <w:r w:rsidRPr="00F71448">
              <w:rPr>
                <w:b/>
                <w:color w:val="C00000"/>
                <w:sz w:val="20"/>
                <w:szCs w:val="20"/>
              </w:rPr>
              <w:t>No</w:t>
            </w:r>
          </w:p>
        </w:tc>
      </w:tr>
      <w:tr w:rsidR="00DB6157" w:rsidRPr="00972ADC" w14:paraId="43307096" w14:textId="77777777" w:rsidTr="00DB6157">
        <w:tc>
          <w:tcPr>
            <w:tcW w:w="1418" w:type="dxa"/>
          </w:tcPr>
          <w:p w14:paraId="705D873D" w14:textId="77777777" w:rsidR="00DB6157" w:rsidRPr="008674AD" w:rsidRDefault="00DB6157" w:rsidP="00DB6157">
            <w:pPr>
              <w:spacing w:after="160" w:line="276" w:lineRule="auto"/>
              <w:rPr>
                <w:rFonts w:eastAsiaTheme="minorEastAsia" w:cs="Arial"/>
                <w:sz w:val="18"/>
                <w:szCs w:val="18"/>
                <w:lang w:eastAsia="en-AU"/>
              </w:rPr>
            </w:pPr>
            <w:r w:rsidRPr="008674AD">
              <w:rPr>
                <w:rFonts w:eastAsiaTheme="minorEastAsia" w:cs="Arial"/>
                <w:sz w:val="18"/>
                <w:szCs w:val="18"/>
                <w:lang w:eastAsia="en-AU"/>
              </w:rPr>
              <w:t>Qld</w:t>
            </w:r>
          </w:p>
        </w:tc>
        <w:tc>
          <w:tcPr>
            <w:tcW w:w="1276" w:type="dxa"/>
          </w:tcPr>
          <w:p w14:paraId="4F1A10A4" w14:textId="17E0A3EB" w:rsidR="00DB6157" w:rsidRPr="00DB6157" w:rsidRDefault="00DB6157" w:rsidP="00DB6157">
            <w:pPr>
              <w:spacing w:after="160" w:line="276" w:lineRule="auto"/>
              <w:rPr>
                <w:rFonts w:asciiTheme="minorHAnsi" w:eastAsiaTheme="minorEastAsia" w:hAnsiTheme="minorHAnsi" w:cs="Arial"/>
                <w:szCs w:val="22"/>
                <w:lang w:eastAsia="en-AU"/>
              </w:rPr>
            </w:pPr>
            <w:r w:rsidRPr="007971FD">
              <w:rPr>
                <w:b/>
                <w:color w:val="538135" w:themeColor="accent6" w:themeShade="BF"/>
                <w:sz w:val="20"/>
                <w:szCs w:val="20"/>
              </w:rPr>
              <w:t>Yes</w:t>
            </w:r>
          </w:p>
        </w:tc>
        <w:tc>
          <w:tcPr>
            <w:tcW w:w="992" w:type="dxa"/>
          </w:tcPr>
          <w:p w14:paraId="35FD498E" w14:textId="052DA665" w:rsidR="00DB6157" w:rsidRPr="00972ADC" w:rsidRDefault="00DB6157" w:rsidP="00DB6157">
            <w:pPr>
              <w:spacing w:after="160" w:line="276" w:lineRule="auto"/>
              <w:rPr>
                <w:rFonts w:asciiTheme="minorHAnsi" w:eastAsiaTheme="minorEastAsia" w:hAnsiTheme="minorHAnsi" w:cs="Arial"/>
                <w:szCs w:val="22"/>
                <w:lang w:eastAsia="en-AU"/>
              </w:rPr>
            </w:pPr>
            <w:r w:rsidRPr="0008517F">
              <w:rPr>
                <w:b/>
                <w:color w:val="C00000"/>
                <w:sz w:val="20"/>
                <w:szCs w:val="20"/>
              </w:rPr>
              <w:t>No</w:t>
            </w:r>
          </w:p>
        </w:tc>
        <w:tc>
          <w:tcPr>
            <w:tcW w:w="1276" w:type="dxa"/>
          </w:tcPr>
          <w:p w14:paraId="50FBAE97" w14:textId="20480A3A" w:rsidR="00DB6157" w:rsidRPr="00DB6157" w:rsidRDefault="00DB6157" w:rsidP="00DB6157">
            <w:pPr>
              <w:spacing w:after="160" w:line="276" w:lineRule="auto"/>
              <w:rPr>
                <w:rFonts w:asciiTheme="minorHAnsi" w:eastAsiaTheme="minorEastAsia" w:hAnsiTheme="minorHAnsi" w:cs="Arial"/>
                <w:color w:val="70AD47" w:themeColor="accent6"/>
                <w:szCs w:val="22"/>
                <w:lang w:eastAsia="en-AU"/>
              </w:rPr>
            </w:pPr>
            <w:r w:rsidRPr="00DB6157">
              <w:rPr>
                <w:b/>
                <w:color w:val="538135" w:themeColor="accent6" w:themeShade="BF"/>
                <w:sz w:val="20"/>
                <w:szCs w:val="20"/>
              </w:rPr>
              <w:t>Yes</w:t>
            </w:r>
          </w:p>
        </w:tc>
        <w:tc>
          <w:tcPr>
            <w:tcW w:w="1275" w:type="dxa"/>
          </w:tcPr>
          <w:p w14:paraId="6265C72C" w14:textId="21DC6C9B" w:rsidR="00DB6157" w:rsidRPr="00DB6157" w:rsidRDefault="00DB6157" w:rsidP="00DB6157">
            <w:pPr>
              <w:spacing w:after="160" w:line="276" w:lineRule="auto"/>
              <w:rPr>
                <w:rFonts w:asciiTheme="minorHAnsi" w:eastAsiaTheme="minorEastAsia" w:hAnsiTheme="minorHAnsi" w:cs="Arial"/>
                <w:color w:val="70AD47" w:themeColor="accent6"/>
                <w:szCs w:val="22"/>
                <w:lang w:eastAsia="en-AU"/>
              </w:rPr>
            </w:pPr>
            <w:r w:rsidRPr="007971FD">
              <w:rPr>
                <w:b/>
                <w:color w:val="538135" w:themeColor="accent6" w:themeShade="BF"/>
                <w:sz w:val="20"/>
                <w:szCs w:val="20"/>
              </w:rPr>
              <w:t>Yes</w:t>
            </w:r>
          </w:p>
        </w:tc>
        <w:tc>
          <w:tcPr>
            <w:tcW w:w="993" w:type="dxa"/>
          </w:tcPr>
          <w:p w14:paraId="7596C789" w14:textId="7B978135" w:rsidR="00DB6157" w:rsidRPr="00DB6157" w:rsidRDefault="00DB6157" w:rsidP="00DB6157">
            <w:pPr>
              <w:spacing w:after="160" w:line="276" w:lineRule="auto"/>
              <w:rPr>
                <w:rFonts w:asciiTheme="minorHAnsi" w:eastAsiaTheme="minorEastAsia" w:hAnsiTheme="minorHAnsi" w:cs="Arial"/>
                <w:color w:val="70AD47" w:themeColor="accent6"/>
                <w:szCs w:val="22"/>
                <w:lang w:eastAsia="en-AU"/>
              </w:rPr>
            </w:pPr>
            <w:r w:rsidRPr="007971FD">
              <w:rPr>
                <w:b/>
                <w:color w:val="538135" w:themeColor="accent6" w:themeShade="BF"/>
                <w:sz w:val="20"/>
                <w:szCs w:val="20"/>
              </w:rPr>
              <w:t>Yes</w:t>
            </w:r>
          </w:p>
        </w:tc>
        <w:tc>
          <w:tcPr>
            <w:tcW w:w="1275" w:type="dxa"/>
          </w:tcPr>
          <w:p w14:paraId="3471C9D5" w14:textId="4AE5DB42" w:rsidR="00DB6157" w:rsidRPr="00DB6157" w:rsidRDefault="00DB6157" w:rsidP="00DB6157">
            <w:pPr>
              <w:spacing w:after="160" w:line="276" w:lineRule="auto"/>
              <w:rPr>
                <w:rFonts w:asciiTheme="minorHAnsi" w:eastAsiaTheme="minorEastAsia" w:hAnsiTheme="minorHAnsi" w:cs="Arial"/>
                <w:color w:val="70AD47" w:themeColor="accent6"/>
                <w:szCs w:val="22"/>
                <w:lang w:eastAsia="en-AU"/>
              </w:rPr>
            </w:pPr>
            <w:r w:rsidRPr="007971FD">
              <w:rPr>
                <w:b/>
                <w:color w:val="538135" w:themeColor="accent6" w:themeShade="BF"/>
                <w:sz w:val="20"/>
                <w:szCs w:val="20"/>
              </w:rPr>
              <w:t>Yes</w:t>
            </w:r>
          </w:p>
        </w:tc>
        <w:tc>
          <w:tcPr>
            <w:tcW w:w="1701" w:type="dxa"/>
          </w:tcPr>
          <w:p w14:paraId="0C58BBFC" w14:textId="2F3451AE" w:rsidR="00DB6157" w:rsidRPr="00DB6157" w:rsidRDefault="00DB6157" w:rsidP="00DB6157">
            <w:pPr>
              <w:spacing w:after="160" w:line="276" w:lineRule="auto"/>
              <w:rPr>
                <w:rFonts w:asciiTheme="minorHAnsi" w:eastAsiaTheme="minorEastAsia" w:hAnsiTheme="minorHAnsi" w:cs="Arial"/>
                <w:color w:val="70AD47" w:themeColor="accent6"/>
                <w:szCs w:val="22"/>
                <w:lang w:eastAsia="en-AU"/>
              </w:rPr>
            </w:pPr>
            <w:r w:rsidRPr="007971FD">
              <w:rPr>
                <w:b/>
                <w:color w:val="538135" w:themeColor="accent6" w:themeShade="BF"/>
                <w:sz w:val="20"/>
                <w:szCs w:val="20"/>
              </w:rPr>
              <w:t>Yes</w:t>
            </w:r>
          </w:p>
        </w:tc>
      </w:tr>
      <w:tr w:rsidR="00DB6157" w:rsidRPr="00972ADC" w14:paraId="3971A4D8" w14:textId="77777777" w:rsidTr="00DB6157">
        <w:tc>
          <w:tcPr>
            <w:tcW w:w="1418" w:type="dxa"/>
          </w:tcPr>
          <w:p w14:paraId="345C139E" w14:textId="77777777" w:rsidR="00DB6157" w:rsidRPr="008674AD" w:rsidRDefault="00DB6157" w:rsidP="00DB6157">
            <w:pPr>
              <w:spacing w:after="160" w:line="276" w:lineRule="auto"/>
              <w:rPr>
                <w:rFonts w:eastAsiaTheme="minorEastAsia" w:cs="Arial"/>
                <w:sz w:val="18"/>
                <w:szCs w:val="18"/>
                <w:lang w:eastAsia="en-AU"/>
              </w:rPr>
            </w:pPr>
            <w:r w:rsidRPr="008674AD">
              <w:rPr>
                <w:rFonts w:eastAsiaTheme="minorEastAsia" w:cs="Arial"/>
                <w:sz w:val="18"/>
                <w:szCs w:val="18"/>
                <w:lang w:eastAsia="en-AU"/>
              </w:rPr>
              <w:t>SA</w:t>
            </w:r>
          </w:p>
        </w:tc>
        <w:tc>
          <w:tcPr>
            <w:tcW w:w="1276" w:type="dxa"/>
          </w:tcPr>
          <w:p w14:paraId="4B69682B" w14:textId="19FBC05A" w:rsidR="00DB6157" w:rsidRPr="008674AD" w:rsidRDefault="00DB6157" w:rsidP="00DB6157">
            <w:pPr>
              <w:spacing w:after="160" w:line="276" w:lineRule="auto"/>
              <w:rPr>
                <w:rFonts w:asciiTheme="minorHAnsi" w:eastAsiaTheme="minorEastAsia" w:hAnsiTheme="minorHAnsi" w:cs="Arial"/>
                <w:color w:val="FF0000"/>
                <w:szCs w:val="22"/>
                <w:lang w:eastAsia="en-AU"/>
              </w:rPr>
            </w:pPr>
            <w:r w:rsidRPr="00F71448">
              <w:rPr>
                <w:b/>
                <w:color w:val="C00000"/>
                <w:sz w:val="20"/>
                <w:szCs w:val="20"/>
              </w:rPr>
              <w:t>No</w:t>
            </w:r>
          </w:p>
        </w:tc>
        <w:tc>
          <w:tcPr>
            <w:tcW w:w="992" w:type="dxa"/>
          </w:tcPr>
          <w:p w14:paraId="25CE164F" w14:textId="33A15F92" w:rsidR="00DB6157" w:rsidRPr="00972ADC" w:rsidRDefault="00DB6157" w:rsidP="00DB6157">
            <w:pPr>
              <w:spacing w:after="160" w:line="276" w:lineRule="auto"/>
              <w:rPr>
                <w:rFonts w:asciiTheme="minorHAnsi" w:eastAsiaTheme="minorEastAsia" w:hAnsiTheme="minorHAnsi" w:cs="Arial"/>
                <w:szCs w:val="22"/>
                <w:lang w:eastAsia="en-AU"/>
              </w:rPr>
            </w:pPr>
            <w:r w:rsidRPr="0008517F">
              <w:rPr>
                <w:b/>
                <w:color w:val="C00000"/>
                <w:sz w:val="20"/>
                <w:szCs w:val="20"/>
              </w:rPr>
              <w:t>No</w:t>
            </w:r>
          </w:p>
        </w:tc>
        <w:tc>
          <w:tcPr>
            <w:tcW w:w="1276" w:type="dxa"/>
          </w:tcPr>
          <w:p w14:paraId="6E3AA29F" w14:textId="06BD2439" w:rsidR="00DB6157" w:rsidRPr="00DB6157" w:rsidRDefault="00DB6157" w:rsidP="00DB6157">
            <w:pPr>
              <w:spacing w:after="160" w:line="276" w:lineRule="auto"/>
              <w:rPr>
                <w:rFonts w:asciiTheme="minorHAnsi" w:eastAsiaTheme="minorEastAsia" w:hAnsiTheme="minorHAnsi" w:cs="Arial"/>
                <w:color w:val="70AD47" w:themeColor="accent6"/>
                <w:szCs w:val="22"/>
                <w:lang w:eastAsia="en-AU"/>
              </w:rPr>
            </w:pPr>
            <w:r w:rsidRPr="00DB6157">
              <w:rPr>
                <w:b/>
                <w:color w:val="538135" w:themeColor="accent6" w:themeShade="BF"/>
                <w:sz w:val="20"/>
                <w:szCs w:val="20"/>
              </w:rPr>
              <w:t>Yes</w:t>
            </w:r>
          </w:p>
        </w:tc>
        <w:tc>
          <w:tcPr>
            <w:tcW w:w="1275" w:type="dxa"/>
          </w:tcPr>
          <w:p w14:paraId="5A7DAA5E" w14:textId="2CDB78B2" w:rsidR="00DB6157" w:rsidRPr="00972ADC" w:rsidRDefault="00DB6157" w:rsidP="00DB6157">
            <w:pPr>
              <w:spacing w:after="160" w:line="276" w:lineRule="auto"/>
              <w:rPr>
                <w:rFonts w:asciiTheme="minorHAnsi" w:eastAsiaTheme="minorEastAsia" w:hAnsiTheme="minorHAnsi" w:cs="Arial"/>
                <w:szCs w:val="22"/>
                <w:lang w:eastAsia="en-AU"/>
              </w:rPr>
            </w:pPr>
            <w:r w:rsidRPr="00F6074F">
              <w:rPr>
                <w:b/>
                <w:color w:val="C00000"/>
                <w:sz w:val="20"/>
                <w:szCs w:val="20"/>
              </w:rPr>
              <w:t>No</w:t>
            </w:r>
          </w:p>
        </w:tc>
        <w:tc>
          <w:tcPr>
            <w:tcW w:w="993" w:type="dxa"/>
          </w:tcPr>
          <w:p w14:paraId="21FDB4B0" w14:textId="641F394B" w:rsidR="00DB6157" w:rsidRPr="00972ADC" w:rsidRDefault="00DB6157" w:rsidP="00DB6157">
            <w:pPr>
              <w:spacing w:after="160" w:line="276" w:lineRule="auto"/>
              <w:rPr>
                <w:rFonts w:asciiTheme="minorHAnsi" w:eastAsiaTheme="minorEastAsia" w:hAnsiTheme="minorHAnsi" w:cs="Arial"/>
                <w:szCs w:val="22"/>
                <w:lang w:eastAsia="en-AU"/>
              </w:rPr>
            </w:pPr>
            <w:r w:rsidRPr="00F71448">
              <w:rPr>
                <w:b/>
                <w:color w:val="C00000"/>
                <w:sz w:val="20"/>
                <w:szCs w:val="20"/>
              </w:rPr>
              <w:t>No</w:t>
            </w:r>
            <w:r w:rsidRPr="007F0E6E">
              <w:rPr>
                <w:rStyle w:val="FootnoteReference"/>
                <w:rFonts w:eastAsiaTheme="minorEastAsia" w:cs="Arial"/>
                <w:szCs w:val="22"/>
                <w:lang w:eastAsia="en-AU"/>
              </w:rPr>
              <w:t xml:space="preserve"> </w:t>
            </w:r>
            <w:r w:rsidRPr="007F0E6E">
              <w:rPr>
                <w:rStyle w:val="FootnoteReference"/>
                <w:rFonts w:eastAsiaTheme="minorEastAsia" w:cs="Arial"/>
                <w:szCs w:val="22"/>
                <w:lang w:eastAsia="en-AU"/>
              </w:rPr>
              <w:footnoteReference w:id="104"/>
            </w:r>
          </w:p>
        </w:tc>
        <w:tc>
          <w:tcPr>
            <w:tcW w:w="1275" w:type="dxa"/>
          </w:tcPr>
          <w:p w14:paraId="1D0983EE" w14:textId="535E9110" w:rsidR="00DB6157" w:rsidRPr="00972ADC" w:rsidRDefault="00DB6157" w:rsidP="00DB6157">
            <w:pPr>
              <w:spacing w:after="160" w:line="276" w:lineRule="auto"/>
              <w:rPr>
                <w:rFonts w:asciiTheme="minorHAnsi" w:eastAsiaTheme="minorEastAsia" w:hAnsiTheme="minorHAnsi" w:cs="Arial"/>
                <w:szCs w:val="22"/>
                <w:lang w:eastAsia="en-AU"/>
              </w:rPr>
            </w:pPr>
            <w:r w:rsidRPr="00F71448">
              <w:rPr>
                <w:b/>
                <w:color w:val="C00000"/>
                <w:sz w:val="20"/>
                <w:szCs w:val="20"/>
              </w:rPr>
              <w:t>No</w:t>
            </w:r>
          </w:p>
        </w:tc>
        <w:tc>
          <w:tcPr>
            <w:tcW w:w="1701" w:type="dxa"/>
          </w:tcPr>
          <w:p w14:paraId="1116F996" w14:textId="626668D3" w:rsidR="00DB6157" w:rsidRPr="00972ADC" w:rsidRDefault="00DB6157" w:rsidP="00DB6157">
            <w:pPr>
              <w:spacing w:after="160" w:line="276" w:lineRule="auto"/>
              <w:rPr>
                <w:rFonts w:asciiTheme="minorHAnsi" w:eastAsiaTheme="minorEastAsia" w:hAnsiTheme="minorHAnsi" w:cs="Arial"/>
                <w:szCs w:val="22"/>
                <w:lang w:eastAsia="en-AU"/>
              </w:rPr>
            </w:pPr>
            <w:r w:rsidRPr="00F71448">
              <w:rPr>
                <w:b/>
                <w:color w:val="C00000"/>
                <w:sz w:val="20"/>
                <w:szCs w:val="20"/>
              </w:rPr>
              <w:t>No</w:t>
            </w:r>
          </w:p>
        </w:tc>
      </w:tr>
      <w:tr w:rsidR="00DB6157" w:rsidRPr="00972ADC" w14:paraId="25B1AF16" w14:textId="77777777" w:rsidTr="00DB6157">
        <w:tc>
          <w:tcPr>
            <w:tcW w:w="1418" w:type="dxa"/>
          </w:tcPr>
          <w:p w14:paraId="57CDB288" w14:textId="77777777" w:rsidR="00DB6157" w:rsidRPr="008674AD" w:rsidRDefault="00DB6157" w:rsidP="00DB6157">
            <w:pPr>
              <w:spacing w:after="160" w:line="276" w:lineRule="auto"/>
              <w:rPr>
                <w:rFonts w:eastAsiaTheme="minorEastAsia" w:cs="Arial"/>
                <w:sz w:val="18"/>
                <w:szCs w:val="18"/>
                <w:lang w:eastAsia="en-AU"/>
              </w:rPr>
            </w:pPr>
            <w:r w:rsidRPr="008674AD">
              <w:rPr>
                <w:rFonts w:eastAsiaTheme="minorEastAsia" w:cs="Arial"/>
                <w:sz w:val="18"/>
                <w:szCs w:val="18"/>
                <w:lang w:eastAsia="en-AU"/>
              </w:rPr>
              <w:t>Tasmania</w:t>
            </w:r>
          </w:p>
        </w:tc>
        <w:tc>
          <w:tcPr>
            <w:tcW w:w="1276" w:type="dxa"/>
          </w:tcPr>
          <w:p w14:paraId="0946F0DD" w14:textId="2CCB1626" w:rsidR="00DB6157" w:rsidRPr="008674AD" w:rsidRDefault="00DB6157" w:rsidP="00DB6157">
            <w:pPr>
              <w:spacing w:after="160" w:line="276" w:lineRule="auto"/>
              <w:rPr>
                <w:rFonts w:asciiTheme="minorHAnsi" w:eastAsiaTheme="minorEastAsia" w:hAnsiTheme="minorHAnsi" w:cs="Arial"/>
                <w:color w:val="FF0000"/>
                <w:szCs w:val="22"/>
                <w:lang w:eastAsia="en-AU"/>
              </w:rPr>
            </w:pPr>
            <w:r w:rsidRPr="00F71448">
              <w:rPr>
                <w:b/>
                <w:color w:val="C00000"/>
                <w:sz w:val="20"/>
                <w:szCs w:val="20"/>
              </w:rPr>
              <w:t>No</w:t>
            </w:r>
          </w:p>
        </w:tc>
        <w:tc>
          <w:tcPr>
            <w:tcW w:w="992" w:type="dxa"/>
          </w:tcPr>
          <w:p w14:paraId="0192FF84" w14:textId="2B757B77" w:rsidR="00DB6157" w:rsidRPr="00972ADC" w:rsidRDefault="00DB6157" w:rsidP="00DB6157">
            <w:pPr>
              <w:spacing w:after="160" w:line="276" w:lineRule="auto"/>
              <w:rPr>
                <w:rFonts w:asciiTheme="minorHAnsi" w:eastAsiaTheme="minorEastAsia" w:hAnsiTheme="minorHAnsi" w:cs="Arial"/>
                <w:szCs w:val="22"/>
                <w:lang w:eastAsia="en-AU"/>
              </w:rPr>
            </w:pPr>
            <w:r w:rsidRPr="0008517F">
              <w:rPr>
                <w:b/>
                <w:color w:val="C00000"/>
                <w:sz w:val="20"/>
                <w:szCs w:val="20"/>
              </w:rPr>
              <w:t>No</w:t>
            </w:r>
          </w:p>
        </w:tc>
        <w:tc>
          <w:tcPr>
            <w:tcW w:w="1276" w:type="dxa"/>
          </w:tcPr>
          <w:p w14:paraId="7F612B63" w14:textId="21234752" w:rsidR="00DB6157" w:rsidRPr="00DB6157" w:rsidRDefault="00DB6157" w:rsidP="00DB6157">
            <w:pPr>
              <w:spacing w:after="160" w:line="276" w:lineRule="auto"/>
              <w:rPr>
                <w:rFonts w:asciiTheme="minorHAnsi" w:eastAsiaTheme="minorEastAsia" w:hAnsiTheme="minorHAnsi" w:cs="Arial"/>
                <w:color w:val="70AD47" w:themeColor="accent6"/>
                <w:szCs w:val="22"/>
                <w:lang w:eastAsia="en-AU"/>
              </w:rPr>
            </w:pPr>
            <w:r w:rsidRPr="00DB6157">
              <w:rPr>
                <w:b/>
                <w:color w:val="538135" w:themeColor="accent6" w:themeShade="BF"/>
                <w:sz w:val="20"/>
                <w:szCs w:val="20"/>
              </w:rPr>
              <w:t>Yes</w:t>
            </w:r>
          </w:p>
        </w:tc>
        <w:tc>
          <w:tcPr>
            <w:tcW w:w="1275" w:type="dxa"/>
          </w:tcPr>
          <w:p w14:paraId="4DCA7D43" w14:textId="1935C6FE" w:rsidR="00DB6157" w:rsidRPr="00972ADC" w:rsidRDefault="00DB6157" w:rsidP="00DB6157">
            <w:pPr>
              <w:spacing w:after="160" w:line="276" w:lineRule="auto"/>
              <w:rPr>
                <w:rFonts w:asciiTheme="minorHAnsi" w:eastAsiaTheme="minorEastAsia" w:hAnsiTheme="minorHAnsi" w:cs="Arial"/>
                <w:szCs w:val="22"/>
                <w:lang w:eastAsia="en-AU"/>
              </w:rPr>
            </w:pPr>
            <w:r w:rsidRPr="00F6074F">
              <w:rPr>
                <w:b/>
                <w:color w:val="C00000"/>
                <w:sz w:val="20"/>
                <w:szCs w:val="20"/>
              </w:rPr>
              <w:t>No</w:t>
            </w:r>
          </w:p>
        </w:tc>
        <w:tc>
          <w:tcPr>
            <w:tcW w:w="993" w:type="dxa"/>
          </w:tcPr>
          <w:p w14:paraId="6C3441F0" w14:textId="6074514F" w:rsidR="00DB6157" w:rsidRPr="00DB6157" w:rsidRDefault="00DB6157" w:rsidP="00DB6157">
            <w:pPr>
              <w:spacing w:after="160" w:line="276" w:lineRule="auto"/>
              <w:rPr>
                <w:rFonts w:asciiTheme="minorHAnsi" w:eastAsiaTheme="minorEastAsia" w:hAnsiTheme="minorHAnsi" w:cs="Arial"/>
                <w:color w:val="70AD47" w:themeColor="accent6"/>
                <w:szCs w:val="22"/>
                <w:lang w:eastAsia="en-AU"/>
              </w:rPr>
            </w:pPr>
            <w:r w:rsidRPr="007971FD">
              <w:rPr>
                <w:b/>
                <w:color w:val="538135" w:themeColor="accent6" w:themeShade="BF"/>
                <w:sz w:val="20"/>
                <w:szCs w:val="20"/>
              </w:rPr>
              <w:t>Yes</w:t>
            </w:r>
          </w:p>
        </w:tc>
        <w:tc>
          <w:tcPr>
            <w:tcW w:w="1275" w:type="dxa"/>
          </w:tcPr>
          <w:p w14:paraId="2BD282C9" w14:textId="09B4A50E" w:rsidR="00DB6157" w:rsidRPr="00DB6157" w:rsidRDefault="00DB6157" w:rsidP="00DB6157">
            <w:pPr>
              <w:spacing w:after="160" w:line="276" w:lineRule="auto"/>
              <w:rPr>
                <w:rFonts w:asciiTheme="minorHAnsi" w:eastAsiaTheme="minorEastAsia" w:hAnsiTheme="minorHAnsi" w:cs="Arial"/>
                <w:color w:val="70AD47" w:themeColor="accent6"/>
                <w:szCs w:val="22"/>
                <w:lang w:eastAsia="en-AU"/>
              </w:rPr>
            </w:pPr>
            <w:r w:rsidRPr="007971FD">
              <w:rPr>
                <w:b/>
                <w:color w:val="538135" w:themeColor="accent6" w:themeShade="BF"/>
                <w:sz w:val="20"/>
                <w:szCs w:val="20"/>
              </w:rPr>
              <w:t>Yes</w:t>
            </w:r>
          </w:p>
        </w:tc>
        <w:tc>
          <w:tcPr>
            <w:tcW w:w="1701" w:type="dxa"/>
          </w:tcPr>
          <w:p w14:paraId="45F01064" w14:textId="69A3B7F6" w:rsidR="00DB6157" w:rsidRPr="00972ADC" w:rsidRDefault="00DB6157" w:rsidP="00DB6157">
            <w:pPr>
              <w:spacing w:after="160" w:line="276" w:lineRule="auto"/>
              <w:rPr>
                <w:rFonts w:asciiTheme="minorHAnsi" w:eastAsiaTheme="minorEastAsia" w:hAnsiTheme="minorHAnsi" w:cs="Arial"/>
                <w:szCs w:val="22"/>
                <w:lang w:eastAsia="en-AU"/>
              </w:rPr>
            </w:pPr>
            <w:r w:rsidRPr="00F71448">
              <w:rPr>
                <w:b/>
                <w:color w:val="C00000"/>
                <w:sz w:val="20"/>
                <w:szCs w:val="20"/>
              </w:rPr>
              <w:t>No</w:t>
            </w:r>
          </w:p>
        </w:tc>
      </w:tr>
      <w:tr w:rsidR="00DB6157" w:rsidRPr="00972ADC" w14:paraId="12CB1AA3" w14:textId="77777777" w:rsidTr="00DB6157">
        <w:tc>
          <w:tcPr>
            <w:tcW w:w="1418" w:type="dxa"/>
          </w:tcPr>
          <w:p w14:paraId="2C96A1E8" w14:textId="77777777" w:rsidR="00DB6157" w:rsidRPr="008674AD" w:rsidRDefault="00DB6157" w:rsidP="00DB6157">
            <w:pPr>
              <w:spacing w:after="160" w:line="276" w:lineRule="auto"/>
              <w:rPr>
                <w:rFonts w:eastAsiaTheme="minorEastAsia" w:cs="Arial"/>
                <w:sz w:val="18"/>
                <w:szCs w:val="18"/>
                <w:lang w:eastAsia="en-AU"/>
              </w:rPr>
            </w:pPr>
            <w:r w:rsidRPr="008674AD">
              <w:rPr>
                <w:rFonts w:eastAsiaTheme="minorEastAsia" w:cs="Arial"/>
                <w:sz w:val="18"/>
                <w:szCs w:val="18"/>
                <w:lang w:eastAsia="en-AU"/>
              </w:rPr>
              <w:t>WA</w:t>
            </w:r>
          </w:p>
        </w:tc>
        <w:tc>
          <w:tcPr>
            <w:tcW w:w="1276" w:type="dxa"/>
          </w:tcPr>
          <w:p w14:paraId="29CDFCA0" w14:textId="1EB245CC" w:rsidR="00DB6157" w:rsidRPr="008674AD" w:rsidRDefault="00DB6157" w:rsidP="00DB6157">
            <w:pPr>
              <w:spacing w:after="160" w:line="276" w:lineRule="auto"/>
              <w:rPr>
                <w:rFonts w:asciiTheme="minorHAnsi" w:eastAsiaTheme="minorEastAsia" w:hAnsiTheme="minorHAnsi" w:cs="Arial"/>
                <w:color w:val="FF0000"/>
                <w:szCs w:val="22"/>
                <w:lang w:eastAsia="en-AU"/>
              </w:rPr>
            </w:pPr>
            <w:r w:rsidRPr="00F71448">
              <w:rPr>
                <w:b/>
                <w:color w:val="C00000"/>
                <w:sz w:val="20"/>
                <w:szCs w:val="20"/>
              </w:rPr>
              <w:t>No</w:t>
            </w:r>
          </w:p>
        </w:tc>
        <w:tc>
          <w:tcPr>
            <w:tcW w:w="992" w:type="dxa"/>
          </w:tcPr>
          <w:p w14:paraId="5E615A91" w14:textId="07DCFB4E" w:rsidR="00DB6157" w:rsidRPr="00DB6157" w:rsidRDefault="00DB6157" w:rsidP="00DB6157">
            <w:pPr>
              <w:spacing w:after="160" w:line="276" w:lineRule="auto"/>
              <w:rPr>
                <w:rFonts w:asciiTheme="minorHAnsi" w:eastAsiaTheme="minorEastAsia" w:hAnsiTheme="minorHAnsi" w:cs="Arial"/>
                <w:szCs w:val="22"/>
                <w:lang w:eastAsia="en-AU"/>
              </w:rPr>
            </w:pPr>
            <w:r w:rsidRPr="007971FD">
              <w:rPr>
                <w:b/>
                <w:color w:val="538135" w:themeColor="accent6" w:themeShade="BF"/>
                <w:sz w:val="20"/>
                <w:szCs w:val="20"/>
              </w:rPr>
              <w:t>Yes</w:t>
            </w:r>
          </w:p>
        </w:tc>
        <w:tc>
          <w:tcPr>
            <w:tcW w:w="1276" w:type="dxa"/>
          </w:tcPr>
          <w:p w14:paraId="57DC61B6" w14:textId="71D0A4CD" w:rsidR="00DB6157" w:rsidRPr="00DB6157" w:rsidRDefault="00DB6157" w:rsidP="00DB6157">
            <w:pPr>
              <w:spacing w:after="160" w:line="276" w:lineRule="auto"/>
              <w:rPr>
                <w:rFonts w:asciiTheme="minorHAnsi" w:eastAsiaTheme="minorEastAsia" w:hAnsiTheme="minorHAnsi" w:cs="Arial"/>
                <w:color w:val="70AD47" w:themeColor="accent6"/>
                <w:szCs w:val="22"/>
                <w:lang w:eastAsia="en-AU"/>
              </w:rPr>
            </w:pPr>
            <w:r w:rsidRPr="007971FD">
              <w:rPr>
                <w:b/>
                <w:color w:val="538135" w:themeColor="accent6" w:themeShade="BF"/>
                <w:sz w:val="20"/>
                <w:szCs w:val="20"/>
              </w:rPr>
              <w:t>Yes</w:t>
            </w:r>
          </w:p>
        </w:tc>
        <w:tc>
          <w:tcPr>
            <w:tcW w:w="1275" w:type="dxa"/>
          </w:tcPr>
          <w:p w14:paraId="3C9D78AE" w14:textId="47A3E449" w:rsidR="00DB6157" w:rsidRPr="00972ADC" w:rsidRDefault="00DB6157" w:rsidP="00DB6157">
            <w:pPr>
              <w:spacing w:after="160" w:line="276" w:lineRule="auto"/>
              <w:rPr>
                <w:rFonts w:asciiTheme="minorHAnsi" w:eastAsiaTheme="minorEastAsia" w:hAnsiTheme="minorHAnsi" w:cs="Arial"/>
                <w:szCs w:val="22"/>
                <w:lang w:eastAsia="en-AU"/>
              </w:rPr>
            </w:pPr>
            <w:r w:rsidRPr="00F71448">
              <w:rPr>
                <w:b/>
                <w:color w:val="C00000"/>
                <w:sz w:val="20"/>
                <w:szCs w:val="20"/>
              </w:rPr>
              <w:t>No</w:t>
            </w:r>
          </w:p>
        </w:tc>
        <w:tc>
          <w:tcPr>
            <w:tcW w:w="993" w:type="dxa"/>
          </w:tcPr>
          <w:p w14:paraId="002B84D4" w14:textId="741F843A" w:rsidR="00DB6157" w:rsidRPr="00DB6157" w:rsidRDefault="00DB6157" w:rsidP="00DB6157">
            <w:pPr>
              <w:spacing w:after="160" w:line="276" w:lineRule="auto"/>
              <w:rPr>
                <w:rFonts w:asciiTheme="minorHAnsi" w:eastAsiaTheme="minorEastAsia" w:hAnsiTheme="minorHAnsi" w:cs="Arial"/>
                <w:szCs w:val="22"/>
                <w:lang w:eastAsia="en-AU"/>
              </w:rPr>
            </w:pPr>
            <w:r w:rsidRPr="007971FD">
              <w:rPr>
                <w:b/>
                <w:color w:val="538135" w:themeColor="accent6" w:themeShade="BF"/>
                <w:sz w:val="20"/>
                <w:szCs w:val="20"/>
              </w:rPr>
              <w:t>Yes</w:t>
            </w:r>
          </w:p>
        </w:tc>
        <w:tc>
          <w:tcPr>
            <w:tcW w:w="1275" w:type="dxa"/>
          </w:tcPr>
          <w:p w14:paraId="209375C9" w14:textId="453ABB66" w:rsidR="00DB6157" w:rsidRPr="00972ADC" w:rsidRDefault="00DB6157" w:rsidP="00DB6157">
            <w:pPr>
              <w:spacing w:after="160" w:line="276" w:lineRule="auto"/>
              <w:rPr>
                <w:rFonts w:asciiTheme="minorHAnsi" w:eastAsiaTheme="minorEastAsia" w:hAnsiTheme="minorHAnsi" w:cs="Arial"/>
                <w:szCs w:val="22"/>
                <w:lang w:eastAsia="en-AU"/>
              </w:rPr>
            </w:pPr>
            <w:r w:rsidRPr="00F71448">
              <w:rPr>
                <w:b/>
                <w:color w:val="C00000"/>
                <w:sz w:val="20"/>
                <w:szCs w:val="20"/>
              </w:rPr>
              <w:t>No</w:t>
            </w:r>
          </w:p>
        </w:tc>
        <w:tc>
          <w:tcPr>
            <w:tcW w:w="1701" w:type="dxa"/>
          </w:tcPr>
          <w:p w14:paraId="541A5F69" w14:textId="5B354BAB" w:rsidR="00DB6157" w:rsidRPr="00972ADC" w:rsidRDefault="00DB6157" w:rsidP="00DB6157">
            <w:pPr>
              <w:spacing w:after="160" w:line="276" w:lineRule="auto"/>
              <w:rPr>
                <w:rFonts w:asciiTheme="minorHAnsi" w:eastAsiaTheme="minorEastAsia" w:hAnsiTheme="minorHAnsi" w:cs="Arial"/>
                <w:szCs w:val="22"/>
                <w:lang w:eastAsia="en-AU"/>
              </w:rPr>
            </w:pPr>
            <w:r w:rsidRPr="00F71448">
              <w:rPr>
                <w:b/>
                <w:color w:val="C00000"/>
                <w:sz w:val="20"/>
                <w:szCs w:val="20"/>
              </w:rPr>
              <w:t>No</w:t>
            </w:r>
          </w:p>
        </w:tc>
      </w:tr>
    </w:tbl>
    <w:p w14:paraId="7E839A8C" w14:textId="77777777" w:rsidR="00972ADC" w:rsidRPr="00DB6157" w:rsidRDefault="00972ADC" w:rsidP="00DB6157">
      <w:pPr>
        <w:rPr>
          <w:rFonts w:eastAsiaTheme="minorHAnsi"/>
        </w:rPr>
      </w:pPr>
      <w:r w:rsidRPr="00DB6157">
        <w:rPr>
          <w:rFonts w:eastAsiaTheme="minorHAnsi"/>
        </w:rPr>
        <w:t>The varied approaches adopted by the state and territory Legal Aid Commissions in their delivery of child protection legal services, may be summarised as follows:</w:t>
      </w:r>
    </w:p>
    <w:p w14:paraId="19CCE63F" w14:textId="1DA7F7CC" w:rsidR="00972ADC" w:rsidRPr="00972ADC" w:rsidRDefault="00972ADC" w:rsidP="00DB6157">
      <w:pPr>
        <w:pStyle w:val="ListBullet"/>
        <w:rPr>
          <w:rFonts w:eastAsiaTheme="minorHAnsi"/>
        </w:rPr>
      </w:pPr>
      <w:r w:rsidRPr="00972ADC">
        <w:rPr>
          <w:rFonts w:eastAsiaTheme="minorHAnsi"/>
        </w:rPr>
        <w:t>All states and territories use a mixed model of service delivery, utilising in-house and private lawyers, as well as some Community Legal Service lawyers. In addition to Victoria, three jurisdictions have a strong Community Legal Service presence, particularly in the provision of legal services for Aboriginal and Torres Strait Islander clien</w:t>
      </w:r>
      <w:r w:rsidR="006261B7">
        <w:rPr>
          <w:rFonts w:eastAsiaTheme="minorHAnsi"/>
        </w:rPr>
        <w:t>ts –</w:t>
      </w:r>
      <w:r w:rsidRPr="00972ADC">
        <w:rPr>
          <w:rFonts w:eastAsiaTheme="minorHAnsi"/>
        </w:rPr>
        <w:t xml:space="preserve"> Queensland, New South Wales and the Northern Territory. </w:t>
      </w:r>
    </w:p>
    <w:p w14:paraId="64A9BC40" w14:textId="77777777" w:rsidR="00972ADC" w:rsidRPr="00972ADC" w:rsidRDefault="00972ADC" w:rsidP="00DB6157">
      <w:pPr>
        <w:pStyle w:val="ListBullet"/>
        <w:rPr>
          <w:rFonts w:eastAsiaTheme="minorHAnsi"/>
        </w:rPr>
      </w:pPr>
      <w:r w:rsidRPr="00972ADC">
        <w:rPr>
          <w:rFonts w:eastAsiaTheme="minorHAnsi"/>
        </w:rPr>
        <w:t xml:space="preserve">All states and territories provide free legal advice by telephone regarding child protection. New South Wales offers free face-to-face clinics in their city office where no appointment is required as well as face-to-face scheduled appointments on designated days at other offices. </w:t>
      </w:r>
    </w:p>
    <w:p w14:paraId="5EA7DA62" w14:textId="77777777" w:rsidR="00972ADC" w:rsidRPr="00972ADC" w:rsidRDefault="00972ADC" w:rsidP="00DB6157">
      <w:pPr>
        <w:pStyle w:val="ListBullet"/>
        <w:rPr>
          <w:rFonts w:eastAsiaTheme="minorHAnsi"/>
        </w:rPr>
      </w:pPr>
      <w:r w:rsidRPr="00972ADC">
        <w:rPr>
          <w:rFonts w:eastAsiaTheme="minorHAnsi"/>
        </w:rPr>
        <w:t>Queensland, New South Wales and Western Australia have information ‘tool-kits’ for parents and children that are easily accessible, with Queensland having the most comprehensive and user-friendly document, prepared by South West Brisbane Community Legal Centre.</w:t>
      </w:r>
    </w:p>
    <w:p w14:paraId="6871DA75" w14:textId="77777777" w:rsidR="00972ADC" w:rsidRPr="00972ADC" w:rsidRDefault="00972ADC" w:rsidP="00DB6157">
      <w:pPr>
        <w:pStyle w:val="ListBullet"/>
        <w:rPr>
          <w:rFonts w:eastAsiaTheme="minorHAnsi"/>
        </w:rPr>
      </w:pPr>
      <w:r w:rsidRPr="00972ADC">
        <w:rPr>
          <w:rFonts w:eastAsiaTheme="minorHAnsi"/>
        </w:rPr>
        <w:t xml:space="preserve">Victoria, New South Wales and Western Australia are the only states to offer a duty lawyer service to assist children and parents responding to initiating applications. Queensland is currently piloting two separate duty lawyer services in the regional courts of Beenleigh and Cairns. </w:t>
      </w:r>
    </w:p>
    <w:p w14:paraId="72D6BA2E" w14:textId="77777777" w:rsidR="00972ADC" w:rsidRPr="00972ADC" w:rsidRDefault="00972ADC" w:rsidP="00DB6157">
      <w:pPr>
        <w:pStyle w:val="ListBullet"/>
        <w:rPr>
          <w:rFonts w:eastAsiaTheme="minorHAnsi"/>
        </w:rPr>
      </w:pPr>
      <w:r w:rsidRPr="00972ADC">
        <w:rPr>
          <w:rFonts w:eastAsiaTheme="minorHAnsi"/>
        </w:rPr>
        <w:t xml:space="preserve">New South Wales and Queensland provide a grant of legal aid to enable assistance and representation prior to the commencement of child protection proceedings. In Queensland, this grant is not subject to a merits assessment. In New South Wales, this grant may include </w:t>
      </w:r>
      <w:r w:rsidRPr="00972ADC">
        <w:rPr>
          <w:rFonts w:eastAsiaTheme="minorHAnsi"/>
        </w:rPr>
        <w:lastRenderedPageBreak/>
        <w:t xml:space="preserve">appearances at ‘Alternate Dispute Resolution’ as well as ‘pre-litigation contact dispute mediation’. </w:t>
      </w:r>
    </w:p>
    <w:p w14:paraId="32B16455" w14:textId="78EFB82E" w:rsidR="00972ADC" w:rsidRPr="00972ADC" w:rsidRDefault="00972ADC" w:rsidP="00DB6157">
      <w:pPr>
        <w:pStyle w:val="ListBullet"/>
        <w:rPr>
          <w:rFonts w:eastAsiaTheme="minorHAnsi" w:cs="Arial"/>
          <w:szCs w:val="22"/>
        </w:rPr>
      </w:pPr>
      <w:r>
        <w:rPr>
          <w:rFonts w:eastAsiaTheme="minorHAnsi" w:cs="Arial"/>
          <w:szCs w:val="22"/>
        </w:rPr>
        <w:t>A</w:t>
      </w:r>
      <w:r w:rsidRPr="00972ADC">
        <w:rPr>
          <w:rFonts w:eastAsiaTheme="minorHAnsi" w:cs="Arial"/>
          <w:szCs w:val="22"/>
        </w:rPr>
        <w:t>ll states and territories provide a grant of legal aid to enable assistance and legal representation for eligible clients responding t</w:t>
      </w:r>
      <w:r w:rsidR="00DB6157">
        <w:rPr>
          <w:rFonts w:eastAsiaTheme="minorHAnsi" w:cs="Arial"/>
          <w:szCs w:val="22"/>
        </w:rPr>
        <w:t>o child protection proceedings.</w:t>
      </w:r>
    </w:p>
    <w:p w14:paraId="5A62E0D3" w14:textId="6EA0915F" w:rsidR="00972ADC" w:rsidRPr="00972ADC" w:rsidRDefault="00972ADC" w:rsidP="00DB6157">
      <w:pPr>
        <w:pStyle w:val="ListBullet"/>
        <w:rPr>
          <w:rFonts w:eastAsiaTheme="minorHAnsi" w:cs="Arial"/>
          <w:szCs w:val="22"/>
        </w:rPr>
      </w:pPr>
      <w:r w:rsidRPr="00972ADC">
        <w:rPr>
          <w:rFonts w:eastAsiaTheme="minorHAnsi" w:cs="Arial"/>
          <w:szCs w:val="22"/>
        </w:rPr>
        <w:t xml:space="preserve">Eligibility thresholds for Queensland, Tasmania and Western Australian </w:t>
      </w:r>
      <w:r w:rsidR="00C248DC">
        <w:rPr>
          <w:rFonts w:eastAsiaTheme="minorHAnsi" w:cs="Arial"/>
          <w:szCs w:val="22"/>
        </w:rPr>
        <w:t>p</w:t>
      </w:r>
      <w:r w:rsidRPr="00972ADC">
        <w:rPr>
          <w:rFonts w:eastAsiaTheme="minorHAnsi" w:cs="Arial"/>
          <w:szCs w:val="22"/>
        </w:rPr>
        <w:t>rovide assistance where the Department is seeking to remove custody or guardianship and/or the child is already removed from the parent’s care and there are reasonable prospects of challenging that disposition or order or sp</w:t>
      </w:r>
      <w:r w:rsidR="00DB6157">
        <w:rPr>
          <w:rFonts w:eastAsiaTheme="minorHAnsi" w:cs="Arial"/>
          <w:szCs w:val="22"/>
        </w:rPr>
        <w:t>ecial circumstances exist.</w:t>
      </w:r>
    </w:p>
    <w:p w14:paraId="1E57F797" w14:textId="64C6620D" w:rsidR="00972ADC" w:rsidRPr="00972ADC" w:rsidRDefault="00972ADC" w:rsidP="00DB6157">
      <w:pPr>
        <w:pStyle w:val="ListBullet"/>
        <w:rPr>
          <w:rFonts w:eastAsiaTheme="minorHAnsi" w:cs="Arial"/>
          <w:szCs w:val="22"/>
        </w:rPr>
      </w:pPr>
      <w:r w:rsidRPr="00972ADC">
        <w:rPr>
          <w:rFonts w:eastAsiaTheme="minorHAnsi" w:cs="Arial"/>
          <w:szCs w:val="22"/>
        </w:rPr>
        <w:t>Tasmania requires a nominal contribution of $60 from all clients above the age of 18.</w:t>
      </w:r>
    </w:p>
    <w:p w14:paraId="2FC215C7" w14:textId="435A92C5" w:rsidR="00972ADC" w:rsidRPr="00972ADC" w:rsidRDefault="00972ADC" w:rsidP="00DB6157">
      <w:pPr>
        <w:pStyle w:val="ListBullet"/>
        <w:rPr>
          <w:rFonts w:eastAsiaTheme="minorHAnsi" w:cs="Arial"/>
          <w:szCs w:val="22"/>
        </w:rPr>
      </w:pPr>
      <w:r w:rsidRPr="00972ADC">
        <w:rPr>
          <w:rFonts w:eastAsiaTheme="minorHAnsi" w:cs="Arial"/>
          <w:szCs w:val="22"/>
        </w:rPr>
        <w:t xml:space="preserve">Australian Capital Territory and South Australia capped </w:t>
      </w:r>
      <w:r w:rsidR="00BB17AC">
        <w:rPr>
          <w:rFonts w:eastAsiaTheme="minorHAnsi" w:cs="Arial"/>
          <w:szCs w:val="22"/>
        </w:rPr>
        <w:t>the amount of service that can be provided</w:t>
      </w:r>
      <w:r w:rsidRPr="00972ADC">
        <w:rPr>
          <w:rFonts w:eastAsiaTheme="minorHAnsi" w:cs="Arial"/>
          <w:szCs w:val="22"/>
        </w:rPr>
        <w:t xml:space="preserve">. In the ACT, the </w:t>
      </w:r>
      <w:r w:rsidR="00BB17AC">
        <w:rPr>
          <w:rFonts w:eastAsiaTheme="minorHAnsi" w:cs="Arial"/>
          <w:szCs w:val="22"/>
        </w:rPr>
        <w:t>services provided</w:t>
      </w:r>
      <w:r w:rsidRPr="00972ADC">
        <w:rPr>
          <w:rFonts w:eastAsiaTheme="minorHAnsi" w:cs="Arial"/>
          <w:szCs w:val="22"/>
        </w:rPr>
        <w:t xml:space="preserve"> </w:t>
      </w:r>
      <w:r w:rsidR="00F4197B">
        <w:rPr>
          <w:rFonts w:eastAsiaTheme="minorHAnsi" w:cs="Arial"/>
          <w:szCs w:val="22"/>
        </w:rPr>
        <w:t xml:space="preserve">are capped at </w:t>
      </w:r>
      <w:r w:rsidRPr="00972ADC">
        <w:rPr>
          <w:rFonts w:eastAsiaTheme="minorHAnsi" w:cs="Arial"/>
          <w:szCs w:val="22"/>
        </w:rPr>
        <w:t xml:space="preserve">$15,000 and in South Australia, </w:t>
      </w:r>
      <w:r w:rsidR="00F4197B">
        <w:rPr>
          <w:rFonts w:eastAsiaTheme="minorHAnsi" w:cs="Arial"/>
          <w:szCs w:val="22"/>
        </w:rPr>
        <w:t xml:space="preserve">at </w:t>
      </w:r>
      <w:r w:rsidRPr="00972ADC">
        <w:rPr>
          <w:rFonts w:eastAsiaTheme="minorHAnsi" w:cs="Arial"/>
          <w:szCs w:val="22"/>
        </w:rPr>
        <w:t>$12,500 for each party and $17,000 for independe</w:t>
      </w:r>
      <w:r w:rsidR="006261B7">
        <w:rPr>
          <w:rFonts w:eastAsiaTheme="minorHAnsi" w:cs="Arial"/>
          <w:szCs w:val="22"/>
        </w:rPr>
        <w:t>nt representation of a child.</w:t>
      </w:r>
    </w:p>
    <w:p w14:paraId="43CA366E" w14:textId="758FBC00" w:rsidR="00972ADC" w:rsidRPr="00972ADC" w:rsidRDefault="00972ADC" w:rsidP="00DB6157">
      <w:pPr>
        <w:pStyle w:val="ListBullet"/>
        <w:rPr>
          <w:rFonts w:eastAsiaTheme="minorHAnsi" w:cs="Arial"/>
          <w:szCs w:val="22"/>
        </w:rPr>
      </w:pPr>
      <w:r w:rsidRPr="00972ADC">
        <w:rPr>
          <w:rFonts w:eastAsiaTheme="minorHAnsi" w:cs="Arial"/>
          <w:szCs w:val="22"/>
        </w:rPr>
        <w:t>New South Wales and Queensland provide a grant of legal aid to enable assistance and representation following the conclusion of child protection proceedings. In New South Wales, the grant funds representation at a case planning meeting where conditions as to contact and s</w:t>
      </w:r>
      <w:r w:rsidR="006261B7">
        <w:rPr>
          <w:rFonts w:eastAsiaTheme="minorHAnsi" w:cs="Arial"/>
          <w:szCs w:val="22"/>
        </w:rPr>
        <w:t>upport services may be decided.</w:t>
      </w:r>
      <w:r w:rsidRPr="00972ADC">
        <w:rPr>
          <w:rFonts w:eastAsiaTheme="minorHAnsi" w:cs="Arial"/>
          <w:szCs w:val="22"/>
        </w:rPr>
        <w:t xml:space="preserve"> In Queensland, this grant is not subject to a merits assessment and includes attendance at a post-order Family Group Conference.</w:t>
      </w:r>
    </w:p>
    <w:p w14:paraId="3F96EA36" w14:textId="77777777" w:rsidR="00972ADC" w:rsidRPr="00972ADC" w:rsidRDefault="00972ADC" w:rsidP="00DB6157">
      <w:pPr>
        <w:pStyle w:val="ListBullet"/>
        <w:rPr>
          <w:rFonts w:eastAsiaTheme="minorHAnsi" w:cs="Arial"/>
          <w:szCs w:val="22"/>
        </w:rPr>
      </w:pPr>
      <w:r w:rsidRPr="00972ADC">
        <w:rPr>
          <w:rFonts w:eastAsiaTheme="minorHAnsi" w:cs="Arial"/>
          <w:szCs w:val="22"/>
        </w:rPr>
        <w:t xml:space="preserve">Victoria, New South Wales and Queensland provide, in limited circumstances, a grant of legal aid for legal representation at an administrative review. </w:t>
      </w:r>
    </w:p>
    <w:p w14:paraId="1BA3E1B3" w14:textId="0E031D41" w:rsidR="00972ADC" w:rsidRPr="00972ADC" w:rsidRDefault="00972ADC" w:rsidP="00DB6157">
      <w:pPr>
        <w:pStyle w:val="ListBullet"/>
        <w:rPr>
          <w:rFonts w:eastAsiaTheme="minorHAnsi" w:cs="Arial"/>
          <w:szCs w:val="22"/>
        </w:rPr>
      </w:pPr>
      <w:r w:rsidRPr="00972ADC">
        <w:rPr>
          <w:rFonts w:eastAsiaTheme="minorHAnsi" w:cs="Arial"/>
          <w:szCs w:val="22"/>
        </w:rPr>
        <w:t>Victoria, New South Wales and Queensland provide, in limited circumstances, a grant of legal aid to initiate child protection proc</w:t>
      </w:r>
      <w:r w:rsidR="006261B7">
        <w:rPr>
          <w:rFonts w:eastAsiaTheme="minorHAnsi" w:cs="Arial"/>
          <w:szCs w:val="22"/>
        </w:rPr>
        <w:t>eedings.</w:t>
      </w:r>
    </w:p>
    <w:p w14:paraId="79165FD3" w14:textId="77777777" w:rsidR="00972ADC" w:rsidRPr="00972ADC" w:rsidRDefault="00972ADC" w:rsidP="00DB6157">
      <w:pPr>
        <w:pStyle w:val="ListBullet"/>
        <w:rPr>
          <w:rFonts w:eastAsiaTheme="minorHAnsi" w:cs="Arial"/>
          <w:szCs w:val="22"/>
        </w:rPr>
      </w:pPr>
      <w:r>
        <w:rPr>
          <w:rFonts w:eastAsiaTheme="minorHAnsi" w:cs="Arial"/>
          <w:szCs w:val="22"/>
        </w:rPr>
        <w:t>A</w:t>
      </w:r>
      <w:r w:rsidRPr="00972ADC">
        <w:rPr>
          <w:rFonts w:eastAsiaTheme="minorHAnsi" w:cs="Arial"/>
          <w:szCs w:val="22"/>
        </w:rPr>
        <w:t>ll states and territories identify children and Aboriginal and Torres Strait Islanders as priority client groups.</w:t>
      </w:r>
    </w:p>
    <w:p w14:paraId="6A670CA6" w14:textId="1BD503A3" w:rsidR="00972ADC" w:rsidRDefault="00972ADC" w:rsidP="00DB6157">
      <w:pPr>
        <w:pStyle w:val="ListBullet"/>
        <w:rPr>
          <w:rFonts w:eastAsiaTheme="minorHAnsi" w:cs="Arial"/>
          <w:szCs w:val="22"/>
        </w:rPr>
      </w:pPr>
      <w:r w:rsidRPr="00972ADC">
        <w:rPr>
          <w:rFonts w:eastAsiaTheme="minorHAnsi" w:cs="Arial"/>
          <w:szCs w:val="22"/>
        </w:rPr>
        <w:t xml:space="preserve">Queensland and New South Wales Legal Aid Commissions are piloting early intervention services involving mothers who have been the subject of unborn </w:t>
      </w:r>
      <w:r w:rsidR="009451B8">
        <w:rPr>
          <w:rFonts w:cs="Arial"/>
          <w:szCs w:val="22"/>
          <w:lang w:eastAsia="en-AU"/>
        </w:rPr>
        <w:t>reports</w:t>
      </w:r>
      <w:r w:rsidRPr="00972ADC">
        <w:rPr>
          <w:rFonts w:eastAsiaTheme="minorHAnsi" w:cs="Arial"/>
          <w:szCs w:val="22"/>
        </w:rPr>
        <w:t>. These pilots operate in partnership with hospitals and social workers from their equivalent DHHS.</w:t>
      </w:r>
    </w:p>
    <w:p w14:paraId="265AC1C4" w14:textId="50D00279" w:rsidR="00A24DD1" w:rsidRPr="00DB6157" w:rsidRDefault="00972ADC" w:rsidP="00DB6157">
      <w:pPr>
        <w:rPr>
          <w:rFonts w:eastAsiaTheme="minorHAnsi"/>
        </w:rPr>
      </w:pPr>
      <w:r w:rsidRPr="00DB6157">
        <w:rPr>
          <w:rFonts w:eastAsiaTheme="minorHAnsi"/>
        </w:rPr>
        <w:t xml:space="preserve">In summary, </w:t>
      </w:r>
      <w:r w:rsidR="002C4AA6" w:rsidRPr="00DB6157">
        <w:rPr>
          <w:rFonts w:eastAsiaTheme="minorHAnsi"/>
        </w:rPr>
        <w:t xml:space="preserve">Legal Aid </w:t>
      </w:r>
      <w:r w:rsidRPr="00DB6157">
        <w:rPr>
          <w:rFonts w:eastAsiaTheme="minorHAnsi"/>
        </w:rPr>
        <w:t>New South Wales appears to offer the most comprehensive package of child protection legal services.</w:t>
      </w:r>
      <w:r w:rsidR="00E10955" w:rsidRPr="00DB6157">
        <w:rPr>
          <w:rFonts w:eastAsiaTheme="minorHAnsi"/>
        </w:rPr>
        <w:t xml:space="preserve"> </w:t>
      </w:r>
      <w:r w:rsidRPr="00DB6157">
        <w:rPr>
          <w:rFonts w:eastAsiaTheme="minorHAnsi"/>
        </w:rPr>
        <w:t>It also operates within a similar legislative framework, suggesting that there is merit in examining</w:t>
      </w:r>
      <w:r w:rsidR="00DB6157">
        <w:rPr>
          <w:rFonts w:eastAsiaTheme="minorHAnsi"/>
        </w:rPr>
        <w:t xml:space="preserve"> the arrangements more closely.</w:t>
      </w:r>
    </w:p>
    <w:p w14:paraId="02C85380" w14:textId="430DD180" w:rsidR="00972ADC" w:rsidRDefault="002C409F" w:rsidP="00DB6157">
      <w:pPr>
        <w:rPr>
          <w:rFonts w:eastAsiaTheme="minorHAnsi"/>
        </w:rPr>
      </w:pPr>
      <w:r w:rsidRPr="00DB6157">
        <w:rPr>
          <w:rFonts w:eastAsiaTheme="minorHAnsi"/>
        </w:rPr>
        <w:t xml:space="preserve">Legal Aid </w:t>
      </w:r>
      <w:r w:rsidR="002C4AA6" w:rsidRPr="00DB6157">
        <w:rPr>
          <w:rFonts w:eastAsiaTheme="minorHAnsi"/>
        </w:rPr>
        <w:t xml:space="preserve">NSW </w:t>
      </w:r>
      <w:r w:rsidRPr="00DB6157">
        <w:rPr>
          <w:rFonts w:eastAsiaTheme="minorHAnsi"/>
        </w:rPr>
        <w:t>receives a higher level of Commonwealth and State funding per capita than Victoria</w:t>
      </w:r>
      <w:r w:rsidR="00A24DD1" w:rsidRPr="00DB6157">
        <w:rPr>
          <w:rFonts w:eastAsiaTheme="minorHAnsi"/>
        </w:rPr>
        <w:t xml:space="preserve"> Legal Aid</w:t>
      </w:r>
      <w:r w:rsidRPr="00DB6157">
        <w:rPr>
          <w:rFonts w:eastAsiaTheme="minorHAnsi"/>
        </w:rPr>
        <w:t>.</w:t>
      </w:r>
      <w:r w:rsidR="00A24DD1" w:rsidRPr="00DB6157">
        <w:rPr>
          <w:rFonts w:eastAsiaTheme="minorHAnsi"/>
        </w:rPr>
        <w:t xml:space="preserve"> If VLA received the same level of funding per Victorian, this would see an additional payment of $4 million annually from the Commonwealth and $22 million annually from the State</w:t>
      </w:r>
      <w:r w:rsidR="00A24DD1">
        <w:rPr>
          <w:rFonts w:eastAsiaTheme="minorHAnsi"/>
        </w:rPr>
        <w:t>.</w:t>
      </w:r>
      <w:r w:rsidR="00A24DD1">
        <w:rPr>
          <w:rStyle w:val="FootnoteReference"/>
          <w:rFonts w:eastAsiaTheme="minorHAnsi" w:cs="Arial"/>
          <w:szCs w:val="22"/>
        </w:rPr>
        <w:footnoteReference w:id="105"/>
      </w:r>
      <w:r w:rsidR="00A24DD1">
        <w:rPr>
          <w:rFonts w:eastAsiaTheme="minorHAnsi"/>
        </w:rPr>
        <w:t xml:space="preserve"> </w:t>
      </w:r>
    </w:p>
    <w:p w14:paraId="5A37FA10" w14:textId="77777777" w:rsidR="00972ADC" w:rsidRDefault="00972ADC" w:rsidP="00DB6157">
      <w:pPr>
        <w:pStyle w:val="Heading1numbered"/>
        <w:rPr>
          <w:rFonts w:eastAsiaTheme="minorHAnsi"/>
        </w:rPr>
      </w:pPr>
      <w:bookmarkStart w:id="44" w:name="_Toc465244422"/>
      <w:r>
        <w:rPr>
          <w:rFonts w:eastAsiaTheme="minorHAnsi"/>
        </w:rPr>
        <w:t>Comparison with international jurisdictions</w:t>
      </w:r>
      <w:bookmarkEnd w:id="44"/>
    </w:p>
    <w:p w14:paraId="30812A3B" w14:textId="33CB0A8F" w:rsidR="00972ADC" w:rsidRDefault="00972ADC" w:rsidP="00086408">
      <w:pPr>
        <w:spacing w:line="276" w:lineRule="auto"/>
        <w:rPr>
          <w:rFonts w:eastAsiaTheme="minorHAnsi"/>
          <w:lang w:eastAsia="en-AU"/>
        </w:rPr>
      </w:pPr>
      <w:r w:rsidRPr="00972ADC">
        <w:rPr>
          <w:rFonts w:eastAsiaTheme="minorHAnsi"/>
          <w:lang w:eastAsia="en-AU"/>
        </w:rPr>
        <w:t>It is important to examine the approach adopted in other places in order to identify possible improvements to service design. However, services and policies are designed within their country specific context, which makes a direct transfer difficult and possibly unwise. Thus it is necessary to understand the context and assess the relative</w:t>
      </w:r>
      <w:r w:rsidR="00E42B8D">
        <w:rPr>
          <w:rFonts w:eastAsiaTheme="minorHAnsi"/>
          <w:lang w:eastAsia="en-AU"/>
        </w:rPr>
        <w:t xml:space="preserve"> merits and potential problems.</w:t>
      </w:r>
      <w:r w:rsidRPr="00972ADC">
        <w:rPr>
          <w:rFonts w:eastAsiaTheme="minorHAnsi"/>
          <w:lang w:eastAsia="en-AU"/>
        </w:rPr>
        <w:t xml:space="preserve"> This section explores the similarities and differences in the child protection systems in operation in New Zealand, Canada, England, Scotland, Norway, and Sweden.</w:t>
      </w:r>
    </w:p>
    <w:p w14:paraId="663DF1EC" w14:textId="77777777" w:rsidR="00972ADC" w:rsidRPr="00E42B8D" w:rsidRDefault="00972ADC" w:rsidP="00E42B8D">
      <w:pPr>
        <w:pStyle w:val="Heading2numbered"/>
        <w:numPr>
          <w:ilvl w:val="2"/>
          <w:numId w:val="58"/>
        </w:numPr>
        <w:ind w:left="426" w:hanging="426"/>
        <w:rPr>
          <w:rFonts w:eastAsiaTheme="minorHAnsi"/>
        </w:rPr>
      </w:pPr>
      <w:bookmarkStart w:id="45" w:name="_Toc465244423"/>
      <w:r w:rsidRPr="00E42B8D">
        <w:rPr>
          <w:rFonts w:eastAsiaTheme="minorHAnsi"/>
        </w:rPr>
        <w:lastRenderedPageBreak/>
        <w:t>Different approaches</w:t>
      </w:r>
      <w:bookmarkEnd w:id="45"/>
      <w:r w:rsidRPr="00E42B8D">
        <w:rPr>
          <w:rFonts w:eastAsiaTheme="minorHAnsi"/>
        </w:rPr>
        <w:t xml:space="preserve"> </w:t>
      </w:r>
    </w:p>
    <w:p w14:paraId="7176D86D" w14:textId="77777777" w:rsidR="003526CE" w:rsidRDefault="003526CE" w:rsidP="00086408">
      <w:pPr>
        <w:spacing w:line="276" w:lineRule="auto"/>
        <w:rPr>
          <w:lang w:eastAsia="en-AU"/>
        </w:rPr>
      </w:pPr>
      <w:r>
        <w:rPr>
          <w:lang w:eastAsia="en-AU"/>
        </w:rPr>
        <w:t>There are different approaches to</w:t>
      </w:r>
      <w:r w:rsidR="00972ADC" w:rsidRPr="00972ADC">
        <w:rPr>
          <w:lang w:eastAsia="en-AU"/>
        </w:rPr>
        <w:t xml:space="preserve"> issues of child neglect and maltreatment</w:t>
      </w:r>
      <w:r>
        <w:rPr>
          <w:lang w:eastAsia="en-AU"/>
        </w:rPr>
        <w:t>. Examining these</w:t>
      </w:r>
      <w:r w:rsidR="00972ADC" w:rsidRPr="00972ADC">
        <w:rPr>
          <w:lang w:eastAsia="en-AU"/>
        </w:rPr>
        <w:t xml:space="preserve"> assist</w:t>
      </w:r>
      <w:r>
        <w:rPr>
          <w:lang w:eastAsia="en-AU"/>
        </w:rPr>
        <w:t>s</w:t>
      </w:r>
      <w:r w:rsidR="00972ADC" w:rsidRPr="00972ADC">
        <w:rPr>
          <w:lang w:eastAsia="en-AU"/>
        </w:rPr>
        <w:t xml:space="preserve"> us to understand the different response that are adopted</w:t>
      </w:r>
      <w:r>
        <w:rPr>
          <w:lang w:eastAsia="en-AU"/>
        </w:rPr>
        <w:t xml:space="preserve"> over time and in different places.</w:t>
      </w:r>
    </w:p>
    <w:p w14:paraId="7759CACD" w14:textId="2E8F9163" w:rsidR="00972ADC" w:rsidRPr="00972ADC" w:rsidRDefault="003526CE" w:rsidP="00086408">
      <w:pPr>
        <w:spacing w:line="276" w:lineRule="auto"/>
        <w:rPr>
          <w:lang w:eastAsia="en-AU"/>
        </w:rPr>
      </w:pPr>
      <w:r>
        <w:rPr>
          <w:lang w:eastAsia="en-AU"/>
        </w:rPr>
        <w:t>I</w:t>
      </w:r>
      <w:r w:rsidR="00972ADC" w:rsidRPr="00972ADC">
        <w:rPr>
          <w:lang w:eastAsia="en-AU"/>
        </w:rPr>
        <w:t>n the 19</w:t>
      </w:r>
      <w:r w:rsidR="00972ADC">
        <w:rPr>
          <w:lang w:eastAsia="en-AU"/>
        </w:rPr>
        <w:t>90s two key approaches</w:t>
      </w:r>
      <w:r>
        <w:rPr>
          <w:lang w:eastAsia="en-AU"/>
        </w:rPr>
        <w:t xml:space="preserve"> were common</w:t>
      </w:r>
      <w:r w:rsidR="00017B0A">
        <w:rPr>
          <w:lang w:eastAsia="en-AU"/>
        </w:rPr>
        <w:t>:</w:t>
      </w:r>
      <w:r w:rsidR="00972ADC">
        <w:rPr>
          <w:rStyle w:val="FootnoteReference"/>
          <w:lang w:eastAsia="en-AU"/>
        </w:rPr>
        <w:footnoteReference w:id="106"/>
      </w:r>
    </w:p>
    <w:p w14:paraId="4AC60864" w14:textId="77777777" w:rsidR="00972ADC" w:rsidRPr="00972ADC" w:rsidRDefault="00972ADC" w:rsidP="00E42B8D">
      <w:pPr>
        <w:pStyle w:val="ListBullet"/>
        <w:rPr>
          <w:lang w:eastAsia="en-AU"/>
        </w:rPr>
      </w:pPr>
      <w:r w:rsidRPr="00972ADC">
        <w:rPr>
          <w:lang w:eastAsia="en-AU"/>
        </w:rPr>
        <w:t xml:space="preserve">Anglo-American countries, including Australia, New Zealand, England, the United States and Canada adopted a </w:t>
      </w:r>
      <w:r w:rsidRPr="00972ADC">
        <w:rPr>
          <w:i/>
          <w:lang w:eastAsia="en-AU"/>
        </w:rPr>
        <w:t>child protection</w:t>
      </w:r>
      <w:r w:rsidRPr="00972ADC">
        <w:rPr>
          <w:lang w:eastAsia="en-AU"/>
        </w:rPr>
        <w:t xml:space="preserve"> approach </w:t>
      </w:r>
    </w:p>
    <w:p w14:paraId="2A3CD027" w14:textId="2B12AF38" w:rsidR="00972ADC" w:rsidRPr="00972ADC" w:rsidRDefault="00972ADC" w:rsidP="00E42B8D">
      <w:pPr>
        <w:pStyle w:val="ListBullet"/>
        <w:rPr>
          <w:lang w:eastAsia="en-AU"/>
        </w:rPr>
      </w:pPr>
      <w:r w:rsidRPr="00972ADC">
        <w:rPr>
          <w:lang w:eastAsia="en-AU"/>
        </w:rPr>
        <w:t xml:space="preserve">Nordic and Continental European countries, such as Sweden, Belgium and Norway adopted a </w:t>
      </w:r>
      <w:r w:rsidRPr="00972ADC">
        <w:rPr>
          <w:i/>
          <w:lang w:eastAsia="en-AU"/>
        </w:rPr>
        <w:t>family service</w:t>
      </w:r>
      <w:r w:rsidR="000C602E">
        <w:rPr>
          <w:lang w:eastAsia="en-AU"/>
        </w:rPr>
        <w:t xml:space="preserve"> approach.</w:t>
      </w:r>
    </w:p>
    <w:p w14:paraId="7A0A2A40" w14:textId="77777777" w:rsidR="00A270B5" w:rsidRDefault="00972ADC" w:rsidP="00086408">
      <w:pPr>
        <w:spacing w:line="276" w:lineRule="auto"/>
        <w:rPr>
          <w:lang w:eastAsia="en-AU"/>
        </w:rPr>
      </w:pPr>
      <w:r w:rsidRPr="00972ADC">
        <w:rPr>
          <w:lang w:eastAsia="en-AU"/>
        </w:rPr>
        <w:t xml:space="preserve">The </w:t>
      </w:r>
      <w:r w:rsidRPr="00972ADC">
        <w:rPr>
          <w:i/>
          <w:lang w:eastAsia="en-AU"/>
        </w:rPr>
        <w:t>child protection</w:t>
      </w:r>
      <w:r w:rsidRPr="00972ADC">
        <w:rPr>
          <w:lang w:eastAsia="en-AU"/>
        </w:rPr>
        <w:t xml:space="preserve"> </w:t>
      </w:r>
      <w:r w:rsidR="003526CE">
        <w:rPr>
          <w:lang w:eastAsia="en-AU"/>
        </w:rPr>
        <w:t xml:space="preserve">approach </w:t>
      </w:r>
      <w:r w:rsidRPr="00972ADC">
        <w:rPr>
          <w:lang w:eastAsia="en-AU"/>
        </w:rPr>
        <w:t xml:space="preserve">tends to view child protection as distinct from </w:t>
      </w:r>
      <w:r w:rsidR="003526CE">
        <w:rPr>
          <w:lang w:eastAsia="en-AU"/>
        </w:rPr>
        <w:t xml:space="preserve">other </w:t>
      </w:r>
      <w:r w:rsidRPr="00972ADC">
        <w:rPr>
          <w:lang w:eastAsia="en-AU"/>
        </w:rPr>
        <w:t>services for children with lower levels of need</w:t>
      </w:r>
      <w:r w:rsidR="003526CE">
        <w:rPr>
          <w:lang w:eastAsia="en-AU"/>
        </w:rPr>
        <w:t xml:space="preserve">. They </w:t>
      </w:r>
      <w:r w:rsidRPr="00972ADC">
        <w:rPr>
          <w:lang w:eastAsia="en-AU"/>
        </w:rPr>
        <w:t xml:space="preserve">to delay intervention and adopt a more legalistic approach. </w:t>
      </w:r>
    </w:p>
    <w:p w14:paraId="7303E164" w14:textId="77777777" w:rsidR="00972ADC" w:rsidRPr="00972ADC" w:rsidRDefault="00972ADC" w:rsidP="00086408">
      <w:pPr>
        <w:spacing w:line="276" w:lineRule="auto"/>
        <w:rPr>
          <w:lang w:eastAsia="en-AU"/>
        </w:rPr>
      </w:pPr>
      <w:r w:rsidRPr="00972ADC">
        <w:rPr>
          <w:lang w:eastAsia="en-AU"/>
        </w:rPr>
        <w:t xml:space="preserve">In contrast, the </w:t>
      </w:r>
      <w:r w:rsidRPr="00B02CB4">
        <w:rPr>
          <w:i/>
          <w:lang w:eastAsia="en-AU"/>
        </w:rPr>
        <w:t>family service</w:t>
      </w:r>
      <w:r w:rsidRPr="00972ADC">
        <w:rPr>
          <w:lang w:eastAsia="en-AU"/>
        </w:rPr>
        <w:t xml:space="preserve"> approach is </w:t>
      </w:r>
      <w:r w:rsidR="003526CE">
        <w:rPr>
          <w:lang w:eastAsia="en-AU"/>
        </w:rPr>
        <w:t>seen</w:t>
      </w:r>
      <w:r w:rsidRPr="00972ADC">
        <w:rPr>
          <w:lang w:eastAsia="en-AU"/>
        </w:rPr>
        <w:t xml:space="preserve"> as needs based; child protection investigations are seen as part of </w:t>
      </w:r>
      <w:r w:rsidR="003526CE">
        <w:rPr>
          <w:lang w:eastAsia="en-AU"/>
        </w:rPr>
        <w:t xml:space="preserve">the </w:t>
      </w:r>
      <w:r w:rsidR="00A270B5">
        <w:rPr>
          <w:lang w:eastAsia="en-AU"/>
        </w:rPr>
        <w:t>service system for</w:t>
      </w:r>
      <w:r w:rsidRPr="00972ADC">
        <w:rPr>
          <w:lang w:eastAsia="en-AU"/>
        </w:rPr>
        <w:t xml:space="preserve"> children in need and their families</w:t>
      </w:r>
      <w:r w:rsidR="00A270B5">
        <w:rPr>
          <w:lang w:eastAsia="en-AU"/>
        </w:rPr>
        <w:t xml:space="preserve">. The child protection agency deals with </w:t>
      </w:r>
      <w:r w:rsidRPr="00972ADC">
        <w:rPr>
          <w:lang w:eastAsia="en-AU"/>
        </w:rPr>
        <w:t>allegations of maltreatment</w:t>
      </w:r>
      <w:r w:rsidR="00A270B5">
        <w:rPr>
          <w:lang w:eastAsia="en-AU"/>
        </w:rPr>
        <w:t xml:space="preserve">, as well as providing </w:t>
      </w:r>
      <w:r w:rsidRPr="00972ADC">
        <w:rPr>
          <w:lang w:eastAsia="en-AU"/>
        </w:rPr>
        <w:t xml:space="preserve">family support services for children who may be in need but not likely to suffer significant harm. </w:t>
      </w:r>
    </w:p>
    <w:p w14:paraId="76EABB2D" w14:textId="6D1AB820" w:rsidR="00972ADC" w:rsidRPr="00972ADC" w:rsidRDefault="00972ADC" w:rsidP="00086408">
      <w:pPr>
        <w:spacing w:line="276" w:lineRule="auto"/>
        <w:rPr>
          <w:lang w:eastAsia="en-AU"/>
        </w:rPr>
      </w:pPr>
      <w:r w:rsidRPr="00972ADC">
        <w:rPr>
          <w:lang w:eastAsia="en-AU"/>
        </w:rPr>
        <w:t xml:space="preserve">Since the 1990s, questions have been raised as to whether these </w:t>
      </w:r>
      <w:r w:rsidR="00A270B5">
        <w:rPr>
          <w:lang w:eastAsia="en-AU"/>
        </w:rPr>
        <w:t>approaches</w:t>
      </w:r>
      <w:r w:rsidRPr="00972ADC">
        <w:rPr>
          <w:lang w:eastAsia="en-AU"/>
        </w:rPr>
        <w:t xml:space="preserve"> continue to apply to child protection systems</w:t>
      </w:r>
      <w:r w:rsidR="00A270B5">
        <w:rPr>
          <w:lang w:eastAsia="en-AU"/>
        </w:rPr>
        <w:t>.</w:t>
      </w:r>
      <w:r w:rsidR="00B02CB4">
        <w:rPr>
          <w:rStyle w:val="FootnoteReference"/>
          <w:lang w:eastAsia="en-AU"/>
        </w:rPr>
        <w:footnoteReference w:id="107"/>
      </w:r>
      <w:r w:rsidRPr="00972ADC">
        <w:rPr>
          <w:lang w:eastAsia="en-AU"/>
        </w:rPr>
        <w:t xml:space="preserve"> Gilbert, Parton and </w:t>
      </w:r>
      <w:proofErr w:type="spellStart"/>
      <w:r w:rsidRPr="00972ADC">
        <w:rPr>
          <w:lang w:eastAsia="en-AU"/>
        </w:rPr>
        <w:t>Skivens</w:t>
      </w:r>
      <w:proofErr w:type="spellEnd"/>
      <w:r w:rsidRPr="00972ADC">
        <w:rPr>
          <w:lang w:eastAsia="en-AU"/>
        </w:rPr>
        <w:t xml:space="preserve"> suggest that</w:t>
      </w:r>
      <w:r w:rsidR="00A270B5">
        <w:rPr>
          <w:lang w:eastAsia="en-AU"/>
        </w:rPr>
        <w:t>,</w:t>
      </w:r>
      <w:r w:rsidRPr="00972ADC">
        <w:rPr>
          <w:lang w:eastAsia="en-AU"/>
        </w:rPr>
        <w:t xml:space="preserve"> as countries have sought to strike a new balance between child protection and family services</w:t>
      </w:r>
      <w:r w:rsidR="00A270B5">
        <w:rPr>
          <w:lang w:eastAsia="en-AU"/>
        </w:rPr>
        <w:t>,</w:t>
      </w:r>
      <w:r w:rsidRPr="00972ADC">
        <w:rPr>
          <w:lang w:eastAsia="en-AU"/>
        </w:rPr>
        <w:t xml:space="preserve"> a new orientation has emerged which is described as </w:t>
      </w:r>
      <w:r w:rsidR="00E42B8D">
        <w:rPr>
          <w:i/>
          <w:lang w:eastAsia="en-AU"/>
        </w:rPr>
        <w:t>child-focu</w:t>
      </w:r>
      <w:r w:rsidRPr="00B02CB4">
        <w:rPr>
          <w:i/>
          <w:lang w:eastAsia="en-AU"/>
        </w:rPr>
        <w:t>sed</w:t>
      </w:r>
      <w:r w:rsidR="00A270B5">
        <w:rPr>
          <w:i/>
          <w:lang w:eastAsia="en-AU"/>
        </w:rPr>
        <w:t>.</w:t>
      </w:r>
      <w:r w:rsidR="00A270B5">
        <w:rPr>
          <w:rStyle w:val="FootnoteReference"/>
          <w:i/>
          <w:lang w:eastAsia="en-AU"/>
        </w:rPr>
        <w:footnoteReference w:id="108"/>
      </w:r>
      <w:r w:rsidRPr="00972ADC">
        <w:rPr>
          <w:lang w:eastAsia="en-AU"/>
        </w:rPr>
        <w:t xml:space="preserve"> </w:t>
      </w:r>
      <w:r w:rsidR="00A270B5">
        <w:rPr>
          <w:lang w:eastAsia="en-AU"/>
        </w:rPr>
        <w:t>The focus has become</w:t>
      </w:r>
      <w:r w:rsidRPr="00972ADC">
        <w:rPr>
          <w:lang w:eastAsia="en-AU"/>
        </w:rPr>
        <w:t xml:space="preserve"> the child’s overall wellbeing and development. </w:t>
      </w:r>
    </w:p>
    <w:p w14:paraId="261BA54F" w14:textId="1583E0CF" w:rsidR="00972ADC" w:rsidRDefault="00972ADC" w:rsidP="00086408">
      <w:pPr>
        <w:spacing w:line="276" w:lineRule="auto"/>
        <w:rPr>
          <w:lang w:eastAsia="en-AU"/>
        </w:rPr>
      </w:pPr>
      <w:r w:rsidRPr="00972ADC">
        <w:rPr>
          <w:lang w:eastAsia="en-AU"/>
        </w:rPr>
        <w:t xml:space="preserve">Gilbert, Parton and </w:t>
      </w:r>
      <w:proofErr w:type="spellStart"/>
      <w:r w:rsidRPr="00972ADC">
        <w:rPr>
          <w:lang w:eastAsia="en-AU"/>
        </w:rPr>
        <w:t>Skivens</w:t>
      </w:r>
      <w:proofErr w:type="spellEnd"/>
      <w:r w:rsidRPr="00972ADC">
        <w:rPr>
          <w:lang w:eastAsia="en-AU"/>
        </w:rPr>
        <w:t xml:space="preserve"> outline </w:t>
      </w:r>
      <w:r w:rsidR="00E22005">
        <w:rPr>
          <w:lang w:eastAsia="en-AU"/>
        </w:rPr>
        <w:t>the different approaches</w:t>
      </w:r>
      <w:r w:rsidRPr="00972ADC">
        <w:rPr>
          <w:lang w:eastAsia="en-AU"/>
        </w:rPr>
        <w:t xml:space="preserve"> </w:t>
      </w:r>
      <w:r w:rsidR="00CD3C02">
        <w:rPr>
          <w:lang w:eastAsia="en-AU"/>
        </w:rPr>
        <w:t>(</w:t>
      </w:r>
      <w:r w:rsidRPr="00972ADC">
        <w:rPr>
          <w:lang w:eastAsia="en-AU"/>
        </w:rPr>
        <w:t>Table</w:t>
      </w:r>
      <w:r w:rsidR="00CD3C02">
        <w:rPr>
          <w:lang w:eastAsia="en-AU"/>
        </w:rPr>
        <w:t xml:space="preserve"> 7)</w:t>
      </w:r>
      <w:r w:rsidR="00017B0A">
        <w:rPr>
          <w:lang w:eastAsia="en-AU"/>
        </w:rPr>
        <w:t>.</w:t>
      </w:r>
      <w:r w:rsidR="00B02CB4">
        <w:rPr>
          <w:rStyle w:val="FootnoteReference"/>
          <w:lang w:eastAsia="en-AU"/>
        </w:rPr>
        <w:footnoteReference w:id="109"/>
      </w:r>
      <w:r w:rsidRPr="00972ADC">
        <w:rPr>
          <w:lang w:eastAsia="en-AU"/>
        </w:rPr>
        <w:t xml:space="preserve"> They also argue that</w:t>
      </w:r>
      <w:r w:rsidR="00E22005">
        <w:rPr>
          <w:lang w:eastAsia="en-AU"/>
        </w:rPr>
        <w:t xml:space="preserve"> while the emphasis varies, all countries have a mix of approaches.</w:t>
      </w:r>
      <w:r w:rsidR="00B02CB4">
        <w:rPr>
          <w:rStyle w:val="FootnoteReference"/>
          <w:lang w:eastAsia="en-AU"/>
        </w:rPr>
        <w:footnoteReference w:id="110"/>
      </w:r>
    </w:p>
    <w:p w14:paraId="0DA19A33" w14:textId="77777777" w:rsidR="00B93B15" w:rsidRDefault="00B93B15" w:rsidP="00086408">
      <w:pPr>
        <w:spacing w:before="0" w:after="0" w:line="276" w:lineRule="auto"/>
        <w:rPr>
          <w:lang w:eastAsia="en-AU"/>
        </w:rPr>
      </w:pPr>
      <w:r>
        <w:rPr>
          <w:lang w:eastAsia="en-AU"/>
        </w:rPr>
        <w:br w:type="page"/>
      </w:r>
    </w:p>
    <w:p w14:paraId="0BA5497B" w14:textId="77777777" w:rsidR="00B93B15" w:rsidRDefault="00B93B15" w:rsidP="00086408">
      <w:pPr>
        <w:spacing w:line="276" w:lineRule="auto"/>
        <w:rPr>
          <w:lang w:eastAsia="en-AU"/>
        </w:rPr>
      </w:pPr>
    </w:p>
    <w:p w14:paraId="5F00BAF0" w14:textId="76699B43" w:rsidR="00B02CB4" w:rsidRDefault="00B02CB4" w:rsidP="00B5680D">
      <w:pPr>
        <w:pStyle w:val="Figuretableheading"/>
        <w:rPr>
          <w:lang w:eastAsia="en-AU"/>
        </w:rPr>
      </w:pPr>
      <w:r w:rsidRPr="00B02CB4">
        <w:rPr>
          <w:lang w:eastAsia="en-AU"/>
        </w:rPr>
        <w:t>Table 7</w:t>
      </w:r>
      <w:r w:rsidR="00B5680D">
        <w:rPr>
          <w:lang w:eastAsia="en-AU"/>
        </w:rPr>
        <w:t>: The different approaches to issues of child neglect and maltreatment</w:t>
      </w:r>
    </w:p>
    <w:tbl>
      <w:tblPr>
        <w:tblStyle w:val="TableGrid4"/>
        <w:tblW w:w="9498" w:type="dxa"/>
        <w:tblLook w:val="04A0" w:firstRow="1" w:lastRow="0" w:firstColumn="1" w:lastColumn="0" w:noHBand="0" w:noVBand="1"/>
      </w:tblPr>
      <w:tblGrid>
        <w:gridCol w:w="1475"/>
        <w:gridCol w:w="3114"/>
        <w:gridCol w:w="2198"/>
        <w:gridCol w:w="2711"/>
      </w:tblGrid>
      <w:tr w:rsidR="00B02CB4" w:rsidRPr="00B02CB4" w14:paraId="7C0BD142" w14:textId="77777777" w:rsidTr="00B5680D">
        <w:tc>
          <w:tcPr>
            <w:tcW w:w="1475" w:type="dxa"/>
            <w:shd w:val="pct12" w:color="auto" w:fill="auto"/>
          </w:tcPr>
          <w:p w14:paraId="3A107F6D" w14:textId="748F884C" w:rsidR="00B02CB4" w:rsidRPr="00B5680D" w:rsidRDefault="00B5680D" w:rsidP="00B5680D">
            <w:pPr>
              <w:spacing w:after="0" w:line="276" w:lineRule="auto"/>
              <w:jc w:val="left"/>
              <w:rPr>
                <w:rFonts w:cs="Arial"/>
                <w:b/>
                <w:szCs w:val="22"/>
              </w:rPr>
            </w:pPr>
            <w:r w:rsidRPr="00B5680D">
              <w:rPr>
                <w:rFonts w:cs="Arial"/>
                <w:b/>
                <w:szCs w:val="22"/>
              </w:rPr>
              <w:t>Approach</w:t>
            </w:r>
          </w:p>
        </w:tc>
        <w:tc>
          <w:tcPr>
            <w:tcW w:w="3114" w:type="dxa"/>
            <w:shd w:val="pct12" w:color="auto" w:fill="auto"/>
          </w:tcPr>
          <w:p w14:paraId="25F54434" w14:textId="77777777" w:rsidR="00B02CB4" w:rsidRPr="00B02CB4" w:rsidRDefault="00B02CB4" w:rsidP="00B5680D">
            <w:pPr>
              <w:spacing w:after="0" w:line="276" w:lineRule="auto"/>
              <w:jc w:val="left"/>
              <w:rPr>
                <w:rFonts w:cs="Arial"/>
                <w:b/>
                <w:szCs w:val="22"/>
              </w:rPr>
            </w:pPr>
            <w:r w:rsidRPr="00B02CB4">
              <w:rPr>
                <w:rFonts w:cs="Arial"/>
                <w:b/>
                <w:szCs w:val="22"/>
              </w:rPr>
              <w:t>Child Focus</w:t>
            </w:r>
          </w:p>
        </w:tc>
        <w:tc>
          <w:tcPr>
            <w:tcW w:w="2198" w:type="dxa"/>
            <w:shd w:val="pct12" w:color="auto" w:fill="auto"/>
          </w:tcPr>
          <w:p w14:paraId="4D463CEE" w14:textId="77777777" w:rsidR="00B02CB4" w:rsidRPr="00B02CB4" w:rsidRDefault="00B02CB4" w:rsidP="00B5680D">
            <w:pPr>
              <w:spacing w:after="0" w:line="276" w:lineRule="auto"/>
              <w:jc w:val="left"/>
              <w:rPr>
                <w:rFonts w:cs="Arial"/>
                <w:b/>
                <w:szCs w:val="22"/>
              </w:rPr>
            </w:pPr>
            <w:r w:rsidRPr="00B02CB4">
              <w:rPr>
                <w:rFonts w:cs="Arial"/>
                <w:b/>
                <w:szCs w:val="22"/>
              </w:rPr>
              <w:t>Family Service</w:t>
            </w:r>
          </w:p>
        </w:tc>
        <w:tc>
          <w:tcPr>
            <w:tcW w:w="2711" w:type="dxa"/>
            <w:shd w:val="pct12" w:color="auto" w:fill="auto"/>
          </w:tcPr>
          <w:p w14:paraId="1A9C5F97" w14:textId="77777777" w:rsidR="00B02CB4" w:rsidRPr="00B02CB4" w:rsidRDefault="00B02CB4" w:rsidP="00B5680D">
            <w:pPr>
              <w:spacing w:after="0" w:line="276" w:lineRule="auto"/>
              <w:jc w:val="left"/>
              <w:rPr>
                <w:rFonts w:cs="Arial"/>
                <w:b/>
                <w:szCs w:val="22"/>
              </w:rPr>
            </w:pPr>
            <w:r w:rsidRPr="00B02CB4">
              <w:rPr>
                <w:rFonts w:cs="Arial"/>
                <w:b/>
                <w:szCs w:val="22"/>
              </w:rPr>
              <w:t>Child Protection</w:t>
            </w:r>
          </w:p>
        </w:tc>
      </w:tr>
      <w:tr w:rsidR="00B02CB4" w:rsidRPr="00B02CB4" w14:paraId="6072495E" w14:textId="77777777" w:rsidTr="00B5680D">
        <w:tc>
          <w:tcPr>
            <w:tcW w:w="1475" w:type="dxa"/>
          </w:tcPr>
          <w:p w14:paraId="6C67D406" w14:textId="77777777" w:rsidR="00B02CB4" w:rsidRPr="00B02CB4" w:rsidRDefault="00B02CB4" w:rsidP="00B5680D">
            <w:pPr>
              <w:spacing w:after="0" w:line="276" w:lineRule="auto"/>
              <w:jc w:val="left"/>
              <w:rPr>
                <w:rFonts w:cs="Arial"/>
                <w:b/>
                <w:szCs w:val="22"/>
              </w:rPr>
            </w:pPr>
            <w:r w:rsidRPr="00B02CB4">
              <w:rPr>
                <w:rFonts w:cs="Arial"/>
                <w:b/>
                <w:szCs w:val="22"/>
              </w:rPr>
              <w:t>Driver for intervention</w:t>
            </w:r>
          </w:p>
        </w:tc>
        <w:tc>
          <w:tcPr>
            <w:tcW w:w="3114" w:type="dxa"/>
          </w:tcPr>
          <w:p w14:paraId="663DDE8B" w14:textId="77777777" w:rsidR="00B02CB4" w:rsidRPr="00B02CB4" w:rsidRDefault="00B02CB4" w:rsidP="00B5680D">
            <w:pPr>
              <w:spacing w:after="0" w:line="276" w:lineRule="auto"/>
              <w:jc w:val="left"/>
              <w:rPr>
                <w:rFonts w:cs="Arial"/>
                <w:szCs w:val="22"/>
              </w:rPr>
            </w:pPr>
            <w:r w:rsidRPr="00B02CB4">
              <w:rPr>
                <w:rFonts w:cs="Arial"/>
                <w:szCs w:val="22"/>
              </w:rPr>
              <w:t>The individual child’s needs in a present and future perspective; society’s needs for healthy and contributory citizens</w:t>
            </w:r>
          </w:p>
        </w:tc>
        <w:tc>
          <w:tcPr>
            <w:tcW w:w="2198" w:type="dxa"/>
          </w:tcPr>
          <w:p w14:paraId="6E8F57C8" w14:textId="77777777" w:rsidR="00B02CB4" w:rsidRPr="00B02CB4" w:rsidRDefault="00B02CB4" w:rsidP="00B5680D">
            <w:pPr>
              <w:spacing w:after="0" w:line="276" w:lineRule="auto"/>
              <w:jc w:val="left"/>
              <w:rPr>
                <w:rFonts w:cs="Arial"/>
                <w:szCs w:val="22"/>
              </w:rPr>
            </w:pPr>
            <w:r w:rsidRPr="00B02CB4">
              <w:rPr>
                <w:rFonts w:cs="Arial"/>
                <w:szCs w:val="22"/>
              </w:rPr>
              <w:t>The family unit needs assistance</w:t>
            </w:r>
          </w:p>
        </w:tc>
        <w:tc>
          <w:tcPr>
            <w:tcW w:w="2711" w:type="dxa"/>
          </w:tcPr>
          <w:p w14:paraId="0C2772F8" w14:textId="77777777" w:rsidR="00B02CB4" w:rsidRPr="00B02CB4" w:rsidRDefault="00B02CB4" w:rsidP="00B5680D">
            <w:pPr>
              <w:spacing w:after="0" w:line="276" w:lineRule="auto"/>
              <w:jc w:val="left"/>
              <w:rPr>
                <w:rFonts w:cs="Arial"/>
                <w:szCs w:val="22"/>
              </w:rPr>
            </w:pPr>
            <w:r w:rsidRPr="00B02CB4">
              <w:rPr>
                <w:rFonts w:cs="Arial"/>
                <w:szCs w:val="22"/>
              </w:rPr>
              <w:t>Parents being neglectful and abusive towards children (maltreatment)</w:t>
            </w:r>
          </w:p>
        </w:tc>
      </w:tr>
      <w:tr w:rsidR="00B02CB4" w:rsidRPr="00B02CB4" w14:paraId="1489B4ED" w14:textId="77777777" w:rsidTr="00B5680D">
        <w:tc>
          <w:tcPr>
            <w:tcW w:w="1475" w:type="dxa"/>
          </w:tcPr>
          <w:p w14:paraId="1B757A9C" w14:textId="77777777" w:rsidR="00B02CB4" w:rsidRPr="00B02CB4" w:rsidRDefault="00B02CB4" w:rsidP="00B5680D">
            <w:pPr>
              <w:spacing w:after="0" w:line="276" w:lineRule="auto"/>
              <w:jc w:val="left"/>
              <w:rPr>
                <w:rFonts w:cs="Arial"/>
                <w:b/>
                <w:szCs w:val="22"/>
              </w:rPr>
            </w:pPr>
            <w:r w:rsidRPr="00B02CB4">
              <w:rPr>
                <w:rFonts w:cs="Arial"/>
                <w:b/>
                <w:szCs w:val="22"/>
              </w:rPr>
              <w:t>Role of the State</w:t>
            </w:r>
          </w:p>
        </w:tc>
        <w:tc>
          <w:tcPr>
            <w:tcW w:w="3114" w:type="dxa"/>
          </w:tcPr>
          <w:p w14:paraId="04ED75E3" w14:textId="4B476725" w:rsidR="00B02CB4" w:rsidRPr="00B02CB4" w:rsidRDefault="00B02CB4" w:rsidP="00B5680D">
            <w:pPr>
              <w:spacing w:after="0" w:line="276" w:lineRule="auto"/>
              <w:jc w:val="left"/>
              <w:rPr>
                <w:rFonts w:cs="Arial"/>
                <w:szCs w:val="22"/>
              </w:rPr>
            </w:pPr>
            <w:r w:rsidRPr="00B02CB4">
              <w:rPr>
                <w:rFonts w:cs="Arial"/>
                <w:szCs w:val="22"/>
              </w:rPr>
              <w:t>Paternalistic/</w:t>
            </w:r>
            <w:proofErr w:type="spellStart"/>
            <w:r w:rsidRPr="00B02CB4">
              <w:rPr>
                <w:rFonts w:cs="Arial"/>
                <w:szCs w:val="22"/>
              </w:rPr>
              <w:t>defamiliali</w:t>
            </w:r>
            <w:r w:rsidR="00D029F2">
              <w:rPr>
                <w:rFonts w:cs="Arial"/>
                <w:szCs w:val="22"/>
              </w:rPr>
              <w:t>s</w:t>
            </w:r>
            <w:r w:rsidRPr="00B02CB4">
              <w:rPr>
                <w:rFonts w:cs="Arial"/>
                <w:szCs w:val="22"/>
              </w:rPr>
              <w:t>ation</w:t>
            </w:r>
            <w:proofErr w:type="spellEnd"/>
            <w:r w:rsidRPr="00B02CB4">
              <w:rPr>
                <w:rFonts w:cs="Arial"/>
                <w:szCs w:val="22"/>
              </w:rPr>
              <w:t xml:space="preserve">- State assumes parent role; but seeks to </w:t>
            </w:r>
            <w:proofErr w:type="spellStart"/>
            <w:r w:rsidRPr="00B02CB4">
              <w:rPr>
                <w:rFonts w:cs="Arial"/>
                <w:szCs w:val="22"/>
              </w:rPr>
              <w:t>refamiliali</w:t>
            </w:r>
            <w:r w:rsidR="00187275">
              <w:rPr>
                <w:rFonts w:cs="Arial"/>
                <w:szCs w:val="22"/>
              </w:rPr>
              <w:t>s</w:t>
            </w:r>
            <w:r w:rsidRPr="00B02CB4">
              <w:rPr>
                <w:rFonts w:cs="Arial"/>
                <w:szCs w:val="22"/>
              </w:rPr>
              <w:t>e</w:t>
            </w:r>
            <w:proofErr w:type="spellEnd"/>
            <w:r w:rsidRPr="00B02CB4">
              <w:rPr>
                <w:rFonts w:cs="Arial"/>
                <w:szCs w:val="22"/>
              </w:rPr>
              <w:t xml:space="preserve"> child by foster home/kinship care/adoption</w:t>
            </w:r>
          </w:p>
        </w:tc>
        <w:tc>
          <w:tcPr>
            <w:tcW w:w="2198" w:type="dxa"/>
          </w:tcPr>
          <w:p w14:paraId="24D03652" w14:textId="77777777" w:rsidR="00B02CB4" w:rsidRPr="00B02CB4" w:rsidRDefault="00B02CB4" w:rsidP="00B5680D">
            <w:pPr>
              <w:spacing w:after="0" w:line="276" w:lineRule="auto"/>
              <w:jc w:val="left"/>
              <w:rPr>
                <w:rFonts w:cs="Arial"/>
                <w:szCs w:val="22"/>
              </w:rPr>
            </w:pPr>
            <w:r w:rsidRPr="00B02CB4">
              <w:rPr>
                <w:rFonts w:cs="Arial"/>
                <w:szCs w:val="22"/>
              </w:rPr>
              <w:t>Parental support; the state seeks to strengthen family relations</w:t>
            </w:r>
          </w:p>
        </w:tc>
        <w:tc>
          <w:tcPr>
            <w:tcW w:w="2711" w:type="dxa"/>
          </w:tcPr>
          <w:p w14:paraId="62C0ABBF" w14:textId="77777777" w:rsidR="00B02CB4" w:rsidRPr="00B02CB4" w:rsidRDefault="00B02CB4" w:rsidP="00B5680D">
            <w:pPr>
              <w:spacing w:after="0" w:line="276" w:lineRule="auto"/>
              <w:jc w:val="left"/>
              <w:rPr>
                <w:rFonts w:cs="Arial"/>
                <w:szCs w:val="22"/>
              </w:rPr>
            </w:pPr>
            <w:r w:rsidRPr="00B02CB4">
              <w:rPr>
                <w:rFonts w:cs="Arial"/>
                <w:szCs w:val="22"/>
              </w:rPr>
              <w:t>Sanctioning; the State functions as ‘watchdog’ to ensure child’s safety</w:t>
            </w:r>
          </w:p>
        </w:tc>
      </w:tr>
      <w:tr w:rsidR="00B02CB4" w:rsidRPr="00B02CB4" w14:paraId="72650C29" w14:textId="77777777" w:rsidTr="00B5680D">
        <w:tc>
          <w:tcPr>
            <w:tcW w:w="1475" w:type="dxa"/>
          </w:tcPr>
          <w:p w14:paraId="01EEA937" w14:textId="77777777" w:rsidR="00B02CB4" w:rsidRPr="00B02CB4" w:rsidRDefault="00B02CB4" w:rsidP="00B5680D">
            <w:pPr>
              <w:spacing w:after="0" w:line="276" w:lineRule="auto"/>
              <w:jc w:val="left"/>
              <w:rPr>
                <w:rFonts w:cs="Arial"/>
                <w:b/>
                <w:szCs w:val="22"/>
              </w:rPr>
            </w:pPr>
            <w:r w:rsidRPr="00B02CB4">
              <w:rPr>
                <w:rFonts w:cs="Arial"/>
                <w:b/>
                <w:szCs w:val="22"/>
              </w:rPr>
              <w:t>Problem frame</w:t>
            </w:r>
          </w:p>
        </w:tc>
        <w:tc>
          <w:tcPr>
            <w:tcW w:w="3114" w:type="dxa"/>
          </w:tcPr>
          <w:p w14:paraId="3BDE508A" w14:textId="77777777" w:rsidR="00B02CB4" w:rsidRPr="00B02CB4" w:rsidRDefault="00B02CB4" w:rsidP="00B5680D">
            <w:pPr>
              <w:spacing w:after="0" w:line="276" w:lineRule="auto"/>
              <w:jc w:val="left"/>
              <w:rPr>
                <w:rFonts w:cs="Arial"/>
                <w:szCs w:val="22"/>
              </w:rPr>
            </w:pPr>
            <w:r w:rsidRPr="00B02CB4">
              <w:rPr>
                <w:rFonts w:cs="Arial"/>
                <w:szCs w:val="22"/>
              </w:rPr>
              <w:t>Child’s development and unequal outcomes for children</w:t>
            </w:r>
          </w:p>
        </w:tc>
        <w:tc>
          <w:tcPr>
            <w:tcW w:w="2198" w:type="dxa"/>
          </w:tcPr>
          <w:p w14:paraId="5AC48265" w14:textId="77777777" w:rsidR="00B02CB4" w:rsidRPr="00B02CB4" w:rsidRDefault="00B02CB4" w:rsidP="00B5680D">
            <w:pPr>
              <w:spacing w:after="0" w:line="276" w:lineRule="auto"/>
              <w:jc w:val="left"/>
              <w:rPr>
                <w:rFonts w:cs="Arial"/>
                <w:szCs w:val="22"/>
              </w:rPr>
            </w:pPr>
            <w:r w:rsidRPr="00B02CB4">
              <w:rPr>
                <w:rFonts w:cs="Arial"/>
                <w:szCs w:val="22"/>
              </w:rPr>
              <w:t>Social/psychological (such as system, poverty and racism)</w:t>
            </w:r>
          </w:p>
        </w:tc>
        <w:tc>
          <w:tcPr>
            <w:tcW w:w="2711" w:type="dxa"/>
          </w:tcPr>
          <w:p w14:paraId="3FCB3961" w14:textId="77777777" w:rsidR="00B02CB4" w:rsidRPr="00B02CB4" w:rsidRDefault="00B02CB4" w:rsidP="00B5680D">
            <w:pPr>
              <w:spacing w:after="0" w:line="276" w:lineRule="auto"/>
              <w:jc w:val="left"/>
              <w:rPr>
                <w:rFonts w:cs="Arial"/>
                <w:szCs w:val="22"/>
              </w:rPr>
            </w:pPr>
            <w:r w:rsidRPr="00B02CB4">
              <w:rPr>
                <w:rFonts w:cs="Arial"/>
                <w:szCs w:val="22"/>
              </w:rPr>
              <w:t>Individual/moralistic</w:t>
            </w:r>
          </w:p>
        </w:tc>
      </w:tr>
      <w:tr w:rsidR="00B02CB4" w:rsidRPr="00B02CB4" w14:paraId="0002B19A" w14:textId="77777777" w:rsidTr="00B5680D">
        <w:tc>
          <w:tcPr>
            <w:tcW w:w="1475" w:type="dxa"/>
          </w:tcPr>
          <w:p w14:paraId="29907D81" w14:textId="77777777" w:rsidR="00B02CB4" w:rsidRPr="00B02CB4" w:rsidRDefault="00B02CB4" w:rsidP="00B5680D">
            <w:pPr>
              <w:spacing w:after="0" w:line="276" w:lineRule="auto"/>
              <w:jc w:val="left"/>
              <w:rPr>
                <w:rFonts w:cs="Arial"/>
                <w:b/>
                <w:szCs w:val="22"/>
              </w:rPr>
            </w:pPr>
            <w:r w:rsidRPr="00B02CB4">
              <w:rPr>
                <w:rFonts w:cs="Arial"/>
                <w:b/>
                <w:szCs w:val="22"/>
              </w:rPr>
              <w:t>Aim of intervention</w:t>
            </w:r>
          </w:p>
        </w:tc>
        <w:tc>
          <w:tcPr>
            <w:tcW w:w="3114" w:type="dxa"/>
          </w:tcPr>
          <w:p w14:paraId="272B740A" w14:textId="77777777" w:rsidR="00B02CB4" w:rsidRPr="00B02CB4" w:rsidRDefault="00B02CB4" w:rsidP="00B5680D">
            <w:pPr>
              <w:spacing w:after="0" w:line="276" w:lineRule="auto"/>
              <w:jc w:val="left"/>
              <w:rPr>
                <w:rFonts w:cs="Arial"/>
                <w:szCs w:val="22"/>
              </w:rPr>
            </w:pPr>
            <w:r w:rsidRPr="00B02CB4">
              <w:rPr>
                <w:rFonts w:cs="Arial"/>
                <w:szCs w:val="22"/>
              </w:rPr>
              <w:t xml:space="preserve">Promote wellbeing via social investment and/or equal opportunity </w:t>
            </w:r>
          </w:p>
        </w:tc>
        <w:tc>
          <w:tcPr>
            <w:tcW w:w="2198" w:type="dxa"/>
          </w:tcPr>
          <w:p w14:paraId="490F639F" w14:textId="77777777" w:rsidR="00B02CB4" w:rsidRPr="00B02CB4" w:rsidRDefault="00B02CB4" w:rsidP="00B5680D">
            <w:pPr>
              <w:spacing w:after="0" w:line="276" w:lineRule="auto"/>
              <w:jc w:val="left"/>
              <w:rPr>
                <w:rFonts w:cs="Arial"/>
                <w:szCs w:val="22"/>
              </w:rPr>
            </w:pPr>
            <w:r w:rsidRPr="00B02CB4">
              <w:rPr>
                <w:rFonts w:cs="Arial"/>
                <w:szCs w:val="22"/>
              </w:rPr>
              <w:t>Prevention/social bonding</w:t>
            </w:r>
          </w:p>
        </w:tc>
        <w:tc>
          <w:tcPr>
            <w:tcW w:w="2711" w:type="dxa"/>
          </w:tcPr>
          <w:p w14:paraId="6E6DA93E" w14:textId="77777777" w:rsidR="00B02CB4" w:rsidRPr="00B02CB4" w:rsidRDefault="00B02CB4" w:rsidP="00B5680D">
            <w:pPr>
              <w:spacing w:after="0" w:line="276" w:lineRule="auto"/>
              <w:jc w:val="left"/>
              <w:rPr>
                <w:rFonts w:cs="Arial"/>
                <w:szCs w:val="22"/>
              </w:rPr>
            </w:pPr>
            <w:r w:rsidRPr="00B02CB4">
              <w:rPr>
                <w:rFonts w:cs="Arial"/>
                <w:szCs w:val="22"/>
              </w:rPr>
              <w:t>Protection/harm reduction</w:t>
            </w:r>
          </w:p>
        </w:tc>
      </w:tr>
      <w:tr w:rsidR="00B02CB4" w:rsidRPr="00B02CB4" w14:paraId="2047FF3D" w14:textId="77777777" w:rsidTr="00B5680D">
        <w:tc>
          <w:tcPr>
            <w:tcW w:w="1475" w:type="dxa"/>
          </w:tcPr>
          <w:p w14:paraId="02642103" w14:textId="77777777" w:rsidR="00B02CB4" w:rsidRPr="00B02CB4" w:rsidRDefault="00B02CB4" w:rsidP="00B5680D">
            <w:pPr>
              <w:spacing w:after="0" w:line="276" w:lineRule="auto"/>
              <w:jc w:val="left"/>
              <w:rPr>
                <w:rFonts w:cs="Arial"/>
                <w:b/>
                <w:szCs w:val="22"/>
              </w:rPr>
            </w:pPr>
            <w:r w:rsidRPr="00B02CB4">
              <w:rPr>
                <w:rFonts w:cs="Arial"/>
                <w:b/>
                <w:szCs w:val="22"/>
              </w:rPr>
              <w:t xml:space="preserve">State-parent relationship </w:t>
            </w:r>
          </w:p>
        </w:tc>
        <w:tc>
          <w:tcPr>
            <w:tcW w:w="3114" w:type="dxa"/>
          </w:tcPr>
          <w:p w14:paraId="56532F2E" w14:textId="77777777" w:rsidR="00B02CB4" w:rsidRPr="00B02CB4" w:rsidRDefault="00B02CB4" w:rsidP="00B5680D">
            <w:pPr>
              <w:spacing w:after="0" w:line="276" w:lineRule="auto"/>
              <w:jc w:val="left"/>
              <w:rPr>
                <w:rFonts w:cs="Arial"/>
                <w:szCs w:val="22"/>
              </w:rPr>
            </w:pPr>
            <w:r w:rsidRPr="00B02CB4">
              <w:rPr>
                <w:rFonts w:cs="Arial"/>
                <w:szCs w:val="22"/>
              </w:rPr>
              <w:t>Substitutive/partnership</w:t>
            </w:r>
          </w:p>
        </w:tc>
        <w:tc>
          <w:tcPr>
            <w:tcW w:w="2198" w:type="dxa"/>
          </w:tcPr>
          <w:p w14:paraId="5045DD23" w14:textId="77777777" w:rsidR="00B02CB4" w:rsidRPr="00B02CB4" w:rsidRDefault="00B02CB4" w:rsidP="00B5680D">
            <w:pPr>
              <w:spacing w:after="0" w:line="276" w:lineRule="auto"/>
              <w:jc w:val="left"/>
              <w:rPr>
                <w:rFonts w:cs="Arial"/>
                <w:szCs w:val="22"/>
              </w:rPr>
            </w:pPr>
            <w:r w:rsidRPr="00B02CB4">
              <w:rPr>
                <w:rFonts w:cs="Arial"/>
                <w:szCs w:val="22"/>
              </w:rPr>
              <w:t>Partnership</w:t>
            </w:r>
          </w:p>
        </w:tc>
        <w:tc>
          <w:tcPr>
            <w:tcW w:w="2711" w:type="dxa"/>
          </w:tcPr>
          <w:p w14:paraId="23416EE5" w14:textId="77777777" w:rsidR="00B02CB4" w:rsidRPr="00B02CB4" w:rsidRDefault="00B02CB4" w:rsidP="00B5680D">
            <w:pPr>
              <w:spacing w:after="0" w:line="276" w:lineRule="auto"/>
              <w:jc w:val="left"/>
              <w:rPr>
                <w:rFonts w:cs="Arial"/>
                <w:szCs w:val="22"/>
              </w:rPr>
            </w:pPr>
            <w:r w:rsidRPr="00B02CB4">
              <w:rPr>
                <w:rFonts w:cs="Arial"/>
                <w:szCs w:val="22"/>
              </w:rPr>
              <w:t xml:space="preserve">Adversarial </w:t>
            </w:r>
          </w:p>
        </w:tc>
      </w:tr>
      <w:tr w:rsidR="00B02CB4" w:rsidRPr="00B02CB4" w14:paraId="27AF6A7B" w14:textId="77777777" w:rsidTr="00B5680D">
        <w:tc>
          <w:tcPr>
            <w:tcW w:w="1475" w:type="dxa"/>
          </w:tcPr>
          <w:p w14:paraId="05179BE8" w14:textId="77777777" w:rsidR="00B02CB4" w:rsidRPr="00B02CB4" w:rsidRDefault="00B02CB4" w:rsidP="00B5680D">
            <w:pPr>
              <w:spacing w:after="0" w:line="276" w:lineRule="auto"/>
              <w:jc w:val="left"/>
              <w:rPr>
                <w:rFonts w:cs="Arial"/>
                <w:b/>
                <w:szCs w:val="22"/>
              </w:rPr>
            </w:pPr>
            <w:r w:rsidRPr="00B02CB4">
              <w:rPr>
                <w:rFonts w:cs="Arial"/>
                <w:b/>
                <w:szCs w:val="22"/>
              </w:rPr>
              <w:t>Balance of rights</w:t>
            </w:r>
          </w:p>
        </w:tc>
        <w:tc>
          <w:tcPr>
            <w:tcW w:w="3114" w:type="dxa"/>
          </w:tcPr>
          <w:p w14:paraId="75C4D777" w14:textId="77777777" w:rsidR="00B02CB4" w:rsidRPr="00B02CB4" w:rsidRDefault="00B02CB4" w:rsidP="00B5680D">
            <w:pPr>
              <w:spacing w:after="0" w:line="276" w:lineRule="auto"/>
              <w:jc w:val="left"/>
              <w:rPr>
                <w:rFonts w:cs="Arial"/>
                <w:szCs w:val="22"/>
              </w:rPr>
            </w:pPr>
            <w:r w:rsidRPr="00B02CB4">
              <w:rPr>
                <w:rFonts w:cs="Arial"/>
                <w:szCs w:val="22"/>
              </w:rPr>
              <w:t>Children’s rights/parents’ responsibility</w:t>
            </w:r>
          </w:p>
        </w:tc>
        <w:tc>
          <w:tcPr>
            <w:tcW w:w="2198" w:type="dxa"/>
          </w:tcPr>
          <w:p w14:paraId="1B8AD550" w14:textId="77777777" w:rsidR="00B02CB4" w:rsidRPr="00B02CB4" w:rsidRDefault="00B02CB4" w:rsidP="00B5680D">
            <w:pPr>
              <w:spacing w:after="0" w:line="276" w:lineRule="auto"/>
              <w:jc w:val="left"/>
              <w:rPr>
                <w:rFonts w:cs="Arial"/>
                <w:szCs w:val="22"/>
              </w:rPr>
            </w:pPr>
            <w:r w:rsidRPr="00B02CB4">
              <w:rPr>
                <w:rFonts w:cs="Arial"/>
                <w:szCs w:val="22"/>
              </w:rPr>
              <w:t xml:space="preserve">Parents’ rights to family life mediated by professional social workers </w:t>
            </w:r>
          </w:p>
        </w:tc>
        <w:tc>
          <w:tcPr>
            <w:tcW w:w="2711" w:type="dxa"/>
          </w:tcPr>
          <w:p w14:paraId="382612E3" w14:textId="77777777" w:rsidR="00B02CB4" w:rsidRPr="00B02CB4" w:rsidRDefault="00B02CB4" w:rsidP="00B5680D">
            <w:pPr>
              <w:spacing w:after="0" w:line="276" w:lineRule="auto"/>
              <w:jc w:val="left"/>
              <w:rPr>
                <w:rFonts w:cs="Arial"/>
                <w:szCs w:val="22"/>
              </w:rPr>
            </w:pPr>
            <w:r w:rsidRPr="00B02CB4">
              <w:rPr>
                <w:rFonts w:cs="Arial"/>
                <w:szCs w:val="22"/>
              </w:rPr>
              <w:t xml:space="preserve">Children’s/parents’ rights enforced through legal means </w:t>
            </w:r>
          </w:p>
        </w:tc>
      </w:tr>
    </w:tbl>
    <w:p w14:paraId="0F94A643" w14:textId="12483C9D" w:rsidR="00B02CB4" w:rsidRDefault="00C248DC" w:rsidP="00086408">
      <w:pPr>
        <w:spacing w:line="276" w:lineRule="auto"/>
        <w:rPr>
          <w:lang w:eastAsia="en-AU"/>
        </w:rPr>
      </w:pPr>
      <w:r>
        <w:rPr>
          <w:lang w:eastAsia="en-AU"/>
        </w:rPr>
        <w:t xml:space="preserve">See Table 8 in </w:t>
      </w:r>
      <w:hyperlink w:anchor="_Annexure_3_–" w:history="1">
        <w:r w:rsidRPr="006261B7">
          <w:rPr>
            <w:rStyle w:val="Hyperlink"/>
            <w:lang w:eastAsia="en-AU"/>
          </w:rPr>
          <w:t xml:space="preserve">Annexure </w:t>
        </w:r>
        <w:r w:rsidR="00D31537" w:rsidRPr="006261B7">
          <w:rPr>
            <w:rStyle w:val="Hyperlink"/>
            <w:lang w:eastAsia="en-AU"/>
          </w:rPr>
          <w:t>3</w:t>
        </w:r>
      </w:hyperlink>
      <w:r>
        <w:rPr>
          <w:lang w:eastAsia="en-AU"/>
        </w:rPr>
        <w:t xml:space="preserve"> for an examination of how the </w:t>
      </w:r>
      <w:r w:rsidR="00B02CB4" w:rsidRPr="00B02CB4">
        <w:rPr>
          <w:lang w:eastAsia="en-AU"/>
        </w:rPr>
        <w:t xml:space="preserve">different orientations to child protection translate in terms of service delivery </w:t>
      </w:r>
      <w:r w:rsidR="00B5680D">
        <w:rPr>
          <w:lang w:eastAsia="en-AU"/>
        </w:rPr>
        <w:t>‘</w:t>
      </w:r>
      <w:r w:rsidR="00B02CB4" w:rsidRPr="00B02CB4">
        <w:rPr>
          <w:lang w:eastAsia="en-AU"/>
        </w:rPr>
        <w:t>on the ground</w:t>
      </w:r>
      <w:r w:rsidR="00B5680D">
        <w:rPr>
          <w:lang w:eastAsia="en-AU"/>
        </w:rPr>
        <w:t>’</w:t>
      </w:r>
      <w:r w:rsidR="006261B7">
        <w:rPr>
          <w:lang w:eastAsia="en-AU"/>
        </w:rPr>
        <w:t>.</w:t>
      </w:r>
      <w:r w:rsidR="00B02CB4">
        <w:rPr>
          <w:rStyle w:val="FootnoteReference"/>
          <w:lang w:eastAsia="en-AU"/>
        </w:rPr>
        <w:footnoteReference w:id="111"/>
      </w:r>
    </w:p>
    <w:p w14:paraId="54BB06F2" w14:textId="37F93B80" w:rsidR="00B02CB4" w:rsidRPr="00B02CB4" w:rsidRDefault="00B02CB4" w:rsidP="00086408">
      <w:pPr>
        <w:pStyle w:val="Normalwithgreyhighlightbox"/>
        <w:spacing w:line="276" w:lineRule="auto"/>
        <w:rPr>
          <w:rStyle w:val="Emphasis"/>
          <w:b w:val="0"/>
          <w:i w:val="0"/>
          <w:iCs w:val="0"/>
          <w:sz w:val="22"/>
          <w:szCs w:val="22"/>
        </w:rPr>
      </w:pPr>
      <w:r w:rsidRPr="00B02CB4">
        <w:rPr>
          <w:rStyle w:val="Emphasis"/>
          <w:b w:val="0"/>
          <w:i w:val="0"/>
          <w:iCs w:val="0"/>
          <w:sz w:val="22"/>
          <w:szCs w:val="22"/>
        </w:rPr>
        <w:t xml:space="preserve">The </w:t>
      </w:r>
      <w:r w:rsidR="006261B7">
        <w:rPr>
          <w:rStyle w:val="Emphasis"/>
          <w:b w:val="0"/>
          <w:i w:val="0"/>
          <w:iCs w:val="0"/>
          <w:sz w:val="22"/>
          <w:szCs w:val="22"/>
        </w:rPr>
        <w:t>r</w:t>
      </w:r>
      <w:r w:rsidR="003B65E6">
        <w:rPr>
          <w:rStyle w:val="Emphasis"/>
          <w:b w:val="0"/>
          <w:i w:val="0"/>
          <w:iCs w:val="0"/>
          <w:sz w:val="22"/>
          <w:szCs w:val="22"/>
        </w:rPr>
        <w:t xml:space="preserve">eview </w:t>
      </w:r>
      <w:r w:rsidRPr="00B02CB4">
        <w:rPr>
          <w:rStyle w:val="Emphasis"/>
          <w:b w:val="0"/>
          <w:i w:val="0"/>
          <w:iCs w:val="0"/>
          <w:sz w:val="22"/>
          <w:szCs w:val="22"/>
        </w:rPr>
        <w:t xml:space="preserve">was unable to locate analysis or research, which considered how the different orientations to child protection translated in terms of legal services delivery. </w:t>
      </w:r>
    </w:p>
    <w:p w14:paraId="26064B01" w14:textId="7D5BEFEC" w:rsidR="00B02CB4" w:rsidRPr="00B02CB4" w:rsidRDefault="00B02CB4" w:rsidP="00086408">
      <w:pPr>
        <w:pStyle w:val="Normalwithgreyhighlightbox"/>
        <w:spacing w:line="276" w:lineRule="auto"/>
        <w:rPr>
          <w:rStyle w:val="Emphasis"/>
          <w:b w:val="0"/>
          <w:i w:val="0"/>
          <w:iCs w:val="0"/>
          <w:sz w:val="22"/>
          <w:szCs w:val="22"/>
        </w:rPr>
      </w:pPr>
      <w:r w:rsidRPr="00B02CB4">
        <w:rPr>
          <w:rStyle w:val="Emphasis"/>
          <w:b w:val="0"/>
          <w:i w:val="0"/>
          <w:iCs w:val="0"/>
          <w:sz w:val="22"/>
          <w:szCs w:val="22"/>
        </w:rPr>
        <w:t xml:space="preserve">Australia has traditionally been viewed as a </w:t>
      </w:r>
      <w:r w:rsidRPr="00B02CB4">
        <w:rPr>
          <w:rStyle w:val="Emphasis"/>
          <w:b w:val="0"/>
          <w:iCs w:val="0"/>
          <w:sz w:val="22"/>
          <w:szCs w:val="22"/>
        </w:rPr>
        <w:t>child protection</w:t>
      </w:r>
      <w:r w:rsidRPr="00B02CB4">
        <w:rPr>
          <w:rStyle w:val="Emphasis"/>
          <w:b w:val="0"/>
          <w:i w:val="0"/>
          <w:iCs w:val="0"/>
          <w:sz w:val="22"/>
          <w:szCs w:val="22"/>
        </w:rPr>
        <w:t xml:space="preserve"> oriented system. However, since 2002 the States and Territories have embarked on reforms to build capacity and strengthen families with a view t</w:t>
      </w:r>
      <w:r>
        <w:rPr>
          <w:rStyle w:val="Emphasis"/>
          <w:b w:val="0"/>
          <w:i w:val="0"/>
          <w:iCs w:val="0"/>
          <w:sz w:val="22"/>
          <w:szCs w:val="22"/>
        </w:rPr>
        <w:t>o preventing abuse and neglect.</w:t>
      </w:r>
      <w:r>
        <w:rPr>
          <w:rStyle w:val="FootnoteReference"/>
          <w:b w:val="0"/>
          <w:szCs w:val="22"/>
        </w:rPr>
        <w:footnoteReference w:id="112"/>
      </w:r>
      <w:r w:rsidRPr="00B02CB4">
        <w:rPr>
          <w:rStyle w:val="Emphasis"/>
          <w:b w:val="0"/>
          <w:i w:val="0"/>
          <w:iCs w:val="0"/>
          <w:sz w:val="22"/>
          <w:szCs w:val="22"/>
        </w:rPr>
        <w:t xml:space="preserve"> This shift in focus was endorsed in the first </w:t>
      </w:r>
      <w:r w:rsidRPr="00B02CB4">
        <w:rPr>
          <w:rStyle w:val="Emphasis"/>
          <w:b w:val="0"/>
          <w:iCs w:val="0"/>
          <w:sz w:val="22"/>
          <w:szCs w:val="22"/>
        </w:rPr>
        <w:t>National</w:t>
      </w:r>
      <w:r w:rsidR="00B93B15">
        <w:rPr>
          <w:rStyle w:val="Emphasis"/>
          <w:b w:val="0"/>
          <w:iCs w:val="0"/>
          <w:sz w:val="22"/>
          <w:szCs w:val="22"/>
        </w:rPr>
        <w:t xml:space="preserve"> </w:t>
      </w:r>
      <w:r w:rsidRPr="00B02CB4">
        <w:rPr>
          <w:rStyle w:val="Emphasis"/>
          <w:b w:val="0"/>
          <w:iCs w:val="0"/>
          <w:sz w:val="22"/>
          <w:szCs w:val="22"/>
        </w:rPr>
        <w:lastRenderedPageBreak/>
        <w:t>Framework for Prote</w:t>
      </w:r>
      <w:r w:rsidR="006261B7">
        <w:rPr>
          <w:rStyle w:val="Emphasis"/>
          <w:b w:val="0"/>
          <w:iCs w:val="0"/>
          <w:sz w:val="22"/>
          <w:szCs w:val="22"/>
        </w:rPr>
        <w:t>cting Australia’s Children 2009–</w:t>
      </w:r>
      <w:r w:rsidRPr="00B02CB4">
        <w:rPr>
          <w:rStyle w:val="Emphasis"/>
          <w:b w:val="0"/>
          <w:iCs w:val="0"/>
          <w:sz w:val="22"/>
          <w:szCs w:val="22"/>
        </w:rPr>
        <w:t>2020,</w:t>
      </w:r>
      <w:r w:rsidRPr="00B02CB4">
        <w:rPr>
          <w:rStyle w:val="Emphasis"/>
          <w:b w:val="0"/>
          <w:i w:val="0"/>
          <w:iCs w:val="0"/>
          <w:sz w:val="22"/>
          <w:szCs w:val="22"/>
        </w:rPr>
        <w:t xml:space="preserve"> which provides an overarching framework for developments in policy and practice that acknowledges:</w:t>
      </w:r>
    </w:p>
    <w:p w14:paraId="5A783E14" w14:textId="77777777" w:rsidR="00B02CB4" w:rsidRPr="00B5680D" w:rsidRDefault="00B02CB4" w:rsidP="00B5680D">
      <w:pPr>
        <w:pStyle w:val="VLAquotation"/>
        <w:rPr>
          <w:rStyle w:val="Emphasis"/>
          <w:i/>
          <w:iCs w:val="0"/>
        </w:rPr>
      </w:pPr>
      <w:r w:rsidRPr="00B5680D">
        <w:rPr>
          <w:rStyle w:val="Emphasis"/>
          <w:i/>
          <w:iCs w:val="0"/>
        </w:rPr>
        <w:t>Australia needs to move from seeing ‘protecting children’ merely as a response to abuse and neglect to one of promoting the safety and wellbeing of children.</w:t>
      </w:r>
      <w:r w:rsidRPr="00B5680D">
        <w:rPr>
          <w:rStyle w:val="FootnoteReference"/>
        </w:rPr>
        <w:footnoteReference w:id="113"/>
      </w:r>
    </w:p>
    <w:p w14:paraId="51F26180" w14:textId="28F14E9F" w:rsidR="00B02CB4" w:rsidRDefault="00B02CB4" w:rsidP="00086408">
      <w:pPr>
        <w:pStyle w:val="Normalwithgreyhighlightbox"/>
        <w:spacing w:line="276" w:lineRule="auto"/>
        <w:rPr>
          <w:rStyle w:val="Emphasis"/>
          <w:b w:val="0"/>
          <w:i w:val="0"/>
          <w:iCs w:val="0"/>
          <w:sz w:val="22"/>
          <w:szCs w:val="22"/>
        </w:rPr>
      </w:pPr>
      <w:r w:rsidRPr="00B02CB4">
        <w:rPr>
          <w:rStyle w:val="Emphasis"/>
          <w:b w:val="0"/>
          <w:i w:val="0"/>
          <w:iCs w:val="0"/>
          <w:sz w:val="22"/>
          <w:szCs w:val="22"/>
        </w:rPr>
        <w:t xml:space="preserve">The </w:t>
      </w:r>
      <w:r w:rsidR="00E22005">
        <w:rPr>
          <w:rStyle w:val="Emphasis"/>
          <w:b w:val="0"/>
          <w:i w:val="0"/>
          <w:iCs w:val="0"/>
          <w:sz w:val="22"/>
          <w:szCs w:val="22"/>
        </w:rPr>
        <w:t>2016 Victorian</w:t>
      </w:r>
      <w:r w:rsidR="00B5680D">
        <w:rPr>
          <w:rStyle w:val="Emphasis"/>
          <w:b w:val="0"/>
          <w:i w:val="0"/>
          <w:iCs w:val="0"/>
          <w:sz w:val="22"/>
          <w:szCs w:val="22"/>
        </w:rPr>
        <w:t xml:space="preserve"> ‘</w:t>
      </w:r>
      <w:r w:rsidRPr="00B02CB4">
        <w:rPr>
          <w:rStyle w:val="Emphasis"/>
          <w:b w:val="0"/>
          <w:i w:val="0"/>
          <w:iCs w:val="0"/>
          <w:sz w:val="22"/>
          <w:szCs w:val="22"/>
        </w:rPr>
        <w:t>Road Map to Reform</w:t>
      </w:r>
      <w:r w:rsidR="00B5680D">
        <w:rPr>
          <w:rStyle w:val="Emphasis"/>
          <w:b w:val="0"/>
          <w:i w:val="0"/>
          <w:iCs w:val="0"/>
          <w:sz w:val="22"/>
          <w:szCs w:val="22"/>
        </w:rPr>
        <w:t>’</w:t>
      </w:r>
      <w:r w:rsidRPr="00B02CB4">
        <w:rPr>
          <w:rStyle w:val="Emphasis"/>
          <w:b w:val="0"/>
          <w:i w:val="0"/>
          <w:iCs w:val="0"/>
          <w:sz w:val="22"/>
          <w:szCs w:val="22"/>
        </w:rPr>
        <w:t xml:space="preserve"> suggests an attempt to move further in this direction. Consideration is required as to how this shift in focus impacts upon legal service delivery, particularly in the context of a</w:t>
      </w:r>
      <w:r>
        <w:rPr>
          <w:rStyle w:val="Emphasis"/>
          <w:b w:val="0"/>
          <w:i w:val="0"/>
          <w:iCs w:val="0"/>
          <w:sz w:val="22"/>
          <w:szCs w:val="22"/>
        </w:rPr>
        <w:t>mending legislation in Victoria</w:t>
      </w:r>
      <w:r>
        <w:rPr>
          <w:rStyle w:val="FootnoteReference"/>
          <w:b w:val="0"/>
          <w:szCs w:val="22"/>
        </w:rPr>
        <w:footnoteReference w:id="114"/>
      </w:r>
      <w:r w:rsidRPr="00B02CB4">
        <w:rPr>
          <w:rStyle w:val="Emphasis"/>
          <w:b w:val="0"/>
          <w:i w:val="0"/>
          <w:iCs w:val="0"/>
          <w:sz w:val="22"/>
          <w:szCs w:val="22"/>
        </w:rPr>
        <w:t>, which inserts a child focused case planning system with a child protection legislative framework.</w:t>
      </w:r>
    </w:p>
    <w:p w14:paraId="5A935C57" w14:textId="77777777" w:rsidR="00B02CB4" w:rsidRDefault="00B02CB4" w:rsidP="00B5680D">
      <w:pPr>
        <w:pStyle w:val="Heading2numbered"/>
        <w:rPr>
          <w:rStyle w:val="Emphasis"/>
          <w:i w:val="0"/>
          <w:iCs/>
        </w:rPr>
      </w:pPr>
      <w:bookmarkStart w:id="46" w:name="_Toc465244424"/>
      <w:r>
        <w:rPr>
          <w:rStyle w:val="Emphasis"/>
          <w:i w:val="0"/>
          <w:iCs/>
        </w:rPr>
        <w:t>International approaches to child protection</w:t>
      </w:r>
      <w:bookmarkEnd w:id="46"/>
      <w:r>
        <w:rPr>
          <w:rStyle w:val="Emphasis"/>
          <w:i w:val="0"/>
          <w:iCs/>
        </w:rPr>
        <w:t xml:space="preserve"> </w:t>
      </w:r>
    </w:p>
    <w:p w14:paraId="624A6493" w14:textId="77777777" w:rsidR="00B02CB4" w:rsidRDefault="00B02CB4" w:rsidP="00B5680D">
      <w:pPr>
        <w:pStyle w:val="Heading3"/>
      </w:pPr>
      <w:bookmarkStart w:id="47" w:name="_Toc465244425"/>
      <w:r>
        <w:t>Example 1: New Zealand</w:t>
      </w:r>
      <w:bookmarkEnd w:id="47"/>
    </w:p>
    <w:p w14:paraId="5B01359D" w14:textId="50BCF5E9" w:rsidR="00B02CB4" w:rsidRDefault="00B02CB4" w:rsidP="00086408">
      <w:pPr>
        <w:spacing w:line="276" w:lineRule="auto"/>
        <w:rPr>
          <w:lang w:eastAsia="en-AU"/>
        </w:rPr>
      </w:pPr>
      <w:r>
        <w:rPr>
          <w:lang w:eastAsia="en-AU"/>
        </w:rPr>
        <w:t xml:space="preserve">The New Zealand child protection system adopts a mix of orientations, best categorised as principally </w:t>
      </w:r>
      <w:r w:rsidRPr="00B02CB4">
        <w:rPr>
          <w:i/>
          <w:lang w:eastAsia="en-AU"/>
        </w:rPr>
        <w:t>child protection</w:t>
      </w:r>
      <w:r>
        <w:rPr>
          <w:lang w:eastAsia="en-AU"/>
        </w:rPr>
        <w:t xml:space="preserve"> with a </w:t>
      </w:r>
      <w:r w:rsidRPr="00B02CB4">
        <w:rPr>
          <w:i/>
          <w:lang w:eastAsia="en-AU"/>
        </w:rPr>
        <w:t>strong child and family service</w:t>
      </w:r>
      <w:r>
        <w:rPr>
          <w:lang w:eastAsia="en-AU"/>
        </w:rPr>
        <w:t xml:space="preserve"> focus. The </w:t>
      </w:r>
      <w:r w:rsidRPr="00B02CB4">
        <w:rPr>
          <w:i/>
          <w:lang w:eastAsia="en-AU"/>
        </w:rPr>
        <w:t xml:space="preserve">Children, Young Persons and Their Families Act 1989 </w:t>
      </w:r>
      <w:r>
        <w:rPr>
          <w:lang w:eastAsia="en-AU"/>
        </w:rPr>
        <w:t>(NZ) governs child protection in New Zealand and is administered by the Ministry of Social Welfare</w:t>
      </w:r>
      <w:r w:rsidR="00017B0A">
        <w:rPr>
          <w:lang w:eastAsia="en-AU"/>
        </w:rPr>
        <w:t>.</w:t>
      </w:r>
      <w:r>
        <w:rPr>
          <w:rStyle w:val="FootnoteReference"/>
          <w:lang w:eastAsia="en-AU"/>
        </w:rPr>
        <w:footnoteReference w:id="115"/>
      </w:r>
      <w:r>
        <w:rPr>
          <w:lang w:eastAsia="en-AU"/>
        </w:rPr>
        <w:t xml:space="preserve"> The guiding principles of the Act are:</w:t>
      </w:r>
    </w:p>
    <w:p w14:paraId="5872BC8C" w14:textId="77777777" w:rsidR="00B02CB4" w:rsidRDefault="00B02CB4" w:rsidP="00B5680D">
      <w:pPr>
        <w:pStyle w:val="ListBullet"/>
        <w:rPr>
          <w:lang w:eastAsia="en-AU"/>
        </w:rPr>
      </w:pPr>
      <w:r>
        <w:rPr>
          <w:lang w:eastAsia="en-AU"/>
        </w:rPr>
        <w:t>that the child’s welfare and interests are paramount in all matters relating to the administration and application of the Act, and</w:t>
      </w:r>
    </w:p>
    <w:p w14:paraId="44B83202" w14:textId="77777777" w:rsidR="00B02CB4" w:rsidRDefault="00B02CB4" w:rsidP="00B5680D">
      <w:pPr>
        <w:pStyle w:val="ListBullet"/>
        <w:rPr>
          <w:lang w:eastAsia="en-AU"/>
        </w:rPr>
      </w:pPr>
      <w:r>
        <w:rPr>
          <w:lang w:eastAsia="en-AU"/>
        </w:rPr>
        <w:t xml:space="preserve">that the family is carer for and protector of the child, supported by the state in its role. </w:t>
      </w:r>
    </w:p>
    <w:p w14:paraId="696346D3" w14:textId="3587E7FA" w:rsidR="00B02CB4" w:rsidRDefault="00B02CB4" w:rsidP="00086408">
      <w:pPr>
        <w:spacing w:line="276" w:lineRule="auto"/>
        <w:rPr>
          <w:lang w:eastAsia="en-AU"/>
        </w:rPr>
      </w:pPr>
      <w:r>
        <w:rPr>
          <w:lang w:eastAsia="en-AU"/>
        </w:rPr>
        <w:t>The Act was lauded for its focus on family participation in decision making and has been described as ‘an Act strongly influenced by Maori culture’</w:t>
      </w:r>
      <w:r w:rsidR="004A4911">
        <w:rPr>
          <w:lang w:eastAsia="en-AU"/>
        </w:rPr>
        <w:t>.</w:t>
      </w:r>
      <w:r>
        <w:rPr>
          <w:rStyle w:val="FootnoteReference"/>
          <w:lang w:eastAsia="en-AU"/>
        </w:rPr>
        <w:footnoteReference w:id="116"/>
      </w:r>
    </w:p>
    <w:p w14:paraId="20A0ED2A" w14:textId="2AAD9FB6" w:rsidR="00B02CB4" w:rsidRDefault="00B02CB4" w:rsidP="00086408">
      <w:pPr>
        <w:spacing w:line="276" w:lineRule="auto"/>
        <w:rPr>
          <w:lang w:eastAsia="en-AU"/>
        </w:rPr>
      </w:pPr>
      <w:r>
        <w:rPr>
          <w:lang w:eastAsia="en-AU"/>
        </w:rPr>
        <w:t>There are four features of the current NZ legislation that diverge from Victoria:</w:t>
      </w:r>
    </w:p>
    <w:p w14:paraId="58B715EF" w14:textId="5320E1B2" w:rsidR="00B02CB4" w:rsidRDefault="006261B7" w:rsidP="00B5680D">
      <w:pPr>
        <w:pStyle w:val="VLA1"/>
        <w:numPr>
          <w:ilvl w:val="0"/>
          <w:numId w:val="59"/>
        </w:numPr>
        <w:rPr>
          <w:lang w:eastAsia="en-AU"/>
        </w:rPr>
      </w:pPr>
      <w:r>
        <w:rPr>
          <w:lang w:eastAsia="en-AU"/>
        </w:rPr>
        <w:t>j</w:t>
      </w:r>
      <w:r w:rsidR="00B02CB4">
        <w:rPr>
          <w:lang w:eastAsia="en-AU"/>
        </w:rPr>
        <w:t>udicial authorisation is required before a child can be involuntarily removed from his or her family by child protection workers, even in emergency circumstances – only the police have the power to remove a child without warrant</w:t>
      </w:r>
      <w:r w:rsidR="00B02CB4">
        <w:rPr>
          <w:rStyle w:val="FootnoteReference"/>
          <w:lang w:eastAsia="en-AU"/>
        </w:rPr>
        <w:footnoteReference w:id="117"/>
      </w:r>
      <w:r w:rsidR="00E22005">
        <w:rPr>
          <w:lang w:eastAsia="en-AU"/>
        </w:rPr>
        <w:t xml:space="preserve"> where this </w:t>
      </w:r>
      <w:r w:rsidR="00B02CB4">
        <w:rPr>
          <w:lang w:eastAsia="en-AU"/>
        </w:rPr>
        <w:t>‘is critically necessary to prote</w:t>
      </w:r>
      <w:r>
        <w:rPr>
          <w:lang w:eastAsia="en-AU"/>
        </w:rPr>
        <w:t>ct a child from injury or death’</w:t>
      </w:r>
      <w:r w:rsidR="00B02CB4">
        <w:rPr>
          <w:rStyle w:val="FootnoteReference"/>
          <w:lang w:eastAsia="en-AU"/>
        </w:rPr>
        <w:footnoteReference w:id="118"/>
      </w:r>
    </w:p>
    <w:p w14:paraId="02D15C14" w14:textId="69460439" w:rsidR="00B02CB4" w:rsidRDefault="00B02CB4" w:rsidP="00B5680D">
      <w:pPr>
        <w:pStyle w:val="VLA1"/>
        <w:rPr>
          <w:lang w:eastAsia="en-AU"/>
        </w:rPr>
      </w:pPr>
      <w:r>
        <w:rPr>
          <w:lang w:eastAsia="en-AU"/>
        </w:rPr>
        <w:t>Family Group Conferencing (FGC) is mandatory before commencing court proceedings in relation to the care and protection of a child</w:t>
      </w:r>
    </w:p>
    <w:p w14:paraId="34C60E1C" w14:textId="396A0BC8" w:rsidR="00B02CB4" w:rsidRDefault="006261B7" w:rsidP="00B5680D">
      <w:pPr>
        <w:pStyle w:val="VLA1"/>
        <w:rPr>
          <w:lang w:eastAsia="en-AU"/>
        </w:rPr>
      </w:pPr>
      <w:r>
        <w:rPr>
          <w:lang w:eastAsia="en-AU"/>
        </w:rPr>
        <w:lastRenderedPageBreak/>
        <w:t>the grounds ascribed by the c</w:t>
      </w:r>
      <w:r w:rsidR="00B02CB4">
        <w:rPr>
          <w:lang w:eastAsia="en-AU"/>
        </w:rPr>
        <w:t>ourt when making a car</w:t>
      </w:r>
      <w:r w:rsidR="00B5680D">
        <w:rPr>
          <w:lang w:eastAsia="en-AU"/>
        </w:rPr>
        <w:t>e and protection order include ‘</w:t>
      </w:r>
      <w:r w:rsidR="00B02CB4">
        <w:rPr>
          <w:lang w:eastAsia="en-AU"/>
        </w:rPr>
        <w:t>no fault</w:t>
      </w:r>
      <w:r w:rsidR="00B5680D">
        <w:rPr>
          <w:lang w:eastAsia="en-AU"/>
        </w:rPr>
        <w:t>’</w:t>
      </w:r>
      <w:r w:rsidR="00B02CB4">
        <w:rPr>
          <w:lang w:eastAsia="en-AU"/>
        </w:rPr>
        <w:t xml:space="preserve"> characteristics, which enable parents to concede grounds without a finding of personal fault or omission</w:t>
      </w:r>
      <w:r w:rsidR="004A4911">
        <w:rPr>
          <w:lang w:eastAsia="en-AU"/>
        </w:rPr>
        <w:t>,</w:t>
      </w:r>
      <w:r w:rsidR="00B02CB4">
        <w:rPr>
          <w:lang w:eastAsia="en-AU"/>
        </w:rPr>
        <w:t xml:space="preserve"> and</w:t>
      </w:r>
    </w:p>
    <w:p w14:paraId="2D180D69" w14:textId="77777777" w:rsidR="00B02CB4" w:rsidRDefault="00B02CB4" w:rsidP="00B5680D">
      <w:pPr>
        <w:pStyle w:val="VLA1"/>
        <w:rPr>
          <w:lang w:eastAsia="en-AU"/>
        </w:rPr>
      </w:pPr>
      <w:r>
        <w:rPr>
          <w:lang w:eastAsia="en-AU"/>
        </w:rPr>
        <w:t>once proceedings are initiated, parents and children are required to prepare written responses to the court, in affidavit form.</w:t>
      </w:r>
    </w:p>
    <w:p w14:paraId="0EC73955" w14:textId="2C3A3EEF" w:rsidR="00B02CB4" w:rsidRDefault="00B02CB4" w:rsidP="00086408">
      <w:pPr>
        <w:spacing w:line="276" w:lineRule="auto"/>
        <w:rPr>
          <w:lang w:eastAsia="en-AU"/>
        </w:rPr>
      </w:pPr>
      <w:r>
        <w:rPr>
          <w:lang w:eastAsia="en-AU"/>
        </w:rPr>
        <w:t>The NZ system has garnered much international attention and praise for its use of FGC. Notwithstanding its strong foundations, NZ has encountered similar difficulties with its child protection system as experienced in Australia (and elsewhere), not least the gross over-representati</w:t>
      </w:r>
      <w:r w:rsidR="006D3C43">
        <w:rPr>
          <w:lang w:eastAsia="en-AU"/>
        </w:rPr>
        <w:t>on of Maori children in out-of-h</w:t>
      </w:r>
      <w:r>
        <w:rPr>
          <w:lang w:eastAsia="en-AU"/>
        </w:rPr>
        <w:t xml:space="preserve">ome care. The Modernising Child, Youth and Family Expert Panel conducted a comprehensive review and delivered its report in December 2015, entitled </w:t>
      </w:r>
      <w:r w:rsidRPr="00B02CB4">
        <w:rPr>
          <w:i/>
          <w:lang w:eastAsia="en-AU"/>
        </w:rPr>
        <w:t>Investing in New Zealand’s Children and their Families</w:t>
      </w:r>
      <w:r>
        <w:rPr>
          <w:lang w:eastAsia="en-AU"/>
        </w:rPr>
        <w:t xml:space="preserve"> (referred to as ‘Investing in Children’ report). The report recommends a complete and ‘radical’ overhaul of Children, Youth and Family services</w:t>
      </w:r>
      <w:r>
        <w:rPr>
          <w:rStyle w:val="FootnoteReference"/>
          <w:lang w:eastAsia="en-AU"/>
        </w:rPr>
        <w:footnoteReference w:id="119"/>
      </w:r>
      <w:r>
        <w:rPr>
          <w:lang w:eastAsia="en-AU"/>
        </w:rPr>
        <w:t xml:space="preserve"> (See </w:t>
      </w:r>
      <w:hyperlink w:anchor="_Annexure_4_–" w:history="1">
        <w:r w:rsidRPr="004C24BA">
          <w:rPr>
            <w:rStyle w:val="Hyperlink"/>
            <w:lang w:eastAsia="en-AU"/>
          </w:rPr>
          <w:t xml:space="preserve">Annexure </w:t>
        </w:r>
        <w:r w:rsidR="00D31537" w:rsidRPr="004C24BA">
          <w:rPr>
            <w:rStyle w:val="Hyperlink"/>
            <w:lang w:eastAsia="en-AU"/>
          </w:rPr>
          <w:t>4</w:t>
        </w:r>
      </w:hyperlink>
      <w:r>
        <w:rPr>
          <w:lang w:eastAsia="en-AU"/>
        </w:rPr>
        <w:t xml:space="preserve"> for details of the recommendations). </w:t>
      </w:r>
    </w:p>
    <w:p w14:paraId="0BEF3099" w14:textId="31703A35" w:rsidR="00B02CB4" w:rsidRDefault="00B02CB4" w:rsidP="00086408">
      <w:pPr>
        <w:spacing w:line="276" w:lineRule="auto"/>
        <w:rPr>
          <w:lang w:eastAsia="en-AU"/>
        </w:rPr>
      </w:pPr>
      <w:r>
        <w:rPr>
          <w:lang w:eastAsia="en-AU"/>
        </w:rPr>
        <w:t>The NZ Legal Aid Grants Handbook outlines the eligibility requirements for parents and children seeking legal assistance in child welfare matters</w:t>
      </w:r>
      <w:r w:rsidR="004A4911">
        <w:rPr>
          <w:lang w:eastAsia="en-AU"/>
        </w:rPr>
        <w:t>.</w:t>
      </w:r>
      <w:r>
        <w:rPr>
          <w:rStyle w:val="FootnoteReference"/>
          <w:lang w:eastAsia="en-AU"/>
        </w:rPr>
        <w:footnoteReference w:id="120"/>
      </w:r>
      <w:r>
        <w:rPr>
          <w:lang w:eastAsia="en-AU"/>
        </w:rPr>
        <w:t xml:space="preserve"> Like Victoria, adult applicants are required to meet a means and merit ‘or reasonable prospects’ threshold test. Child applicants must satisfy the merit test only. Child protection legal services are provided by ‘lead providers’, who are assessed by Legal Aid to be appropriately qualified to deliver child welfare legal services</w:t>
      </w:r>
      <w:r w:rsidR="004A4911">
        <w:rPr>
          <w:lang w:eastAsia="en-AU"/>
        </w:rPr>
        <w:t>.</w:t>
      </w:r>
      <w:r>
        <w:rPr>
          <w:rStyle w:val="FootnoteReference"/>
          <w:lang w:eastAsia="en-AU"/>
        </w:rPr>
        <w:footnoteReference w:id="121"/>
      </w:r>
      <w:r>
        <w:rPr>
          <w:lang w:eastAsia="en-AU"/>
        </w:rPr>
        <w:t xml:space="preserve"> Under the current guidelines, child protection appli</w:t>
      </w:r>
      <w:r w:rsidR="004C24BA">
        <w:rPr>
          <w:lang w:eastAsia="en-AU"/>
        </w:rPr>
        <w:t>cants are exempt from paying a ‘</w:t>
      </w:r>
      <w:r>
        <w:rPr>
          <w:lang w:eastAsia="en-AU"/>
        </w:rPr>
        <w:t>user charge</w:t>
      </w:r>
      <w:r w:rsidR="004C24BA">
        <w:rPr>
          <w:lang w:eastAsia="en-AU"/>
        </w:rPr>
        <w:t>’</w:t>
      </w:r>
      <w:r>
        <w:rPr>
          <w:lang w:eastAsia="en-AU"/>
        </w:rPr>
        <w:t xml:space="preserve">, which is a nominal fee set by the Commissioner (currently </w:t>
      </w:r>
      <w:r w:rsidR="00BB17AC">
        <w:rPr>
          <w:lang w:eastAsia="en-AU"/>
        </w:rPr>
        <w:t>around A</w:t>
      </w:r>
      <w:r>
        <w:rPr>
          <w:lang w:eastAsia="en-AU"/>
        </w:rPr>
        <w:t>$</w:t>
      </w:r>
      <w:r w:rsidR="00BB17AC">
        <w:rPr>
          <w:lang w:eastAsia="en-AU"/>
        </w:rPr>
        <w:t>47</w:t>
      </w:r>
      <w:r>
        <w:rPr>
          <w:lang w:eastAsia="en-AU"/>
        </w:rPr>
        <w:t xml:space="preserve">). </w:t>
      </w:r>
    </w:p>
    <w:p w14:paraId="72281254" w14:textId="0CAACE07" w:rsidR="00B02CB4" w:rsidRDefault="00B02CB4" w:rsidP="00086408">
      <w:pPr>
        <w:spacing w:line="276" w:lineRule="auto"/>
        <w:rPr>
          <w:lang w:eastAsia="en-AU"/>
        </w:rPr>
      </w:pPr>
      <w:r>
        <w:rPr>
          <w:lang w:eastAsia="en-AU"/>
        </w:rPr>
        <w:t>Grants of assistance for child welfare utilise ‘fixed-fees’ for each separate item or service, with approval provided for a fixed number of each item or service</w:t>
      </w:r>
      <w:r w:rsidR="004A4911">
        <w:rPr>
          <w:lang w:eastAsia="en-AU"/>
        </w:rPr>
        <w:t>.</w:t>
      </w:r>
      <w:r w:rsidR="0066733F">
        <w:rPr>
          <w:rStyle w:val="FootnoteReference"/>
          <w:lang w:eastAsia="en-AU"/>
        </w:rPr>
        <w:footnoteReference w:id="122"/>
      </w:r>
      <w:r>
        <w:rPr>
          <w:lang w:eastAsia="en-AU"/>
        </w:rPr>
        <w:t xml:space="preserve"> There are fixed fees for preparation of a matter; attendance at a hearing (by hearing type); attendance at a roundtable conference (a form of court based mediation); and for preparation of a ‘response’, which includes drafting of affidavit materials. Legal assistance is available for representation at a pre-court FGC, although only in ‘special circumstances’ where the applicant has: </w:t>
      </w:r>
    </w:p>
    <w:p w14:paraId="06541BED" w14:textId="672BB53B" w:rsidR="00B02CB4" w:rsidRDefault="002C56C1" w:rsidP="002C56C1">
      <w:pPr>
        <w:pStyle w:val="VLAa"/>
        <w:rPr>
          <w:lang w:eastAsia="en-AU"/>
        </w:rPr>
      </w:pPr>
      <w:r>
        <w:rPr>
          <w:lang w:eastAsia="en-AU"/>
        </w:rPr>
        <w:t>a disability</w:t>
      </w:r>
    </w:p>
    <w:p w14:paraId="63C00CDE" w14:textId="6C4BAB64" w:rsidR="00B02CB4" w:rsidRDefault="00B02CB4" w:rsidP="002C56C1">
      <w:pPr>
        <w:pStyle w:val="VLAa"/>
        <w:rPr>
          <w:lang w:eastAsia="en-AU"/>
        </w:rPr>
      </w:pPr>
      <w:r>
        <w:rPr>
          <w:lang w:eastAsia="en-AU"/>
        </w:rPr>
        <w:t>there are serious power and contro</w:t>
      </w:r>
      <w:r w:rsidR="002C56C1">
        <w:rPr>
          <w:lang w:eastAsia="en-AU"/>
        </w:rPr>
        <w:t>l issues in the family dynamics,</w:t>
      </w:r>
      <w:r>
        <w:rPr>
          <w:lang w:eastAsia="en-AU"/>
        </w:rPr>
        <w:t xml:space="preserve"> or </w:t>
      </w:r>
    </w:p>
    <w:p w14:paraId="59BA7C36" w14:textId="5A531C25" w:rsidR="00B02CB4" w:rsidRDefault="0066733F" w:rsidP="002C56C1">
      <w:pPr>
        <w:pStyle w:val="VLAa"/>
        <w:rPr>
          <w:lang w:eastAsia="en-AU"/>
        </w:rPr>
      </w:pPr>
      <w:r>
        <w:rPr>
          <w:lang w:eastAsia="en-AU"/>
        </w:rPr>
        <w:t>t</w:t>
      </w:r>
      <w:r w:rsidR="00B02CB4">
        <w:rPr>
          <w:lang w:eastAsia="en-AU"/>
        </w:rPr>
        <w:t>here are significant domestic violence i</w:t>
      </w:r>
      <w:r w:rsidR="002C56C1">
        <w:rPr>
          <w:lang w:eastAsia="en-AU"/>
        </w:rPr>
        <w:t>ssues affecting the applicant.</w:t>
      </w:r>
    </w:p>
    <w:p w14:paraId="623BFC1B" w14:textId="77777777" w:rsidR="00B02CB4" w:rsidRDefault="00B02CB4" w:rsidP="00086408">
      <w:pPr>
        <w:spacing w:line="276" w:lineRule="auto"/>
        <w:rPr>
          <w:lang w:eastAsia="en-AU"/>
        </w:rPr>
      </w:pPr>
      <w:r>
        <w:rPr>
          <w:lang w:eastAsia="en-AU"/>
        </w:rPr>
        <w:lastRenderedPageBreak/>
        <w:t xml:space="preserve">While duty lawyers are available for criminal law matters (subject to strict guidelines), there is no duty lawyer service for child welfare applications. This is consistent with their prioritisation of FGC prior to court and the inclusion of an ‘urgent hearing’ fixed fee within the guidelines. </w:t>
      </w:r>
    </w:p>
    <w:p w14:paraId="32438581" w14:textId="77777777" w:rsidR="00B02CB4" w:rsidRDefault="00B02CB4" w:rsidP="00086408">
      <w:pPr>
        <w:spacing w:line="276" w:lineRule="auto"/>
        <w:rPr>
          <w:lang w:eastAsia="en-AU"/>
        </w:rPr>
      </w:pPr>
      <w:r>
        <w:rPr>
          <w:lang w:eastAsia="en-AU"/>
        </w:rPr>
        <w:t xml:space="preserve">The ‘Investing in Children’ report recommended the creation of an independent youth advocacy service to ‘ensure that the voices of children are heard in the design of systems and services’. It too early to predict the impact of such an agency upon the delivery of legal services for children. </w:t>
      </w:r>
    </w:p>
    <w:p w14:paraId="63657CB4" w14:textId="77777777" w:rsidR="0066733F" w:rsidRDefault="0066733F" w:rsidP="002C56C1">
      <w:pPr>
        <w:pStyle w:val="Heading3"/>
      </w:pPr>
      <w:bookmarkStart w:id="48" w:name="_Toc465244426"/>
      <w:r>
        <w:t>Example 2: Canada</w:t>
      </w:r>
      <w:bookmarkEnd w:id="48"/>
      <w:r>
        <w:t xml:space="preserve"> </w:t>
      </w:r>
    </w:p>
    <w:p w14:paraId="476DF33C" w14:textId="5BBE8308" w:rsidR="0066733F" w:rsidRDefault="0066733F" w:rsidP="00086408">
      <w:pPr>
        <w:spacing w:line="276" w:lineRule="auto"/>
        <w:rPr>
          <w:lang w:eastAsia="en-AU"/>
        </w:rPr>
      </w:pPr>
      <w:r>
        <w:rPr>
          <w:lang w:eastAsia="en-AU"/>
        </w:rPr>
        <w:t xml:space="preserve">The Canadian child protection system also adopts a mix of orientations, principally </w:t>
      </w:r>
      <w:r w:rsidRPr="0066733F">
        <w:rPr>
          <w:i/>
          <w:lang w:eastAsia="en-AU"/>
        </w:rPr>
        <w:t>child protection</w:t>
      </w:r>
      <w:r>
        <w:rPr>
          <w:lang w:eastAsia="en-AU"/>
        </w:rPr>
        <w:t xml:space="preserve"> with a strong </w:t>
      </w:r>
      <w:r w:rsidRPr="0066733F">
        <w:rPr>
          <w:i/>
          <w:lang w:eastAsia="en-AU"/>
        </w:rPr>
        <w:t>child and family service</w:t>
      </w:r>
      <w:r>
        <w:rPr>
          <w:lang w:eastAsia="en-AU"/>
        </w:rPr>
        <w:t xml:space="preserve"> focus. In Canada, provincial and territory governments are responsible for the administration and operation of child protection services. Legislation in each province or territory governs the way that such services are provided and by whom; with responsibility for the delivery of child protection services undertaken by local authorities and mandated non-government agencies. It was outside the scope of this scan to assess the various approaches adopted across the ten provinces and three territories of Canada, however, for readers interested, a case study featuring the province of Manitoba is set out in </w:t>
      </w:r>
      <w:hyperlink w:anchor="_Annexure_5_–" w:history="1">
        <w:r w:rsidRPr="003E62F3">
          <w:rPr>
            <w:rStyle w:val="Hyperlink"/>
            <w:lang w:eastAsia="en-AU"/>
          </w:rPr>
          <w:t xml:space="preserve">Annexure </w:t>
        </w:r>
        <w:r w:rsidR="00D31537" w:rsidRPr="003E62F3">
          <w:rPr>
            <w:rStyle w:val="Hyperlink"/>
            <w:lang w:eastAsia="en-AU"/>
          </w:rPr>
          <w:t>5</w:t>
        </w:r>
      </w:hyperlink>
      <w:r>
        <w:rPr>
          <w:lang w:eastAsia="en-AU"/>
        </w:rPr>
        <w:t>.</w:t>
      </w:r>
      <w:r>
        <w:rPr>
          <w:rStyle w:val="FootnoteReference"/>
          <w:lang w:eastAsia="en-AU"/>
        </w:rPr>
        <w:footnoteReference w:id="123"/>
      </w:r>
    </w:p>
    <w:p w14:paraId="60192993" w14:textId="77777777" w:rsidR="0066733F" w:rsidRDefault="0066733F" w:rsidP="00086408">
      <w:pPr>
        <w:spacing w:line="276" w:lineRule="auto"/>
        <w:rPr>
          <w:lang w:eastAsia="en-AU"/>
        </w:rPr>
      </w:pPr>
      <w:r>
        <w:rPr>
          <w:lang w:eastAsia="en-AU"/>
        </w:rPr>
        <w:t xml:space="preserve">In essence, each province or territory has a number of agencies sharing concurrent jurisdiction. Where a child is assessed as being at risk, families may choose which support agency they work with to ensure that support is provided in a culturally appropriate manner. </w:t>
      </w:r>
    </w:p>
    <w:p w14:paraId="405CD201" w14:textId="155D746A" w:rsidR="0066733F" w:rsidRDefault="003E62F3" w:rsidP="00086408">
      <w:pPr>
        <w:spacing w:line="276" w:lineRule="auto"/>
        <w:rPr>
          <w:lang w:eastAsia="en-AU"/>
        </w:rPr>
      </w:pPr>
      <w:r>
        <w:rPr>
          <w:lang w:eastAsia="en-AU"/>
        </w:rPr>
        <w:t>When the family comes before a c</w:t>
      </w:r>
      <w:r w:rsidR="0066733F">
        <w:rPr>
          <w:lang w:eastAsia="en-AU"/>
        </w:rPr>
        <w:t xml:space="preserve">ourt it may order that the child be: </w:t>
      </w:r>
    </w:p>
    <w:p w14:paraId="43F155E4" w14:textId="356672B9" w:rsidR="0066733F" w:rsidRDefault="004A4911" w:rsidP="002C56C1">
      <w:pPr>
        <w:pStyle w:val="ListBullet"/>
        <w:rPr>
          <w:lang w:eastAsia="en-AU"/>
        </w:rPr>
      </w:pPr>
      <w:r>
        <w:rPr>
          <w:lang w:eastAsia="en-AU"/>
        </w:rPr>
        <w:t>returned to their parents</w:t>
      </w:r>
    </w:p>
    <w:p w14:paraId="1C78EA64" w14:textId="765AA009" w:rsidR="0066733F" w:rsidRDefault="004A4911" w:rsidP="002C56C1">
      <w:pPr>
        <w:pStyle w:val="ListBullet"/>
        <w:rPr>
          <w:lang w:eastAsia="en-AU"/>
        </w:rPr>
      </w:pPr>
      <w:r>
        <w:rPr>
          <w:lang w:eastAsia="en-AU"/>
        </w:rPr>
        <w:t>placed with a third party</w:t>
      </w:r>
    </w:p>
    <w:p w14:paraId="65C4BAA5" w14:textId="07AA5A92" w:rsidR="0066733F" w:rsidRDefault="0066733F" w:rsidP="002C56C1">
      <w:pPr>
        <w:pStyle w:val="ListBullet"/>
        <w:rPr>
          <w:lang w:eastAsia="en-AU"/>
        </w:rPr>
      </w:pPr>
      <w:r>
        <w:rPr>
          <w:lang w:eastAsia="en-AU"/>
        </w:rPr>
        <w:t>placed under the temporary guar</w:t>
      </w:r>
      <w:r w:rsidR="004A4911">
        <w:rPr>
          <w:lang w:eastAsia="en-AU"/>
        </w:rPr>
        <w:t>dianship of the nominated agency,</w:t>
      </w:r>
      <w:r>
        <w:rPr>
          <w:lang w:eastAsia="en-AU"/>
        </w:rPr>
        <w:t xml:space="preserve"> or</w:t>
      </w:r>
    </w:p>
    <w:p w14:paraId="47392E3F" w14:textId="0BA647D3" w:rsidR="0066733F" w:rsidRDefault="0066733F" w:rsidP="002C56C1">
      <w:pPr>
        <w:pStyle w:val="ListBullet"/>
        <w:rPr>
          <w:lang w:eastAsia="en-AU"/>
        </w:rPr>
      </w:pPr>
      <w:r>
        <w:rPr>
          <w:lang w:eastAsia="en-AU"/>
        </w:rPr>
        <w:t>placed under the permanent guardian</w:t>
      </w:r>
      <w:r w:rsidR="00F71279">
        <w:rPr>
          <w:lang w:eastAsia="en-AU"/>
        </w:rPr>
        <w:t>ship of the nominated agency.</w:t>
      </w:r>
    </w:p>
    <w:p w14:paraId="77B00CB6" w14:textId="77777777" w:rsidR="0066733F" w:rsidRDefault="0066733F" w:rsidP="00086408">
      <w:pPr>
        <w:spacing w:line="276" w:lineRule="auto"/>
        <w:rPr>
          <w:lang w:eastAsia="en-AU"/>
        </w:rPr>
      </w:pPr>
      <w:r>
        <w:rPr>
          <w:lang w:eastAsia="en-AU"/>
        </w:rPr>
        <w:t xml:space="preserve">Legislation provides for interim and long-terms orders and conditions relating to access with parents. </w:t>
      </w:r>
    </w:p>
    <w:p w14:paraId="37E49C8D" w14:textId="77777777" w:rsidR="0066733F" w:rsidRDefault="0066733F" w:rsidP="00086408">
      <w:pPr>
        <w:spacing w:line="276" w:lineRule="auto"/>
        <w:rPr>
          <w:lang w:eastAsia="en-AU"/>
        </w:rPr>
      </w:pPr>
      <w:r>
        <w:rPr>
          <w:lang w:eastAsia="en-AU"/>
        </w:rPr>
        <w:t>As with child protection services, legal services vary from province to province and territory to territory:</w:t>
      </w:r>
    </w:p>
    <w:p w14:paraId="58569F91" w14:textId="1A440B79" w:rsidR="0066733F" w:rsidRDefault="0066733F" w:rsidP="002C56C1">
      <w:pPr>
        <w:pStyle w:val="ListBullet"/>
        <w:rPr>
          <w:lang w:eastAsia="en-AU"/>
        </w:rPr>
      </w:pPr>
      <w:r>
        <w:rPr>
          <w:lang w:eastAsia="en-AU"/>
        </w:rPr>
        <w:t>most provinces have some form of child representation in child welfare cases, although the form of this representation varies and includes</w:t>
      </w:r>
      <w:r w:rsidR="003E62F3">
        <w:rPr>
          <w:lang w:eastAsia="en-AU"/>
        </w:rPr>
        <w:t>:</w:t>
      </w:r>
      <w:r>
        <w:rPr>
          <w:rStyle w:val="FootnoteReference"/>
          <w:lang w:eastAsia="en-AU"/>
        </w:rPr>
        <w:footnoteReference w:id="124"/>
      </w:r>
      <w:r>
        <w:rPr>
          <w:lang w:eastAsia="en-AU"/>
        </w:rPr>
        <w:t xml:space="preserve"> </w:t>
      </w:r>
    </w:p>
    <w:p w14:paraId="0E346F6C" w14:textId="77301789" w:rsidR="0066733F" w:rsidRDefault="0066733F" w:rsidP="004A4A3D">
      <w:pPr>
        <w:pStyle w:val="ListBullet2"/>
        <w:rPr>
          <w:lang w:eastAsia="en-AU"/>
        </w:rPr>
      </w:pPr>
      <w:r w:rsidRPr="0066733F">
        <w:rPr>
          <w:b/>
          <w:lang w:eastAsia="en-AU"/>
        </w:rPr>
        <w:t>amicus curiae</w:t>
      </w:r>
      <w:r>
        <w:rPr>
          <w:lang w:eastAsia="en-AU"/>
        </w:rPr>
        <w:t xml:space="preserve"> – lawyers that are neutral and do not advocate for the child and have no obligation to present the c</w:t>
      </w:r>
      <w:r w:rsidR="004A4911">
        <w:rPr>
          <w:lang w:eastAsia="en-AU"/>
        </w:rPr>
        <w:t>hild’s wishes</w:t>
      </w:r>
    </w:p>
    <w:p w14:paraId="0CA32B60" w14:textId="667D6E8A" w:rsidR="0066733F" w:rsidRDefault="0066733F" w:rsidP="004A4A3D">
      <w:pPr>
        <w:pStyle w:val="ListBullet2"/>
        <w:rPr>
          <w:lang w:eastAsia="en-AU"/>
        </w:rPr>
      </w:pPr>
      <w:r w:rsidRPr="0066733F">
        <w:rPr>
          <w:b/>
          <w:lang w:eastAsia="en-AU"/>
        </w:rPr>
        <w:t>litigation guardian</w:t>
      </w:r>
      <w:r>
        <w:rPr>
          <w:lang w:eastAsia="en-AU"/>
        </w:rPr>
        <w:t xml:space="preserve"> – lawyers represent the ‘best </w:t>
      </w:r>
      <w:r w:rsidR="004A4911">
        <w:rPr>
          <w:lang w:eastAsia="en-AU"/>
        </w:rPr>
        <w:t>interest’ of the child in court</w:t>
      </w:r>
    </w:p>
    <w:p w14:paraId="6AC3AAA2" w14:textId="0F3BAA5C" w:rsidR="0066733F" w:rsidRDefault="0066733F" w:rsidP="004A4A3D">
      <w:pPr>
        <w:pStyle w:val="ListBullet2"/>
        <w:rPr>
          <w:lang w:eastAsia="en-AU"/>
        </w:rPr>
      </w:pPr>
      <w:r>
        <w:rPr>
          <w:lang w:eastAsia="en-AU"/>
        </w:rPr>
        <w:t xml:space="preserve">advocate or </w:t>
      </w:r>
      <w:r w:rsidRPr="0066733F">
        <w:rPr>
          <w:b/>
          <w:lang w:eastAsia="en-AU"/>
        </w:rPr>
        <w:t>child’s lawyer</w:t>
      </w:r>
      <w:r>
        <w:rPr>
          <w:lang w:eastAsia="en-AU"/>
        </w:rPr>
        <w:t xml:space="preserve"> – a</w:t>
      </w:r>
      <w:r w:rsidR="004A4911">
        <w:rPr>
          <w:lang w:eastAsia="en-AU"/>
        </w:rPr>
        <w:t>cts on the child’s instructions</w:t>
      </w:r>
      <w:r w:rsidR="003E62F3">
        <w:rPr>
          <w:lang w:eastAsia="en-AU"/>
        </w:rPr>
        <w:t>.</w:t>
      </w:r>
    </w:p>
    <w:p w14:paraId="6F7601DC" w14:textId="7A000F8B" w:rsidR="0066733F" w:rsidRDefault="0066733F" w:rsidP="004A4A3D">
      <w:pPr>
        <w:pStyle w:val="ListBullet"/>
        <w:rPr>
          <w:lang w:eastAsia="en-AU"/>
        </w:rPr>
      </w:pPr>
      <w:r>
        <w:rPr>
          <w:lang w:eastAsia="en-AU"/>
        </w:rPr>
        <w:t>in provinces and territories where children are eligible for legal representation on an ‘instruction’ model, capacity must be established by the lawyer except in circumstances where the legislation dictates an age for capacity</w:t>
      </w:r>
      <w:r>
        <w:rPr>
          <w:rStyle w:val="FootnoteReference"/>
          <w:lang w:eastAsia="en-AU"/>
        </w:rPr>
        <w:footnoteReference w:id="125"/>
      </w:r>
    </w:p>
    <w:p w14:paraId="1D323C2D" w14:textId="24920D00" w:rsidR="0066733F" w:rsidRDefault="0066733F" w:rsidP="004A4A3D">
      <w:pPr>
        <w:pStyle w:val="ListBullet"/>
        <w:rPr>
          <w:lang w:eastAsia="en-AU"/>
        </w:rPr>
      </w:pPr>
      <w:r>
        <w:rPr>
          <w:lang w:eastAsia="en-AU"/>
        </w:rPr>
        <w:lastRenderedPageBreak/>
        <w:t>most provinces and territories require lawyers acting on behalf of children to provide written responses, in affidavit form, which outline details of the child’s wishes and evidence of matters considered by the lawyer where they are making recom</w:t>
      </w:r>
      <w:r w:rsidR="004A4911">
        <w:rPr>
          <w:lang w:eastAsia="en-AU"/>
        </w:rPr>
        <w:t>mendations on ‘best interests’</w:t>
      </w:r>
    </w:p>
    <w:p w14:paraId="2B3B4984" w14:textId="412C119A" w:rsidR="0066733F" w:rsidRDefault="0066733F" w:rsidP="004A4A3D">
      <w:pPr>
        <w:pStyle w:val="ListBullet"/>
        <w:rPr>
          <w:lang w:eastAsia="en-AU"/>
        </w:rPr>
      </w:pPr>
      <w:r>
        <w:rPr>
          <w:lang w:eastAsia="en-AU"/>
        </w:rPr>
        <w:t xml:space="preserve">in Newfoundland and Labrador, the </w:t>
      </w:r>
      <w:r w:rsidRPr="00DD3193">
        <w:rPr>
          <w:i/>
          <w:lang w:eastAsia="en-AU"/>
        </w:rPr>
        <w:t>Children’s Law Act</w:t>
      </w:r>
      <w:r w:rsidR="00DD3193">
        <w:rPr>
          <w:rStyle w:val="FootnoteReference"/>
          <w:i/>
          <w:lang w:eastAsia="en-AU"/>
        </w:rPr>
        <w:footnoteReference w:id="126"/>
      </w:r>
      <w:r>
        <w:rPr>
          <w:lang w:eastAsia="en-AU"/>
        </w:rPr>
        <w:t xml:space="preserve"> enables a judge to interview a child to ascertain their preferences and the legislation enables the child to be advised by a lawyer, who may be</w:t>
      </w:r>
      <w:r w:rsidR="004A4911">
        <w:rPr>
          <w:lang w:eastAsia="en-AU"/>
        </w:rPr>
        <w:t xml:space="preserve"> present during this interview</w:t>
      </w:r>
    </w:p>
    <w:p w14:paraId="1C800527" w14:textId="07FA871E" w:rsidR="0066733F" w:rsidRDefault="0066733F" w:rsidP="004A4A3D">
      <w:pPr>
        <w:pStyle w:val="ListBullet"/>
        <w:rPr>
          <w:lang w:eastAsia="en-AU"/>
        </w:rPr>
      </w:pPr>
      <w:r>
        <w:rPr>
          <w:lang w:eastAsia="en-AU"/>
        </w:rPr>
        <w:t>Ontario has the most comprehensive system of representation for children of all ages in child protection proceedings. It has an Office of the Children’s Lawyer (OCL), which is funded separately from Legal Aid Ontario and represents all children in Famil</w:t>
      </w:r>
      <w:r w:rsidR="00DD3193">
        <w:rPr>
          <w:lang w:eastAsia="en-AU"/>
        </w:rPr>
        <w:t>y Law and child welfare matters</w:t>
      </w:r>
      <w:r w:rsidR="004A4911">
        <w:rPr>
          <w:lang w:eastAsia="en-AU"/>
        </w:rPr>
        <w:t>.</w:t>
      </w:r>
      <w:r w:rsidR="00DD3193">
        <w:rPr>
          <w:rStyle w:val="FootnoteReference"/>
          <w:lang w:eastAsia="en-AU"/>
        </w:rPr>
        <w:footnoteReference w:id="127"/>
      </w:r>
      <w:r>
        <w:rPr>
          <w:lang w:eastAsia="en-AU"/>
        </w:rPr>
        <w:t xml:space="preserve"> A child can have representation at any stage of a child welfare proceeding upon order of the court, with the child’s capacity determining which model of representation is adopted. The OCL employs a team of specialist children’s lawyers and ‘clinical investigators’ (qualified social workers) who work jointly to represent and support the needs of its child and youth clients. Clinical investigators may also prepare written reports for the lawyer or court when required by</w:t>
      </w:r>
      <w:r w:rsidR="00DD3193">
        <w:rPr>
          <w:lang w:eastAsia="en-AU"/>
        </w:rPr>
        <w:t xml:space="preserve"> either the lawyer or the court</w:t>
      </w:r>
      <w:r w:rsidR="00DD3193">
        <w:rPr>
          <w:rStyle w:val="FootnoteReference"/>
          <w:lang w:eastAsia="en-AU"/>
        </w:rPr>
        <w:footnoteReference w:id="128"/>
      </w:r>
      <w:r>
        <w:rPr>
          <w:lang w:eastAsia="en-AU"/>
        </w:rPr>
        <w:t xml:space="preserve"> </w:t>
      </w:r>
    </w:p>
    <w:p w14:paraId="7652657B" w14:textId="01ADB6ED" w:rsidR="0066733F" w:rsidRDefault="0066733F" w:rsidP="004A4A3D">
      <w:pPr>
        <w:pStyle w:val="ListBullet"/>
        <w:rPr>
          <w:lang w:eastAsia="en-AU"/>
        </w:rPr>
      </w:pPr>
      <w:r>
        <w:rPr>
          <w:lang w:eastAsia="en-AU"/>
        </w:rPr>
        <w:t>all provinces and territories provide some level of assistance through local legal aid agencies</w:t>
      </w:r>
      <w:r w:rsidR="00B93B15">
        <w:rPr>
          <w:lang w:eastAsia="en-AU"/>
        </w:rPr>
        <w:t xml:space="preserve"> to children, young people and parents</w:t>
      </w:r>
      <w:r>
        <w:rPr>
          <w:lang w:eastAsia="en-AU"/>
        </w:rPr>
        <w:t>, ranging from duty lawyer services to ongoing assistance during proceeding pu</w:t>
      </w:r>
      <w:r w:rsidR="00DD3193">
        <w:rPr>
          <w:lang w:eastAsia="en-AU"/>
        </w:rPr>
        <w:t>rsuant to a grant of assistance</w:t>
      </w:r>
      <w:r w:rsidR="00DD3193">
        <w:rPr>
          <w:rStyle w:val="FootnoteReference"/>
          <w:lang w:eastAsia="en-AU"/>
        </w:rPr>
        <w:footnoteReference w:id="129"/>
      </w:r>
      <w:r>
        <w:rPr>
          <w:lang w:eastAsia="en-AU"/>
        </w:rPr>
        <w:t xml:space="preserve"> </w:t>
      </w:r>
    </w:p>
    <w:p w14:paraId="520C285A" w14:textId="03282522" w:rsidR="0066733F" w:rsidRDefault="0066733F" w:rsidP="004A4A3D">
      <w:pPr>
        <w:pStyle w:val="ListBullet"/>
        <w:rPr>
          <w:lang w:eastAsia="en-AU"/>
        </w:rPr>
      </w:pPr>
      <w:r>
        <w:rPr>
          <w:lang w:eastAsia="en-AU"/>
        </w:rPr>
        <w:t>some provinces and territories provide pre-court servi</w:t>
      </w:r>
      <w:r w:rsidR="00DD3193">
        <w:rPr>
          <w:lang w:eastAsia="en-AU"/>
        </w:rPr>
        <w:t>ces to attend mediation or FGCs</w:t>
      </w:r>
      <w:r w:rsidR="00DD3193">
        <w:rPr>
          <w:rStyle w:val="FootnoteReference"/>
          <w:lang w:eastAsia="en-AU"/>
        </w:rPr>
        <w:footnoteReference w:id="130"/>
      </w:r>
      <w:r>
        <w:rPr>
          <w:lang w:eastAsia="en-AU"/>
        </w:rPr>
        <w:t xml:space="preserve"> </w:t>
      </w:r>
    </w:p>
    <w:p w14:paraId="3774EA86" w14:textId="77777777" w:rsidR="00DD3193" w:rsidRDefault="00DD3193" w:rsidP="004A4A3D">
      <w:pPr>
        <w:pStyle w:val="Heading3"/>
      </w:pPr>
      <w:bookmarkStart w:id="49" w:name="_Toc465244427"/>
      <w:r>
        <w:t>Example 3: England</w:t>
      </w:r>
      <w:bookmarkEnd w:id="49"/>
    </w:p>
    <w:p w14:paraId="1B55EAC0" w14:textId="6C506192" w:rsidR="00DD3193" w:rsidRDefault="00DD3193" w:rsidP="00086408">
      <w:pPr>
        <w:spacing w:line="276" w:lineRule="auto"/>
        <w:rPr>
          <w:lang w:eastAsia="en-AU"/>
        </w:rPr>
      </w:pPr>
      <w:r>
        <w:rPr>
          <w:lang w:eastAsia="en-AU"/>
        </w:rPr>
        <w:t xml:space="preserve">The English child protection system is viewed as a largely </w:t>
      </w:r>
      <w:r w:rsidRPr="00DD3193">
        <w:rPr>
          <w:i/>
          <w:lang w:eastAsia="en-AU"/>
        </w:rPr>
        <w:t>child protection</w:t>
      </w:r>
      <w:r>
        <w:rPr>
          <w:lang w:eastAsia="en-AU"/>
        </w:rPr>
        <w:t xml:space="preserve"> oriented system</w:t>
      </w:r>
      <w:r w:rsidR="00A97A44">
        <w:rPr>
          <w:lang w:eastAsia="en-AU"/>
        </w:rPr>
        <w:t>.</w:t>
      </w:r>
      <w:r>
        <w:rPr>
          <w:rStyle w:val="FootnoteReference"/>
          <w:lang w:eastAsia="en-AU"/>
        </w:rPr>
        <w:footnoteReference w:id="131"/>
      </w:r>
      <w:r>
        <w:rPr>
          <w:lang w:eastAsia="en-AU"/>
        </w:rPr>
        <w:t xml:space="preserve"> The </w:t>
      </w:r>
      <w:r w:rsidRPr="00C24212">
        <w:rPr>
          <w:i/>
          <w:lang w:eastAsia="en-AU"/>
        </w:rPr>
        <w:t>Children Act 1989</w:t>
      </w:r>
      <w:r>
        <w:rPr>
          <w:lang w:eastAsia="en-AU"/>
        </w:rPr>
        <w:t xml:space="preserve"> provides the current legislative framework for child protection in England. Key principles established by the act include:</w:t>
      </w:r>
    </w:p>
    <w:p w14:paraId="4A1B99F2" w14:textId="230F4815" w:rsidR="00DD3193" w:rsidRDefault="00DD3193" w:rsidP="004A4A3D">
      <w:pPr>
        <w:pStyle w:val="ListBullet"/>
        <w:rPr>
          <w:lang w:eastAsia="en-AU"/>
        </w:rPr>
      </w:pPr>
      <w:r>
        <w:rPr>
          <w:lang w:eastAsia="en-AU"/>
        </w:rPr>
        <w:t>the paramount nature of the child's welfa</w:t>
      </w:r>
      <w:r w:rsidR="003E62F3">
        <w:rPr>
          <w:lang w:eastAsia="en-AU"/>
        </w:rPr>
        <w:t>re,</w:t>
      </w:r>
      <w:r>
        <w:rPr>
          <w:lang w:eastAsia="en-AU"/>
        </w:rPr>
        <w:t xml:space="preserve"> and</w:t>
      </w:r>
    </w:p>
    <w:p w14:paraId="1FEDBCB9" w14:textId="77777777" w:rsidR="00DD3193" w:rsidRDefault="00DD3193" w:rsidP="004A4A3D">
      <w:pPr>
        <w:pStyle w:val="ListBullet"/>
        <w:rPr>
          <w:lang w:eastAsia="en-AU"/>
        </w:rPr>
      </w:pPr>
      <w:r>
        <w:rPr>
          <w:lang w:eastAsia="en-AU"/>
        </w:rPr>
        <w:t>the expectations and requirements around duties of care to children.</w:t>
      </w:r>
    </w:p>
    <w:p w14:paraId="7E6DB695" w14:textId="5C206963" w:rsidR="00DD3193" w:rsidRDefault="00DD3193" w:rsidP="00086408">
      <w:pPr>
        <w:spacing w:line="276" w:lineRule="auto"/>
        <w:rPr>
          <w:lang w:eastAsia="en-AU"/>
        </w:rPr>
      </w:pPr>
      <w:r>
        <w:rPr>
          <w:lang w:eastAsia="en-AU"/>
        </w:rPr>
        <w:t xml:space="preserve">The 1989 Act was strengthened by the introduction of the </w:t>
      </w:r>
      <w:r w:rsidRPr="00C24212">
        <w:rPr>
          <w:i/>
          <w:lang w:eastAsia="en-AU"/>
        </w:rPr>
        <w:t>Children Act 2004</w:t>
      </w:r>
      <w:r>
        <w:rPr>
          <w:lang w:eastAsia="en-AU"/>
        </w:rPr>
        <w:t xml:space="preserve"> (Every Child Matters), which supported the creation of a national framework for reforming children’s services in England and Wales. The amendments were to support reforms designed to enhance interagency service </w:t>
      </w:r>
      <w:r>
        <w:rPr>
          <w:lang w:eastAsia="en-AU"/>
        </w:rPr>
        <w:lastRenderedPageBreak/>
        <w:t>delivery and ‘joined-up’ services. These reforms were the subject of further review in 2008 following the tragic death of a child who was the subject of a child protection plan</w:t>
      </w:r>
      <w:r w:rsidR="00A97A44">
        <w:rPr>
          <w:lang w:eastAsia="en-AU"/>
        </w:rPr>
        <w:t>.</w:t>
      </w:r>
      <w:r w:rsidR="00C24212">
        <w:rPr>
          <w:rStyle w:val="FootnoteReference"/>
          <w:lang w:eastAsia="en-AU"/>
        </w:rPr>
        <w:footnoteReference w:id="132"/>
      </w:r>
    </w:p>
    <w:p w14:paraId="520266DE" w14:textId="77777777" w:rsidR="00DD3193" w:rsidRDefault="00DD3193" w:rsidP="00086408">
      <w:pPr>
        <w:spacing w:line="276" w:lineRule="auto"/>
        <w:rPr>
          <w:lang w:eastAsia="en-AU"/>
        </w:rPr>
      </w:pPr>
      <w:r>
        <w:rPr>
          <w:lang w:eastAsia="en-AU"/>
        </w:rPr>
        <w:t xml:space="preserve">The 2008 review reinforced the importance of a </w:t>
      </w:r>
      <w:r w:rsidRPr="00C24212">
        <w:rPr>
          <w:i/>
          <w:lang w:eastAsia="en-AU"/>
        </w:rPr>
        <w:t>child protection</w:t>
      </w:r>
      <w:r>
        <w:rPr>
          <w:lang w:eastAsia="en-AU"/>
        </w:rPr>
        <w:t xml:space="preserve"> orientation, placing renewed focus on protecting children from harm as opposed to promoting the general welfare of children that had been central to the Principal Act. </w:t>
      </w:r>
    </w:p>
    <w:p w14:paraId="41312C7D" w14:textId="77777777" w:rsidR="00DD3193" w:rsidRDefault="00DD3193" w:rsidP="00086408">
      <w:pPr>
        <w:spacing w:line="276" w:lineRule="auto"/>
        <w:rPr>
          <w:lang w:eastAsia="en-AU"/>
        </w:rPr>
      </w:pPr>
      <w:r>
        <w:rPr>
          <w:lang w:eastAsia="en-AU"/>
        </w:rPr>
        <w:t>In 2011, the new Government commissioned a review by Profession Eileen Munro, arguing:</w:t>
      </w:r>
    </w:p>
    <w:p w14:paraId="16848916" w14:textId="77777777" w:rsidR="00DD3193" w:rsidRPr="00802741" w:rsidRDefault="00DD3193" w:rsidP="004A4A3D">
      <w:pPr>
        <w:pStyle w:val="VLAquotation"/>
        <w:rPr>
          <w:lang w:val="en-US" w:eastAsia="en-AU"/>
        </w:rPr>
      </w:pPr>
      <w:r w:rsidRPr="00C24212">
        <w:rPr>
          <w:lang w:eastAsia="en-AU"/>
        </w:rPr>
        <w:t>The reforms led by the previous administration were well intentioned … but the child protection system in our country is not wor</w:t>
      </w:r>
      <w:r w:rsidR="00C24212">
        <w:rPr>
          <w:lang w:eastAsia="en-AU"/>
        </w:rPr>
        <w:t>king as well as it should.</w:t>
      </w:r>
      <w:r w:rsidR="00802741">
        <w:rPr>
          <w:rStyle w:val="FootnoteReference"/>
          <w:i w:val="0"/>
          <w:lang w:eastAsia="en-AU"/>
        </w:rPr>
        <w:footnoteReference w:id="133"/>
      </w:r>
    </w:p>
    <w:p w14:paraId="758BC404" w14:textId="77777777" w:rsidR="00DD3193" w:rsidRDefault="00DD3193" w:rsidP="00086408">
      <w:pPr>
        <w:spacing w:line="276" w:lineRule="auto"/>
        <w:rPr>
          <w:lang w:eastAsia="en-AU"/>
        </w:rPr>
      </w:pPr>
      <w:r>
        <w:rPr>
          <w:lang w:eastAsia="en-AU"/>
        </w:rPr>
        <w:t>The Munro report recommended changes to reduce bureaucracy and establish a more child-centred system</w:t>
      </w:r>
      <w:r w:rsidR="00802741">
        <w:rPr>
          <w:rStyle w:val="FootnoteReference"/>
          <w:lang w:eastAsia="en-AU"/>
        </w:rPr>
        <w:footnoteReference w:id="134"/>
      </w:r>
      <w:r>
        <w:rPr>
          <w:lang w:eastAsia="en-AU"/>
        </w:rPr>
        <w:t xml:space="preserve">. The impacts of this, in terms of outcomes for children and families, remain unclear. </w:t>
      </w:r>
    </w:p>
    <w:p w14:paraId="0DEBC20C" w14:textId="77777777" w:rsidR="00DD3193" w:rsidRDefault="00DD3193" w:rsidP="00086408">
      <w:pPr>
        <w:spacing w:line="276" w:lineRule="auto"/>
        <w:rPr>
          <w:lang w:eastAsia="en-AU"/>
        </w:rPr>
      </w:pPr>
      <w:r>
        <w:rPr>
          <w:lang w:eastAsia="en-AU"/>
        </w:rPr>
        <w:t>Some distinguishing features of the English child protection system are:</w:t>
      </w:r>
    </w:p>
    <w:p w14:paraId="287FEBC0" w14:textId="293A2BEC" w:rsidR="00DD3193" w:rsidRDefault="00DD3193" w:rsidP="004A4A3D">
      <w:pPr>
        <w:pStyle w:val="ListBullet"/>
        <w:rPr>
          <w:lang w:eastAsia="en-AU"/>
        </w:rPr>
      </w:pPr>
      <w:r>
        <w:rPr>
          <w:lang w:eastAsia="en-AU"/>
        </w:rPr>
        <w:t>the vast majority of matters are dealt with by way of a pre-proceedings process, where parents (but not children) are eligible for leg</w:t>
      </w:r>
      <w:r w:rsidR="003E62F3">
        <w:rPr>
          <w:lang w:eastAsia="en-AU"/>
        </w:rPr>
        <w:t>al representation via legal aid</w:t>
      </w:r>
    </w:p>
    <w:p w14:paraId="4E83F0BA" w14:textId="2E55E0B7" w:rsidR="00DD3193" w:rsidRDefault="00DD3193" w:rsidP="004A4A3D">
      <w:pPr>
        <w:pStyle w:val="ListBullet"/>
        <w:rPr>
          <w:lang w:eastAsia="en-AU"/>
        </w:rPr>
      </w:pPr>
      <w:r>
        <w:rPr>
          <w:lang w:eastAsia="en-AU"/>
        </w:rPr>
        <w:t>the Family Proceedings Court, which sits in the Magistrates’ Court, is a unified family court vested with joint-jurisdiction to hear ‘public’ child protection and ‘private’ family law cases. They are also empowered by various legislation, to hear child support, adoption, domestic violence and</w:t>
      </w:r>
      <w:r w:rsidR="00A97A44">
        <w:rPr>
          <w:lang w:eastAsia="en-AU"/>
        </w:rPr>
        <w:t xml:space="preserve"> declaration of parentage cases</w:t>
      </w:r>
    </w:p>
    <w:p w14:paraId="36B6F074" w14:textId="4305D0D1" w:rsidR="00DD3193" w:rsidRDefault="00DD3193" w:rsidP="004A4A3D">
      <w:pPr>
        <w:pStyle w:val="ListBullet"/>
        <w:rPr>
          <w:lang w:eastAsia="en-AU"/>
        </w:rPr>
      </w:pPr>
      <w:r>
        <w:rPr>
          <w:lang w:eastAsia="en-AU"/>
        </w:rPr>
        <w:t>child protection proceedings are subject to the Ministry of Justice, ‘Public Law Outline’ (PLO)</w:t>
      </w:r>
      <w:r w:rsidR="00A97A44">
        <w:rPr>
          <w:lang w:eastAsia="en-AU"/>
        </w:rPr>
        <w:t>,</w:t>
      </w:r>
      <w:r w:rsidR="00802741">
        <w:rPr>
          <w:rStyle w:val="FootnoteReference"/>
          <w:lang w:eastAsia="en-AU"/>
        </w:rPr>
        <w:footnoteReference w:id="135"/>
      </w:r>
      <w:r>
        <w:rPr>
          <w:lang w:eastAsia="en-AU"/>
        </w:rPr>
        <w:t xml:space="preserve"> which outlines a strict framework for care proceedings that includes pre-court and court based processes. The PLO dictates that except in the most complicated cases, care proceedin</w:t>
      </w:r>
      <w:r w:rsidR="00802741">
        <w:rPr>
          <w:lang w:eastAsia="en-AU"/>
        </w:rPr>
        <w:t>gs take no longer than 26 weeks</w:t>
      </w:r>
      <w:r w:rsidR="00802741">
        <w:rPr>
          <w:rStyle w:val="FootnoteReference"/>
          <w:lang w:eastAsia="en-AU"/>
        </w:rPr>
        <w:footnoteReference w:id="136"/>
      </w:r>
    </w:p>
    <w:p w14:paraId="233366A9" w14:textId="7949BFE3" w:rsidR="00DD3193" w:rsidRDefault="00DD3193" w:rsidP="00086408">
      <w:pPr>
        <w:spacing w:line="276" w:lineRule="auto"/>
        <w:rPr>
          <w:lang w:eastAsia="en-AU"/>
        </w:rPr>
      </w:pPr>
      <w:r>
        <w:rPr>
          <w:lang w:eastAsia="en-AU"/>
        </w:rPr>
        <w:t>The pre-proceedings process was introduced in 2008 as part of the PLO reforms to care proceedings. Its aim was to divert cases of abuse and neglect from the courts, to ensure local authority applications were better prepared and reduce the time courts took t</w:t>
      </w:r>
      <w:r w:rsidR="00802741">
        <w:rPr>
          <w:lang w:eastAsia="en-AU"/>
        </w:rPr>
        <w:t>o decide child protection cases</w:t>
      </w:r>
      <w:r w:rsidR="00802741">
        <w:rPr>
          <w:rStyle w:val="FootnoteReference"/>
          <w:lang w:eastAsia="en-AU"/>
        </w:rPr>
        <w:footnoteReference w:id="137"/>
      </w:r>
      <w:r>
        <w:rPr>
          <w:lang w:eastAsia="en-AU"/>
        </w:rPr>
        <w:t>. Local authorities were required to write a ‘letter before proceedings’ to parents, outlining their concerns and inviting them to attend a ‘pre-proceedings meeting’ to discuss how this could be avoided. Legal Aid is available to all parents, without recourse to a means or merit test, so that they can receive advice and support at the meeting.</w:t>
      </w:r>
      <w:r w:rsidR="00802741">
        <w:rPr>
          <w:rStyle w:val="FootnoteReference"/>
          <w:lang w:eastAsia="en-AU"/>
        </w:rPr>
        <w:footnoteReference w:id="138"/>
      </w:r>
      <w:r w:rsidR="003E62F3">
        <w:rPr>
          <w:lang w:eastAsia="en-AU"/>
        </w:rPr>
        <w:t xml:space="preserve"> </w:t>
      </w:r>
      <w:r>
        <w:rPr>
          <w:lang w:eastAsia="en-AU"/>
        </w:rPr>
        <w:t>The responsibility for ensuring that the voice and views of the child is</w:t>
      </w:r>
      <w:r w:rsidR="00F71279">
        <w:rPr>
          <w:lang w:eastAsia="en-AU"/>
        </w:rPr>
        <w:t xml:space="preserve"> given to the local authority.</w:t>
      </w:r>
    </w:p>
    <w:p w14:paraId="05F6370B" w14:textId="11D59608" w:rsidR="00DD3193" w:rsidRDefault="00DD3193" w:rsidP="00086408">
      <w:pPr>
        <w:spacing w:line="276" w:lineRule="auto"/>
        <w:rPr>
          <w:lang w:eastAsia="en-AU"/>
        </w:rPr>
      </w:pPr>
      <w:r>
        <w:rPr>
          <w:lang w:eastAsia="en-AU"/>
        </w:rPr>
        <w:lastRenderedPageBreak/>
        <w:t xml:space="preserve">In 2013, a review of the impact and operation of the pre-proceedings process was conducted by the University </w:t>
      </w:r>
      <w:r w:rsidR="00777B46">
        <w:rPr>
          <w:lang w:eastAsia="en-AU"/>
        </w:rPr>
        <w:t>of</w:t>
      </w:r>
      <w:r>
        <w:rPr>
          <w:lang w:eastAsia="en-AU"/>
        </w:rPr>
        <w:t xml:space="preserve"> Bristol School </w:t>
      </w:r>
      <w:r w:rsidR="00777B46">
        <w:rPr>
          <w:lang w:eastAsia="en-AU"/>
        </w:rPr>
        <w:t>of</w:t>
      </w:r>
      <w:r>
        <w:rPr>
          <w:lang w:eastAsia="en-AU"/>
        </w:rPr>
        <w:t xml:space="preserve"> Law</w:t>
      </w:r>
      <w:r w:rsidR="00802741">
        <w:rPr>
          <w:rStyle w:val="FootnoteReference"/>
          <w:lang w:eastAsia="en-AU"/>
        </w:rPr>
        <w:footnoteReference w:id="139"/>
      </w:r>
      <w:r>
        <w:rPr>
          <w:lang w:eastAsia="en-AU"/>
        </w:rPr>
        <w:t>. The review found that a third of all pre-proceedings cases involved pre-birth assessments and that pre-proceedings succeede</w:t>
      </w:r>
      <w:r w:rsidR="00802741">
        <w:rPr>
          <w:lang w:eastAsia="en-AU"/>
        </w:rPr>
        <w:t>d in diverting cases from court</w:t>
      </w:r>
      <w:r w:rsidR="00A97A44">
        <w:rPr>
          <w:lang w:eastAsia="en-AU"/>
        </w:rPr>
        <w:t>.</w:t>
      </w:r>
      <w:r w:rsidR="00802741">
        <w:rPr>
          <w:rStyle w:val="FootnoteReference"/>
          <w:lang w:eastAsia="en-AU"/>
        </w:rPr>
        <w:footnoteReference w:id="140"/>
      </w:r>
      <w:r>
        <w:rPr>
          <w:lang w:eastAsia="en-AU"/>
        </w:rPr>
        <w:t xml:space="preserve"> </w:t>
      </w:r>
    </w:p>
    <w:p w14:paraId="51AA45B6" w14:textId="7AFEF899" w:rsidR="00DD3193" w:rsidRDefault="00DD3193" w:rsidP="00086408">
      <w:pPr>
        <w:spacing w:line="276" w:lineRule="auto"/>
        <w:rPr>
          <w:lang w:eastAsia="en-AU"/>
        </w:rPr>
      </w:pPr>
      <w:r>
        <w:rPr>
          <w:lang w:eastAsia="en-AU"/>
        </w:rPr>
        <w:t>Upon the initi</w:t>
      </w:r>
      <w:r w:rsidR="001873B0">
        <w:rPr>
          <w:lang w:eastAsia="en-AU"/>
        </w:rPr>
        <w:t>ation of care proceedings, the c</w:t>
      </w:r>
      <w:r>
        <w:rPr>
          <w:lang w:eastAsia="en-AU"/>
        </w:rPr>
        <w:t>ourt may appoint a lawyer for any children through the Children and Family Court Advocacy Support Service (CAFCASS). All children qualify for legal assistance in care proceedings, without re</w:t>
      </w:r>
      <w:r w:rsidR="00F71279">
        <w:rPr>
          <w:lang w:eastAsia="en-AU"/>
        </w:rPr>
        <w:t>course to means or merit tests.</w:t>
      </w:r>
      <w:r>
        <w:rPr>
          <w:lang w:eastAsia="en-AU"/>
        </w:rPr>
        <w:t xml:space="preserve"> Parents who have been the victim or domestic violence or who have a ‘child in care’ also automatically qualify for legal aid to be represented by a solicitor, and where required a Barrister, without their financial circumstances being taking into </w:t>
      </w:r>
      <w:r w:rsidR="003E62F3">
        <w:rPr>
          <w:lang w:eastAsia="en-AU"/>
        </w:rPr>
        <w:t>account (</w:t>
      </w:r>
      <w:proofErr w:type="spellStart"/>
      <w:r w:rsidR="003E62F3">
        <w:rPr>
          <w:lang w:eastAsia="en-AU"/>
        </w:rPr>
        <w:t>ie</w:t>
      </w:r>
      <w:proofErr w:type="spellEnd"/>
      <w:r w:rsidR="00802741">
        <w:rPr>
          <w:lang w:eastAsia="en-AU"/>
        </w:rPr>
        <w:t xml:space="preserve"> non-means tested)</w:t>
      </w:r>
      <w:r w:rsidR="00A97A44">
        <w:rPr>
          <w:lang w:eastAsia="en-AU"/>
        </w:rPr>
        <w:t>.</w:t>
      </w:r>
      <w:r w:rsidR="00802741">
        <w:rPr>
          <w:rStyle w:val="FootnoteReference"/>
          <w:lang w:eastAsia="en-AU"/>
        </w:rPr>
        <w:footnoteReference w:id="141"/>
      </w:r>
      <w:r w:rsidR="003E62F3">
        <w:rPr>
          <w:lang w:eastAsia="en-AU"/>
        </w:rPr>
        <w:t xml:space="preserve"> </w:t>
      </w:r>
      <w:r>
        <w:rPr>
          <w:lang w:eastAsia="en-AU"/>
        </w:rPr>
        <w:t>So</w:t>
      </w:r>
      <w:r w:rsidR="003E62F3">
        <w:rPr>
          <w:lang w:eastAsia="en-AU"/>
        </w:rPr>
        <w:t>licitors, and where required a b</w:t>
      </w:r>
      <w:r>
        <w:rPr>
          <w:lang w:eastAsia="en-AU"/>
        </w:rPr>
        <w:t>arrister, represent the respective Local Authority.</w:t>
      </w:r>
    </w:p>
    <w:p w14:paraId="0C41311C" w14:textId="77777777" w:rsidR="00DD3193" w:rsidRDefault="00DD3193" w:rsidP="00086408">
      <w:pPr>
        <w:spacing w:line="276" w:lineRule="auto"/>
        <w:rPr>
          <w:lang w:eastAsia="en-AU"/>
        </w:rPr>
      </w:pPr>
      <w:r>
        <w:rPr>
          <w:lang w:eastAsia="en-AU"/>
        </w:rPr>
        <w:t xml:space="preserve">Immediate representation is available pursuant to an ‘Emergency Legal Representation’ grant in circumstances where an application to remove a child from their family home </w:t>
      </w:r>
      <w:r w:rsidR="00802741">
        <w:rPr>
          <w:lang w:eastAsia="en-AU"/>
        </w:rPr>
        <w:t>is made by the local authority.</w:t>
      </w:r>
      <w:r w:rsidR="00802741">
        <w:rPr>
          <w:rStyle w:val="FootnoteReference"/>
          <w:lang w:eastAsia="en-AU"/>
        </w:rPr>
        <w:footnoteReference w:id="142"/>
      </w:r>
      <w:r>
        <w:rPr>
          <w:lang w:eastAsia="en-AU"/>
        </w:rPr>
        <w:t xml:space="preserve"> </w:t>
      </w:r>
    </w:p>
    <w:p w14:paraId="3C05B86B" w14:textId="6F369BA7" w:rsidR="00DD3193" w:rsidRDefault="00D11015" w:rsidP="00086408">
      <w:pPr>
        <w:spacing w:line="276" w:lineRule="auto"/>
        <w:rPr>
          <w:lang w:eastAsia="en-AU"/>
        </w:rPr>
      </w:pPr>
      <w:r>
        <w:rPr>
          <w:lang w:eastAsia="en-AU"/>
        </w:rPr>
        <w:t xml:space="preserve">In </w:t>
      </w:r>
      <w:r w:rsidR="001619BF">
        <w:rPr>
          <w:lang w:eastAsia="en-AU"/>
        </w:rPr>
        <w:t>exceptional circumstances, such as where a parent has a cognitive impairment or mental health issue</w:t>
      </w:r>
      <w:r>
        <w:rPr>
          <w:lang w:eastAsia="en-AU"/>
        </w:rPr>
        <w:t xml:space="preserve"> or has been the victim of domestic violence</w:t>
      </w:r>
      <w:r w:rsidR="001619BF">
        <w:rPr>
          <w:lang w:eastAsia="en-AU"/>
        </w:rPr>
        <w:t xml:space="preserve">. </w:t>
      </w:r>
      <w:r w:rsidR="00DD3193">
        <w:rPr>
          <w:lang w:eastAsia="en-AU"/>
        </w:rPr>
        <w:t>legal aid is available for advice or representation for post-court events, such</w:t>
      </w:r>
      <w:r>
        <w:rPr>
          <w:lang w:eastAsia="en-AU"/>
        </w:rPr>
        <w:t xml:space="preserve"> as attendance at child protection conferences that can occur after a court order is made</w:t>
      </w:r>
      <w:r w:rsidR="00A97A44">
        <w:rPr>
          <w:lang w:eastAsia="en-AU"/>
        </w:rPr>
        <w:t>.</w:t>
      </w:r>
      <w:r>
        <w:rPr>
          <w:rStyle w:val="FootnoteReference"/>
          <w:lang w:eastAsia="en-AU"/>
        </w:rPr>
        <w:footnoteReference w:id="143"/>
      </w:r>
    </w:p>
    <w:p w14:paraId="4280B205" w14:textId="77777777" w:rsidR="00802741" w:rsidRDefault="00802741" w:rsidP="004A4A3D">
      <w:pPr>
        <w:pStyle w:val="Heading3"/>
      </w:pPr>
      <w:bookmarkStart w:id="50" w:name="_Toc465244428"/>
      <w:r>
        <w:t>Example 4: Scotland</w:t>
      </w:r>
      <w:bookmarkEnd w:id="50"/>
    </w:p>
    <w:p w14:paraId="5E3A38CA" w14:textId="0F1D29B1" w:rsidR="00802741" w:rsidRDefault="00802741" w:rsidP="00086408">
      <w:pPr>
        <w:spacing w:line="276" w:lineRule="auto"/>
        <w:rPr>
          <w:lang w:eastAsia="en-AU"/>
        </w:rPr>
      </w:pPr>
      <w:r>
        <w:rPr>
          <w:lang w:eastAsia="en-AU"/>
        </w:rPr>
        <w:t xml:space="preserve">The children’s hearing system is seen as </w:t>
      </w:r>
      <w:r w:rsidRPr="00802741">
        <w:rPr>
          <w:i/>
          <w:lang w:eastAsia="en-AU"/>
        </w:rPr>
        <w:t>child protection</w:t>
      </w:r>
      <w:r>
        <w:rPr>
          <w:lang w:eastAsia="en-AU"/>
        </w:rPr>
        <w:t xml:space="preserve"> and </w:t>
      </w:r>
      <w:r w:rsidR="003E62F3">
        <w:rPr>
          <w:i/>
          <w:lang w:eastAsia="en-AU"/>
        </w:rPr>
        <w:t>child focu</w:t>
      </w:r>
      <w:r w:rsidRPr="00802741">
        <w:rPr>
          <w:i/>
          <w:lang w:eastAsia="en-AU"/>
        </w:rPr>
        <w:t>sed</w:t>
      </w:r>
      <w:r>
        <w:rPr>
          <w:lang w:eastAsia="en-AU"/>
        </w:rPr>
        <w:t xml:space="preserve"> in orientation. The </w:t>
      </w:r>
      <w:r w:rsidRPr="00802741">
        <w:rPr>
          <w:i/>
          <w:lang w:eastAsia="en-AU"/>
        </w:rPr>
        <w:t>Children’s Hearings (Scotland) Act 2011</w:t>
      </w:r>
      <w:r>
        <w:rPr>
          <w:lang w:eastAsia="en-AU"/>
        </w:rPr>
        <w:t xml:space="preserve"> (2011 Act) commenced on 24 June 2013. The 2011 Act made fundamental changes</w:t>
      </w:r>
      <w:r>
        <w:rPr>
          <w:rStyle w:val="FootnoteReference"/>
          <w:lang w:eastAsia="en-AU"/>
        </w:rPr>
        <w:footnoteReference w:id="144"/>
      </w:r>
      <w:r>
        <w:rPr>
          <w:lang w:eastAsia="en-AU"/>
        </w:rPr>
        <w:t xml:space="preserve"> to the child protection hearing processes, which were previously governed by the </w:t>
      </w:r>
      <w:r w:rsidRPr="00802741">
        <w:rPr>
          <w:i/>
          <w:lang w:eastAsia="en-AU"/>
        </w:rPr>
        <w:t>Children (Scotland) Act 1995</w:t>
      </w:r>
      <w:r>
        <w:rPr>
          <w:lang w:eastAsia="en-AU"/>
        </w:rPr>
        <w:t xml:space="preserve"> (the 1995 Act). </w:t>
      </w:r>
    </w:p>
    <w:p w14:paraId="7AA18874" w14:textId="1D0AF772" w:rsidR="00802741" w:rsidRDefault="00802741" w:rsidP="00086408">
      <w:pPr>
        <w:spacing w:line="276" w:lineRule="auto"/>
        <w:rPr>
          <w:lang w:eastAsia="en-AU"/>
        </w:rPr>
      </w:pPr>
      <w:r>
        <w:rPr>
          <w:lang w:eastAsia="en-AU"/>
        </w:rPr>
        <w:t>Some distinguishing features of the Scottish child protection system are</w:t>
      </w:r>
      <w:r w:rsidR="00A97A44">
        <w:rPr>
          <w:lang w:eastAsia="en-AU"/>
        </w:rPr>
        <w:t>:</w:t>
      </w:r>
      <w:r>
        <w:rPr>
          <w:rStyle w:val="FootnoteReference"/>
          <w:lang w:eastAsia="en-AU"/>
        </w:rPr>
        <w:footnoteReference w:id="145"/>
      </w:r>
      <w:r>
        <w:rPr>
          <w:lang w:eastAsia="en-AU"/>
        </w:rPr>
        <w:t xml:space="preserve"> </w:t>
      </w:r>
    </w:p>
    <w:p w14:paraId="21FCB9A3" w14:textId="30EE8D8F" w:rsidR="00802741" w:rsidRDefault="00802741" w:rsidP="004A4A3D">
      <w:pPr>
        <w:pStyle w:val="ListBullet"/>
        <w:rPr>
          <w:lang w:eastAsia="en-AU"/>
        </w:rPr>
      </w:pPr>
      <w:r>
        <w:rPr>
          <w:lang w:eastAsia="en-AU"/>
        </w:rPr>
        <w:t>most matters are dealt with by children’s hearings conducted by tribunals of lay vol</w:t>
      </w:r>
      <w:r w:rsidR="00A97A44">
        <w:rPr>
          <w:lang w:eastAsia="en-AU"/>
        </w:rPr>
        <w:t>unteers from the community</w:t>
      </w:r>
    </w:p>
    <w:p w14:paraId="776A607A" w14:textId="0E6C40EC" w:rsidR="00802741" w:rsidRDefault="00802741" w:rsidP="004A4A3D">
      <w:pPr>
        <w:pStyle w:val="ListBullet"/>
        <w:rPr>
          <w:lang w:eastAsia="en-AU"/>
        </w:rPr>
      </w:pPr>
      <w:r>
        <w:rPr>
          <w:lang w:eastAsia="en-AU"/>
        </w:rPr>
        <w:lastRenderedPageBreak/>
        <w:t>the children’s hearings system deals with juvenile justice matters and ch</w:t>
      </w:r>
      <w:r w:rsidR="00A97A44">
        <w:rPr>
          <w:lang w:eastAsia="en-AU"/>
        </w:rPr>
        <w:t>ild protection matters together</w:t>
      </w:r>
    </w:p>
    <w:p w14:paraId="47042659" w14:textId="77777777" w:rsidR="00802741" w:rsidRDefault="00802741" w:rsidP="004A4A3D">
      <w:pPr>
        <w:pStyle w:val="ListBullet"/>
        <w:rPr>
          <w:lang w:eastAsia="en-AU"/>
        </w:rPr>
      </w:pPr>
      <w:r>
        <w:rPr>
          <w:lang w:eastAsia="en-AU"/>
        </w:rPr>
        <w:t>there is a principle that no order or supervision requirement can be made by a court or a children’s hearing, unless it is determined that the making of an order would be better for the child th</w:t>
      </w:r>
      <w:r w:rsidR="00D449B1">
        <w:rPr>
          <w:lang w:eastAsia="en-AU"/>
        </w:rPr>
        <w:t>an there being no order at all.</w:t>
      </w:r>
      <w:r w:rsidR="00D449B1">
        <w:rPr>
          <w:rStyle w:val="FootnoteReference"/>
          <w:lang w:eastAsia="en-AU"/>
        </w:rPr>
        <w:footnoteReference w:id="146"/>
      </w:r>
    </w:p>
    <w:p w14:paraId="05401241" w14:textId="77777777" w:rsidR="00802741" w:rsidRDefault="00802741" w:rsidP="00086408">
      <w:pPr>
        <w:spacing w:line="276" w:lineRule="auto"/>
        <w:rPr>
          <w:lang w:eastAsia="en-AU"/>
        </w:rPr>
      </w:pPr>
      <w:r>
        <w:rPr>
          <w:lang w:eastAsia="en-AU"/>
        </w:rPr>
        <w:t>The primary function of a children’s hearing is to determine whether a child requires compulsory measures of supervision. It has significant powers and can decide:</w:t>
      </w:r>
    </w:p>
    <w:p w14:paraId="06090D00" w14:textId="77777777" w:rsidR="00802741" w:rsidRDefault="00802741" w:rsidP="004A4A3D">
      <w:pPr>
        <w:pStyle w:val="ListBullet"/>
        <w:rPr>
          <w:lang w:eastAsia="en-AU"/>
        </w:rPr>
      </w:pPr>
      <w:r>
        <w:rPr>
          <w:lang w:eastAsia="en-AU"/>
        </w:rPr>
        <w:t>to make a supervision requirement</w:t>
      </w:r>
    </w:p>
    <w:p w14:paraId="2444741F" w14:textId="77777777" w:rsidR="00802741" w:rsidRDefault="00802741" w:rsidP="004A4A3D">
      <w:pPr>
        <w:pStyle w:val="ListBullet"/>
        <w:rPr>
          <w:lang w:eastAsia="en-AU"/>
        </w:rPr>
      </w:pPr>
      <w:r>
        <w:rPr>
          <w:lang w:eastAsia="en-AU"/>
        </w:rPr>
        <w:t>continue to a subsequent hearing to allow further time for investigation</w:t>
      </w:r>
    </w:p>
    <w:p w14:paraId="712788CC" w14:textId="77777777" w:rsidR="00802741" w:rsidRDefault="00802741" w:rsidP="004A4A3D">
      <w:pPr>
        <w:pStyle w:val="ListBullet"/>
        <w:rPr>
          <w:lang w:eastAsia="en-AU"/>
        </w:rPr>
      </w:pPr>
      <w:r>
        <w:rPr>
          <w:lang w:eastAsia="en-AU"/>
        </w:rPr>
        <w:t>discharge the referral</w:t>
      </w:r>
    </w:p>
    <w:p w14:paraId="14B7FB83" w14:textId="77777777" w:rsidR="00802741" w:rsidRDefault="00802741" w:rsidP="004A4A3D">
      <w:pPr>
        <w:pStyle w:val="ListBullet"/>
        <w:rPr>
          <w:lang w:eastAsia="en-AU"/>
        </w:rPr>
      </w:pPr>
      <w:r>
        <w:rPr>
          <w:lang w:eastAsia="en-AU"/>
        </w:rPr>
        <w:t>grant a warrant to find or remove a child, or move the child to a place of safety or require the child to submit to medical or other treatment</w:t>
      </w:r>
    </w:p>
    <w:p w14:paraId="71389EBD" w14:textId="6004A5E5" w:rsidR="00802741" w:rsidRDefault="00802741" w:rsidP="004A4A3D">
      <w:pPr>
        <w:pStyle w:val="ListBullet"/>
        <w:rPr>
          <w:lang w:eastAsia="en-AU"/>
        </w:rPr>
      </w:pPr>
      <w:r>
        <w:rPr>
          <w:lang w:eastAsia="en-AU"/>
        </w:rPr>
        <w:t>decisions relating to a child’s welfare generally, while disputed facts, emergency protection orders and appeals are dea</w:t>
      </w:r>
      <w:r w:rsidR="00D449B1">
        <w:rPr>
          <w:lang w:eastAsia="en-AU"/>
        </w:rPr>
        <w:t>lt with by the Sheriff’s Court</w:t>
      </w:r>
      <w:r w:rsidR="00A97A44">
        <w:rPr>
          <w:lang w:eastAsia="en-AU"/>
        </w:rPr>
        <w:t>.</w:t>
      </w:r>
      <w:r w:rsidR="00D449B1">
        <w:rPr>
          <w:rStyle w:val="FootnoteReference"/>
          <w:lang w:eastAsia="en-AU"/>
        </w:rPr>
        <w:footnoteReference w:id="147"/>
      </w:r>
    </w:p>
    <w:p w14:paraId="242EA3CF" w14:textId="43BC7EE5" w:rsidR="00802741" w:rsidRDefault="00802741" w:rsidP="00086408">
      <w:pPr>
        <w:spacing w:line="276" w:lineRule="auto"/>
        <w:rPr>
          <w:lang w:eastAsia="en-AU"/>
        </w:rPr>
      </w:pPr>
      <w:r>
        <w:rPr>
          <w:lang w:eastAsia="en-AU"/>
        </w:rPr>
        <w:t>Children have a right to attend the hearing and in general must attend. The parent or ‘relevant person’ is legally required to attend. As far as practicable, a child should have the right to express his or her views and have these views considered</w:t>
      </w:r>
      <w:r w:rsidR="00A97A44">
        <w:rPr>
          <w:lang w:eastAsia="en-AU"/>
        </w:rPr>
        <w:t>.</w:t>
      </w:r>
      <w:r w:rsidR="00D449B1">
        <w:rPr>
          <w:rStyle w:val="FootnoteReference"/>
          <w:lang w:eastAsia="en-AU"/>
        </w:rPr>
        <w:footnoteReference w:id="148"/>
      </w:r>
      <w:r>
        <w:rPr>
          <w:lang w:eastAsia="en-AU"/>
        </w:rPr>
        <w:t xml:space="preserve"> The hearing will make a determination as to whether a child has a legal representative and/or a </w:t>
      </w:r>
      <w:proofErr w:type="spellStart"/>
      <w:r>
        <w:rPr>
          <w:lang w:eastAsia="en-AU"/>
        </w:rPr>
        <w:t>safeguarder</w:t>
      </w:r>
      <w:proofErr w:type="spellEnd"/>
      <w:r>
        <w:rPr>
          <w:lang w:eastAsia="en-AU"/>
        </w:rPr>
        <w:t xml:space="preserve">. The role of the safeguarded is analogous to an ICL appointment in the Children’s Court. </w:t>
      </w:r>
    </w:p>
    <w:p w14:paraId="2C4F0C73" w14:textId="5473D1BA" w:rsidR="00802741" w:rsidRDefault="00802741" w:rsidP="00086408">
      <w:pPr>
        <w:spacing w:line="276" w:lineRule="auto"/>
        <w:rPr>
          <w:lang w:eastAsia="en-AU"/>
        </w:rPr>
      </w:pPr>
      <w:r>
        <w:rPr>
          <w:lang w:eastAsia="en-AU"/>
        </w:rPr>
        <w:t>The 2011 Act resulted in some significant changes to the Legal Aid guidelines for ‘children’</w:t>
      </w:r>
      <w:r w:rsidR="00D449B1">
        <w:rPr>
          <w:lang w:eastAsia="en-AU"/>
        </w:rPr>
        <w:t>s law’, which are summarised as</w:t>
      </w:r>
      <w:r w:rsidR="00A97A44">
        <w:rPr>
          <w:lang w:eastAsia="en-AU"/>
        </w:rPr>
        <w:t>:</w:t>
      </w:r>
      <w:r w:rsidR="00D449B1">
        <w:rPr>
          <w:rStyle w:val="FootnoteReference"/>
          <w:lang w:eastAsia="en-AU"/>
        </w:rPr>
        <w:footnoteReference w:id="149"/>
      </w:r>
      <w:r>
        <w:rPr>
          <w:lang w:eastAsia="en-AU"/>
        </w:rPr>
        <w:t xml:space="preserve"> </w:t>
      </w:r>
    </w:p>
    <w:p w14:paraId="6F9D5FDB" w14:textId="5D2DDD84" w:rsidR="00802741" w:rsidRDefault="00802741" w:rsidP="004A4A3D">
      <w:pPr>
        <w:pStyle w:val="ListBullet"/>
        <w:rPr>
          <w:lang w:eastAsia="en-AU"/>
        </w:rPr>
      </w:pPr>
      <w:r>
        <w:rPr>
          <w:lang w:eastAsia="en-AU"/>
        </w:rPr>
        <w:t xml:space="preserve">the availability of publicly-funded representation at children’s hearings via </w:t>
      </w:r>
      <w:r w:rsidR="00A97A44">
        <w:rPr>
          <w:lang w:eastAsia="en-AU"/>
        </w:rPr>
        <w:t>Automatic Children’s Legal Aid</w:t>
      </w:r>
    </w:p>
    <w:p w14:paraId="03734AB9" w14:textId="5DB2B41A" w:rsidR="00802741" w:rsidRDefault="00802741" w:rsidP="004A4A3D">
      <w:pPr>
        <w:pStyle w:val="ListBullet"/>
        <w:rPr>
          <w:lang w:eastAsia="en-AU"/>
        </w:rPr>
      </w:pPr>
      <w:r>
        <w:rPr>
          <w:lang w:eastAsia="en-AU"/>
        </w:rPr>
        <w:t>the transfer of decision-making in applications for children’s legal aid for Sheriff Court proceedings from th</w:t>
      </w:r>
      <w:r w:rsidR="00A97A44">
        <w:rPr>
          <w:lang w:eastAsia="en-AU"/>
        </w:rPr>
        <w:t>e courts to the Legal Aid Board</w:t>
      </w:r>
    </w:p>
    <w:p w14:paraId="79065FEA" w14:textId="7DC969B1" w:rsidR="00802741" w:rsidRDefault="00D449B1" w:rsidP="004A4A3D">
      <w:pPr>
        <w:pStyle w:val="ListBullet"/>
        <w:rPr>
          <w:lang w:eastAsia="en-AU"/>
        </w:rPr>
      </w:pPr>
      <w:r>
        <w:rPr>
          <w:lang w:eastAsia="en-AU"/>
        </w:rPr>
        <w:t>t</w:t>
      </w:r>
      <w:r w:rsidR="00802741">
        <w:rPr>
          <w:lang w:eastAsia="en-AU"/>
        </w:rPr>
        <w:t>he introduction of a registration scheme and Code of practice f</w:t>
      </w:r>
      <w:r w:rsidR="003E62F3">
        <w:rPr>
          <w:lang w:eastAsia="en-AU"/>
        </w:rPr>
        <w:t>or children’s legal assistance</w:t>
      </w:r>
    </w:p>
    <w:p w14:paraId="049A8381" w14:textId="5CA705F3" w:rsidR="00802741" w:rsidRDefault="00802741" w:rsidP="004A4A3D">
      <w:pPr>
        <w:pStyle w:val="ListBullet"/>
        <w:rPr>
          <w:lang w:eastAsia="en-AU"/>
        </w:rPr>
      </w:pPr>
      <w:r>
        <w:rPr>
          <w:lang w:eastAsia="en-AU"/>
        </w:rPr>
        <w:t>the intro</w:t>
      </w:r>
      <w:r w:rsidR="00A97A44">
        <w:rPr>
          <w:lang w:eastAsia="en-AU"/>
        </w:rPr>
        <w:t>duction of a duty lawyer scheme,</w:t>
      </w:r>
      <w:r>
        <w:rPr>
          <w:lang w:eastAsia="en-AU"/>
        </w:rPr>
        <w:t xml:space="preserve"> and</w:t>
      </w:r>
    </w:p>
    <w:p w14:paraId="36B3AA21" w14:textId="77777777" w:rsidR="00802741" w:rsidRDefault="00802741" w:rsidP="004A4A3D">
      <w:pPr>
        <w:pStyle w:val="ListBullet"/>
        <w:rPr>
          <w:lang w:eastAsia="en-AU"/>
        </w:rPr>
      </w:pPr>
      <w:r>
        <w:rPr>
          <w:lang w:eastAsia="en-AU"/>
        </w:rPr>
        <w:t xml:space="preserve">the introduction of a quality assurance scheme. </w:t>
      </w:r>
    </w:p>
    <w:p w14:paraId="25928BA8" w14:textId="44C7930E" w:rsidR="00802741" w:rsidRDefault="00802741" w:rsidP="00086408">
      <w:pPr>
        <w:spacing w:line="276" w:lineRule="auto"/>
        <w:rPr>
          <w:lang w:eastAsia="en-AU"/>
        </w:rPr>
      </w:pPr>
      <w:r>
        <w:rPr>
          <w:lang w:eastAsia="en-AU"/>
        </w:rPr>
        <w:lastRenderedPageBreak/>
        <w:t xml:space="preserve">In Scotland, both children and parents can be represented by lawyers in children’s hearings, with the Scottish Legal Aid Board providing what is referred to as ‘children’s legal aid’ subject to the </w:t>
      </w:r>
      <w:r w:rsidR="00D449B1">
        <w:rPr>
          <w:lang w:eastAsia="en-AU"/>
        </w:rPr>
        <w:t>type of matter and a means test</w:t>
      </w:r>
      <w:r w:rsidR="00A97A44">
        <w:rPr>
          <w:lang w:eastAsia="en-AU"/>
        </w:rPr>
        <w:t>.</w:t>
      </w:r>
      <w:r w:rsidR="00D449B1">
        <w:rPr>
          <w:rStyle w:val="FootnoteReference"/>
          <w:lang w:eastAsia="en-AU"/>
        </w:rPr>
        <w:footnoteReference w:id="150"/>
      </w:r>
      <w:r>
        <w:rPr>
          <w:lang w:eastAsia="en-AU"/>
        </w:rPr>
        <w:t xml:space="preserve"> This includes where the matter is referred to the Scottish Sheriff Court for the statement of grounds to be determined. </w:t>
      </w:r>
    </w:p>
    <w:p w14:paraId="02047371" w14:textId="77777777" w:rsidR="00802741" w:rsidRDefault="00802741" w:rsidP="00086408">
      <w:pPr>
        <w:spacing w:line="276" w:lineRule="auto"/>
        <w:rPr>
          <w:lang w:eastAsia="en-AU"/>
        </w:rPr>
      </w:pPr>
      <w:r>
        <w:rPr>
          <w:lang w:eastAsia="en-AU"/>
        </w:rPr>
        <w:t xml:space="preserve">Children are eligible for legally aided representation while parents or ‘relevant persons’ may receive assistance where it is ‘necessary to ensure effective participation’. Legal representatives are drawn from a specialist panel, which was previously maintained by the local authority but now by Scottish Legal Aid. </w:t>
      </w:r>
    </w:p>
    <w:p w14:paraId="7FCD6D7F" w14:textId="77777777" w:rsidR="00802741" w:rsidRDefault="00802741" w:rsidP="00086408">
      <w:pPr>
        <w:spacing w:line="276" w:lineRule="auto"/>
        <w:rPr>
          <w:lang w:eastAsia="en-AU"/>
        </w:rPr>
      </w:pPr>
      <w:r>
        <w:rPr>
          <w:lang w:eastAsia="en-AU"/>
        </w:rPr>
        <w:t>Scottish Legal Aid guidelines provide separate grants; for advice and assistance, initial appearances and subsequent legal aid. This fragmented approach has attracted criticism f</w:t>
      </w:r>
      <w:r w:rsidR="00D449B1">
        <w:rPr>
          <w:lang w:eastAsia="en-AU"/>
        </w:rPr>
        <w:t>rom the Law Society of Scotland</w:t>
      </w:r>
      <w:r w:rsidR="00D449B1">
        <w:rPr>
          <w:rStyle w:val="FootnoteReference"/>
          <w:lang w:eastAsia="en-AU"/>
        </w:rPr>
        <w:footnoteReference w:id="151"/>
      </w:r>
      <w:r>
        <w:rPr>
          <w:lang w:eastAsia="en-AU"/>
        </w:rPr>
        <w:t xml:space="preserve"> and a lump-sum approach is currently under consideration.</w:t>
      </w:r>
    </w:p>
    <w:p w14:paraId="06EE8ADE" w14:textId="77777777" w:rsidR="00D449B1" w:rsidRDefault="00D449B1" w:rsidP="004A4A3D">
      <w:pPr>
        <w:pStyle w:val="Heading3"/>
      </w:pPr>
      <w:bookmarkStart w:id="51" w:name="_Toc465244429"/>
      <w:r>
        <w:t>Example 5: Sweden</w:t>
      </w:r>
      <w:bookmarkEnd w:id="51"/>
    </w:p>
    <w:p w14:paraId="08521615" w14:textId="77777777" w:rsidR="00D449B1" w:rsidRDefault="00D449B1" w:rsidP="00086408">
      <w:pPr>
        <w:spacing w:line="276" w:lineRule="auto"/>
        <w:rPr>
          <w:lang w:eastAsia="en-AU"/>
        </w:rPr>
      </w:pPr>
      <w:r>
        <w:rPr>
          <w:lang w:eastAsia="en-AU"/>
        </w:rPr>
        <w:t xml:space="preserve">Sweden is characterised as having a </w:t>
      </w:r>
      <w:r w:rsidRPr="00D449B1">
        <w:rPr>
          <w:i/>
          <w:lang w:eastAsia="en-AU"/>
        </w:rPr>
        <w:t>family service</w:t>
      </w:r>
      <w:r>
        <w:rPr>
          <w:lang w:eastAsia="en-AU"/>
        </w:rPr>
        <w:t xml:space="preserve"> approach to child protection, with a mandatory reporting element. It has ‘a holistic child welfare system, which treats prevention, support and protective responses to child abuse and neglect as parts of a whole system’.</w:t>
      </w:r>
      <w:r>
        <w:rPr>
          <w:rStyle w:val="FootnoteReference"/>
          <w:lang w:eastAsia="en-AU"/>
        </w:rPr>
        <w:footnoteReference w:id="152"/>
      </w:r>
      <w:r>
        <w:rPr>
          <w:lang w:eastAsia="en-AU"/>
        </w:rPr>
        <w:t xml:space="preserve"> </w:t>
      </w:r>
    </w:p>
    <w:p w14:paraId="5025D648" w14:textId="77777777" w:rsidR="00D449B1" w:rsidRDefault="00D449B1" w:rsidP="00086408">
      <w:pPr>
        <w:spacing w:line="276" w:lineRule="auto"/>
        <w:rPr>
          <w:lang w:eastAsia="en-AU"/>
        </w:rPr>
      </w:pPr>
      <w:r>
        <w:rPr>
          <w:lang w:eastAsia="en-AU"/>
        </w:rPr>
        <w:t>The Children and Parents Code</w:t>
      </w:r>
      <w:r>
        <w:rPr>
          <w:rStyle w:val="FootnoteReference"/>
          <w:lang w:eastAsia="en-AU"/>
        </w:rPr>
        <w:footnoteReference w:id="153"/>
      </w:r>
      <w:r>
        <w:rPr>
          <w:lang w:eastAsia="en-AU"/>
        </w:rPr>
        <w:t xml:space="preserve"> establishes that children:</w:t>
      </w:r>
    </w:p>
    <w:p w14:paraId="569A59E7" w14:textId="77777777" w:rsidR="00D449B1" w:rsidRDefault="00D449B1" w:rsidP="004A4A3D">
      <w:pPr>
        <w:pStyle w:val="ListBullet"/>
        <w:rPr>
          <w:lang w:eastAsia="en-AU"/>
        </w:rPr>
      </w:pPr>
      <w:r>
        <w:rPr>
          <w:lang w:eastAsia="en-AU"/>
        </w:rPr>
        <w:t>have a right to care, security and good upbringing</w:t>
      </w:r>
    </w:p>
    <w:p w14:paraId="7A77D346" w14:textId="77777777" w:rsidR="00D449B1" w:rsidRDefault="00D449B1" w:rsidP="004A4A3D">
      <w:pPr>
        <w:pStyle w:val="ListBullet"/>
        <w:rPr>
          <w:lang w:eastAsia="en-AU"/>
        </w:rPr>
      </w:pPr>
      <w:r>
        <w:rPr>
          <w:lang w:eastAsia="en-AU"/>
        </w:rPr>
        <w:t>should be treated with respect for their individuality</w:t>
      </w:r>
    </w:p>
    <w:p w14:paraId="61F114E5" w14:textId="77777777" w:rsidR="00D449B1" w:rsidRDefault="00D449B1" w:rsidP="004A4A3D">
      <w:pPr>
        <w:pStyle w:val="ListBullet"/>
        <w:rPr>
          <w:lang w:eastAsia="en-AU"/>
        </w:rPr>
      </w:pPr>
      <w:r>
        <w:rPr>
          <w:lang w:eastAsia="en-AU"/>
        </w:rPr>
        <w:t>may not be subjected to physical punishment or other degrading treatment</w:t>
      </w:r>
    </w:p>
    <w:p w14:paraId="78BB87C1" w14:textId="59B53918" w:rsidR="00D449B1" w:rsidRDefault="00D449B1" w:rsidP="00086408">
      <w:pPr>
        <w:spacing w:line="276" w:lineRule="auto"/>
        <w:rPr>
          <w:lang w:eastAsia="en-AU"/>
        </w:rPr>
      </w:pPr>
      <w:r>
        <w:rPr>
          <w:lang w:eastAsia="en-AU"/>
        </w:rPr>
        <w:t>The law also defines the responsibilities of parents (or other caretakers). At the same time, the State ascribes to itself the right to intervene if basic needs are not respected of fulfilled.</w:t>
      </w:r>
    </w:p>
    <w:p w14:paraId="1ED45560" w14:textId="1926D749" w:rsidR="00ED705C" w:rsidRDefault="00D449B1" w:rsidP="00086408">
      <w:pPr>
        <w:spacing w:line="276" w:lineRule="auto"/>
        <w:rPr>
          <w:lang w:eastAsia="en-AU"/>
        </w:rPr>
      </w:pPr>
      <w:r>
        <w:rPr>
          <w:lang w:eastAsia="en-AU"/>
        </w:rPr>
        <w:t>Child welfare services are administered by 289 different municipalities or councils, each having a high degree of autonomy in terms of organising and administering support services. The result is great variation, even within cities and large towns, since many are divided into smaller districts. In one town, families-at-risk are placed in an assessment centre during investigation, in another they are provided different forms of social support during the process and in a third they are mainly s</w:t>
      </w:r>
      <w:r w:rsidR="004A4A3D">
        <w:rPr>
          <w:lang w:eastAsia="en-AU"/>
        </w:rPr>
        <w:t>ummoned to the agency's office.</w:t>
      </w:r>
    </w:p>
    <w:p w14:paraId="27B42213" w14:textId="2B96CC42" w:rsidR="00D449B1" w:rsidRDefault="00D449B1" w:rsidP="00086408">
      <w:pPr>
        <w:spacing w:line="276" w:lineRule="auto"/>
        <w:rPr>
          <w:lang w:eastAsia="en-AU"/>
        </w:rPr>
      </w:pPr>
      <w:r>
        <w:rPr>
          <w:lang w:eastAsia="en-AU"/>
        </w:rPr>
        <w:t xml:space="preserve">Services and activities generally fall into one of </w:t>
      </w:r>
      <w:r w:rsidR="003E62F3">
        <w:rPr>
          <w:lang w:eastAsia="en-AU"/>
        </w:rPr>
        <w:t xml:space="preserve">these </w:t>
      </w:r>
      <w:r>
        <w:rPr>
          <w:lang w:eastAsia="en-AU"/>
        </w:rPr>
        <w:t xml:space="preserve">categories: </w:t>
      </w:r>
    </w:p>
    <w:p w14:paraId="448C09AB" w14:textId="77777777" w:rsidR="00D449B1" w:rsidRDefault="00D449B1" w:rsidP="004A4A3D">
      <w:pPr>
        <w:pStyle w:val="ListBullet"/>
        <w:rPr>
          <w:lang w:eastAsia="en-AU"/>
        </w:rPr>
      </w:pPr>
      <w:r>
        <w:rPr>
          <w:lang w:eastAsia="en-AU"/>
        </w:rPr>
        <w:t xml:space="preserve">Prevention </w:t>
      </w:r>
    </w:p>
    <w:p w14:paraId="4B5BCBFF" w14:textId="77777777" w:rsidR="00D449B1" w:rsidRDefault="00D449B1" w:rsidP="004A4A3D">
      <w:pPr>
        <w:pStyle w:val="ListBullet"/>
        <w:rPr>
          <w:lang w:eastAsia="en-AU"/>
        </w:rPr>
      </w:pPr>
      <w:r>
        <w:rPr>
          <w:lang w:eastAsia="en-AU"/>
        </w:rPr>
        <w:t xml:space="preserve">Investigation </w:t>
      </w:r>
    </w:p>
    <w:p w14:paraId="1BADDE8A" w14:textId="3B33BF2C" w:rsidR="00D449B1" w:rsidRDefault="00D449B1" w:rsidP="004A4A3D">
      <w:pPr>
        <w:pStyle w:val="ListBullet"/>
        <w:rPr>
          <w:lang w:eastAsia="en-AU"/>
        </w:rPr>
      </w:pPr>
      <w:r>
        <w:rPr>
          <w:lang w:eastAsia="en-AU"/>
        </w:rPr>
        <w:lastRenderedPageBreak/>
        <w:t>Socia</w:t>
      </w:r>
      <w:r w:rsidR="003E62F3">
        <w:rPr>
          <w:lang w:eastAsia="en-AU"/>
        </w:rPr>
        <w:t>l support and in-home treatment,</w:t>
      </w:r>
      <w:r>
        <w:rPr>
          <w:lang w:eastAsia="en-AU"/>
        </w:rPr>
        <w:t xml:space="preserve"> and</w:t>
      </w:r>
    </w:p>
    <w:p w14:paraId="783F12FF" w14:textId="77777777" w:rsidR="00D449B1" w:rsidRDefault="00D449B1" w:rsidP="004A4A3D">
      <w:pPr>
        <w:pStyle w:val="ListBullet"/>
        <w:rPr>
          <w:lang w:eastAsia="en-AU"/>
        </w:rPr>
      </w:pPr>
      <w:r>
        <w:rPr>
          <w:lang w:eastAsia="en-AU"/>
        </w:rPr>
        <w:t>Care</w:t>
      </w:r>
    </w:p>
    <w:p w14:paraId="26C8A9B0" w14:textId="77777777" w:rsidR="00D449B1" w:rsidRDefault="00D449B1" w:rsidP="00086408">
      <w:pPr>
        <w:spacing w:line="276" w:lineRule="auto"/>
        <w:rPr>
          <w:lang w:eastAsia="en-AU"/>
        </w:rPr>
      </w:pPr>
      <w:r>
        <w:rPr>
          <w:lang w:eastAsia="en-AU"/>
        </w:rPr>
        <w:t xml:space="preserve">Swedish child welfare legislation makes no strict distinction between child protection and youth justice. As such, in addition to creating secure and good conditions for children within the community, local authorities are responsible for: </w:t>
      </w:r>
    </w:p>
    <w:p w14:paraId="7B2291E3" w14:textId="48AB11C8" w:rsidR="00D449B1" w:rsidRDefault="003E62F3" w:rsidP="004A4A3D">
      <w:pPr>
        <w:pStyle w:val="ListBullet"/>
        <w:rPr>
          <w:lang w:eastAsia="en-AU"/>
        </w:rPr>
      </w:pPr>
      <w:r>
        <w:rPr>
          <w:lang w:eastAsia="en-AU"/>
        </w:rPr>
        <w:t>(in partnership with families)</w:t>
      </w:r>
      <w:r w:rsidR="00D449B1">
        <w:rPr>
          <w:lang w:eastAsia="en-AU"/>
        </w:rPr>
        <w:t xml:space="preserve"> supporting children's personal, physical and social development </w:t>
      </w:r>
    </w:p>
    <w:p w14:paraId="7843A035" w14:textId="3E5E3929" w:rsidR="00D449B1" w:rsidRDefault="00D449B1" w:rsidP="004A4A3D">
      <w:pPr>
        <w:pStyle w:val="ListBullet"/>
        <w:rPr>
          <w:lang w:eastAsia="en-AU"/>
        </w:rPr>
      </w:pPr>
      <w:r>
        <w:rPr>
          <w:lang w:eastAsia="en-AU"/>
        </w:rPr>
        <w:t>monitoring children who show si</w:t>
      </w:r>
      <w:r w:rsidR="00D15DE8">
        <w:rPr>
          <w:lang w:eastAsia="en-AU"/>
        </w:rPr>
        <w:t>gns of unfavourable development,</w:t>
      </w:r>
      <w:r>
        <w:rPr>
          <w:lang w:eastAsia="en-AU"/>
        </w:rPr>
        <w:t xml:space="preserve"> and </w:t>
      </w:r>
    </w:p>
    <w:p w14:paraId="5565FD13" w14:textId="46E0F618" w:rsidR="00D449B1" w:rsidRDefault="00D15DE8" w:rsidP="004A4A3D">
      <w:pPr>
        <w:pStyle w:val="ListBullet"/>
        <w:rPr>
          <w:lang w:eastAsia="en-AU"/>
        </w:rPr>
      </w:pPr>
      <w:r>
        <w:rPr>
          <w:lang w:eastAsia="en-AU"/>
        </w:rPr>
        <w:t>(</w:t>
      </w:r>
      <w:r w:rsidR="00D449B1">
        <w:rPr>
          <w:lang w:eastAsia="en-AU"/>
        </w:rPr>
        <w:t>in partnership with families</w:t>
      </w:r>
      <w:r>
        <w:rPr>
          <w:lang w:eastAsia="en-AU"/>
        </w:rPr>
        <w:t>)</w:t>
      </w:r>
      <w:r w:rsidR="00D449B1">
        <w:rPr>
          <w:lang w:eastAsia="en-AU"/>
        </w:rPr>
        <w:t xml:space="preserve"> making sure that children at risk get the protect</w:t>
      </w:r>
      <w:r>
        <w:rPr>
          <w:lang w:eastAsia="en-AU"/>
        </w:rPr>
        <w:t>ion and support they need, and –</w:t>
      </w:r>
      <w:r w:rsidR="00D449B1">
        <w:rPr>
          <w:lang w:eastAsia="en-AU"/>
        </w:rPr>
        <w:t xml:space="preserve"> if it is deemed to be in the best interest of the child – having them placed in care outside their families. </w:t>
      </w:r>
    </w:p>
    <w:p w14:paraId="44AAAA6D" w14:textId="1BF679F1" w:rsidR="00D449B1" w:rsidRDefault="00D449B1" w:rsidP="00086408">
      <w:pPr>
        <w:spacing w:line="276" w:lineRule="auto"/>
        <w:rPr>
          <w:lang w:eastAsia="en-AU"/>
        </w:rPr>
      </w:pPr>
      <w:r>
        <w:rPr>
          <w:lang w:eastAsia="en-AU"/>
        </w:rPr>
        <w:t>In Sweden, ‘legal protection’ is automatically included in virtually all Swedish home and contents, home, and residential and leisure home insurances. The advice for all adults involved in a legal dispute is to first contact their insurance broker to confirm whether they are adequately covered for legal fees</w:t>
      </w:r>
      <w:r w:rsidR="00A97A44">
        <w:rPr>
          <w:lang w:eastAsia="en-AU"/>
        </w:rPr>
        <w:t>.</w:t>
      </w:r>
      <w:r>
        <w:rPr>
          <w:rStyle w:val="FootnoteReference"/>
          <w:lang w:eastAsia="en-AU"/>
        </w:rPr>
        <w:footnoteReference w:id="154"/>
      </w:r>
      <w:r>
        <w:rPr>
          <w:lang w:eastAsia="en-AU"/>
        </w:rPr>
        <w:t xml:space="preserve"> For those that do not hold an insurance policy, they may be eligible for legal aid, but there remains an expectation that individuals make a contribution towards the total cost</w:t>
      </w:r>
      <w:r w:rsidR="00A97A44">
        <w:rPr>
          <w:lang w:eastAsia="en-AU"/>
        </w:rPr>
        <w:t>.</w:t>
      </w:r>
      <w:r>
        <w:rPr>
          <w:rStyle w:val="FootnoteReference"/>
          <w:lang w:eastAsia="en-AU"/>
        </w:rPr>
        <w:footnoteReference w:id="155"/>
      </w:r>
      <w:r>
        <w:rPr>
          <w:lang w:eastAsia="en-AU"/>
        </w:rPr>
        <w:t xml:space="preserve"> </w:t>
      </w:r>
    </w:p>
    <w:p w14:paraId="62590058" w14:textId="5FE1BE0F" w:rsidR="00D449B1" w:rsidRDefault="00D449B1" w:rsidP="00086408">
      <w:pPr>
        <w:spacing w:line="276" w:lineRule="auto"/>
        <w:rPr>
          <w:lang w:eastAsia="en-AU"/>
        </w:rPr>
      </w:pPr>
      <w:r>
        <w:rPr>
          <w:lang w:eastAsia="en-AU"/>
        </w:rPr>
        <w:t>Before an application for legal aid may be made, applicants are required to meet with a lawyer for a one hour ‘advice’ session. The cost of this meeting is to be determined by the individual lawyer.</w:t>
      </w:r>
      <w:r>
        <w:rPr>
          <w:rStyle w:val="FootnoteReference"/>
          <w:lang w:eastAsia="en-AU"/>
        </w:rPr>
        <w:footnoteReference w:id="156"/>
      </w:r>
      <w:r>
        <w:rPr>
          <w:lang w:eastAsia="en-AU"/>
        </w:rPr>
        <w:t xml:space="preserve"> At this meeting, the applicant will have an opportunity to discuss the legal issue with their lawyer, who will then assist them to complete the form</w:t>
      </w:r>
      <w:r w:rsidR="00A97A44">
        <w:rPr>
          <w:lang w:eastAsia="en-AU"/>
        </w:rPr>
        <w:t>.</w:t>
      </w:r>
      <w:r>
        <w:rPr>
          <w:rStyle w:val="FootnoteReference"/>
          <w:lang w:eastAsia="en-AU"/>
        </w:rPr>
        <w:footnoteReference w:id="157"/>
      </w:r>
    </w:p>
    <w:p w14:paraId="0B6F2DA1" w14:textId="0DAA9E9A" w:rsidR="00D449B1" w:rsidRDefault="00D449B1" w:rsidP="00086408">
      <w:pPr>
        <w:spacing w:line="276" w:lineRule="auto"/>
        <w:rPr>
          <w:lang w:eastAsia="en-AU"/>
        </w:rPr>
      </w:pPr>
      <w:r>
        <w:rPr>
          <w:lang w:eastAsia="en-AU"/>
        </w:rPr>
        <w:t>Children and parents are all eligible for legal aid assistance and representation in chi</w:t>
      </w:r>
      <w:r w:rsidR="00D15DE8">
        <w:rPr>
          <w:lang w:eastAsia="en-AU"/>
        </w:rPr>
        <w:t>ld protection cases before the c</w:t>
      </w:r>
      <w:r>
        <w:rPr>
          <w:lang w:eastAsia="en-AU"/>
        </w:rPr>
        <w:t>ourt. Unfortunately, the legal aid guidelines are not available in English, and accordingly details of what grants of assistance are available or whether pre-court assistance was provided could not be ascertained.</w:t>
      </w:r>
    </w:p>
    <w:p w14:paraId="43361E0E" w14:textId="77777777" w:rsidR="00D449B1" w:rsidRDefault="00D449B1" w:rsidP="004A4A3D">
      <w:pPr>
        <w:pStyle w:val="Heading3"/>
      </w:pPr>
      <w:bookmarkStart w:id="52" w:name="_Toc465244430"/>
      <w:r>
        <w:t>Example 6: Norway</w:t>
      </w:r>
      <w:bookmarkEnd w:id="52"/>
    </w:p>
    <w:p w14:paraId="0E2BCB24" w14:textId="77777777" w:rsidR="00D449B1" w:rsidRDefault="00D449B1" w:rsidP="00086408">
      <w:pPr>
        <w:spacing w:line="276" w:lineRule="auto"/>
        <w:rPr>
          <w:lang w:eastAsia="en-AU"/>
        </w:rPr>
      </w:pPr>
      <w:r>
        <w:rPr>
          <w:lang w:eastAsia="en-AU"/>
        </w:rPr>
        <w:t xml:space="preserve">Norway is also characterised as having a </w:t>
      </w:r>
      <w:r w:rsidRPr="00D449B1">
        <w:rPr>
          <w:i/>
          <w:lang w:eastAsia="en-AU"/>
        </w:rPr>
        <w:t>family service</w:t>
      </w:r>
      <w:r>
        <w:rPr>
          <w:lang w:eastAsia="en-AU"/>
        </w:rPr>
        <w:t xml:space="preserve"> approach to child protection. The Norwegian </w:t>
      </w:r>
      <w:r w:rsidRPr="00D449B1">
        <w:rPr>
          <w:i/>
          <w:lang w:eastAsia="en-AU"/>
        </w:rPr>
        <w:t>Child Welfare Act 1992</w:t>
      </w:r>
      <w:r>
        <w:rPr>
          <w:lang w:eastAsia="en-AU"/>
        </w:rPr>
        <w:t xml:space="preserve"> provides the legislative framework for child protection processes. The principles of the legislation are as follows:</w:t>
      </w:r>
    </w:p>
    <w:p w14:paraId="411CE591" w14:textId="52C5B099" w:rsidR="00D449B1" w:rsidRDefault="00D15DE8" w:rsidP="004A4A3D">
      <w:pPr>
        <w:pStyle w:val="ListBullet"/>
        <w:rPr>
          <w:lang w:eastAsia="en-AU"/>
        </w:rPr>
      </w:pPr>
      <w:r>
        <w:rPr>
          <w:lang w:eastAsia="en-AU"/>
        </w:rPr>
        <w:t>a</w:t>
      </w:r>
      <w:r w:rsidR="00D449B1">
        <w:rPr>
          <w:lang w:eastAsia="en-AU"/>
        </w:rPr>
        <w:t>ll measures should be in the best interests of the children</w:t>
      </w:r>
    </w:p>
    <w:p w14:paraId="0C9FBC14" w14:textId="0A1093B3" w:rsidR="00D449B1" w:rsidRDefault="00D15DE8" w:rsidP="004A4A3D">
      <w:pPr>
        <w:pStyle w:val="ListBullet"/>
        <w:rPr>
          <w:lang w:eastAsia="en-AU"/>
        </w:rPr>
      </w:pPr>
      <w:r>
        <w:rPr>
          <w:lang w:eastAsia="en-AU"/>
        </w:rPr>
        <w:t>t</w:t>
      </w:r>
      <w:r w:rsidR="00D449B1">
        <w:rPr>
          <w:lang w:eastAsia="en-AU"/>
        </w:rPr>
        <w:t>he biological principle; ideally, children should be raised by their biological parents and within the family</w:t>
      </w:r>
    </w:p>
    <w:p w14:paraId="3AE6EF72" w14:textId="77777777" w:rsidR="00D15DE8" w:rsidRDefault="00D15DE8" w:rsidP="00D15DE8">
      <w:pPr>
        <w:pStyle w:val="ListBullet"/>
        <w:rPr>
          <w:lang w:eastAsia="en-AU"/>
        </w:rPr>
      </w:pPr>
      <w:r>
        <w:rPr>
          <w:lang w:eastAsia="en-AU"/>
        </w:rPr>
        <w:t>t</w:t>
      </w:r>
      <w:r w:rsidR="00D449B1">
        <w:rPr>
          <w:lang w:eastAsia="en-AU"/>
        </w:rPr>
        <w:t>he least intrusive form of intervention should be adopted</w:t>
      </w:r>
      <w:r w:rsidR="00A97A44">
        <w:rPr>
          <w:lang w:eastAsia="en-AU"/>
        </w:rPr>
        <w:t>,</w:t>
      </w:r>
      <w:r>
        <w:rPr>
          <w:lang w:eastAsia="en-AU"/>
        </w:rPr>
        <w:t xml:space="preserve"> and</w:t>
      </w:r>
    </w:p>
    <w:p w14:paraId="5EECF74A" w14:textId="64F1659F" w:rsidR="00D449B1" w:rsidRDefault="00D15DE8" w:rsidP="00D15DE8">
      <w:pPr>
        <w:pStyle w:val="ListBullet"/>
        <w:rPr>
          <w:lang w:eastAsia="en-AU"/>
        </w:rPr>
      </w:pPr>
      <w:r>
        <w:rPr>
          <w:lang w:eastAsia="en-AU"/>
        </w:rPr>
        <w:t>p</w:t>
      </w:r>
      <w:r w:rsidR="00D449B1">
        <w:rPr>
          <w:lang w:eastAsia="en-AU"/>
        </w:rPr>
        <w:t>romotion of stability and continuity</w:t>
      </w:r>
      <w:r>
        <w:rPr>
          <w:lang w:eastAsia="en-AU"/>
        </w:rPr>
        <w:t>.</w:t>
      </w:r>
    </w:p>
    <w:p w14:paraId="43D7BDA1" w14:textId="77777777" w:rsidR="00D449B1" w:rsidRDefault="00D449B1" w:rsidP="00086408">
      <w:pPr>
        <w:spacing w:line="276" w:lineRule="auto"/>
        <w:rPr>
          <w:lang w:eastAsia="en-AU"/>
        </w:rPr>
      </w:pPr>
      <w:r>
        <w:rPr>
          <w:lang w:eastAsia="en-AU"/>
        </w:rPr>
        <w:lastRenderedPageBreak/>
        <w:t xml:space="preserve">The child welfare service is primarily a help service for children and families. The system places great importance on family ties and continuity in the child’s upbringing. The underlying assumption is that children should grow up with their parents. </w:t>
      </w:r>
    </w:p>
    <w:p w14:paraId="4692AAF8" w14:textId="77777777" w:rsidR="00D449B1" w:rsidRDefault="00D449B1" w:rsidP="00086408">
      <w:pPr>
        <w:spacing w:line="276" w:lineRule="auto"/>
        <w:rPr>
          <w:lang w:eastAsia="en-AU"/>
        </w:rPr>
      </w:pPr>
      <w:r>
        <w:rPr>
          <w:lang w:eastAsia="en-AU"/>
        </w:rPr>
        <w:t>The Ministry of Children, Equality and Social Inclusion is responsible for the general child welfare policy. The local child welfare services in the municipalities handles child welfare cases. The Ministry does not have the authority to intervene nor instruct the child welfare services in individual child welfare cases.</w:t>
      </w:r>
    </w:p>
    <w:p w14:paraId="03B5D200" w14:textId="75C9E085" w:rsidR="00D449B1" w:rsidRDefault="00D449B1" w:rsidP="00086408">
      <w:pPr>
        <w:spacing w:line="276" w:lineRule="auto"/>
        <w:rPr>
          <w:lang w:eastAsia="en-AU"/>
        </w:rPr>
      </w:pPr>
      <w:r>
        <w:rPr>
          <w:lang w:eastAsia="en-AU"/>
        </w:rPr>
        <w:t>Parents and children are entitled to legal aid in child welfare matters, without recourse to a means test</w:t>
      </w:r>
      <w:r w:rsidR="00A97A44">
        <w:rPr>
          <w:lang w:eastAsia="en-AU"/>
        </w:rPr>
        <w:t>.</w:t>
      </w:r>
      <w:r>
        <w:rPr>
          <w:rStyle w:val="FootnoteReference"/>
          <w:lang w:eastAsia="en-AU"/>
        </w:rPr>
        <w:footnoteReference w:id="158"/>
      </w:r>
      <w:r>
        <w:rPr>
          <w:lang w:eastAsia="en-AU"/>
        </w:rPr>
        <w:t xml:space="preserve"> These types of cases are considered ‘priority cases’. Parents can also receive funding to apply annually for a revocation of any care orders made (subject to merits). It was not possible to ascertain whether legal assistance extended to pre-court proceedings.</w:t>
      </w:r>
    </w:p>
    <w:p w14:paraId="7145FEAC" w14:textId="76756575" w:rsidR="00D449B1" w:rsidRDefault="00D449B1" w:rsidP="00086408">
      <w:pPr>
        <w:spacing w:line="276" w:lineRule="auto"/>
        <w:rPr>
          <w:lang w:eastAsia="en-AU"/>
        </w:rPr>
      </w:pPr>
      <w:r>
        <w:rPr>
          <w:lang w:eastAsia="en-AU"/>
        </w:rPr>
        <w:t>A recent Council of Europe report shows that Norway is in the low range of countries with respect to the number of children in alternative care</w:t>
      </w:r>
      <w:r w:rsidR="00A97A44">
        <w:rPr>
          <w:lang w:eastAsia="en-AU"/>
        </w:rPr>
        <w:t>.</w:t>
      </w:r>
      <w:r>
        <w:rPr>
          <w:rStyle w:val="FootnoteReference"/>
          <w:lang w:eastAsia="en-AU"/>
        </w:rPr>
        <w:footnoteReference w:id="159"/>
      </w:r>
      <w:r>
        <w:rPr>
          <w:lang w:eastAsia="en-AU"/>
        </w:rPr>
        <w:t xml:space="preserve"> However, there has been some criticism of the relatively high proportion of children in alternate care who are foreign born nationals, resulting in public protects and accusations of ‘racism’ and ‘kidnapping’ directed at the child welfare authorities</w:t>
      </w:r>
      <w:r w:rsidR="00A97A44">
        <w:rPr>
          <w:lang w:eastAsia="en-AU"/>
        </w:rPr>
        <w:t>.</w:t>
      </w:r>
      <w:r>
        <w:rPr>
          <w:rStyle w:val="FootnoteReference"/>
          <w:lang w:eastAsia="en-AU"/>
        </w:rPr>
        <w:footnoteReference w:id="160"/>
      </w:r>
    </w:p>
    <w:p w14:paraId="254800ED" w14:textId="77777777" w:rsidR="00D449B1" w:rsidRPr="004A4A3D" w:rsidRDefault="00D449B1" w:rsidP="004A4A3D">
      <w:pPr>
        <w:pStyle w:val="Heading2"/>
      </w:pPr>
      <w:bookmarkStart w:id="53" w:name="_Toc465244431"/>
      <w:r w:rsidRPr="004A4A3D">
        <w:t>Observations arising from the comparative analysis</w:t>
      </w:r>
      <w:bookmarkEnd w:id="53"/>
    </w:p>
    <w:p w14:paraId="56584210" w14:textId="77777777" w:rsidR="00D449B1" w:rsidRDefault="00D449B1" w:rsidP="00086408">
      <w:pPr>
        <w:spacing w:line="276" w:lineRule="auto"/>
        <w:rPr>
          <w:lang w:eastAsia="en-AU"/>
        </w:rPr>
      </w:pPr>
      <w:r>
        <w:rPr>
          <w:lang w:eastAsia="en-AU"/>
        </w:rPr>
        <w:t>This survey of other jurisdictions and their respective delivery of legal services reveals:</w:t>
      </w:r>
    </w:p>
    <w:p w14:paraId="12EB41F9" w14:textId="4CA63C2E" w:rsidR="00D449B1" w:rsidRDefault="00D449B1" w:rsidP="004A4A3D">
      <w:pPr>
        <w:pStyle w:val="ListBullet"/>
        <w:rPr>
          <w:lang w:eastAsia="en-AU"/>
        </w:rPr>
      </w:pPr>
      <w:r>
        <w:rPr>
          <w:lang w:eastAsia="en-AU"/>
        </w:rPr>
        <w:t xml:space="preserve">there are significant differences between the </w:t>
      </w:r>
      <w:r w:rsidRPr="00D449B1">
        <w:rPr>
          <w:i/>
          <w:lang w:eastAsia="en-AU"/>
        </w:rPr>
        <w:t>child protection, family service and child focused</w:t>
      </w:r>
      <w:r>
        <w:rPr>
          <w:lang w:eastAsia="en-AU"/>
        </w:rPr>
        <w:t xml:space="preserve"> models adopted in different places. This in turn has implications for the nature and timing of legal services designed to</w:t>
      </w:r>
      <w:r w:rsidR="00D15DE8">
        <w:rPr>
          <w:lang w:eastAsia="en-AU"/>
        </w:rPr>
        <w:t xml:space="preserve"> support families and children</w:t>
      </w:r>
    </w:p>
    <w:p w14:paraId="664E9EFC" w14:textId="1A56E56D" w:rsidR="00D449B1" w:rsidRDefault="00D449B1" w:rsidP="004A4A3D">
      <w:pPr>
        <w:pStyle w:val="ListBullet"/>
        <w:rPr>
          <w:lang w:eastAsia="en-AU"/>
        </w:rPr>
      </w:pPr>
      <w:r>
        <w:rPr>
          <w:lang w:eastAsia="en-AU"/>
        </w:rPr>
        <w:t>the delivery of legal services tends to reflect the structure of the particular child protection or welf</w:t>
      </w:r>
      <w:r w:rsidR="00D15DE8">
        <w:rPr>
          <w:lang w:eastAsia="en-AU"/>
        </w:rPr>
        <w:t>are structure</w:t>
      </w:r>
    </w:p>
    <w:p w14:paraId="713605DB" w14:textId="50A8AD9E" w:rsidR="00D449B1" w:rsidRDefault="00D449B1" w:rsidP="004A4A3D">
      <w:pPr>
        <w:pStyle w:val="ListBullet"/>
        <w:rPr>
          <w:lang w:eastAsia="en-AU"/>
        </w:rPr>
      </w:pPr>
      <w:r>
        <w:rPr>
          <w:lang w:eastAsia="en-AU"/>
        </w:rPr>
        <w:t>that even in jurisdictions that adopt a child protection approach there ar</w:t>
      </w:r>
      <w:r w:rsidR="00D15DE8">
        <w:rPr>
          <w:lang w:eastAsia="en-AU"/>
        </w:rPr>
        <w:t>e different frameworks in place</w:t>
      </w:r>
    </w:p>
    <w:p w14:paraId="408B9A5F" w14:textId="7043CEB6" w:rsidR="00D449B1" w:rsidRDefault="00D15DE8" w:rsidP="004A4A3D">
      <w:pPr>
        <w:pStyle w:val="ListBullet"/>
        <w:rPr>
          <w:lang w:eastAsia="en-AU"/>
        </w:rPr>
      </w:pPr>
      <w:r>
        <w:rPr>
          <w:lang w:eastAsia="en-AU"/>
        </w:rPr>
        <w:t>l</w:t>
      </w:r>
      <w:r w:rsidR="00D449B1">
        <w:rPr>
          <w:lang w:eastAsia="en-AU"/>
        </w:rPr>
        <w:t>egal services are generally designed to support parents and children once court proceedings have been initiated, although some jurisdictions (such as England and Scotland) have introduced funding for pre-court proceedings, whi</w:t>
      </w:r>
      <w:r>
        <w:rPr>
          <w:lang w:eastAsia="en-AU"/>
        </w:rPr>
        <w:t>ch support early intervention</w:t>
      </w:r>
    </w:p>
    <w:p w14:paraId="46ADF312" w14:textId="0CAD7A27" w:rsidR="00D449B1" w:rsidRDefault="00D15DE8" w:rsidP="004A4A3D">
      <w:pPr>
        <w:pStyle w:val="ListBullet"/>
        <w:rPr>
          <w:lang w:eastAsia="en-AU"/>
        </w:rPr>
      </w:pPr>
      <w:r>
        <w:rPr>
          <w:lang w:eastAsia="en-AU"/>
        </w:rPr>
        <w:t>o</w:t>
      </w:r>
      <w:r w:rsidR="00D449B1">
        <w:rPr>
          <w:lang w:eastAsia="en-AU"/>
        </w:rPr>
        <w:t xml:space="preserve">ther </w:t>
      </w:r>
      <w:r w:rsidR="00D449B1" w:rsidRPr="00D449B1">
        <w:rPr>
          <w:i/>
          <w:lang w:eastAsia="en-AU"/>
        </w:rPr>
        <w:t>child protection</w:t>
      </w:r>
      <w:r w:rsidR="00D449B1">
        <w:rPr>
          <w:lang w:eastAsia="en-AU"/>
        </w:rPr>
        <w:t xml:space="preserve"> jurisdictions have been undertaking large scale reforms of their system in an attempt to make it more child focused.</w:t>
      </w:r>
    </w:p>
    <w:p w14:paraId="1A52DB19" w14:textId="77777777" w:rsidR="005F01EB" w:rsidRDefault="00D449B1" w:rsidP="00086408">
      <w:pPr>
        <w:spacing w:line="276" w:lineRule="auto"/>
        <w:rPr>
          <w:lang w:eastAsia="en-AU"/>
        </w:rPr>
      </w:pPr>
      <w:r>
        <w:rPr>
          <w:lang w:eastAsia="en-AU"/>
        </w:rPr>
        <w:t>While there are other jurisdictions that have features in common with the Victorian child protection system, the range of legal service delivery appears to offer few alternatives for consideration.</w:t>
      </w:r>
      <w:r w:rsidR="005F01EB">
        <w:rPr>
          <w:lang w:eastAsia="en-AU"/>
        </w:rPr>
        <w:br w:type="page"/>
      </w:r>
    </w:p>
    <w:p w14:paraId="77AC1496" w14:textId="77777777" w:rsidR="00D449B1" w:rsidRPr="004A4A3D" w:rsidRDefault="00D449B1" w:rsidP="004A4A3D">
      <w:pPr>
        <w:pStyle w:val="Heading1"/>
      </w:pPr>
      <w:bookmarkStart w:id="54" w:name="_Toc465244432"/>
      <w:r w:rsidRPr="004A4A3D">
        <w:lastRenderedPageBreak/>
        <w:t>References</w:t>
      </w:r>
      <w:bookmarkEnd w:id="54"/>
    </w:p>
    <w:p w14:paraId="1F9EBBC6" w14:textId="002548AF" w:rsidR="0046680B" w:rsidRDefault="0046680B" w:rsidP="00086408">
      <w:pPr>
        <w:spacing w:line="276" w:lineRule="auto"/>
        <w:rPr>
          <w:lang w:eastAsia="en-AU"/>
        </w:rPr>
      </w:pPr>
      <w:r>
        <w:rPr>
          <w:lang w:eastAsia="en-AU"/>
        </w:rPr>
        <w:t xml:space="preserve">Annual State of Victoria’s Children </w:t>
      </w:r>
      <w:r w:rsidR="00D15DE8">
        <w:rPr>
          <w:lang w:eastAsia="en-AU"/>
        </w:rPr>
        <w:t>Report 2013–</w:t>
      </w:r>
      <w:r>
        <w:rPr>
          <w:lang w:eastAsia="en-AU"/>
        </w:rPr>
        <w:t>14</w:t>
      </w:r>
    </w:p>
    <w:p w14:paraId="27966962" w14:textId="77777777" w:rsidR="0046680B" w:rsidRDefault="0046680B" w:rsidP="00086408">
      <w:pPr>
        <w:spacing w:line="276" w:lineRule="auto"/>
        <w:rPr>
          <w:lang w:eastAsia="en-AU"/>
        </w:rPr>
      </w:pPr>
      <w:r>
        <w:rPr>
          <w:lang w:eastAsia="en-AU"/>
        </w:rPr>
        <w:t>Annual State of Victoria’s Children report (2011): A report on how children in regional and rural Victoria are faring</w:t>
      </w:r>
    </w:p>
    <w:p w14:paraId="50558EE5" w14:textId="6E22C8E4" w:rsidR="0046680B" w:rsidRDefault="0046680B" w:rsidP="00086408">
      <w:pPr>
        <w:spacing w:line="276" w:lineRule="auto"/>
        <w:rPr>
          <w:lang w:eastAsia="en-AU"/>
        </w:rPr>
      </w:pPr>
      <w:r>
        <w:rPr>
          <w:lang w:eastAsia="en-AU"/>
        </w:rPr>
        <w:t xml:space="preserve">Australian Institute of Health and Welfare. (2015). </w:t>
      </w:r>
      <w:r w:rsidR="00D15DE8">
        <w:rPr>
          <w:lang w:eastAsia="en-AU"/>
        </w:rPr>
        <w:t>Child protection Australia 2014–</w:t>
      </w:r>
      <w:r>
        <w:rPr>
          <w:lang w:eastAsia="en-AU"/>
        </w:rPr>
        <w:t>15. Canberra, ACT: Australian Institute of Health and Welfare.</w:t>
      </w:r>
    </w:p>
    <w:p w14:paraId="7D57CD2A" w14:textId="77777777" w:rsidR="0046680B" w:rsidRDefault="0046680B" w:rsidP="00086408">
      <w:pPr>
        <w:spacing w:line="276" w:lineRule="auto"/>
        <w:rPr>
          <w:lang w:eastAsia="en-AU"/>
        </w:rPr>
      </w:pPr>
      <w:r>
        <w:rPr>
          <w:lang w:eastAsia="en-AU"/>
        </w:rPr>
        <w:t>Australian Institute of Family Studies. (2015) History of Child Protection Services</w:t>
      </w:r>
    </w:p>
    <w:p w14:paraId="2C66CCA1" w14:textId="77777777" w:rsidR="0046680B" w:rsidRDefault="0046680B" w:rsidP="00086408">
      <w:pPr>
        <w:spacing w:line="276" w:lineRule="auto"/>
        <w:rPr>
          <w:lang w:eastAsia="en-AU"/>
        </w:rPr>
      </w:pPr>
      <w:r>
        <w:rPr>
          <w:lang w:eastAsia="en-AU"/>
        </w:rPr>
        <w:t>Retrieved from www.aufs.gov.au/cfca/publications/history-child-protection-services</w:t>
      </w:r>
    </w:p>
    <w:p w14:paraId="7EC50670" w14:textId="5FCCDE61" w:rsidR="0046680B" w:rsidRDefault="0046680B" w:rsidP="00086408">
      <w:pPr>
        <w:spacing w:line="276" w:lineRule="auto"/>
        <w:rPr>
          <w:lang w:eastAsia="en-AU"/>
        </w:rPr>
      </w:pPr>
      <w:r>
        <w:rPr>
          <w:lang w:eastAsia="en-AU"/>
        </w:rPr>
        <w:t>Australian Institute of Family Studies, Child Protection and Family Law … joining the dots, NCPC Issues, No.</w:t>
      </w:r>
      <w:r w:rsidR="00D15DE8">
        <w:rPr>
          <w:lang w:eastAsia="en-AU"/>
        </w:rPr>
        <w:t xml:space="preserve"> </w:t>
      </w:r>
      <w:r>
        <w:rPr>
          <w:lang w:eastAsia="en-AU"/>
        </w:rPr>
        <w:t>34;</w:t>
      </w:r>
    </w:p>
    <w:p w14:paraId="6795019A" w14:textId="79BCBED8" w:rsidR="005F01EB" w:rsidRDefault="005F01EB" w:rsidP="00086408">
      <w:pPr>
        <w:spacing w:line="276" w:lineRule="auto"/>
        <w:rPr>
          <w:lang w:eastAsia="en-AU"/>
        </w:rPr>
      </w:pPr>
      <w:r>
        <w:rPr>
          <w:lang w:eastAsia="en-AU"/>
        </w:rPr>
        <w:t>Annual State of Victoria’s Children Report 2013</w:t>
      </w:r>
      <w:r w:rsidR="00D15DE8">
        <w:rPr>
          <w:lang w:eastAsia="en-AU"/>
        </w:rPr>
        <w:t>–</w:t>
      </w:r>
      <w:r>
        <w:rPr>
          <w:lang w:eastAsia="en-AU"/>
        </w:rPr>
        <w:t>14</w:t>
      </w:r>
    </w:p>
    <w:p w14:paraId="5A6B6828" w14:textId="77777777" w:rsidR="005F01EB" w:rsidRDefault="005F01EB" w:rsidP="00086408">
      <w:pPr>
        <w:spacing w:line="276" w:lineRule="auto"/>
        <w:rPr>
          <w:lang w:eastAsia="en-AU"/>
        </w:rPr>
      </w:pPr>
      <w:r>
        <w:rPr>
          <w:lang w:eastAsia="en-AU"/>
        </w:rPr>
        <w:t>Annual State of Victoria’s Children report (2011): A report on how children in regional and rural Victoria are faring</w:t>
      </w:r>
    </w:p>
    <w:p w14:paraId="65879FFE" w14:textId="6105DEAE" w:rsidR="005F01EB" w:rsidRDefault="005F01EB" w:rsidP="00086408">
      <w:pPr>
        <w:spacing w:line="276" w:lineRule="auto"/>
        <w:rPr>
          <w:lang w:eastAsia="en-AU"/>
        </w:rPr>
      </w:pPr>
      <w:r>
        <w:rPr>
          <w:lang w:eastAsia="en-AU"/>
        </w:rPr>
        <w:t xml:space="preserve">Australian Institute of Health and Welfare. (2015). </w:t>
      </w:r>
      <w:r w:rsidR="00D15DE8">
        <w:rPr>
          <w:lang w:eastAsia="en-AU"/>
        </w:rPr>
        <w:t>Child protection Australia 2014</w:t>
      </w:r>
      <w:r>
        <w:rPr>
          <w:lang w:eastAsia="en-AU"/>
        </w:rPr>
        <w:t>15. Canberra, ACT: Australian Institute of Health and Welfare.</w:t>
      </w:r>
    </w:p>
    <w:p w14:paraId="1F11CED5" w14:textId="77777777" w:rsidR="005F01EB" w:rsidRDefault="005F01EB" w:rsidP="00086408">
      <w:pPr>
        <w:spacing w:line="276" w:lineRule="auto"/>
        <w:rPr>
          <w:lang w:eastAsia="en-AU"/>
        </w:rPr>
      </w:pPr>
      <w:r>
        <w:rPr>
          <w:lang w:eastAsia="en-AU"/>
        </w:rPr>
        <w:t>Australian Institute of Family Studies. (2015) History of Child Protection Services</w:t>
      </w:r>
    </w:p>
    <w:p w14:paraId="09388904" w14:textId="77777777" w:rsidR="005F01EB" w:rsidRDefault="005F01EB" w:rsidP="00086408">
      <w:pPr>
        <w:spacing w:line="276" w:lineRule="auto"/>
        <w:rPr>
          <w:lang w:eastAsia="en-AU"/>
        </w:rPr>
      </w:pPr>
      <w:r>
        <w:rPr>
          <w:lang w:eastAsia="en-AU"/>
        </w:rPr>
        <w:t>Retrieved from www.aufs.gov.au/cfca/publications/history-child-protection-services</w:t>
      </w:r>
    </w:p>
    <w:p w14:paraId="58ED0471" w14:textId="1ECFCA58" w:rsidR="005F01EB" w:rsidRDefault="005F01EB" w:rsidP="00086408">
      <w:pPr>
        <w:spacing w:line="276" w:lineRule="auto"/>
        <w:rPr>
          <w:lang w:eastAsia="en-AU"/>
        </w:rPr>
      </w:pPr>
      <w:r>
        <w:rPr>
          <w:lang w:eastAsia="en-AU"/>
        </w:rPr>
        <w:t>Australian Institute of Family Studies, Child Protection and Family Law … joining the dots, NCPC Issues, No.</w:t>
      </w:r>
      <w:r w:rsidR="00D15DE8">
        <w:rPr>
          <w:lang w:eastAsia="en-AU"/>
        </w:rPr>
        <w:t xml:space="preserve"> 34</w:t>
      </w:r>
    </w:p>
    <w:p w14:paraId="17D0406A" w14:textId="77777777" w:rsidR="005F01EB" w:rsidRDefault="005F01EB" w:rsidP="00086408">
      <w:pPr>
        <w:spacing w:line="276" w:lineRule="auto"/>
        <w:rPr>
          <w:lang w:eastAsia="en-AU"/>
        </w:rPr>
      </w:pPr>
      <w:r>
        <w:rPr>
          <w:lang w:eastAsia="en-AU"/>
        </w:rPr>
        <w:t>Australian Institute of Family Studies: Risk and protective factor for child abuse and neglect, CFCA Resource Sheet, March 2013</w:t>
      </w:r>
    </w:p>
    <w:p w14:paraId="2B43E26C" w14:textId="77777777" w:rsidR="005F01EB" w:rsidRDefault="005F01EB" w:rsidP="00086408">
      <w:pPr>
        <w:spacing w:line="276" w:lineRule="auto"/>
        <w:rPr>
          <w:lang w:eastAsia="en-AU"/>
        </w:rPr>
      </w:pPr>
      <w:r>
        <w:rPr>
          <w:lang w:eastAsia="en-AU"/>
        </w:rPr>
        <w:t>Australian Law Reform Commission (ALRC</w:t>
      </w:r>
      <w:r w:rsidR="00777B46">
        <w:rPr>
          <w:lang w:eastAsia="en-AU"/>
        </w:rPr>
        <w:t>) (</w:t>
      </w:r>
      <w:r>
        <w:rPr>
          <w:lang w:eastAsia="en-AU"/>
        </w:rPr>
        <w:t>2010): Family Violence – A National Perspective, Report 114</w:t>
      </w:r>
    </w:p>
    <w:p w14:paraId="665220C0" w14:textId="77777777" w:rsidR="005F01EB" w:rsidRDefault="005F01EB" w:rsidP="00086408">
      <w:pPr>
        <w:spacing w:line="276" w:lineRule="auto"/>
        <w:rPr>
          <w:lang w:eastAsia="en-AU"/>
        </w:rPr>
      </w:pPr>
      <w:r>
        <w:rPr>
          <w:lang w:eastAsia="en-AU"/>
        </w:rPr>
        <w:t>Braithwaite, J. (2002). Restorative justice and responsive regulation. New York: Oxford University Press.</w:t>
      </w:r>
    </w:p>
    <w:p w14:paraId="77BF4595" w14:textId="77777777" w:rsidR="005F01EB" w:rsidRDefault="005F01EB" w:rsidP="00086408">
      <w:pPr>
        <w:spacing w:line="276" w:lineRule="auto"/>
        <w:rPr>
          <w:lang w:eastAsia="en-AU"/>
        </w:rPr>
      </w:pPr>
      <w:r>
        <w:rPr>
          <w:lang w:eastAsia="en-AU"/>
        </w:rPr>
        <w:t>Bromfield, L. M., &amp; Higgins, D. J. (2005a). Chronic and isolated maltreatment in a child protection sample. Family Matters, 70, 38–45.</w:t>
      </w:r>
    </w:p>
    <w:p w14:paraId="7FDD4B2D" w14:textId="77777777" w:rsidR="005F01EB" w:rsidRDefault="005F01EB" w:rsidP="00086408">
      <w:pPr>
        <w:spacing w:line="276" w:lineRule="auto"/>
        <w:rPr>
          <w:lang w:eastAsia="en-AU"/>
        </w:rPr>
      </w:pPr>
      <w:r>
        <w:rPr>
          <w:lang w:eastAsia="en-AU"/>
        </w:rPr>
        <w:t>Bromfield, L., &amp; Higgins, D. (2005b). National comparison of child protection systems (Child Abuse Prevention Issues No. 22). Melbourne: National Child Protection Clearinghouse.</w:t>
      </w:r>
    </w:p>
    <w:p w14:paraId="679A0CD5" w14:textId="77777777" w:rsidR="005F01EB" w:rsidRDefault="005F01EB" w:rsidP="00086408">
      <w:pPr>
        <w:spacing w:line="276" w:lineRule="auto"/>
        <w:rPr>
          <w:lang w:eastAsia="en-AU"/>
        </w:rPr>
      </w:pPr>
      <w:r>
        <w:rPr>
          <w:lang w:eastAsia="en-AU"/>
        </w:rPr>
        <w:t xml:space="preserve">Bromfield, L. M., &amp; </w:t>
      </w:r>
      <w:proofErr w:type="spellStart"/>
      <w:r>
        <w:rPr>
          <w:lang w:eastAsia="en-AU"/>
        </w:rPr>
        <w:t>Holzer</w:t>
      </w:r>
      <w:proofErr w:type="spellEnd"/>
      <w:r>
        <w:rPr>
          <w:lang w:eastAsia="en-AU"/>
        </w:rPr>
        <w:t>, P. (2008). A national approach for child protection: Project report.</w:t>
      </w:r>
    </w:p>
    <w:p w14:paraId="1BEB4197" w14:textId="77777777" w:rsidR="005F01EB" w:rsidRDefault="005F01EB" w:rsidP="00086408">
      <w:pPr>
        <w:spacing w:line="276" w:lineRule="auto"/>
        <w:rPr>
          <w:lang w:eastAsia="en-AU"/>
        </w:rPr>
      </w:pPr>
      <w:r>
        <w:rPr>
          <w:lang w:eastAsia="en-AU"/>
        </w:rPr>
        <w:t>Retrieved from &lt;www.aifs.gov.au/nch/pubs/reports/cdsmac/cdsmac.pdf&gt;.</w:t>
      </w:r>
    </w:p>
    <w:p w14:paraId="2B3FFB26" w14:textId="77777777" w:rsidR="005F01EB" w:rsidRDefault="005F01EB" w:rsidP="00086408">
      <w:pPr>
        <w:spacing w:line="276" w:lineRule="auto"/>
        <w:rPr>
          <w:lang w:eastAsia="en-AU"/>
        </w:rPr>
      </w:pPr>
      <w:r>
        <w:rPr>
          <w:lang w:eastAsia="en-AU"/>
        </w:rPr>
        <w:t xml:space="preserve">Bromfield, L. M., &amp; </w:t>
      </w:r>
      <w:proofErr w:type="spellStart"/>
      <w:r>
        <w:rPr>
          <w:lang w:eastAsia="en-AU"/>
        </w:rPr>
        <w:t>Horsfall</w:t>
      </w:r>
      <w:proofErr w:type="spellEnd"/>
      <w:r>
        <w:rPr>
          <w:lang w:eastAsia="en-AU"/>
        </w:rPr>
        <w:t>, B. (2010). Child abuse and neglect statistics (National Child Protection Clearinghouse Resource Sheet). Melbourne: National Child Protection Clearinghouse.</w:t>
      </w:r>
    </w:p>
    <w:p w14:paraId="5092AA9C" w14:textId="77777777" w:rsidR="005F01EB" w:rsidRDefault="005F01EB" w:rsidP="00086408">
      <w:pPr>
        <w:spacing w:line="276" w:lineRule="auto"/>
        <w:rPr>
          <w:lang w:eastAsia="en-AU"/>
        </w:rPr>
      </w:pPr>
      <w:proofErr w:type="spellStart"/>
      <w:r>
        <w:rPr>
          <w:lang w:eastAsia="en-AU"/>
        </w:rPr>
        <w:t>Brouwer</w:t>
      </w:r>
      <w:proofErr w:type="spellEnd"/>
      <w:r>
        <w:rPr>
          <w:lang w:eastAsia="en-AU"/>
        </w:rPr>
        <w:t>, G. (2009). Own motion investigation into the Department of Human Services Child</w:t>
      </w:r>
    </w:p>
    <w:p w14:paraId="25A7F94A" w14:textId="77777777" w:rsidR="005F01EB" w:rsidRDefault="005F01EB" w:rsidP="00086408">
      <w:pPr>
        <w:spacing w:line="276" w:lineRule="auto"/>
        <w:rPr>
          <w:lang w:eastAsia="en-AU"/>
        </w:rPr>
      </w:pPr>
      <w:r>
        <w:rPr>
          <w:lang w:eastAsia="en-AU"/>
        </w:rPr>
        <w:t>Protection Program. Melbourne: Ombudsman Victoria.</w:t>
      </w:r>
    </w:p>
    <w:p w14:paraId="381364D3" w14:textId="77777777" w:rsidR="005F01EB" w:rsidRDefault="005F01EB" w:rsidP="00086408">
      <w:pPr>
        <w:spacing w:line="276" w:lineRule="auto"/>
        <w:rPr>
          <w:lang w:eastAsia="en-AU"/>
        </w:rPr>
      </w:pPr>
      <w:r>
        <w:rPr>
          <w:lang w:eastAsia="en-AU"/>
        </w:rPr>
        <w:t>Children and Parents Code of Sweden: http://www.government.se/information-material/2010/11/parents-and-children---brief-information-about-current-legislation/</w:t>
      </w:r>
    </w:p>
    <w:p w14:paraId="5B0FBD6E" w14:textId="6CBD25E4" w:rsidR="005F01EB" w:rsidRDefault="005F01EB" w:rsidP="00086408">
      <w:pPr>
        <w:spacing w:line="276" w:lineRule="auto"/>
        <w:rPr>
          <w:lang w:eastAsia="en-AU"/>
        </w:rPr>
      </w:pPr>
      <w:r>
        <w:rPr>
          <w:lang w:eastAsia="en-AU"/>
        </w:rPr>
        <w:t xml:space="preserve">Children’s Court </w:t>
      </w:r>
      <w:r w:rsidR="00D15DE8">
        <w:rPr>
          <w:lang w:eastAsia="en-AU"/>
        </w:rPr>
        <w:t>of Victoria, Annual Report 2014–</w:t>
      </w:r>
      <w:r>
        <w:rPr>
          <w:lang w:eastAsia="en-AU"/>
        </w:rPr>
        <w:t>15</w:t>
      </w:r>
    </w:p>
    <w:p w14:paraId="05E30972" w14:textId="77777777" w:rsidR="005F01EB" w:rsidRDefault="005F01EB" w:rsidP="00086408">
      <w:pPr>
        <w:spacing w:line="276" w:lineRule="auto"/>
        <w:rPr>
          <w:lang w:eastAsia="en-AU"/>
        </w:rPr>
      </w:pPr>
      <w:r>
        <w:rPr>
          <w:lang w:eastAsia="en-AU"/>
        </w:rPr>
        <w:lastRenderedPageBreak/>
        <w:t>CP Quarterly Measures 2014-15: http://www.dhs.vic.gov.au/about-the-department/documents-and-resources/research,-data-and-statistics/additional-data-selected-child-protection</w:t>
      </w:r>
    </w:p>
    <w:p w14:paraId="71EDFDC7" w14:textId="77777777" w:rsidR="005F01EB" w:rsidRDefault="005F01EB" w:rsidP="00086408">
      <w:pPr>
        <w:spacing w:line="276" w:lineRule="auto"/>
        <w:rPr>
          <w:lang w:eastAsia="en-AU"/>
        </w:rPr>
      </w:pPr>
      <w:r>
        <w:rPr>
          <w:lang w:eastAsia="en-AU"/>
        </w:rPr>
        <w:t>Commission for Children and Young People, “…as a good parent would…” (2015)</w:t>
      </w:r>
    </w:p>
    <w:p w14:paraId="522DB14E" w14:textId="77777777" w:rsidR="005F01EB" w:rsidRDefault="005F01EB" w:rsidP="00086408">
      <w:pPr>
        <w:spacing w:line="276" w:lineRule="auto"/>
        <w:rPr>
          <w:lang w:eastAsia="en-AU"/>
        </w:rPr>
      </w:pPr>
      <w:r>
        <w:rPr>
          <w:lang w:eastAsia="en-AU"/>
        </w:rPr>
        <w:t>Council of Australian Governments. (2009). Protecting children is everyone’s business: National Framework for Protecting Australia’s Children 2009–2020. Canberra: COAG. Retrieved from &lt;www.coag.gov.au/coag_meeting_outcomes/2009–04-30/docs/child_protection_framework.pdf&gt;.</w:t>
      </w:r>
    </w:p>
    <w:p w14:paraId="3DF7DA79" w14:textId="77777777" w:rsidR="005F01EB" w:rsidRDefault="005F01EB" w:rsidP="00086408">
      <w:pPr>
        <w:spacing w:line="276" w:lineRule="auto"/>
        <w:rPr>
          <w:lang w:eastAsia="en-AU"/>
        </w:rPr>
      </w:pPr>
      <w:r>
        <w:rPr>
          <w:lang w:eastAsia="en-AU"/>
        </w:rPr>
        <w:t>Crampton, D. (2007). Research review: Family group decision-making. A promising practice in need of more programme theory and research. Child and Family Social Work, 12, 202–209.</w:t>
      </w:r>
    </w:p>
    <w:p w14:paraId="68852554" w14:textId="77777777" w:rsidR="005F01EB" w:rsidRDefault="005F01EB" w:rsidP="00086408">
      <w:pPr>
        <w:spacing w:line="276" w:lineRule="auto"/>
        <w:rPr>
          <w:lang w:eastAsia="en-AU"/>
        </w:rPr>
      </w:pPr>
      <w:r>
        <w:rPr>
          <w:lang w:eastAsia="en-AU"/>
        </w:rPr>
        <w:t xml:space="preserve">Department of Justice, Canada, report on ‘Voice of the Child in Legal Proceedings’ (November 2014): http://www.justice.gc.ca/eng/rp-pr/fl-lf/divorce/vccp-vecp/voi2c.html </w:t>
      </w:r>
    </w:p>
    <w:p w14:paraId="56F5EB65" w14:textId="77777777" w:rsidR="005F01EB" w:rsidRDefault="005F01EB" w:rsidP="00086408">
      <w:pPr>
        <w:spacing w:line="276" w:lineRule="auto"/>
        <w:rPr>
          <w:lang w:eastAsia="en-AU"/>
        </w:rPr>
      </w:pPr>
      <w:r>
        <w:rPr>
          <w:lang w:eastAsia="en-AU"/>
        </w:rPr>
        <w:t>Department of Justice, Canada, Legal Aid Services website: http://www.justice.gc.ca/eng/fund-fina/gov-gouv/aid-aide.html as at 9/5/2016</w:t>
      </w:r>
    </w:p>
    <w:p w14:paraId="33546067" w14:textId="77777777" w:rsidR="005F01EB" w:rsidRDefault="005F01EB" w:rsidP="00086408">
      <w:pPr>
        <w:spacing w:line="276" w:lineRule="auto"/>
        <w:rPr>
          <w:lang w:eastAsia="en-AU"/>
        </w:rPr>
      </w:pPr>
      <w:r>
        <w:rPr>
          <w:lang w:eastAsia="en-AU"/>
        </w:rPr>
        <w:t>Department for Children, Schools and Families. (2015). National statistics: Referrals, assessments and children and young people who are the subject of a child protection plan, England. Year ending 31 March 2015. London: Department for Children, Schools and Families.</w:t>
      </w:r>
    </w:p>
    <w:p w14:paraId="470319AC" w14:textId="77777777" w:rsidR="005F01EB" w:rsidRDefault="005F01EB" w:rsidP="00086408">
      <w:pPr>
        <w:spacing w:line="276" w:lineRule="auto"/>
        <w:rPr>
          <w:lang w:eastAsia="en-AU"/>
        </w:rPr>
      </w:pPr>
      <w:r>
        <w:rPr>
          <w:lang w:eastAsia="en-AU"/>
        </w:rPr>
        <w:t xml:space="preserve">Department of Education: Court orders and pre-proceedings publication (April </w:t>
      </w:r>
      <w:r w:rsidR="00777B46">
        <w:rPr>
          <w:lang w:eastAsia="en-AU"/>
        </w:rPr>
        <w:t>2014) [</w:t>
      </w:r>
      <w:r>
        <w:rPr>
          <w:lang w:eastAsia="en-AU"/>
        </w:rPr>
        <w:t xml:space="preserve"> https://www.gov.uk/government/uploads/system/uploads/attachment_data/file/306282/Statutory_guidance_on_court_orders_and_pre-proceedings.pdf] </w:t>
      </w:r>
    </w:p>
    <w:p w14:paraId="5CFCB58C" w14:textId="77777777" w:rsidR="005F01EB" w:rsidRDefault="005F01EB" w:rsidP="00086408">
      <w:pPr>
        <w:spacing w:line="276" w:lineRule="auto"/>
        <w:rPr>
          <w:lang w:eastAsia="en-AU"/>
        </w:rPr>
      </w:pPr>
      <w:r>
        <w:rPr>
          <w:lang w:eastAsia="en-AU"/>
        </w:rPr>
        <w:t>Family Court of Australia, Magellan Program, (10 April 2015) http://www.familycourt.gov.au/wps/wcm/connect/fcoaweb/family-law-matters/family-violence/child-abuse-allegations/</w:t>
      </w:r>
    </w:p>
    <w:p w14:paraId="65CDA26F" w14:textId="364C0F22" w:rsidR="005F01EB" w:rsidRDefault="005F01EB" w:rsidP="00086408">
      <w:pPr>
        <w:spacing w:line="276" w:lineRule="auto"/>
        <w:rPr>
          <w:lang w:eastAsia="en-AU"/>
        </w:rPr>
      </w:pPr>
      <w:r>
        <w:rPr>
          <w:lang w:eastAsia="en-AU"/>
        </w:rPr>
        <w:t>Family Law Council (2009) Improving Responses to Family Violence in the Family Law System: An Advice of the Intersection of Family Violence and Family Law Issues</w:t>
      </w:r>
    </w:p>
    <w:p w14:paraId="1EED5B01" w14:textId="72F18287" w:rsidR="00960391" w:rsidRDefault="00960391" w:rsidP="00086408">
      <w:pPr>
        <w:spacing w:line="276" w:lineRule="auto"/>
        <w:rPr>
          <w:lang w:eastAsia="en-AU"/>
        </w:rPr>
      </w:pPr>
      <w:bookmarkStart w:id="55" w:name="citation"/>
      <w:r>
        <w:rPr>
          <w:lang w:val="en"/>
        </w:rPr>
        <w:t>Gilbert</w:t>
      </w:r>
      <w:r w:rsidR="00593F87">
        <w:rPr>
          <w:lang w:val="en"/>
        </w:rPr>
        <w:t xml:space="preserve"> N.</w:t>
      </w:r>
      <w:r>
        <w:rPr>
          <w:lang w:val="en"/>
        </w:rPr>
        <w:t>,</w:t>
      </w:r>
      <w:r w:rsidR="00060360">
        <w:rPr>
          <w:lang w:val="en"/>
        </w:rPr>
        <w:t xml:space="preserve"> (1997)</w:t>
      </w:r>
      <w:r>
        <w:rPr>
          <w:lang w:val="en"/>
        </w:rPr>
        <w:t xml:space="preserve"> Combatting </w:t>
      </w:r>
      <w:r w:rsidRPr="00960391">
        <w:rPr>
          <w:rStyle w:val="Strong"/>
          <w:b w:val="0"/>
          <w:lang w:val="en"/>
        </w:rPr>
        <w:t>child</w:t>
      </w:r>
      <w:r w:rsidRPr="00960391">
        <w:rPr>
          <w:b/>
          <w:lang w:val="en"/>
        </w:rPr>
        <w:t xml:space="preserve"> </w:t>
      </w:r>
      <w:r w:rsidRPr="00960391">
        <w:rPr>
          <w:rStyle w:val="Strong"/>
          <w:b w:val="0"/>
          <w:lang w:val="en"/>
        </w:rPr>
        <w:t>abuse</w:t>
      </w:r>
      <w:r>
        <w:rPr>
          <w:lang w:val="en"/>
        </w:rPr>
        <w:t>: international perspectives and trends</w:t>
      </w:r>
      <w:bookmarkEnd w:id="55"/>
      <w:r>
        <w:rPr>
          <w:lang w:val="en"/>
        </w:rPr>
        <w:t xml:space="preserve">, </w:t>
      </w:r>
      <w:r w:rsidR="00060360">
        <w:rPr>
          <w:lang w:val="en"/>
        </w:rPr>
        <w:t>New York, Oxford University Press,</w:t>
      </w:r>
    </w:p>
    <w:p w14:paraId="1CDD6FB7" w14:textId="1A367A7F" w:rsidR="005F01EB" w:rsidRDefault="005F01EB" w:rsidP="00086408">
      <w:pPr>
        <w:spacing w:line="276" w:lineRule="auto"/>
        <w:rPr>
          <w:lang w:eastAsia="en-AU"/>
        </w:rPr>
      </w:pPr>
      <w:r>
        <w:rPr>
          <w:lang w:eastAsia="en-AU"/>
        </w:rPr>
        <w:t xml:space="preserve">Gilbert, Parton and </w:t>
      </w:r>
      <w:proofErr w:type="spellStart"/>
      <w:r>
        <w:rPr>
          <w:lang w:eastAsia="en-AU"/>
        </w:rPr>
        <w:t>Skivenes</w:t>
      </w:r>
      <w:proofErr w:type="spellEnd"/>
      <w:r>
        <w:rPr>
          <w:lang w:eastAsia="en-AU"/>
        </w:rPr>
        <w:t>, (2011) Child Protection Systems, International Trends and Orientations, Oxford University Press</w:t>
      </w:r>
    </w:p>
    <w:p w14:paraId="3706079E" w14:textId="5E95670B" w:rsidR="00593F87" w:rsidRDefault="00593F87" w:rsidP="00086408">
      <w:pPr>
        <w:spacing w:line="276" w:lineRule="auto"/>
        <w:rPr>
          <w:lang w:eastAsia="en-AU"/>
        </w:rPr>
      </w:pPr>
      <w:proofErr w:type="spellStart"/>
      <w:r>
        <w:rPr>
          <w:lang w:eastAsia="en-AU"/>
        </w:rPr>
        <w:t>Heatherington</w:t>
      </w:r>
      <w:proofErr w:type="spellEnd"/>
      <w:r>
        <w:rPr>
          <w:lang w:eastAsia="en-AU"/>
        </w:rPr>
        <w:t xml:space="preserve"> R. et al (1997), </w:t>
      </w:r>
      <w:r>
        <w:rPr>
          <w:lang w:val="en"/>
        </w:rPr>
        <w:t xml:space="preserve">Protecting </w:t>
      </w:r>
      <w:proofErr w:type="gramStart"/>
      <w:r w:rsidRPr="00593F87">
        <w:rPr>
          <w:rStyle w:val="Strong"/>
          <w:b w:val="0"/>
          <w:lang w:val="en"/>
        </w:rPr>
        <w:t>children</w:t>
      </w:r>
      <w:r>
        <w:rPr>
          <w:lang w:val="en"/>
        </w:rPr>
        <w:t xml:space="preserve"> :</w:t>
      </w:r>
      <w:proofErr w:type="gramEnd"/>
      <w:r>
        <w:rPr>
          <w:lang w:val="en"/>
        </w:rPr>
        <w:t xml:space="preserve"> messages from Europe, Lyme Regis : Russell House</w:t>
      </w:r>
    </w:p>
    <w:p w14:paraId="76138ED4" w14:textId="77777777" w:rsidR="005F01EB" w:rsidRDefault="005F01EB" w:rsidP="00086408">
      <w:pPr>
        <w:spacing w:line="276" w:lineRule="auto"/>
        <w:rPr>
          <w:lang w:eastAsia="en-AU"/>
        </w:rPr>
      </w:pPr>
      <w:r>
        <w:rPr>
          <w:lang w:eastAsia="en-AU"/>
        </w:rPr>
        <w:t>Higgins, D. J. (2007). Cooperation and coordination: An evaluation of the Family Court of Australia’s Magellan case-management model. Canberra: Family Court of Australia. Retrieved from</w:t>
      </w:r>
    </w:p>
    <w:p w14:paraId="675B4291" w14:textId="77777777" w:rsidR="005F01EB" w:rsidRDefault="005F01EB" w:rsidP="00086408">
      <w:pPr>
        <w:spacing w:line="276" w:lineRule="auto"/>
        <w:rPr>
          <w:lang w:eastAsia="en-AU"/>
        </w:rPr>
      </w:pPr>
      <w:r>
        <w:rPr>
          <w:lang w:eastAsia="en-AU"/>
        </w:rPr>
        <w:t>&lt;www.aifs.gov.au/institute/pubs/magellan/index.html&gt;.</w:t>
      </w:r>
    </w:p>
    <w:p w14:paraId="33158FB7" w14:textId="77777777" w:rsidR="005F01EB" w:rsidRDefault="005F01EB" w:rsidP="00086408">
      <w:pPr>
        <w:spacing w:line="276" w:lineRule="auto"/>
        <w:rPr>
          <w:lang w:eastAsia="en-AU"/>
        </w:rPr>
      </w:pPr>
      <w:r>
        <w:rPr>
          <w:lang w:eastAsia="en-AU"/>
        </w:rPr>
        <w:t xml:space="preserve">Higgins, D. J., &amp; </w:t>
      </w:r>
      <w:proofErr w:type="spellStart"/>
      <w:r>
        <w:rPr>
          <w:lang w:eastAsia="en-AU"/>
        </w:rPr>
        <w:t>Kaspiew</w:t>
      </w:r>
      <w:proofErr w:type="spellEnd"/>
      <w:r>
        <w:rPr>
          <w:lang w:eastAsia="en-AU"/>
        </w:rPr>
        <w:t>, R. (2008). “Mind the gap…”: Protecting children in family law cases.</w:t>
      </w:r>
    </w:p>
    <w:p w14:paraId="5D372D8E" w14:textId="77777777" w:rsidR="005F01EB" w:rsidRDefault="005F01EB" w:rsidP="00086408">
      <w:pPr>
        <w:spacing w:line="276" w:lineRule="auto"/>
        <w:rPr>
          <w:lang w:eastAsia="en-AU"/>
        </w:rPr>
      </w:pPr>
      <w:r>
        <w:rPr>
          <w:lang w:eastAsia="en-AU"/>
        </w:rPr>
        <w:t>Australian Journal of Family Law, 22(3), 235–258.</w:t>
      </w:r>
    </w:p>
    <w:p w14:paraId="28DB84C4" w14:textId="77777777" w:rsidR="005F01EB" w:rsidRDefault="005F01EB" w:rsidP="00086408">
      <w:pPr>
        <w:spacing w:line="276" w:lineRule="auto"/>
        <w:rPr>
          <w:lang w:eastAsia="en-AU"/>
        </w:rPr>
      </w:pPr>
      <w:r>
        <w:rPr>
          <w:lang w:eastAsia="en-AU"/>
        </w:rPr>
        <w:t>Higgins, D. J., &amp; Katz, I. (2008). Enhancing service systems for protecting children: Promoting child wellbeing and child protection reform in Australia. Family Matters, 80, 43–50.</w:t>
      </w:r>
    </w:p>
    <w:p w14:paraId="0881276D" w14:textId="77777777" w:rsidR="005F01EB" w:rsidRDefault="005F01EB" w:rsidP="00086408">
      <w:pPr>
        <w:spacing w:line="276" w:lineRule="auto"/>
        <w:rPr>
          <w:lang w:eastAsia="en-AU"/>
        </w:rPr>
      </w:pPr>
      <w:r>
        <w:rPr>
          <w:lang w:eastAsia="en-AU"/>
        </w:rPr>
        <w:t xml:space="preserve">Holland, S., &amp; </w:t>
      </w:r>
      <w:proofErr w:type="spellStart"/>
      <w:r>
        <w:rPr>
          <w:lang w:eastAsia="en-AU"/>
        </w:rPr>
        <w:t>O’Niell</w:t>
      </w:r>
      <w:proofErr w:type="spellEnd"/>
      <w:r>
        <w:rPr>
          <w:lang w:eastAsia="en-AU"/>
        </w:rPr>
        <w:t>, S. (2006). We had to be there to make sure it was what we wanted: Enabling children’s participation in family decision-making through the family group conference. Childhood,</w:t>
      </w:r>
    </w:p>
    <w:p w14:paraId="5DD23A5E" w14:textId="77777777" w:rsidR="005F01EB" w:rsidRDefault="005F01EB" w:rsidP="00086408">
      <w:pPr>
        <w:spacing w:line="276" w:lineRule="auto"/>
        <w:rPr>
          <w:lang w:eastAsia="en-AU"/>
        </w:rPr>
      </w:pPr>
      <w:r>
        <w:rPr>
          <w:lang w:eastAsia="en-AU"/>
        </w:rPr>
        <w:t>13(1), 91–111.</w:t>
      </w:r>
    </w:p>
    <w:p w14:paraId="1899359C" w14:textId="20DD9000" w:rsidR="005F01EB" w:rsidRDefault="005F01EB" w:rsidP="00086408">
      <w:pPr>
        <w:spacing w:line="276" w:lineRule="auto"/>
        <w:rPr>
          <w:lang w:eastAsia="en-AU"/>
        </w:rPr>
      </w:pPr>
      <w:proofErr w:type="spellStart"/>
      <w:r>
        <w:rPr>
          <w:lang w:eastAsia="en-AU"/>
        </w:rPr>
        <w:lastRenderedPageBreak/>
        <w:t>Holzer</w:t>
      </w:r>
      <w:proofErr w:type="spellEnd"/>
      <w:r>
        <w:rPr>
          <w:lang w:eastAsia="en-AU"/>
        </w:rPr>
        <w:t>, P. (2007). Defining the public health model for the child welfare services context (National Child Protection Clearinghouse Resource Sheet). Retrieved from</w:t>
      </w:r>
      <w:r w:rsidR="00D15DE8">
        <w:rPr>
          <w:lang w:eastAsia="en-AU"/>
        </w:rPr>
        <w:t xml:space="preserve"> </w:t>
      </w:r>
      <w:r>
        <w:rPr>
          <w:lang w:eastAsia="en-AU"/>
        </w:rPr>
        <w:t>&lt;www.aifs.gov.au/nch/pubs/sheets/rs11/rs11.html&gt;.</w:t>
      </w:r>
    </w:p>
    <w:p w14:paraId="48AA6901" w14:textId="77777777" w:rsidR="005F01EB" w:rsidRDefault="005F01EB" w:rsidP="00086408">
      <w:pPr>
        <w:spacing w:line="276" w:lineRule="auto"/>
        <w:rPr>
          <w:lang w:eastAsia="en-AU"/>
        </w:rPr>
      </w:pPr>
      <w:proofErr w:type="spellStart"/>
      <w:r>
        <w:rPr>
          <w:lang w:eastAsia="en-AU"/>
        </w:rPr>
        <w:t>Holzer</w:t>
      </w:r>
      <w:proofErr w:type="spellEnd"/>
      <w:r>
        <w:rPr>
          <w:lang w:eastAsia="en-AU"/>
        </w:rPr>
        <w:t>, P., Higgins, J., Bromfield, L. M., Richardson, N., &amp; Higgins, D. J. (2006). The effectiveness of parent education and home visiting child maltreatment prevention programs (Child Abuse Prevention Issues No. 24). Retrieved from &lt;www.aifs.gov.au/nch/issues/issues24.html&gt;.</w:t>
      </w:r>
    </w:p>
    <w:p w14:paraId="4C8B2234" w14:textId="77777777" w:rsidR="005F01EB" w:rsidRDefault="005F01EB" w:rsidP="00086408">
      <w:pPr>
        <w:spacing w:line="276" w:lineRule="auto"/>
        <w:rPr>
          <w:lang w:eastAsia="en-AU"/>
        </w:rPr>
      </w:pPr>
      <w:r>
        <w:rPr>
          <w:lang w:eastAsia="en-AU"/>
        </w:rPr>
        <w:t xml:space="preserve">Hunter, R. (2006). Child-related proceedings under Pt VII </w:t>
      </w:r>
      <w:proofErr w:type="spellStart"/>
      <w:r>
        <w:rPr>
          <w:lang w:eastAsia="en-AU"/>
        </w:rPr>
        <w:t>Div</w:t>
      </w:r>
      <w:proofErr w:type="spellEnd"/>
      <w:r>
        <w:rPr>
          <w:lang w:eastAsia="en-AU"/>
        </w:rPr>
        <w:t xml:space="preserve"> 12A of the Family Law Act: What the Children’s Cases Pilot Program can and can’t tell us. Australian Journal of Family Law, 20, 227–248.</w:t>
      </w:r>
    </w:p>
    <w:p w14:paraId="10AC12BD" w14:textId="1C11CC23" w:rsidR="005F01EB" w:rsidRDefault="00224C69" w:rsidP="00086408">
      <w:pPr>
        <w:spacing w:line="276" w:lineRule="auto"/>
        <w:rPr>
          <w:lang w:eastAsia="en-AU"/>
        </w:rPr>
      </w:pPr>
      <w:r>
        <w:rPr>
          <w:lang w:eastAsia="en-AU"/>
        </w:rPr>
        <w:t xml:space="preserve">Hon. Philip </w:t>
      </w:r>
      <w:r w:rsidR="005F01EB">
        <w:rPr>
          <w:lang w:eastAsia="en-AU"/>
        </w:rPr>
        <w:t>Cummins</w:t>
      </w:r>
      <w:r>
        <w:rPr>
          <w:lang w:eastAsia="en-AU"/>
        </w:rPr>
        <w:t>, Prof Dorothy Scott and Bill Scales</w:t>
      </w:r>
      <w:r w:rsidR="005F01EB">
        <w:rPr>
          <w:lang w:eastAsia="en-AU"/>
        </w:rPr>
        <w:t>, Protecting Victoria’s Vulnerable Children Inquiry (2012)</w:t>
      </w:r>
    </w:p>
    <w:p w14:paraId="34579B14" w14:textId="77777777" w:rsidR="005F01EB" w:rsidRDefault="005F01EB" w:rsidP="00086408">
      <w:pPr>
        <w:spacing w:line="276" w:lineRule="auto"/>
        <w:rPr>
          <w:lang w:eastAsia="en-AU"/>
        </w:rPr>
      </w:pPr>
      <w:r>
        <w:rPr>
          <w:lang w:eastAsia="en-AU"/>
        </w:rPr>
        <w:t>Law Society of Scotland: Discussion Paper (March 2015) [https://www.lawscot.org.uk/media/391321/legal-assistance-in-scotland-discussion-paper.pdf]</w:t>
      </w:r>
    </w:p>
    <w:p w14:paraId="1FE50D82" w14:textId="77777777" w:rsidR="005F01EB" w:rsidRDefault="005F01EB" w:rsidP="00086408">
      <w:pPr>
        <w:spacing w:line="276" w:lineRule="auto"/>
        <w:rPr>
          <w:lang w:eastAsia="en-AU"/>
        </w:rPr>
      </w:pPr>
      <w:r>
        <w:rPr>
          <w:lang w:eastAsia="en-AU"/>
        </w:rPr>
        <w:t>Legal Aid UK, Funding Guidelines (as at May 2016): https://www.govuk/legal-aid/print.</w:t>
      </w:r>
    </w:p>
    <w:p w14:paraId="3143F364" w14:textId="77777777" w:rsidR="005F01EB" w:rsidRDefault="005F01EB" w:rsidP="00086408">
      <w:pPr>
        <w:spacing w:line="276" w:lineRule="auto"/>
        <w:rPr>
          <w:lang w:eastAsia="en-AU"/>
        </w:rPr>
      </w:pPr>
      <w:r>
        <w:rPr>
          <w:lang w:eastAsia="en-AU"/>
        </w:rPr>
        <w:t>Legal Aid Sweden Information booklet: http://www.domstol.se/publikationer/informationsmaterial/legal_aid_in_sweden.pdf</w:t>
      </w:r>
    </w:p>
    <w:p w14:paraId="16DD21E4" w14:textId="77777777" w:rsidR="005F01EB" w:rsidRDefault="005F01EB" w:rsidP="00086408">
      <w:pPr>
        <w:spacing w:line="276" w:lineRule="auto"/>
        <w:rPr>
          <w:lang w:eastAsia="en-AU"/>
        </w:rPr>
      </w:pPr>
      <w:r>
        <w:rPr>
          <w:lang w:eastAsia="en-AU"/>
        </w:rPr>
        <w:t xml:space="preserve">Legal Aid Sweden website: http://www.rattshjalp.se/Funktioner/English/Legal-assistance/Legal-aid/ </w:t>
      </w:r>
    </w:p>
    <w:p w14:paraId="3C69E425" w14:textId="77777777" w:rsidR="005F01EB" w:rsidRDefault="005F01EB" w:rsidP="00086408">
      <w:pPr>
        <w:spacing w:line="276" w:lineRule="auto"/>
        <w:rPr>
          <w:lang w:eastAsia="en-AU"/>
        </w:rPr>
      </w:pPr>
      <w:r>
        <w:rPr>
          <w:lang w:eastAsia="en-AU"/>
        </w:rPr>
        <w:t xml:space="preserve">Masson and Dickens: Care proceedings: the operation and effect of pre-proceedings – what do lawyers need to know? [http://www.familylawweek.co.uk/site.aspx?i=ed114447] </w:t>
      </w:r>
    </w:p>
    <w:p w14:paraId="456241BF" w14:textId="77777777" w:rsidR="005F01EB" w:rsidRDefault="005F01EB" w:rsidP="00086408">
      <w:pPr>
        <w:spacing w:line="276" w:lineRule="auto"/>
        <w:rPr>
          <w:lang w:eastAsia="en-AU"/>
        </w:rPr>
      </w:pPr>
      <w:r>
        <w:rPr>
          <w:lang w:eastAsia="en-AU"/>
        </w:rPr>
        <w:t>Masson and Bader, Dickens and Young, The pre-proceedings process for families on the edge of care proceedings, March 2013. [http://www.bristol.ac.uk/media-library/sites/law/migrated/documents/summary.pdf]</w:t>
      </w:r>
    </w:p>
    <w:p w14:paraId="65812236" w14:textId="77777777" w:rsidR="005F01EB" w:rsidRDefault="005F01EB" w:rsidP="00086408">
      <w:pPr>
        <w:spacing w:line="276" w:lineRule="auto"/>
        <w:rPr>
          <w:lang w:eastAsia="en-AU"/>
        </w:rPr>
      </w:pPr>
      <w:r>
        <w:rPr>
          <w:lang w:eastAsia="en-AU"/>
        </w:rPr>
        <w:t>Modernising Child, Youth and Family Expert Panel, Investing in New Zealand’s Children and their Families (December 2015),</w:t>
      </w:r>
    </w:p>
    <w:p w14:paraId="260A6C0D" w14:textId="77777777" w:rsidR="005F01EB" w:rsidRDefault="005F01EB" w:rsidP="00086408">
      <w:pPr>
        <w:spacing w:line="276" w:lineRule="auto"/>
        <w:rPr>
          <w:lang w:eastAsia="en-AU"/>
        </w:rPr>
      </w:pPr>
      <w:r>
        <w:rPr>
          <w:lang w:eastAsia="en-AU"/>
        </w:rPr>
        <w:t>National Child Protection Clearinghouse. (2009). Towards a national research agenda: Protecting Australia’s children research forum. Melbourne: NCPC.</w:t>
      </w:r>
    </w:p>
    <w:p w14:paraId="78E000EA" w14:textId="77777777" w:rsidR="005F01EB" w:rsidRDefault="005F01EB" w:rsidP="00086408">
      <w:pPr>
        <w:spacing w:line="276" w:lineRule="auto"/>
        <w:rPr>
          <w:lang w:eastAsia="en-AU"/>
        </w:rPr>
      </w:pPr>
      <w:r>
        <w:rPr>
          <w:lang w:eastAsia="en-AU"/>
        </w:rPr>
        <w:t>National Child Protection Clearinghouse. (2010). Bibliographies: Child abuse and the law. Melbourne: NCPC. Retrieved from www.aifs.gov.au/nch/bib/law.html&gt;</w:t>
      </w:r>
    </w:p>
    <w:p w14:paraId="44901B2D" w14:textId="77777777" w:rsidR="005F01EB" w:rsidRDefault="005F01EB" w:rsidP="00086408">
      <w:pPr>
        <w:spacing w:line="276" w:lineRule="auto"/>
        <w:rPr>
          <w:lang w:eastAsia="en-AU"/>
        </w:rPr>
      </w:pPr>
      <w:r>
        <w:rPr>
          <w:lang w:eastAsia="en-AU"/>
        </w:rPr>
        <w:t xml:space="preserve">Norway Legal Aid website (as at 9/5/2016): http://www.sivilrett.no/who-can-receive-free-legal-aid.307233.no.html </w:t>
      </w:r>
    </w:p>
    <w:p w14:paraId="676F6516" w14:textId="19296484" w:rsidR="005F01EB" w:rsidRDefault="005F01EB" w:rsidP="00086408">
      <w:pPr>
        <w:spacing w:line="276" w:lineRule="auto"/>
        <w:rPr>
          <w:lang w:eastAsia="en-AU"/>
        </w:rPr>
      </w:pPr>
      <w:r>
        <w:rPr>
          <w:lang w:eastAsia="en-AU"/>
        </w:rPr>
        <w:t xml:space="preserve">Office of the Victorian Ombudsman, Own Motion Investigation into the Department of Human Services </w:t>
      </w:r>
      <w:r w:rsidR="00D15DE8">
        <w:rPr>
          <w:lang w:eastAsia="en-AU"/>
        </w:rPr>
        <w:t>Child Protection Program (2009)</w:t>
      </w:r>
    </w:p>
    <w:p w14:paraId="3785F1BB" w14:textId="77777777" w:rsidR="005F01EB" w:rsidRDefault="005F01EB" w:rsidP="00086408">
      <w:pPr>
        <w:spacing w:line="276" w:lineRule="auto"/>
        <w:rPr>
          <w:lang w:eastAsia="en-AU"/>
        </w:rPr>
      </w:pPr>
      <w:r>
        <w:rPr>
          <w:lang w:eastAsia="en-AU"/>
        </w:rPr>
        <w:t>Office of the Victorian Ombudsman, Own Motion Investigation into Child Protection—Out of Home Care (2010).</w:t>
      </w:r>
    </w:p>
    <w:p w14:paraId="28976CA0" w14:textId="77777777" w:rsidR="005F01EB" w:rsidRDefault="005F01EB" w:rsidP="00086408">
      <w:pPr>
        <w:spacing w:line="276" w:lineRule="auto"/>
        <w:rPr>
          <w:lang w:eastAsia="en-AU"/>
        </w:rPr>
      </w:pPr>
      <w:r>
        <w:rPr>
          <w:lang w:eastAsia="en-AU"/>
        </w:rPr>
        <w:t xml:space="preserve">Office of the Public Advocate, </w:t>
      </w:r>
      <w:proofErr w:type="gramStart"/>
      <w:r>
        <w:rPr>
          <w:lang w:eastAsia="en-AU"/>
        </w:rPr>
        <w:t>Whatever</w:t>
      </w:r>
      <w:proofErr w:type="gramEnd"/>
      <w:r>
        <w:rPr>
          <w:lang w:eastAsia="en-AU"/>
        </w:rPr>
        <w:t xml:space="preserve"> happened to the village, the removal of children from parents with a disability (2013) and Rebuilding the village: Supporting families where a parent has a disability (2015)</w:t>
      </w:r>
    </w:p>
    <w:p w14:paraId="542EF9DC" w14:textId="77777777" w:rsidR="005F01EB" w:rsidRDefault="005F01EB" w:rsidP="00086408">
      <w:pPr>
        <w:spacing w:line="276" w:lineRule="auto"/>
        <w:rPr>
          <w:lang w:eastAsia="en-AU"/>
        </w:rPr>
      </w:pPr>
      <w:r>
        <w:rPr>
          <w:lang w:eastAsia="en-AU"/>
        </w:rPr>
        <w:t>Olson, K. (2009). Family group conferencing and child protection mediation: Essential tools for prioritizing family engagement in child welfare cases. Family Court Review, 47(1), 53–68.</w:t>
      </w:r>
    </w:p>
    <w:p w14:paraId="29344E8E" w14:textId="77777777" w:rsidR="005F01EB" w:rsidRDefault="005F01EB" w:rsidP="00086408">
      <w:pPr>
        <w:spacing w:line="276" w:lineRule="auto"/>
        <w:rPr>
          <w:lang w:eastAsia="en-AU"/>
        </w:rPr>
      </w:pPr>
      <w:r>
        <w:rPr>
          <w:lang w:eastAsia="en-AU"/>
        </w:rPr>
        <w:t>Ontario Ministry for Justice website as at 9/5/2016: https://www.attorneygeneral.jus.gov.on.ca/english/family/ocl/faq/family_law_and_child_protection.php</w:t>
      </w:r>
    </w:p>
    <w:p w14:paraId="56B66B10" w14:textId="77777777" w:rsidR="005F01EB" w:rsidRDefault="005F01EB" w:rsidP="00086408">
      <w:pPr>
        <w:spacing w:line="276" w:lineRule="auto"/>
        <w:rPr>
          <w:lang w:eastAsia="en-AU"/>
        </w:rPr>
      </w:pPr>
      <w:r>
        <w:rPr>
          <w:lang w:eastAsia="en-AU"/>
        </w:rPr>
        <w:lastRenderedPageBreak/>
        <w:t>Price-Robertson, Bromfield and Lamont, International Approaches to Child Protection, Child Family Community Australia, Paper 23.</w:t>
      </w:r>
    </w:p>
    <w:p w14:paraId="2F36179C" w14:textId="43D8F7EB" w:rsidR="005F01EB" w:rsidRDefault="005F01EB" w:rsidP="00086408">
      <w:pPr>
        <w:spacing w:line="276" w:lineRule="auto"/>
        <w:rPr>
          <w:lang w:eastAsia="en-AU"/>
        </w:rPr>
      </w:pPr>
      <w:r>
        <w:rPr>
          <w:lang w:eastAsia="en-AU"/>
        </w:rPr>
        <w:t>Productivity Commission (2016)</w:t>
      </w:r>
      <w:r w:rsidR="001D3837">
        <w:rPr>
          <w:lang w:eastAsia="en-AU"/>
        </w:rPr>
        <w:t xml:space="preserve">, Report on Government Services, </w:t>
      </w:r>
      <w:r w:rsidR="00354259">
        <w:rPr>
          <w:lang w:eastAsia="en-AU"/>
        </w:rPr>
        <w:t>Canberra</w:t>
      </w:r>
    </w:p>
    <w:p w14:paraId="49348A7F" w14:textId="77777777" w:rsidR="005F01EB" w:rsidRDefault="005F01EB" w:rsidP="00086408">
      <w:pPr>
        <w:spacing w:line="276" w:lineRule="auto"/>
        <w:rPr>
          <w:lang w:eastAsia="en-AU"/>
        </w:rPr>
      </w:pPr>
      <w:r>
        <w:rPr>
          <w:lang w:eastAsia="en-AU"/>
        </w:rPr>
        <w:t xml:space="preserve">Public Law Outline: http://www.familylaw.co.uk/system/uploads/attachments/0008/5147/PD12A_PLO.pdf </w:t>
      </w:r>
    </w:p>
    <w:p w14:paraId="7FB20745" w14:textId="77777777" w:rsidR="005F01EB" w:rsidRDefault="005F01EB" w:rsidP="00086408">
      <w:pPr>
        <w:spacing w:line="276" w:lineRule="auto"/>
        <w:rPr>
          <w:lang w:eastAsia="en-AU"/>
        </w:rPr>
      </w:pPr>
      <w:r>
        <w:rPr>
          <w:lang w:eastAsia="en-AU"/>
        </w:rPr>
        <w:t xml:space="preserve">Road Map to Reform (2016) </w:t>
      </w:r>
    </w:p>
    <w:p w14:paraId="6BCDD9CD" w14:textId="77777777" w:rsidR="005F01EB" w:rsidRDefault="005F01EB" w:rsidP="00086408">
      <w:pPr>
        <w:spacing w:line="276" w:lineRule="auto"/>
        <w:rPr>
          <w:lang w:eastAsia="en-AU"/>
        </w:rPr>
      </w:pPr>
      <w:r>
        <w:rPr>
          <w:lang w:eastAsia="en-AU"/>
        </w:rPr>
        <w:t>Royal Commission into Family Violence: Final Report (2016)</w:t>
      </w:r>
    </w:p>
    <w:p w14:paraId="53297180" w14:textId="77777777" w:rsidR="005F01EB" w:rsidRDefault="005F01EB" w:rsidP="00086408">
      <w:pPr>
        <w:spacing w:line="276" w:lineRule="auto"/>
        <w:rPr>
          <w:lang w:eastAsia="en-AU"/>
        </w:rPr>
      </w:pPr>
      <w:r>
        <w:rPr>
          <w:lang w:eastAsia="en-AU"/>
        </w:rPr>
        <w:t>Scotland Government. (2008). Child protection 2008 statistical return: Notes for completion. Scotland: Scotland Government.</w:t>
      </w:r>
    </w:p>
    <w:p w14:paraId="77F42838" w14:textId="4898C6FC" w:rsidR="005F01EB" w:rsidRDefault="005F01EB" w:rsidP="00086408">
      <w:pPr>
        <w:spacing w:line="276" w:lineRule="auto"/>
        <w:rPr>
          <w:lang w:eastAsia="en-AU"/>
        </w:rPr>
      </w:pPr>
      <w:r>
        <w:rPr>
          <w:lang w:eastAsia="en-AU"/>
        </w:rPr>
        <w:t>Scottish Legal Aid Board’s Legal Assistance Handbook for Children’s Proceedings under the Children’s Hearings (Scotland) Act 2011, viewed at: www.slab.org.uk/handbooks/Children's%20Hearings%20(S)%20Act%202011/wwhelp/wwhimpl/js/html/wwhelp.htm#href=Part%20III%20Children's%20Legal%20Aid/Part%20III%201%20Legal%20aid%20for%</w:t>
      </w:r>
      <w:r w:rsidR="00F71279">
        <w:rPr>
          <w:lang w:eastAsia="en-AU"/>
        </w:rPr>
        <w:t>20childrens%20proceedings.html</w:t>
      </w:r>
    </w:p>
    <w:p w14:paraId="6CB7DBAF" w14:textId="77777777" w:rsidR="005F01EB" w:rsidRDefault="005F01EB" w:rsidP="00086408">
      <w:pPr>
        <w:spacing w:line="276" w:lineRule="auto"/>
        <w:rPr>
          <w:lang w:eastAsia="en-AU"/>
        </w:rPr>
      </w:pPr>
      <w:r>
        <w:rPr>
          <w:lang w:eastAsia="en-AU"/>
        </w:rPr>
        <w:t>Scott, D. (2006). Towards a public health model of child protection in Australia. Communities, Children and Families Australia, 1(1), 9–16.</w:t>
      </w:r>
    </w:p>
    <w:p w14:paraId="6473C5C7" w14:textId="77777777" w:rsidR="005F01EB" w:rsidRDefault="005F01EB" w:rsidP="00086408">
      <w:pPr>
        <w:spacing w:line="276" w:lineRule="auto"/>
        <w:rPr>
          <w:lang w:eastAsia="en-AU"/>
        </w:rPr>
      </w:pPr>
      <w:r>
        <w:rPr>
          <w:lang w:eastAsia="en-AU"/>
        </w:rPr>
        <w:t xml:space="preserve">Swain, S. (2014) History of Child Protection Legislation, Royal Commission into Institutional Responses to Child Sexual Abuse </w:t>
      </w:r>
    </w:p>
    <w:p w14:paraId="48775136" w14:textId="77777777" w:rsidR="005F01EB" w:rsidRDefault="005F01EB" w:rsidP="00086408">
      <w:pPr>
        <w:spacing w:line="276" w:lineRule="auto"/>
        <w:rPr>
          <w:lang w:eastAsia="en-AU"/>
        </w:rPr>
      </w:pPr>
      <w:r>
        <w:rPr>
          <w:lang w:eastAsia="en-AU"/>
        </w:rPr>
        <w:t>The Munro Review of Child Protection, Professor Eileen Munro, 2011</w:t>
      </w:r>
    </w:p>
    <w:p w14:paraId="2473705E" w14:textId="77777777" w:rsidR="005F01EB" w:rsidRDefault="005F01EB" w:rsidP="00086408">
      <w:pPr>
        <w:spacing w:line="276" w:lineRule="auto"/>
        <w:rPr>
          <w:lang w:eastAsia="en-AU"/>
        </w:rPr>
      </w:pPr>
      <w:r>
        <w:rPr>
          <w:lang w:eastAsia="en-AU"/>
        </w:rPr>
        <w:t>Victorian Auditor-General’s Office. (1996). Protecting Victoria’s children: The role of the Department of Human Services. Melbourne, Victorian Government Printer.</w:t>
      </w:r>
    </w:p>
    <w:p w14:paraId="7BAA8143" w14:textId="77777777" w:rsidR="005F01EB" w:rsidRDefault="005F01EB" w:rsidP="00086408">
      <w:pPr>
        <w:spacing w:line="276" w:lineRule="auto"/>
        <w:rPr>
          <w:lang w:eastAsia="en-AU"/>
        </w:rPr>
      </w:pPr>
      <w:r>
        <w:rPr>
          <w:lang w:eastAsia="en-AU"/>
        </w:rPr>
        <w:t xml:space="preserve">Victorian Law Reform Commission (VLRC), (2010) Protection Applications in the Children's Court: Final Report </w:t>
      </w:r>
    </w:p>
    <w:p w14:paraId="572DF39B" w14:textId="77777777" w:rsidR="005F01EB" w:rsidRDefault="005F01EB" w:rsidP="00086408">
      <w:pPr>
        <w:spacing w:line="276" w:lineRule="auto"/>
        <w:rPr>
          <w:lang w:eastAsia="en-AU"/>
        </w:rPr>
      </w:pPr>
      <w:r>
        <w:rPr>
          <w:lang w:eastAsia="en-AU"/>
        </w:rPr>
        <w:t>Victorian Child Health and Wellbeing Survey (2013): Summary Findings Report</w:t>
      </w:r>
    </w:p>
    <w:p w14:paraId="18E75C59" w14:textId="77777777" w:rsidR="005F01EB" w:rsidRDefault="005F01EB" w:rsidP="00086408">
      <w:pPr>
        <w:spacing w:line="276" w:lineRule="auto"/>
        <w:rPr>
          <w:lang w:eastAsia="en-AU"/>
        </w:rPr>
      </w:pPr>
      <w:r>
        <w:rPr>
          <w:lang w:eastAsia="en-AU"/>
        </w:rPr>
        <w:t>Victorian Population Bulletin[http://www.dtpli.vic.gov.au/data-and-research/population/census-2011/victorian-population-bulletin]</w:t>
      </w:r>
      <w:r>
        <w:rPr>
          <w:lang w:eastAsia="en-AU"/>
        </w:rPr>
        <w:br w:type="page"/>
      </w:r>
    </w:p>
    <w:p w14:paraId="7ECE9067" w14:textId="1DFA0444" w:rsidR="005F01EB" w:rsidRDefault="005F01EB" w:rsidP="00086408">
      <w:pPr>
        <w:pStyle w:val="Heading1"/>
        <w:spacing w:line="276" w:lineRule="auto"/>
      </w:pPr>
      <w:bookmarkStart w:id="56" w:name="_Annexure_1_–"/>
      <w:bookmarkStart w:id="57" w:name="_Toc465244433"/>
      <w:bookmarkEnd w:id="56"/>
      <w:r>
        <w:lastRenderedPageBreak/>
        <w:t xml:space="preserve">Annexure 1 </w:t>
      </w:r>
      <w:r w:rsidR="00E97014">
        <w:t>– Analysis of Social Disadvantage</w:t>
      </w:r>
      <w:bookmarkEnd w:id="57"/>
    </w:p>
    <w:p w14:paraId="2EFEB6AA" w14:textId="09688628" w:rsidR="00D31537" w:rsidRPr="004A4A3D" w:rsidRDefault="00D31537" w:rsidP="00086408">
      <w:pPr>
        <w:spacing w:line="276" w:lineRule="auto"/>
        <w:rPr>
          <w:lang w:eastAsia="en-AU"/>
        </w:rPr>
      </w:pPr>
      <w:r>
        <w:rPr>
          <w:lang w:eastAsia="en-AU"/>
        </w:rPr>
        <w:t xml:space="preserve">The 2012 </w:t>
      </w:r>
      <w:r w:rsidRPr="00563091">
        <w:rPr>
          <w:i/>
          <w:lang w:eastAsia="en-AU"/>
        </w:rPr>
        <w:t>State of Victoria’s Children Report</w:t>
      </w:r>
      <w:r w:rsidR="00D15DE8">
        <w:rPr>
          <w:lang w:eastAsia="en-AU"/>
        </w:rPr>
        <w:t xml:space="preserve"> (2011–</w:t>
      </w:r>
      <w:r>
        <w:rPr>
          <w:lang w:eastAsia="en-AU"/>
        </w:rPr>
        <w:t>12)</w:t>
      </w:r>
      <w:r>
        <w:rPr>
          <w:rStyle w:val="FootnoteReference"/>
          <w:lang w:eastAsia="en-AU"/>
        </w:rPr>
        <w:footnoteReference w:id="161"/>
      </w:r>
      <w:r>
        <w:rPr>
          <w:lang w:eastAsia="en-AU"/>
        </w:rPr>
        <w:t>, examined how regional children were faring against key indicators of health, safety, development and learning when compared to metropolitan pop</w:t>
      </w:r>
      <w:r w:rsidR="00D15DE8">
        <w:rPr>
          <w:lang w:eastAsia="en-AU"/>
        </w:rPr>
        <w:t>ulations. It found that in 2010–</w:t>
      </w:r>
      <w:r>
        <w:rPr>
          <w:lang w:eastAsia="en-AU"/>
        </w:rPr>
        <w:t>11, children in regional areas, when compared to metropolitan children, experienced much higher rates of:</w:t>
      </w:r>
    </w:p>
    <w:p w14:paraId="7CB2587E" w14:textId="77EA9A2E" w:rsidR="00D31537" w:rsidRDefault="00D31537" w:rsidP="004A4A3D">
      <w:pPr>
        <w:pStyle w:val="ListBullet"/>
        <w:rPr>
          <w:lang w:eastAsia="en-AU"/>
        </w:rPr>
      </w:pPr>
      <w:r>
        <w:rPr>
          <w:lang w:eastAsia="en-AU"/>
        </w:rPr>
        <w:t>substantiated abuse was much higher in rural than in metropolitan Victoria (9.2 and 5.6 per 1</w:t>
      </w:r>
      <w:r w:rsidR="00D15DE8">
        <w:rPr>
          <w:lang w:eastAsia="en-AU"/>
        </w:rPr>
        <w:t xml:space="preserve">,000 </w:t>
      </w:r>
      <w:proofErr w:type="gramStart"/>
      <w:r w:rsidR="00D15DE8">
        <w:rPr>
          <w:lang w:eastAsia="en-AU"/>
        </w:rPr>
        <w:t>population</w:t>
      </w:r>
      <w:proofErr w:type="gramEnd"/>
      <w:r w:rsidR="00D15DE8">
        <w:rPr>
          <w:lang w:eastAsia="en-AU"/>
        </w:rPr>
        <w:t xml:space="preserve"> respectively)</w:t>
      </w:r>
    </w:p>
    <w:p w14:paraId="60F9D794" w14:textId="7BCA9785" w:rsidR="00D31537" w:rsidRDefault="00D31537" w:rsidP="004A4A3D">
      <w:pPr>
        <w:pStyle w:val="ListBullet"/>
        <w:rPr>
          <w:lang w:eastAsia="en-AU"/>
        </w:rPr>
      </w:pPr>
      <w:r>
        <w:rPr>
          <w:lang w:eastAsia="en-AU"/>
        </w:rPr>
        <w:t>child abuse substantiations were lowest in major cities and increased progressively with levels of remoteness (16.4 per 1</w:t>
      </w:r>
      <w:r w:rsidR="00D15DE8">
        <w:rPr>
          <w:lang w:eastAsia="en-AU"/>
        </w:rPr>
        <w:t>,</w:t>
      </w:r>
      <w:r>
        <w:rPr>
          <w:lang w:eastAsia="en-AU"/>
        </w:rPr>
        <w:t xml:space="preserve">000 </w:t>
      </w:r>
      <w:proofErr w:type="gramStart"/>
      <w:r>
        <w:rPr>
          <w:lang w:eastAsia="en-AU"/>
        </w:rPr>
        <w:t>population</w:t>
      </w:r>
      <w:proofErr w:type="gramEnd"/>
      <w:r>
        <w:rPr>
          <w:lang w:eastAsia="en-AU"/>
        </w:rPr>
        <w:t xml:space="preserve"> in remote areas, and 5.5 per 1</w:t>
      </w:r>
      <w:r w:rsidR="00D15DE8">
        <w:rPr>
          <w:lang w:eastAsia="en-AU"/>
        </w:rPr>
        <w:t>,</w:t>
      </w:r>
      <w:r>
        <w:rPr>
          <w:lang w:eastAsia="en-AU"/>
        </w:rPr>
        <w:t xml:space="preserve">000 population in major cities and </w:t>
      </w:r>
      <w:r w:rsidR="00AE505A">
        <w:rPr>
          <w:lang w:eastAsia="en-AU"/>
        </w:rPr>
        <w:t>rural</w:t>
      </w:r>
      <w:r w:rsidR="00D15DE8">
        <w:rPr>
          <w:lang w:eastAsia="en-AU"/>
        </w:rPr>
        <w:t xml:space="preserve"> 10.9 per 1,000 population)</w:t>
      </w:r>
    </w:p>
    <w:p w14:paraId="6BD021B4" w14:textId="5E5A4544" w:rsidR="00D31537" w:rsidRDefault="00D31537" w:rsidP="004A4A3D">
      <w:pPr>
        <w:pStyle w:val="ListBullet"/>
        <w:rPr>
          <w:lang w:eastAsia="en-AU"/>
        </w:rPr>
      </w:pPr>
      <w:r>
        <w:rPr>
          <w:lang w:eastAsia="en-AU"/>
        </w:rPr>
        <w:t>Gippsland had the highest rate of substantiated emotional harm (6.5 per 1</w:t>
      </w:r>
      <w:r w:rsidR="00D15DE8">
        <w:rPr>
          <w:lang w:eastAsia="en-AU"/>
        </w:rPr>
        <w:t>,</w:t>
      </w:r>
      <w:r>
        <w:rPr>
          <w:lang w:eastAsia="en-AU"/>
        </w:rPr>
        <w:t>000 population) and physical harm (4.5 per 1</w:t>
      </w:r>
      <w:r w:rsidR="00D15DE8">
        <w:rPr>
          <w:lang w:eastAsia="en-AU"/>
        </w:rPr>
        <w:t>,</w:t>
      </w:r>
      <w:r>
        <w:rPr>
          <w:lang w:eastAsia="en-AU"/>
        </w:rPr>
        <w:t>000 population) compared with the mean metropolitan rates (2.8 per 1</w:t>
      </w:r>
      <w:r w:rsidR="00D15DE8">
        <w:rPr>
          <w:lang w:eastAsia="en-AU"/>
        </w:rPr>
        <w:t>,</w:t>
      </w:r>
      <w:r>
        <w:rPr>
          <w:lang w:eastAsia="en-AU"/>
        </w:rPr>
        <w:t xml:space="preserve">000 </w:t>
      </w:r>
      <w:proofErr w:type="gramStart"/>
      <w:r>
        <w:rPr>
          <w:lang w:eastAsia="en-AU"/>
        </w:rPr>
        <w:t>population</w:t>
      </w:r>
      <w:proofErr w:type="gramEnd"/>
      <w:r>
        <w:rPr>
          <w:lang w:eastAsia="en-AU"/>
        </w:rPr>
        <w:t xml:space="preserve"> and 1.8 per </w:t>
      </w:r>
      <w:r w:rsidR="00D15DE8">
        <w:rPr>
          <w:lang w:eastAsia="en-AU"/>
        </w:rPr>
        <w:t>1,000 population respectively)</w:t>
      </w:r>
    </w:p>
    <w:p w14:paraId="2AA9E789" w14:textId="449D88AD" w:rsidR="00D31537" w:rsidRDefault="00D31537" w:rsidP="004A4A3D">
      <w:pPr>
        <w:pStyle w:val="ListBullet"/>
        <w:rPr>
          <w:lang w:eastAsia="en-AU"/>
        </w:rPr>
      </w:pPr>
      <w:r>
        <w:rPr>
          <w:lang w:eastAsia="en-AU"/>
        </w:rPr>
        <w:t>the rate of children in rural Victoria on a Protection Order was more than double the metropolitan rate (9.1 per 1</w:t>
      </w:r>
      <w:r w:rsidR="00D15DE8">
        <w:rPr>
          <w:lang w:eastAsia="en-AU"/>
        </w:rPr>
        <w:t>,</w:t>
      </w:r>
      <w:r>
        <w:rPr>
          <w:lang w:eastAsia="en-AU"/>
        </w:rPr>
        <w:t>000 populat</w:t>
      </w:r>
      <w:r w:rsidR="00D15DE8">
        <w:rPr>
          <w:lang w:eastAsia="en-AU"/>
        </w:rPr>
        <w:t xml:space="preserve">ion </w:t>
      </w:r>
      <w:proofErr w:type="spellStart"/>
      <w:r w:rsidR="00D15DE8">
        <w:rPr>
          <w:lang w:eastAsia="en-AU"/>
        </w:rPr>
        <w:t>cf</w:t>
      </w:r>
      <w:proofErr w:type="spellEnd"/>
      <w:r w:rsidR="00D15DE8">
        <w:rPr>
          <w:lang w:eastAsia="en-AU"/>
        </w:rPr>
        <w:t xml:space="preserve"> 3.9 per 1,000 population)</w:t>
      </w:r>
    </w:p>
    <w:p w14:paraId="53243109" w14:textId="6D403EEB" w:rsidR="00D31537" w:rsidRDefault="00D31537" w:rsidP="004A4A3D">
      <w:pPr>
        <w:pStyle w:val="ListBullet"/>
        <w:rPr>
          <w:lang w:eastAsia="en-AU"/>
        </w:rPr>
      </w:pPr>
      <w:r>
        <w:rPr>
          <w:lang w:eastAsia="en-AU"/>
        </w:rPr>
        <w:t>the highest rates of children on a Protection Order was in Gippsland (11.4 per 1</w:t>
      </w:r>
      <w:r w:rsidR="00D15DE8">
        <w:rPr>
          <w:lang w:eastAsia="en-AU"/>
        </w:rPr>
        <w:t>,</w:t>
      </w:r>
      <w:r>
        <w:rPr>
          <w:lang w:eastAsia="en-AU"/>
        </w:rPr>
        <w:t>000 population) and the Grampians (9.4 per 1</w:t>
      </w:r>
      <w:r w:rsidR="00D15DE8">
        <w:rPr>
          <w:lang w:eastAsia="en-AU"/>
        </w:rPr>
        <w:t>,</w:t>
      </w:r>
      <w:r>
        <w:rPr>
          <w:lang w:eastAsia="en-AU"/>
        </w:rPr>
        <w:t>000 population). Rates of children on Protection Orders were lowest in Victoria’s major cities (3.8 per 1</w:t>
      </w:r>
      <w:r w:rsidR="00D15DE8">
        <w:rPr>
          <w:lang w:eastAsia="en-AU"/>
        </w:rPr>
        <w:t>,</w:t>
      </w:r>
      <w:r>
        <w:rPr>
          <w:lang w:eastAsia="en-AU"/>
        </w:rPr>
        <w:t xml:space="preserve">000 population) and highest in outer regional </w:t>
      </w:r>
      <w:r w:rsidR="00D15DE8">
        <w:rPr>
          <w:lang w:eastAsia="en-AU"/>
        </w:rPr>
        <w:t>areas (8.5 per 1,000 population)</w:t>
      </w:r>
    </w:p>
    <w:p w14:paraId="2E79FDF0" w14:textId="34492894" w:rsidR="00D31537" w:rsidRDefault="00D31537" w:rsidP="004A4A3D">
      <w:pPr>
        <w:pStyle w:val="ListBullet"/>
        <w:rPr>
          <w:lang w:eastAsia="en-AU"/>
        </w:rPr>
      </w:pPr>
      <w:r>
        <w:rPr>
          <w:lang w:eastAsia="en-AU"/>
        </w:rPr>
        <w:t>the rate of OOHC was more than double in rural (7.6 per 1</w:t>
      </w:r>
      <w:r w:rsidR="00D15DE8">
        <w:rPr>
          <w:lang w:eastAsia="en-AU"/>
        </w:rPr>
        <w:t>,</w:t>
      </w:r>
      <w:r>
        <w:rPr>
          <w:lang w:eastAsia="en-AU"/>
        </w:rPr>
        <w:t>000 population) compared with metropolitan Victoria (3.3 per 1</w:t>
      </w:r>
      <w:r w:rsidR="00D15DE8">
        <w:rPr>
          <w:lang w:eastAsia="en-AU"/>
        </w:rPr>
        <w:t>,</w:t>
      </w:r>
      <w:r>
        <w:rPr>
          <w:lang w:eastAsia="en-AU"/>
        </w:rPr>
        <w:t>000 population) and Victoria as a whole (4.4 per 1</w:t>
      </w:r>
      <w:r w:rsidR="00D15DE8">
        <w:rPr>
          <w:lang w:eastAsia="en-AU"/>
        </w:rPr>
        <w:t>,</w:t>
      </w:r>
      <w:r>
        <w:rPr>
          <w:lang w:eastAsia="en-AU"/>
        </w:rPr>
        <w:t>000 population), with the lowest rates in major cities</w:t>
      </w:r>
      <w:r w:rsidR="00D15DE8">
        <w:rPr>
          <w:lang w:eastAsia="en-AU"/>
        </w:rPr>
        <w:t>,</w:t>
      </w:r>
      <w:r>
        <w:rPr>
          <w:lang w:eastAsia="en-AU"/>
        </w:rPr>
        <w:t xml:space="preserve"> and</w:t>
      </w:r>
    </w:p>
    <w:p w14:paraId="190FA799" w14:textId="67B24A5D" w:rsidR="00D31537" w:rsidRDefault="00D31537" w:rsidP="004A4A3D">
      <w:pPr>
        <w:pStyle w:val="ListBullet"/>
        <w:rPr>
          <w:lang w:eastAsia="en-AU"/>
        </w:rPr>
      </w:pPr>
      <w:r>
        <w:rPr>
          <w:lang w:eastAsia="en-AU"/>
        </w:rPr>
        <w:t>the highest rates of children in OOHC was in Gippsland (9.7 per 1</w:t>
      </w:r>
      <w:r w:rsidR="00D15DE8">
        <w:rPr>
          <w:lang w:eastAsia="en-AU"/>
        </w:rPr>
        <w:t>,</w:t>
      </w:r>
      <w:r>
        <w:rPr>
          <w:lang w:eastAsia="en-AU"/>
        </w:rPr>
        <w:t>000 population), the Grampians (8.9 per 1</w:t>
      </w:r>
      <w:r w:rsidR="00D15DE8">
        <w:rPr>
          <w:lang w:eastAsia="en-AU"/>
        </w:rPr>
        <w:t>,</w:t>
      </w:r>
      <w:r>
        <w:rPr>
          <w:lang w:eastAsia="en-AU"/>
        </w:rPr>
        <w:t>000 population) and Mallee (7.4 per 1</w:t>
      </w:r>
      <w:r w:rsidR="00D15DE8">
        <w:rPr>
          <w:lang w:eastAsia="en-AU"/>
        </w:rPr>
        <w:t>,</w:t>
      </w:r>
      <w:r>
        <w:rPr>
          <w:lang w:eastAsia="en-AU"/>
        </w:rPr>
        <w:t>000 population).</w:t>
      </w:r>
    </w:p>
    <w:p w14:paraId="089D5008" w14:textId="33DE5DEE" w:rsidR="00D31537" w:rsidRDefault="00D31537" w:rsidP="004A4A3D">
      <w:pPr>
        <w:pStyle w:val="Figuretableheading"/>
        <w:rPr>
          <w:lang w:eastAsia="en-AU"/>
        </w:rPr>
      </w:pPr>
      <w:r w:rsidRPr="000A2A3A">
        <w:rPr>
          <w:lang w:eastAsia="en-AU"/>
        </w:rPr>
        <w:t>Table 2</w:t>
      </w:r>
      <w:r w:rsidR="004A4A3D">
        <w:rPr>
          <w:lang w:eastAsia="en-AU"/>
        </w:rPr>
        <w:t>a</w:t>
      </w:r>
      <w:r w:rsidRPr="000A2A3A">
        <w:rPr>
          <w:lang w:eastAsia="en-AU"/>
        </w:rPr>
        <w:t>: Number of children who were the subjects of substantiations by socioeconomic status</w:t>
      </w:r>
      <w:r>
        <w:rPr>
          <w:rStyle w:val="FootnoteReference"/>
          <w:b w:val="0"/>
          <w:lang w:eastAsia="en-AU"/>
        </w:rPr>
        <w:footnoteReference w:id="162"/>
      </w:r>
      <w:r w:rsidR="004A4A3D">
        <w:rPr>
          <w:lang w:eastAsia="en-AU"/>
        </w:rPr>
        <w:t xml:space="preserve"> – Number</w:t>
      </w:r>
    </w:p>
    <w:tbl>
      <w:tblPr>
        <w:tblStyle w:val="TableGrid"/>
        <w:tblW w:w="0" w:type="auto"/>
        <w:tblLook w:val="04A0" w:firstRow="1" w:lastRow="0" w:firstColumn="1" w:lastColumn="0" w:noHBand="0" w:noVBand="1"/>
      </w:tblPr>
      <w:tblGrid>
        <w:gridCol w:w="1954"/>
        <w:gridCol w:w="1954"/>
        <w:gridCol w:w="1954"/>
        <w:gridCol w:w="1954"/>
        <w:gridCol w:w="1954"/>
      </w:tblGrid>
      <w:tr w:rsidR="004A4A3D" w:rsidRPr="004A4A3D" w14:paraId="62647E31" w14:textId="77777777" w:rsidTr="004A4A3D">
        <w:trPr>
          <w:tblHeader/>
        </w:trPr>
        <w:tc>
          <w:tcPr>
            <w:tcW w:w="1954" w:type="dxa"/>
            <w:shd w:val="pct12" w:color="auto" w:fill="auto"/>
          </w:tcPr>
          <w:p w14:paraId="2F63FFE7" w14:textId="595CA120" w:rsidR="004A4A3D" w:rsidRPr="004A4A3D" w:rsidRDefault="004A4A3D" w:rsidP="004A4A3D">
            <w:pPr>
              <w:rPr>
                <w:b/>
                <w:sz w:val="20"/>
                <w:szCs w:val="20"/>
              </w:rPr>
            </w:pPr>
            <w:r w:rsidRPr="004A4A3D">
              <w:rPr>
                <w:rFonts w:eastAsiaTheme="minorHAnsi"/>
                <w:b/>
                <w:sz w:val="20"/>
                <w:szCs w:val="20"/>
              </w:rPr>
              <w:t>Socioeconomic status</w:t>
            </w:r>
          </w:p>
        </w:tc>
        <w:tc>
          <w:tcPr>
            <w:tcW w:w="1954" w:type="dxa"/>
            <w:shd w:val="pct12" w:color="auto" w:fill="auto"/>
          </w:tcPr>
          <w:p w14:paraId="2A5D18BC" w14:textId="575BF604" w:rsidR="004A4A3D" w:rsidRPr="004A4A3D" w:rsidRDefault="004A4A3D" w:rsidP="004A4A3D">
            <w:pPr>
              <w:rPr>
                <w:b/>
                <w:sz w:val="20"/>
                <w:szCs w:val="20"/>
              </w:rPr>
            </w:pPr>
            <w:r w:rsidRPr="004A4A3D">
              <w:rPr>
                <w:rFonts w:eastAsiaTheme="minorHAnsi"/>
                <w:b/>
                <w:sz w:val="20"/>
                <w:szCs w:val="20"/>
              </w:rPr>
              <w:t>Aboriginal</w:t>
            </w:r>
          </w:p>
        </w:tc>
        <w:tc>
          <w:tcPr>
            <w:tcW w:w="1954" w:type="dxa"/>
            <w:shd w:val="pct12" w:color="auto" w:fill="auto"/>
          </w:tcPr>
          <w:p w14:paraId="508AB9A4" w14:textId="7DF9E96A" w:rsidR="004A4A3D" w:rsidRPr="004A4A3D" w:rsidRDefault="004A4A3D" w:rsidP="004A4A3D">
            <w:pPr>
              <w:rPr>
                <w:b/>
                <w:sz w:val="20"/>
                <w:szCs w:val="20"/>
              </w:rPr>
            </w:pPr>
            <w:r w:rsidRPr="004A4A3D">
              <w:rPr>
                <w:rFonts w:eastAsiaTheme="minorHAnsi"/>
                <w:b/>
                <w:sz w:val="20"/>
                <w:szCs w:val="20"/>
              </w:rPr>
              <w:t>Non-Aboriginal</w:t>
            </w:r>
          </w:p>
        </w:tc>
        <w:tc>
          <w:tcPr>
            <w:tcW w:w="1954" w:type="dxa"/>
            <w:shd w:val="pct12" w:color="auto" w:fill="auto"/>
          </w:tcPr>
          <w:p w14:paraId="75009E25" w14:textId="522DD0B8" w:rsidR="004A4A3D" w:rsidRPr="004A4A3D" w:rsidRDefault="00F71279" w:rsidP="00F71279">
            <w:pPr>
              <w:rPr>
                <w:b/>
                <w:sz w:val="20"/>
                <w:szCs w:val="20"/>
              </w:rPr>
            </w:pPr>
            <w:r>
              <w:rPr>
                <w:rFonts w:eastAsiaTheme="minorHAnsi"/>
                <w:b/>
                <w:sz w:val="20"/>
                <w:szCs w:val="20"/>
              </w:rPr>
              <w:t>Not stated</w:t>
            </w:r>
          </w:p>
        </w:tc>
        <w:tc>
          <w:tcPr>
            <w:tcW w:w="1954" w:type="dxa"/>
            <w:shd w:val="pct12" w:color="auto" w:fill="auto"/>
          </w:tcPr>
          <w:p w14:paraId="33BFDBEA" w14:textId="617D8EAA" w:rsidR="004A4A3D" w:rsidRPr="004A4A3D" w:rsidRDefault="004A4A3D" w:rsidP="004A4A3D">
            <w:pPr>
              <w:rPr>
                <w:b/>
                <w:sz w:val="20"/>
                <w:szCs w:val="20"/>
              </w:rPr>
            </w:pPr>
            <w:r w:rsidRPr="004A4A3D">
              <w:rPr>
                <w:rFonts w:eastAsiaTheme="minorHAnsi"/>
                <w:b/>
                <w:sz w:val="20"/>
                <w:szCs w:val="20"/>
              </w:rPr>
              <w:t>Total</w:t>
            </w:r>
            <w:r w:rsidRPr="004A4A3D">
              <w:rPr>
                <w:rFonts w:eastAsiaTheme="minorHAnsi"/>
                <w:b/>
                <w:sz w:val="20"/>
                <w:szCs w:val="20"/>
              </w:rPr>
              <w:footnoteReference w:id="163"/>
            </w:r>
          </w:p>
        </w:tc>
      </w:tr>
      <w:tr w:rsidR="004A4A3D" w:rsidRPr="004A4A3D" w14:paraId="0713C766" w14:textId="77777777" w:rsidTr="004A4A3D">
        <w:tc>
          <w:tcPr>
            <w:tcW w:w="1954" w:type="dxa"/>
          </w:tcPr>
          <w:p w14:paraId="444A0401" w14:textId="415D1251" w:rsidR="004A4A3D" w:rsidRPr="004A4A3D" w:rsidRDefault="004A4A3D" w:rsidP="004A4A3D">
            <w:pPr>
              <w:rPr>
                <w:sz w:val="20"/>
                <w:szCs w:val="20"/>
              </w:rPr>
            </w:pPr>
            <w:r w:rsidRPr="004A4A3D">
              <w:rPr>
                <w:rFonts w:eastAsiaTheme="minorHAnsi"/>
                <w:sz w:val="20"/>
                <w:szCs w:val="20"/>
              </w:rPr>
              <w:t>1</w:t>
            </w:r>
            <w:r>
              <w:rPr>
                <w:rFonts w:eastAsiaTheme="minorHAnsi"/>
                <w:sz w:val="20"/>
                <w:szCs w:val="20"/>
              </w:rPr>
              <w:t xml:space="preserve"> (</w:t>
            </w:r>
            <w:r w:rsidRPr="004A4A3D">
              <w:rPr>
                <w:rFonts w:eastAsiaTheme="minorHAnsi"/>
                <w:sz w:val="20"/>
                <w:szCs w:val="20"/>
              </w:rPr>
              <w:t>Lowest SES</w:t>
            </w:r>
            <w:r>
              <w:rPr>
                <w:rFonts w:eastAsiaTheme="minorHAnsi"/>
                <w:sz w:val="20"/>
                <w:szCs w:val="20"/>
              </w:rPr>
              <w:t>)</w:t>
            </w:r>
          </w:p>
        </w:tc>
        <w:tc>
          <w:tcPr>
            <w:tcW w:w="1954" w:type="dxa"/>
          </w:tcPr>
          <w:p w14:paraId="66886AE9" w14:textId="3DAAB37F" w:rsidR="004A4A3D" w:rsidRPr="004A4A3D" w:rsidRDefault="004A4A3D" w:rsidP="004A4A3D">
            <w:pPr>
              <w:rPr>
                <w:sz w:val="20"/>
                <w:szCs w:val="20"/>
              </w:rPr>
            </w:pPr>
            <w:r w:rsidRPr="004A4A3D">
              <w:rPr>
                <w:rFonts w:eastAsiaTheme="minorHAnsi"/>
                <w:sz w:val="20"/>
                <w:szCs w:val="20"/>
              </w:rPr>
              <w:t>1,816</w:t>
            </w:r>
          </w:p>
        </w:tc>
        <w:tc>
          <w:tcPr>
            <w:tcW w:w="1954" w:type="dxa"/>
          </w:tcPr>
          <w:p w14:paraId="1A7A509A" w14:textId="58B4EB5F" w:rsidR="004A4A3D" w:rsidRPr="004A4A3D" w:rsidRDefault="004A4A3D" w:rsidP="004A4A3D">
            <w:pPr>
              <w:rPr>
                <w:sz w:val="20"/>
                <w:szCs w:val="20"/>
              </w:rPr>
            </w:pPr>
            <w:r w:rsidRPr="004A4A3D">
              <w:rPr>
                <w:rFonts w:eastAsiaTheme="minorHAnsi"/>
                <w:sz w:val="20"/>
                <w:szCs w:val="20"/>
              </w:rPr>
              <w:t>4,491</w:t>
            </w:r>
          </w:p>
        </w:tc>
        <w:tc>
          <w:tcPr>
            <w:tcW w:w="1954" w:type="dxa"/>
          </w:tcPr>
          <w:p w14:paraId="6172E342" w14:textId="2FB68C5B" w:rsidR="004A4A3D" w:rsidRPr="004A4A3D" w:rsidRDefault="004A4A3D" w:rsidP="004A4A3D">
            <w:pPr>
              <w:rPr>
                <w:sz w:val="20"/>
                <w:szCs w:val="20"/>
              </w:rPr>
            </w:pPr>
            <w:r w:rsidRPr="004A4A3D">
              <w:rPr>
                <w:rFonts w:eastAsiaTheme="minorHAnsi"/>
                <w:sz w:val="20"/>
                <w:szCs w:val="20"/>
              </w:rPr>
              <w:t>175</w:t>
            </w:r>
          </w:p>
        </w:tc>
        <w:tc>
          <w:tcPr>
            <w:tcW w:w="1954" w:type="dxa"/>
          </w:tcPr>
          <w:p w14:paraId="0F85477A" w14:textId="093347AB" w:rsidR="004A4A3D" w:rsidRPr="004A4A3D" w:rsidRDefault="004A4A3D" w:rsidP="004A4A3D">
            <w:pPr>
              <w:rPr>
                <w:sz w:val="20"/>
                <w:szCs w:val="20"/>
              </w:rPr>
            </w:pPr>
            <w:r w:rsidRPr="004A4A3D">
              <w:rPr>
                <w:rFonts w:eastAsiaTheme="minorHAnsi"/>
                <w:sz w:val="20"/>
                <w:szCs w:val="20"/>
              </w:rPr>
              <w:t>6,482</w:t>
            </w:r>
          </w:p>
        </w:tc>
      </w:tr>
      <w:tr w:rsidR="004A4A3D" w:rsidRPr="004A4A3D" w14:paraId="1EEC135A" w14:textId="77777777" w:rsidTr="004A4A3D">
        <w:tc>
          <w:tcPr>
            <w:tcW w:w="1954" w:type="dxa"/>
          </w:tcPr>
          <w:p w14:paraId="1CD550C0" w14:textId="0F511EFA" w:rsidR="004A4A3D" w:rsidRPr="004A4A3D" w:rsidRDefault="004A4A3D" w:rsidP="004A4A3D">
            <w:pPr>
              <w:rPr>
                <w:sz w:val="20"/>
                <w:szCs w:val="20"/>
              </w:rPr>
            </w:pPr>
            <w:r w:rsidRPr="004A4A3D">
              <w:rPr>
                <w:rFonts w:eastAsiaTheme="minorHAnsi"/>
                <w:sz w:val="20"/>
                <w:szCs w:val="20"/>
              </w:rPr>
              <w:t xml:space="preserve"> 2</w:t>
            </w:r>
          </w:p>
        </w:tc>
        <w:tc>
          <w:tcPr>
            <w:tcW w:w="1954" w:type="dxa"/>
          </w:tcPr>
          <w:p w14:paraId="3E878E2C" w14:textId="361E049C" w:rsidR="004A4A3D" w:rsidRPr="004A4A3D" w:rsidRDefault="004A4A3D" w:rsidP="004A4A3D">
            <w:pPr>
              <w:rPr>
                <w:sz w:val="20"/>
                <w:szCs w:val="20"/>
              </w:rPr>
            </w:pPr>
            <w:r w:rsidRPr="004A4A3D">
              <w:rPr>
                <w:rFonts w:eastAsiaTheme="minorHAnsi"/>
                <w:sz w:val="20"/>
                <w:szCs w:val="20"/>
              </w:rPr>
              <w:t>517</w:t>
            </w:r>
          </w:p>
        </w:tc>
        <w:tc>
          <w:tcPr>
            <w:tcW w:w="1954" w:type="dxa"/>
          </w:tcPr>
          <w:p w14:paraId="7165FF34" w14:textId="38A39975" w:rsidR="004A4A3D" w:rsidRPr="004A4A3D" w:rsidRDefault="004A4A3D" w:rsidP="004A4A3D">
            <w:pPr>
              <w:rPr>
                <w:sz w:val="20"/>
                <w:szCs w:val="20"/>
              </w:rPr>
            </w:pPr>
            <w:r w:rsidRPr="004A4A3D">
              <w:rPr>
                <w:rFonts w:eastAsiaTheme="minorHAnsi"/>
                <w:sz w:val="20"/>
                <w:szCs w:val="20"/>
              </w:rPr>
              <w:t>3,275</w:t>
            </w:r>
          </w:p>
        </w:tc>
        <w:tc>
          <w:tcPr>
            <w:tcW w:w="1954" w:type="dxa"/>
          </w:tcPr>
          <w:p w14:paraId="70FC6A32" w14:textId="7742ED99" w:rsidR="004A4A3D" w:rsidRPr="004A4A3D" w:rsidRDefault="004A4A3D" w:rsidP="004A4A3D">
            <w:pPr>
              <w:rPr>
                <w:sz w:val="20"/>
                <w:szCs w:val="20"/>
              </w:rPr>
            </w:pPr>
            <w:r w:rsidRPr="004A4A3D">
              <w:rPr>
                <w:rFonts w:eastAsiaTheme="minorHAnsi"/>
                <w:sz w:val="20"/>
                <w:szCs w:val="20"/>
              </w:rPr>
              <w:t>35</w:t>
            </w:r>
          </w:p>
        </w:tc>
        <w:tc>
          <w:tcPr>
            <w:tcW w:w="1954" w:type="dxa"/>
          </w:tcPr>
          <w:p w14:paraId="1E82E731" w14:textId="5DA20D74" w:rsidR="004A4A3D" w:rsidRPr="004A4A3D" w:rsidRDefault="004A4A3D" w:rsidP="004A4A3D">
            <w:pPr>
              <w:rPr>
                <w:sz w:val="20"/>
                <w:szCs w:val="20"/>
              </w:rPr>
            </w:pPr>
            <w:r w:rsidRPr="004A4A3D">
              <w:rPr>
                <w:rFonts w:eastAsiaTheme="minorHAnsi"/>
                <w:sz w:val="20"/>
                <w:szCs w:val="20"/>
              </w:rPr>
              <w:t>3,827</w:t>
            </w:r>
          </w:p>
        </w:tc>
      </w:tr>
      <w:tr w:rsidR="004A4A3D" w:rsidRPr="004A4A3D" w14:paraId="7B4E0141" w14:textId="77777777" w:rsidTr="004A4A3D">
        <w:tc>
          <w:tcPr>
            <w:tcW w:w="1954" w:type="dxa"/>
          </w:tcPr>
          <w:p w14:paraId="61AF2149" w14:textId="2CEAF32F" w:rsidR="004A4A3D" w:rsidRPr="004A4A3D" w:rsidRDefault="004A4A3D" w:rsidP="004A4A3D">
            <w:pPr>
              <w:rPr>
                <w:sz w:val="20"/>
                <w:szCs w:val="20"/>
              </w:rPr>
            </w:pPr>
            <w:r w:rsidRPr="004A4A3D">
              <w:rPr>
                <w:rFonts w:eastAsiaTheme="minorHAnsi"/>
                <w:sz w:val="20"/>
                <w:szCs w:val="20"/>
              </w:rPr>
              <w:t xml:space="preserve"> 3</w:t>
            </w:r>
          </w:p>
        </w:tc>
        <w:tc>
          <w:tcPr>
            <w:tcW w:w="1954" w:type="dxa"/>
          </w:tcPr>
          <w:p w14:paraId="169CD333" w14:textId="4C8015F5" w:rsidR="004A4A3D" w:rsidRPr="004A4A3D" w:rsidRDefault="004A4A3D" w:rsidP="004A4A3D">
            <w:pPr>
              <w:rPr>
                <w:sz w:val="20"/>
                <w:szCs w:val="20"/>
              </w:rPr>
            </w:pPr>
            <w:r w:rsidRPr="004A4A3D">
              <w:rPr>
                <w:rFonts w:eastAsiaTheme="minorHAnsi"/>
                <w:sz w:val="20"/>
                <w:szCs w:val="20"/>
              </w:rPr>
              <w:t>480</w:t>
            </w:r>
          </w:p>
        </w:tc>
        <w:tc>
          <w:tcPr>
            <w:tcW w:w="1954" w:type="dxa"/>
          </w:tcPr>
          <w:p w14:paraId="195F11AA" w14:textId="68D74792" w:rsidR="004A4A3D" w:rsidRPr="004A4A3D" w:rsidRDefault="004A4A3D" w:rsidP="004A4A3D">
            <w:pPr>
              <w:rPr>
                <w:sz w:val="20"/>
                <w:szCs w:val="20"/>
              </w:rPr>
            </w:pPr>
            <w:r w:rsidRPr="004A4A3D">
              <w:rPr>
                <w:rFonts w:eastAsiaTheme="minorHAnsi"/>
                <w:sz w:val="20"/>
                <w:szCs w:val="20"/>
              </w:rPr>
              <w:t>2,119</w:t>
            </w:r>
          </w:p>
        </w:tc>
        <w:tc>
          <w:tcPr>
            <w:tcW w:w="1954" w:type="dxa"/>
          </w:tcPr>
          <w:p w14:paraId="6F355AD5" w14:textId="25E197A3" w:rsidR="004A4A3D" w:rsidRPr="004A4A3D" w:rsidRDefault="004A4A3D" w:rsidP="004A4A3D">
            <w:pPr>
              <w:rPr>
                <w:sz w:val="20"/>
                <w:szCs w:val="20"/>
              </w:rPr>
            </w:pPr>
            <w:r w:rsidRPr="004A4A3D">
              <w:rPr>
                <w:rFonts w:eastAsiaTheme="minorHAnsi"/>
                <w:sz w:val="20"/>
                <w:szCs w:val="20"/>
              </w:rPr>
              <w:t>16</w:t>
            </w:r>
          </w:p>
        </w:tc>
        <w:tc>
          <w:tcPr>
            <w:tcW w:w="1954" w:type="dxa"/>
          </w:tcPr>
          <w:p w14:paraId="6CEA806F" w14:textId="5A831BC2" w:rsidR="004A4A3D" w:rsidRPr="004A4A3D" w:rsidRDefault="004A4A3D" w:rsidP="004A4A3D">
            <w:pPr>
              <w:rPr>
                <w:sz w:val="20"/>
                <w:szCs w:val="20"/>
              </w:rPr>
            </w:pPr>
            <w:r w:rsidRPr="004A4A3D">
              <w:rPr>
                <w:rFonts w:eastAsiaTheme="minorHAnsi"/>
                <w:sz w:val="20"/>
                <w:szCs w:val="20"/>
              </w:rPr>
              <w:t>2,615</w:t>
            </w:r>
          </w:p>
        </w:tc>
      </w:tr>
      <w:tr w:rsidR="004A4A3D" w:rsidRPr="004A4A3D" w14:paraId="7F41A737" w14:textId="77777777" w:rsidTr="004A4A3D">
        <w:tc>
          <w:tcPr>
            <w:tcW w:w="1954" w:type="dxa"/>
          </w:tcPr>
          <w:p w14:paraId="7A932035" w14:textId="72CCCF9E" w:rsidR="004A4A3D" w:rsidRPr="004A4A3D" w:rsidRDefault="004A4A3D" w:rsidP="004A4A3D">
            <w:pPr>
              <w:rPr>
                <w:sz w:val="20"/>
                <w:szCs w:val="20"/>
              </w:rPr>
            </w:pPr>
            <w:r w:rsidRPr="004A4A3D">
              <w:rPr>
                <w:rFonts w:eastAsiaTheme="minorHAnsi"/>
                <w:sz w:val="20"/>
                <w:szCs w:val="20"/>
              </w:rPr>
              <w:lastRenderedPageBreak/>
              <w:t xml:space="preserve"> 4</w:t>
            </w:r>
          </w:p>
        </w:tc>
        <w:tc>
          <w:tcPr>
            <w:tcW w:w="1954" w:type="dxa"/>
          </w:tcPr>
          <w:p w14:paraId="79478C5C" w14:textId="3645E10D" w:rsidR="004A4A3D" w:rsidRPr="004A4A3D" w:rsidRDefault="004A4A3D" w:rsidP="004A4A3D">
            <w:pPr>
              <w:rPr>
                <w:sz w:val="20"/>
                <w:szCs w:val="20"/>
              </w:rPr>
            </w:pPr>
            <w:r w:rsidRPr="004A4A3D">
              <w:rPr>
                <w:rFonts w:eastAsiaTheme="minorHAnsi"/>
                <w:sz w:val="20"/>
                <w:szCs w:val="20"/>
              </w:rPr>
              <w:t>228</w:t>
            </w:r>
          </w:p>
        </w:tc>
        <w:tc>
          <w:tcPr>
            <w:tcW w:w="1954" w:type="dxa"/>
          </w:tcPr>
          <w:p w14:paraId="48E0900B" w14:textId="31D784EB" w:rsidR="004A4A3D" w:rsidRPr="004A4A3D" w:rsidRDefault="004A4A3D" w:rsidP="004A4A3D">
            <w:pPr>
              <w:rPr>
                <w:sz w:val="20"/>
                <w:szCs w:val="20"/>
              </w:rPr>
            </w:pPr>
            <w:r w:rsidRPr="004A4A3D">
              <w:rPr>
                <w:rFonts w:eastAsiaTheme="minorHAnsi"/>
                <w:sz w:val="20"/>
                <w:szCs w:val="20"/>
              </w:rPr>
              <w:t>1,570</w:t>
            </w:r>
          </w:p>
        </w:tc>
        <w:tc>
          <w:tcPr>
            <w:tcW w:w="1954" w:type="dxa"/>
          </w:tcPr>
          <w:p w14:paraId="6A02E21E" w14:textId="3412F301" w:rsidR="004A4A3D" w:rsidRPr="004A4A3D" w:rsidRDefault="004A4A3D" w:rsidP="004A4A3D">
            <w:pPr>
              <w:rPr>
                <w:sz w:val="20"/>
                <w:szCs w:val="20"/>
              </w:rPr>
            </w:pPr>
            <w:r w:rsidRPr="004A4A3D">
              <w:rPr>
                <w:rFonts w:eastAsiaTheme="minorHAnsi"/>
                <w:sz w:val="20"/>
                <w:szCs w:val="20"/>
              </w:rPr>
              <w:t>25</w:t>
            </w:r>
          </w:p>
        </w:tc>
        <w:tc>
          <w:tcPr>
            <w:tcW w:w="1954" w:type="dxa"/>
          </w:tcPr>
          <w:p w14:paraId="0BA976DD" w14:textId="560139B7" w:rsidR="004A4A3D" w:rsidRPr="004A4A3D" w:rsidRDefault="004A4A3D" w:rsidP="004A4A3D">
            <w:pPr>
              <w:rPr>
                <w:sz w:val="20"/>
                <w:szCs w:val="20"/>
              </w:rPr>
            </w:pPr>
            <w:r w:rsidRPr="004A4A3D">
              <w:rPr>
                <w:rFonts w:eastAsiaTheme="minorHAnsi"/>
                <w:sz w:val="20"/>
                <w:szCs w:val="20"/>
              </w:rPr>
              <w:t>1,823</w:t>
            </w:r>
          </w:p>
        </w:tc>
      </w:tr>
      <w:tr w:rsidR="004A4A3D" w:rsidRPr="004A4A3D" w14:paraId="5D1D10AE" w14:textId="77777777" w:rsidTr="004A4A3D">
        <w:tc>
          <w:tcPr>
            <w:tcW w:w="1954" w:type="dxa"/>
          </w:tcPr>
          <w:p w14:paraId="14B8EC42" w14:textId="1C48C24C" w:rsidR="004A4A3D" w:rsidRPr="004A4A3D" w:rsidRDefault="004A4A3D" w:rsidP="004A4A3D">
            <w:pPr>
              <w:rPr>
                <w:sz w:val="20"/>
                <w:szCs w:val="20"/>
              </w:rPr>
            </w:pPr>
            <w:r w:rsidRPr="004A4A3D">
              <w:rPr>
                <w:rFonts w:eastAsiaTheme="minorHAnsi"/>
                <w:sz w:val="20"/>
                <w:szCs w:val="20"/>
              </w:rPr>
              <w:t>5</w:t>
            </w:r>
            <w:r>
              <w:rPr>
                <w:rFonts w:eastAsiaTheme="minorHAnsi"/>
                <w:sz w:val="20"/>
                <w:szCs w:val="20"/>
              </w:rPr>
              <w:t xml:space="preserve"> (</w:t>
            </w:r>
            <w:r w:rsidRPr="004A4A3D">
              <w:rPr>
                <w:rFonts w:eastAsiaTheme="minorHAnsi"/>
                <w:sz w:val="20"/>
                <w:szCs w:val="20"/>
              </w:rPr>
              <w:t>Highest SES</w:t>
            </w:r>
            <w:r>
              <w:rPr>
                <w:rFonts w:eastAsiaTheme="minorHAnsi"/>
                <w:sz w:val="20"/>
                <w:szCs w:val="20"/>
              </w:rPr>
              <w:t>)</w:t>
            </w:r>
          </w:p>
        </w:tc>
        <w:tc>
          <w:tcPr>
            <w:tcW w:w="1954" w:type="dxa"/>
          </w:tcPr>
          <w:p w14:paraId="154C5C72" w14:textId="68B06461" w:rsidR="004A4A3D" w:rsidRPr="004A4A3D" w:rsidRDefault="004A4A3D" w:rsidP="004A4A3D">
            <w:pPr>
              <w:rPr>
                <w:sz w:val="20"/>
                <w:szCs w:val="20"/>
              </w:rPr>
            </w:pPr>
            <w:r w:rsidRPr="004A4A3D">
              <w:rPr>
                <w:rFonts w:eastAsiaTheme="minorHAnsi"/>
                <w:sz w:val="20"/>
                <w:szCs w:val="20"/>
              </w:rPr>
              <w:t>132</w:t>
            </w:r>
          </w:p>
        </w:tc>
        <w:tc>
          <w:tcPr>
            <w:tcW w:w="1954" w:type="dxa"/>
          </w:tcPr>
          <w:p w14:paraId="2D834B4B" w14:textId="5207DB1E" w:rsidR="004A4A3D" w:rsidRPr="004A4A3D" w:rsidRDefault="004A4A3D" w:rsidP="004A4A3D">
            <w:pPr>
              <w:rPr>
                <w:sz w:val="20"/>
                <w:szCs w:val="20"/>
              </w:rPr>
            </w:pPr>
            <w:r w:rsidRPr="004A4A3D">
              <w:rPr>
                <w:rFonts w:eastAsiaTheme="minorHAnsi"/>
                <w:sz w:val="20"/>
                <w:szCs w:val="20"/>
              </w:rPr>
              <w:t>735</w:t>
            </w:r>
          </w:p>
        </w:tc>
        <w:tc>
          <w:tcPr>
            <w:tcW w:w="1954" w:type="dxa"/>
          </w:tcPr>
          <w:p w14:paraId="20EC59D5" w14:textId="126DEDBC" w:rsidR="004A4A3D" w:rsidRPr="004A4A3D" w:rsidRDefault="004A4A3D" w:rsidP="004A4A3D">
            <w:pPr>
              <w:rPr>
                <w:sz w:val="20"/>
                <w:szCs w:val="20"/>
              </w:rPr>
            </w:pPr>
            <w:r w:rsidRPr="004A4A3D">
              <w:rPr>
                <w:rFonts w:eastAsiaTheme="minorHAnsi"/>
                <w:sz w:val="20"/>
                <w:szCs w:val="20"/>
              </w:rPr>
              <w:t>6</w:t>
            </w:r>
          </w:p>
        </w:tc>
        <w:tc>
          <w:tcPr>
            <w:tcW w:w="1954" w:type="dxa"/>
          </w:tcPr>
          <w:p w14:paraId="263F1533" w14:textId="1E4604FD" w:rsidR="004A4A3D" w:rsidRPr="004A4A3D" w:rsidRDefault="004A4A3D" w:rsidP="004A4A3D">
            <w:pPr>
              <w:rPr>
                <w:sz w:val="20"/>
                <w:szCs w:val="20"/>
              </w:rPr>
            </w:pPr>
            <w:r w:rsidRPr="004A4A3D">
              <w:rPr>
                <w:rFonts w:eastAsiaTheme="minorHAnsi"/>
                <w:sz w:val="20"/>
                <w:szCs w:val="20"/>
              </w:rPr>
              <w:t>873</w:t>
            </w:r>
          </w:p>
        </w:tc>
      </w:tr>
      <w:tr w:rsidR="004A4A3D" w:rsidRPr="004A4A3D" w14:paraId="651A5A26" w14:textId="77777777" w:rsidTr="004A4A3D">
        <w:tc>
          <w:tcPr>
            <w:tcW w:w="1954" w:type="dxa"/>
          </w:tcPr>
          <w:p w14:paraId="3F15C42B" w14:textId="7F3A2085" w:rsidR="004A4A3D" w:rsidRPr="004A4A3D" w:rsidRDefault="004A4A3D" w:rsidP="004A4A3D">
            <w:pPr>
              <w:rPr>
                <w:b/>
                <w:sz w:val="20"/>
                <w:szCs w:val="20"/>
              </w:rPr>
            </w:pPr>
            <w:r w:rsidRPr="004A4A3D">
              <w:rPr>
                <w:rFonts w:eastAsiaTheme="minorHAnsi"/>
                <w:b/>
                <w:sz w:val="20"/>
                <w:szCs w:val="20"/>
              </w:rPr>
              <w:t>Total</w:t>
            </w:r>
          </w:p>
        </w:tc>
        <w:tc>
          <w:tcPr>
            <w:tcW w:w="1954" w:type="dxa"/>
          </w:tcPr>
          <w:p w14:paraId="4113811C" w14:textId="73FE7A83" w:rsidR="004A4A3D" w:rsidRPr="004A4A3D" w:rsidRDefault="004A4A3D" w:rsidP="004A4A3D">
            <w:pPr>
              <w:rPr>
                <w:b/>
                <w:sz w:val="20"/>
                <w:szCs w:val="20"/>
              </w:rPr>
            </w:pPr>
            <w:r w:rsidRPr="004A4A3D">
              <w:rPr>
                <w:rFonts w:eastAsiaTheme="minorHAnsi"/>
                <w:b/>
                <w:sz w:val="20"/>
                <w:szCs w:val="20"/>
              </w:rPr>
              <w:t>3,173</w:t>
            </w:r>
          </w:p>
        </w:tc>
        <w:tc>
          <w:tcPr>
            <w:tcW w:w="1954" w:type="dxa"/>
          </w:tcPr>
          <w:p w14:paraId="244CE0B2" w14:textId="04AED886" w:rsidR="004A4A3D" w:rsidRPr="004A4A3D" w:rsidRDefault="004A4A3D" w:rsidP="004A4A3D">
            <w:pPr>
              <w:rPr>
                <w:b/>
                <w:sz w:val="20"/>
                <w:szCs w:val="20"/>
              </w:rPr>
            </w:pPr>
            <w:r w:rsidRPr="004A4A3D">
              <w:rPr>
                <w:rFonts w:eastAsiaTheme="minorHAnsi"/>
                <w:b/>
                <w:sz w:val="20"/>
                <w:szCs w:val="20"/>
              </w:rPr>
              <w:t>12,190</w:t>
            </w:r>
          </w:p>
        </w:tc>
        <w:tc>
          <w:tcPr>
            <w:tcW w:w="1954" w:type="dxa"/>
          </w:tcPr>
          <w:p w14:paraId="3454D81E" w14:textId="42B53391" w:rsidR="004A4A3D" w:rsidRPr="004A4A3D" w:rsidRDefault="004A4A3D" w:rsidP="004A4A3D">
            <w:pPr>
              <w:rPr>
                <w:b/>
                <w:sz w:val="20"/>
                <w:szCs w:val="20"/>
              </w:rPr>
            </w:pPr>
            <w:r w:rsidRPr="004A4A3D">
              <w:rPr>
                <w:rFonts w:eastAsiaTheme="minorHAnsi"/>
                <w:b/>
                <w:sz w:val="20"/>
                <w:szCs w:val="20"/>
              </w:rPr>
              <w:t>257</w:t>
            </w:r>
          </w:p>
        </w:tc>
        <w:tc>
          <w:tcPr>
            <w:tcW w:w="1954" w:type="dxa"/>
          </w:tcPr>
          <w:p w14:paraId="35F3CD5E" w14:textId="3C8825EE" w:rsidR="004A4A3D" w:rsidRPr="004A4A3D" w:rsidRDefault="004A4A3D" w:rsidP="004A4A3D">
            <w:pPr>
              <w:rPr>
                <w:b/>
                <w:sz w:val="20"/>
                <w:szCs w:val="20"/>
              </w:rPr>
            </w:pPr>
            <w:r w:rsidRPr="004A4A3D">
              <w:rPr>
                <w:rFonts w:eastAsiaTheme="minorHAnsi"/>
                <w:b/>
                <w:sz w:val="20"/>
                <w:szCs w:val="20"/>
              </w:rPr>
              <w:t>15,620</w:t>
            </w:r>
          </w:p>
        </w:tc>
      </w:tr>
    </w:tbl>
    <w:p w14:paraId="74199830" w14:textId="23DFEB60" w:rsidR="004A4A3D" w:rsidRDefault="004A4A3D" w:rsidP="004A4A3D">
      <w:pPr>
        <w:pStyle w:val="Figuretableheading"/>
        <w:rPr>
          <w:lang w:eastAsia="en-AU"/>
        </w:rPr>
      </w:pPr>
      <w:r w:rsidRPr="000A2A3A">
        <w:rPr>
          <w:lang w:eastAsia="en-AU"/>
        </w:rPr>
        <w:t>Table 2</w:t>
      </w:r>
      <w:r>
        <w:rPr>
          <w:lang w:eastAsia="en-AU"/>
        </w:rPr>
        <w:t>b</w:t>
      </w:r>
      <w:r w:rsidRPr="000A2A3A">
        <w:rPr>
          <w:lang w:eastAsia="en-AU"/>
        </w:rPr>
        <w:t>: Number of children who were the subjects of substantiations by socioeconomic status</w:t>
      </w:r>
      <w:r>
        <w:rPr>
          <w:rStyle w:val="FootnoteReference"/>
          <w:b w:val="0"/>
          <w:lang w:eastAsia="en-AU"/>
        </w:rPr>
        <w:footnoteReference w:id="164"/>
      </w:r>
      <w:r>
        <w:rPr>
          <w:lang w:eastAsia="en-AU"/>
        </w:rPr>
        <w:t xml:space="preserve"> – Percentage</w:t>
      </w:r>
    </w:p>
    <w:tbl>
      <w:tblPr>
        <w:tblStyle w:val="TableGrid"/>
        <w:tblW w:w="0" w:type="auto"/>
        <w:tblLook w:val="04A0" w:firstRow="1" w:lastRow="0" w:firstColumn="1" w:lastColumn="0" w:noHBand="0" w:noVBand="1"/>
      </w:tblPr>
      <w:tblGrid>
        <w:gridCol w:w="1954"/>
        <w:gridCol w:w="1954"/>
        <w:gridCol w:w="1954"/>
        <w:gridCol w:w="1954"/>
        <w:gridCol w:w="1954"/>
      </w:tblGrid>
      <w:tr w:rsidR="004A4A3D" w:rsidRPr="004A4A3D" w14:paraId="1EAC55DF" w14:textId="77777777" w:rsidTr="00011863">
        <w:trPr>
          <w:tblHeader/>
        </w:trPr>
        <w:tc>
          <w:tcPr>
            <w:tcW w:w="1954" w:type="dxa"/>
            <w:shd w:val="pct12" w:color="auto" w:fill="auto"/>
          </w:tcPr>
          <w:p w14:paraId="08308900" w14:textId="77777777" w:rsidR="004A4A3D" w:rsidRPr="004A4A3D" w:rsidRDefault="004A4A3D" w:rsidP="00011863">
            <w:pPr>
              <w:rPr>
                <w:b/>
                <w:sz w:val="20"/>
                <w:szCs w:val="20"/>
              </w:rPr>
            </w:pPr>
            <w:r w:rsidRPr="004A4A3D">
              <w:rPr>
                <w:rFonts w:eastAsiaTheme="minorHAnsi"/>
                <w:b/>
                <w:sz w:val="20"/>
                <w:szCs w:val="20"/>
              </w:rPr>
              <w:t>Socioeconomic status</w:t>
            </w:r>
          </w:p>
        </w:tc>
        <w:tc>
          <w:tcPr>
            <w:tcW w:w="1954" w:type="dxa"/>
            <w:shd w:val="pct12" w:color="auto" w:fill="auto"/>
          </w:tcPr>
          <w:p w14:paraId="49046991" w14:textId="77777777" w:rsidR="004A4A3D" w:rsidRPr="004A4A3D" w:rsidRDefault="004A4A3D" w:rsidP="00011863">
            <w:pPr>
              <w:rPr>
                <w:b/>
                <w:sz w:val="20"/>
                <w:szCs w:val="20"/>
              </w:rPr>
            </w:pPr>
            <w:r w:rsidRPr="004A4A3D">
              <w:rPr>
                <w:rFonts w:eastAsiaTheme="minorHAnsi"/>
                <w:b/>
                <w:sz w:val="20"/>
                <w:szCs w:val="20"/>
              </w:rPr>
              <w:t>Aboriginal</w:t>
            </w:r>
          </w:p>
        </w:tc>
        <w:tc>
          <w:tcPr>
            <w:tcW w:w="1954" w:type="dxa"/>
            <w:shd w:val="pct12" w:color="auto" w:fill="auto"/>
          </w:tcPr>
          <w:p w14:paraId="4952ABBA" w14:textId="77777777" w:rsidR="004A4A3D" w:rsidRPr="004A4A3D" w:rsidRDefault="004A4A3D" w:rsidP="00011863">
            <w:pPr>
              <w:rPr>
                <w:b/>
                <w:sz w:val="20"/>
                <w:szCs w:val="20"/>
              </w:rPr>
            </w:pPr>
            <w:r w:rsidRPr="004A4A3D">
              <w:rPr>
                <w:rFonts w:eastAsiaTheme="minorHAnsi"/>
                <w:b/>
                <w:sz w:val="20"/>
                <w:szCs w:val="20"/>
              </w:rPr>
              <w:t>Non-Aboriginal</w:t>
            </w:r>
          </w:p>
        </w:tc>
        <w:tc>
          <w:tcPr>
            <w:tcW w:w="1954" w:type="dxa"/>
            <w:shd w:val="pct12" w:color="auto" w:fill="auto"/>
          </w:tcPr>
          <w:p w14:paraId="0392E66D" w14:textId="757A1F5F" w:rsidR="004A4A3D" w:rsidRPr="004A4A3D" w:rsidRDefault="004A4A3D" w:rsidP="00F71279">
            <w:pPr>
              <w:rPr>
                <w:b/>
                <w:sz w:val="20"/>
                <w:szCs w:val="20"/>
              </w:rPr>
            </w:pPr>
            <w:r w:rsidRPr="004A4A3D">
              <w:rPr>
                <w:rFonts w:eastAsiaTheme="minorHAnsi"/>
                <w:b/>
                <w:sz w:val="20"/>
                <w:szCs w:val="20"/>
              </w:rPr>
              <w:t>Not stated</w:t>
            </w:r>
          </w:p>
        </w:tc>
        <w:tc>
          <w:tcPr>
            <w:tcW w:w="1954" w:type="dxa"/>
            <w:shd w:val="pct12" w:color="auto" w:fill="auto"/>
          </w:tcPr>
          <w:p w14:paraId="359E8DA2" w14:textId="77777777" w:rsidR="004A4A3D" w:rsidRPr="004A4A3D" w:rsidRDefault="004A4A3D" w:rsidP="00011863">
            <w:pPr>
              <w:rPr>
                <w:b/>
                <w:sz w:val="20"/>
                <w:szCs w:val="20"/>
              </w:rPr>
            </w:pPr>
            <w:r w:rsidRPr="004A4A3D">
              <w:rPr>
                <w:rFonts w:eastAsiaTheme="minorHAnsi"/>
                <w:b/>
                <w:sz w:val="20"/>
                <w:szCs w:val="20"/>
              </w:rPr>
              <w:t>Total</w:t>
            </w:r>
            <w:r w:rsidRPr="004A4A3D">
              <w:rPr>
                <w:rFonts w:eastAsiaTheme="minorHAnsi"/>
                <w:b/>
                <w:sz w:val="20"/>
                <w:szCs w:val="20"/>
              </w:rPr>
              <w:footnoteReference w:id="165"/>
            </w:r>
          </w:p>
        </w:tc>
      </w:tr>
      <w:tr w:rsidR="004A4A3D" w:rsidRPr="004A4A3D" w14:paraId="535A52A7" w14:textId="77777777" w:rsidTr="00011863">
        <w:tc>
          <w:tcPr>
            <w:tcW w:w="1954" w:type="dxa"/>
          </w:tcPr>
          <w:p w14:paraId="54671391" w14:textId="06AA2C32" w:rsidR="004A4A3D" w:rsidRPr="004A4A3D" w:rsidRDefault="004A4A3D" w:rsidP="004A4A3D">
            <w:pPr>
              <w:rPr>
                <w:sz w:val="20"/>
                <w:szCs w:val="20"/>
              </w:rPr>
            </w:pPr>
            <w:r w:rsidRPr="004A4A3D">
              <w:rPr>
                <w:rFonts w:eastAsiaTheme="minorHAnsi"/>
                <w:sz w:val="20"/>
                <w:szCs w:val="20"/>
              </w:rPr>
              <w:t xml:space="preserve"> 1 </w:t>
            </w:r>
            <w:r>
              <w:rPr>
                <w:rFonts w:eastAsiaTheme="minorHAnsi"/>
                <w:sz w:val="20"/>
                <w:szCs w:val="20"/>
              </w:rPr>
              <w:t>(</w:t>
            </w:r>
            <w:r w:rsidRPr="004A4A3D">
              <w:rPr>
                <w:rFonts w:eastAsiaTheme="minorHAnsi"/>
                <w:sz w:val="20"/>
                <w:szCs w:val="20"/>
              </w:rPr>
              <w:t>Lowest SES</w:t>
            </w:r>
            <w:r>
              <w:rPr>
                <w:rFonts w:eastAsiaTheme="minorHAnsi"/>
                <w:sz w:val="20"/>
                <w:szCs w:val="20"/>
              </w:rPr>
              <w:t>)</w:t>
            </w:r>
          </w:p>
        </w:tc>
        <w:tc>
          <w:tcPr>
            <w:tcW w:w="1954" w:type="dxa"/>
          </w:tcPr>
          <w:p w14:paraId="11668D6D" w14:textId="40113B6F" w:rsidR="004A4A3D" w:rsidRPr="004A4A3D" w:rsidRDefault="004A4A3D" w:rsidP="004A4A3D">
            <w:pPr>
              <w:rPr>
                <w:sz w:val="20"/>
                <w:szCs w:val="20"/>
              </w:rPr>
            </w:pPr>
            <w:r w:rsidRPr="004A4A3D">
              <w:rPr>
                <w:rFonts w:eastAsiaTheme="minorHAnsi"/>
                <w:sz w:val="20"/>
                <w:szCs w:val="20"/>
              </w:rPr>
              <w:t>57.2</w:t>
            </w:r>
          </w:p>
        </w:tc>
        <w:tc>
          <w:tcPr>
            <w:tcW w:w="1954" w:type="dxa"/>
          </w:tcPr>
          <w:p w14:paraId="264C49B8" w14:textId="7021D9A1" w:rsidR="004A4A3D" w:rsidRPr="004A4A3D" w:rsidRDefault="004A4A3D" w:rsidP="004A4A3D">
            <w:pPr>
              <w:rPr>
                <w:sz w:val="20"/>
                <w:szCs w:val="20"/>
              </w:rPr>
            </w:pPr>
            <w:r w:rsidRPr="004A4A3D">
              <w:rPr>
                <w:rFonts w:eastAsiaTheme="minorHAnsi"/>
                <w:sz w:val="20"/>
                <w:szCs w:val="20"/>
              </w:rPr>
              <w:t>36.8</w:t>
            </w:r>
          </w:p>
        </w:tc>
        <w:tc>
          <w:tcPr>
            <w:tcW w:w="1954" w:type="dxa"/>
          </w:tcPr>
          <w:p w14:paraId="57B4D762" w14:textId="5DA6DA31" w:rsidR="004A4A3D" w:rsidRPr="004A4A3D" w:rsidRDefault="004A4A3D" w:rsidP="004A4A3D">
            <w:pPr>
              <w:rPr>
                <w:sz w:val="20"/>
                <w:szCs w:val="20"/>
              </w:rPr>
            </w:pPr>
            <w:r w:rsidRPr="004A4A3D">
              <w:rPr>
                <w:rFonts w:eastAsiaTheme="minorHAnsi"/>
                <w:sz w:val="20"/>
                <w:szCs w:val="20"/>
              </w:rPr>
              <w:t>68.1</w:t>
            </w:r>
          </w:p>
        </w:tc>
        <w:tc>
          <w:tcPr>
            <w:tcW w:w="1954" w:type="dxa"/>
          </w:tcPr>
          <w:p w14:paraId="4FB7A5A4" w14:textId="650D686F" w:rsidR="004A4A3D" w:rsidRPr="004A4A3D" w:rsidRDefault="004A4A3D" w:rsidP="004A4A3D">
            <w:pPr>
              <w:rPr>
                <w:sz w:val="20"/>
                <w:szCs w:val="20"/>
              </w:rPr>
            </w:pPr>
            <w:r w:rsidRPr="004A4A3D">
              <w:rPr>
                <w:rFonts w:eastAsiaTheme="minorHAnsi"/>
                <w:sz w:val="20"/>
                <w:szCs w:val="20"/>
              </w:rPr>
              <w:t>41.5</w:t>
            </w:r>
          </w:p>
        </w:tc>
      </w:tr>
      <w:tr w:rsidR="004A4A3D" w:rsidRPr="004A4A3D" w14:paraId="123A5873" w14:textId="77777777" w:rsidTr="00011863">
        <w:tc>
          <w:tcPr>
            <w:tcW w:w="1954" w:type="dxa"/>
          </w:tcPr>
          <w:p w14:paraId="4B21B4D9" w14:textId="4E6C53F9" w:rsidR="004A4A3D" w:rsidRPr="004A4A3D" w:rsidRDefault="004A4A3D" w:rsidP="004A4A3D">
            <w:pPr>
              <w:rPr>
                <w:sz w:val="20"/>
                <w:szCs w:val="20"/>
              </w:rPr>
            </w:pPr>
            <w:r w:rsidRPr="004A4A3D">
              <w:rPr>
                <w:rFonts w:eastAsiaTheme="minorHAnsi"/>
                <w:sz w:val="20"/>
                <w:szCs w:val="20"/>
              </w:rPr>
              <w:t xml:space="preserve"> 2</w:t>
            </w:r>
          </w:p>
        </w:tc>
        <w:tc>
          <w:tcPr>
            <w:tcW w:w="1954" w:type="dxa"/>
          </w:tcPr>
          <w:p w14:paraId="6723BD0D" w14:textId="2CDE55A5" w:rsidR="004A4A3D" w:rsidRPr="004A4A3D" w:rsidRDefault="004A4A3D" w:rsidP="004A4A3D">
            <w:pPr>
              <w:rPr>
                <w:sz w:val="20"/>
                <w:szCs w:val="20"/>
              </w:rPr>
            </w:pPr>
            <w:r w:rsidRPr="004A4A3D">
              <w:rPr>
                <w:rFonts w:eastAsiaTheme="minorHAnsi"/>
                <w:sz w:val="20"/>
                <w:szCs w:val="20"/>
              </w:rPr>
              <w:t>16.3</w:t>
            </w:r>
          </w:p>
        </w:tc>
        <w:tc>
          <w:tcPr>
            <w:tcW w:w="1954" w:type="dxa"/>
          </w:tcPr>
          <w:p w14:paraId="61187BDB" w14:textId="68885AC7" w:rsidR="004A4A3D" w:rsidRPr="004A4A3D" w:rsidRDefault="004A4A3D" w:rsidP="004A4A3D">
            <w:pPr>
              <w:rPr>
                <w:sz w:val="20"/>
                <w:szCs w:val="20"/>
              </w:rPr>
            </w:pPr>
            <w:r w:rsidRPr="004A4A3D">
              <w:rPr>
                <w:rFonts w:eastAsiaTheme="minorHAnsi"/>
                <w:sz w:val="20"/>
                <w:szCs w:val="20"/>
              </w:rPr>
              <w:t>26.9</w:t>
            </w:r>
          </w:p>
        </w:tc>
        <w:tc>
          <w:tcPr>
            <w:tcW w:w="1954" w:type="dxa"/>
          </w:tcPr>
          <w:p w14:paraId="03545C20" w14:textId="520F7B34" w:rsidR="004A4A3D" w:rsidRPr="004A4A3D" w:rsidRDefault="004A4A3D" w:rsidP="004A4A3D">
            <w:pPr>
              <w:rPr>
                <w:sz w:val="20"/>
                <w:szCs w:val="20"/>
              </w:rPr>
            </w:pPr>
            <w:r w:rsidRPr="004A4A3D">
              <w:rPr>
                <w:rFonts w:eastAsiaTheme="minorHAnsi"/>
                <w:sz w:val="20"/>
                <w:szCs w:val="20"/>
              </w:rPr>
              <w:t>13.6</w:t>
            </w:r>
          </w:p>
        </w:tc>
        <w:tc>
          <w:tcPr>
            <w:tcW w:w="1954" w:type="dxa"/>
          </w:tcPr>
          <w:p w14:paraId="565EE9C0" w14:textId="36F65DD9" w:rsidR="004A4A3D" w:rsidRPr="004A4A3D" w:rsidRDefault="004A4A3D" w:rsidP="004A4A3D">
            <w:pPr>
              <w:rPr>
                <w:sz w:val="20"/>
                <w:szCs w:val="20"/>
              </w:rPr>
            </w:pPr>
            <w:r w:rsidRPr="004A4A3D">
              <w:rPr>
                <w:rFonts w:eastAsiaTheme="minorHAnsi"/>
                <w:sz w:val="20"/>
                <w:szCs w:val="20"/>
              </w:rPr>
              <w:t>24.5</w:t>
            </w:r>
          </w:p>
        </w:tc>
      </w:tr>
      <w:tr w:rsidR="004A4A3D" w:rsidRPr="004A4A3D" w14:paraId="7CD17011" w14:textId="77777777" w:rsidTr="00011863">
        <w:tc>
          <w:tcPr>
            <w:tcW w:w="1954" w:type="dxa"/>
          </w:tcPr>
          <w:p w14:paraId="635FFB42" w14:textId="247B0D26" w:rsidR="004A4A3D" w:rsidRPr="004A4A3D" w:rsidRDefault="004A4A3D" w:rsidP="004A4A3D">
            <w:pPr>
              <w:rPr>
                <w:sz w:val="20"/>
                <w:szCs w:val="20"/>
              </w:rPr>
            </w:pPr>
            <w:r w:rsidRPr="004A4A3D">
              <w:rPr>
                <w:rFonts w:eastAsiaTheme="minorHAnsi"/>
                <w:sz w:val="20"/>
                <w:szCs w:val="20"/>
              </w:rPr>
              <w:t xml:space="preserve"> 3</w:t>
            </w:r>
          </w:p>
        </w:tc>
        <w:tc>
          <w:tcPr>
            <w:tcW w:w="1954" w:type="dxa"/>
          </w:tcPr>
          <w:p w14:paraId="7436F7C1" w14:textId="1FB430F1" w:rsidR="004A4A3D" w:rsidRPr="004A4A3D" w:rsidRDefault="004A4A3D" w:rsidP="004A4A3D">
            <w:pPr>
              <w:rPr>
                <w:sz w:val="20"/>
                <w:szCs w:val="20"/>
              </w:rPr>
            </w:pPr>
            <w:r w:rsidRPr="004A4A3D">
              <w:rPr>
                <w:rFonts w:eastAsiaTheme="minorHAnsi"/>
                <w:sz w:val="20"/>
                <w:szCs w:val="20"/>
              </w:rPr>
              <w:t>15.1</w:t>
            </w:r>
          </w:p>
        </w:tc>
        <w:tc>
          <w:tcPr>
            <w:tcW w:w="1954" w:type="dxa"/>
          </w:tcPr>
          <w:p w14:paraId="7BCB8CB6" w14:textId="5EC641A0" w:rsidR="004A4A3D" w:rsidRPr="004A4A3D" w:rsidRDefault="004A4A3D" w:rsidP="004A4A3D">
            <w:pPr>
              <w:rPr>
                <w:sz w:val="20"/>
                <w:szCs w:val="20"/>
              </w:rPr>
            </w:pPr>
            <w:r w:rsidRPr="004A4A3D">
              <w:rPr>
                <w:rFonts w:eastAsiaTheme="minorHAnsi"/>
                <w:sz w:val="20"/>
                <w:szCs w:val="20"/>
              </w:rPr>
              <w:t>17.4</w:t>
            </w:r>
          </w:p>
        </w:tc>
        <w:tc>
          <w:tcPr>
            <w:tcW w:w="1954" w:type="dxa"/>
          </w:tcPr>
          <w:p w14:paraId="4AE22E02" w14:textId="76D07A2D" w:rsidR="004A4A3D" w:rsidRPr="004A4A3D" w:rsidRDefault="004A4A3D" w:rsidP="004A4A3D">
            <w:pPr>
              <w:rPr>
                <w:sz w:val="20"/>
                <w:szCs w:val="20"/>
              </w:rPr>
            </w:pPr>
            <w:r w:rsidRPr="004A4A3D">
              <w:rPr>
                <w:rFonts w:eastAsiaTheme="minorHAnsi"/>
                <w:sz w:val="20"/>
                <w:szCs w:val="20"/>
              </w:rPr>
              <w:t>6.2</w:t>
            </w:r>
          </w:p>
        </w:tc>
        <w:tc>
          <w:tcPr>
            <w:tcW w:w="1954" w:type="dxa"/>
          </w:tcPr>
          <w:p w14:paraId="620BE15C" w14:textId="36EC157F" w:rsidR="004A4A3D" w:rsidRPr="004A4A3D" w:rsidRDefault="004A4A3D" w:rsidP="004A4A3D">
            <w:pPr>
              <w:rPr>
                <w:sz w:val="20"/>
                <w:szCs w:val="20"/>
              </w:rPr>
            </w:pPr>
            <w:r w:rsidRPr="004A4A3D">
              <w:rPr>
                <w:rFonts w:eastAsiaTheme="minorHAnsi"/>
                <w:sz w:val="20"/>
                <w:szCs w:val="20"/>
              </w:rPr>
              <w:t>16.7</w:t>
            </w:r>
          </w:p>
        </w:tc>
      </w:tr>
      <w:tr w:rsidR="004A4A3D" w:rsidRPr="004A4A3D" w14:paraId="5A0616BF" w14:textId="77777777" w:rsidTr="00011863">
        <w:tc>
          <w:tcPr>
            <w:tcW w:w="1954" w:type="dxa"/>
          </w:tcPr>
          <w:p w14:paraId="09C540BA" w14:textId="1A017A70" w:rsidR="004A4A3D" w:rsidRPr="004A4A3D" w:rsidRDefault="004A4A3D" w:rsidP="004A4A3D">
            <w:pPr>
              <w:rPr>
                <w:sz w:val="20"/>
                <w:szCs w:val="20"/>
              </w:rPr>
            </w:pPr>
            <w:r w:rsidRPr="004A4A3D">
              <w:rPr>
                <w:rFonts w:eastAsiaTheme="minorHAnsi"/>
                <w:sz w:val="20"/>
                <w:szCs w:val="20"/>
              </w:rPr>
              <w:t xml:space="preserve"> 4</w:t>
            </w:r>
          </w:p>
        </w:tc>
        <w:tc>
          <w:tcPr>
            <w:tcW w:w="1954" w:type="dxa"/>
          </w:tcPr>
          <w:p w14:paraId="6F50DF7B" w14:textId="45C2D13C" w:rsidR="004A4A3D" w:rsidRPr="004A4A3D" w:rsidRDefault="004A4A3D" w:rsidP="004A4A3D">
            <w:pPr>
              <w:rPr>
                <w:sz w:val="20"/>
                <w:szCs w:val="20"/>
              </w:rPr>
            </w:pPr>
            <w:r w:rsidRPr="004A4A3D">
              <w:rPr>
                <w:rFonts w:eastAsiaTheme="minorHAnsi"/>
                <w:sz w:val="20"/>
                <w:szCs w:val="20"/>
              </w:rPr>
              <w:t>7.2</w:t>
            </w:r>
          </w:p>
        </w:tc>
        <w:tc>
          <w:tcPr>
            <w:tcW w:w="1954" w:type="dxa"/>
          </w:tcPr>
          <w:p w14:paraId="0C9A6F91" w14:textId="5DE1CDA0" w:rsidR="004A4A3D" w:rsidRPr="004A4A3D" w:rsidRDefault="004A4A3D" w:rsidP="004A4A3D">
            <w:pPr>
              <w:rPr>
                <w:sz w:val="20"/>
                <w:szCs w:val="20"/>
              </w:rPr>
            </w:pPr>
            <w:r w:rsidRPr="004A4A3D">
              <w:rPr>
                <w:rFonts w:eastAsiaTheme="minorHAnsi"/>
                <w:sz w:val="20"/>
                <w:szCs w:val="20"/>
              </w:rPr>
              <w:t>12.9</w:t>
            </w:r>
          </w:p>
        </w:tc>
        <w:tc>
          <w:tcPr>
            <w:tcW w:w="1954" w:type="dxa"/>
          </w:tcPr>
          <w:p w14:paraId="1BB6C726" w14:textId="3A9A635E" w:rsidR="004A4A3D" w:rsidRPr="004A4A3D" w:rsidRDefault="004A4A3D" w:rsidP="004A4A3D">
            <w:pPr>
              <w:rPr>
                <w:sz w:val="20"/>
                <w:szCs w:val="20"/>
              </w:rPr>
            </w:pPr>
            <w:r w:rsidRPr="004A4A3D">
              <w:rPr>
                <w:rFonts w:eastAsiaTheme="minorHAnsi"/>
                <w:sz w:val="20"/>
                <w:szCs w:val="20"/>
              </w:rPr>
              <w:t>9.7</w:t>
            </w:r>
          </w:p>
        </w:tc>
        <w:tc>
          <w:tcPr>
            <w:tcW w:w="1954" w:type="dxa"/>
          </w:tcPr>
          <w:p w14:paraId="4E02BC7E" w14:textId="4FE2EABC" w:rsidR="004A4A3D" w:rsidRPr="004A4A3D" w:rsidRDefault="004A4A3D" w:rsidP="004A4A3D">
            <w:pPr>
              <w:rPr>
                <w:sz w:val="20"/>
                <w:szCs w:val="20"/>
              </w:rPr>
            </w:pPr>
            <w:r w:rsidRPr="004A4A3D">
              <w:rPr>
                <w:rFonts w:eastAsiaTheme="minorHAnsi"/>
                <w:sz w:val="20"/>
                <w:szCs w:val="20"/>
              </w:rPr>
              <w:t>11.7</w:t>
            </w:r>
          </w:p>
        </w:tc>
      </w:tr>
      <w:tr w:rsidR="004A4A3D" w:rsidRPr="004A4A3D" w14:paraId="0B89F5C8" w14:textId="77777777" w:rsidTr="00011863">
        <w:tc>
          <w:tcPr>
            <w:tcW w:w="1954" w:type="dxa"/>
          </w:tcPr>
          <w:p w14:paraId="36A38996" w14:textId="38DABB62" w:rsidR="004A4A3D" w:rsidRPr="004A4A3D" w:rsidRDefault="004A4A3D" w:rsidP="004A4A3D">
            <w:pPr>
              <w:rPr>
                <w:sz w:val="20"/>
                <w:szCs w:val="20"/>
              </w:rPr>
            </w:pPr>
            <w:r w:rsidRPr="004A4A3D">
              <w:rPr>
                <w:rFonts w:eastAsiaTheme="minorHAnsi"/>
                <w:sz w:val="20"/>
                <w:szCs w:val="20"/>
              </w:rPr>
              <w:t>5</w:t>
            </w:r>
            <w:r>
              <w:rPr>
                <w:rFonts w:eastAsiaTheme="minorHAnsi"/>
                <w:sz w:val="20"/>
                <w:szCs w:val="20"/>
              </w:rPr>
              <w:t xml:space="preserve"> (</w:t>
            </w:r>
            <w:r w:rsidRPr="004A4A3D">
              <w:rPr>
                <w:rFonts w:eastAsiaTheme="minorHAnsi"/>
                <w:sz w:val="20"/>
                <w:szCs w:val="20"/>
              </w:rPr>
              <w:t>Highest SES</w:t>
            </w:r>
            <w:r>
              <w:rPr>
                <w:rFonts w:eastAsiaTheme="minorHAnsi"/>
                <w:sz w:val="20"/>
                <w:szCs w:val="20"/>
              </w:rPr>
              <w:t>)</w:t>
            </w:r>
          </w:p>
        </w:tc>
        <w:tc>
          <w:tcPr>
            <w:tcW w:w="1954" w:type="dxa"/>
          </w:tcPr>
          <w:p w14:paraId="3AE1FE0F" w14:textId="6508610D" w:rsidR="004A4A3D" w:rsidRPr="004A4A3D" w:rsidRDefault="004A4A3D" w:rsidP="004A4A3D">
            <w:pPr>
              <w:rPr>
                <w:sz w:val="20"/>
                <w:szCs w:val="20"/>
              </w:rPr>
            </w:pPr>
            <w:r w:rsidRPr="004A4A3D">
              <w:rPr>
                <w:rFonts w:eastAsiaTheme="minorHAnsi"/>
                <w:sz w:val="20"/>
                <w:szCs w:val="20"/>
              </w:rPr>
              <w:t>4.2</w:t>
            </w:r>
          </w:p>
        </w:tc>
        <w:tc>
          <w:tcPr>
            <w:tcW w:w="1954" w:type="dxa"/>
          </w:tcPr>
          <w:p w14:paraId="0ADC52A1" w14:textId="0D8010AF" w:rsidR="004A4A3D" w:rsidRPr="004A4A3D" w:rsidRDefault="004A4A3D" w:rsidP="004A4A3D">
            <w:pPr>
              <w:rPr>
                <w:sz w:val="20"/>
                <w:szCs w:val="20"/>
              </w:rPr>
            </w:pPr>
            <w:r w:rsidRPr="004A4A3D">
              <w:rPr>
                <w:rFonts w:eastAsiaTheme="minorHAnsi"/>
                <w:sz w:val="20"/>
                <w:szCs w:val="20"/>
              </w:rPr>
              <w:t>6.0</w:t>
            </w:r>
          </w:p>
        </w:tc>
        <w:tc>
          <w:tcPr>
            <w:tcW w:w="1954" w:type="dxa"/>
          </w:tcPr>
          <w:p w14:paraId="415AA169" w14:textId="050CBEB4" w:rsidR="004A4A3D" w:rsidRPr="004A4A3D" w:rsidRDefault="004A4A3D" w:rsidP="004A4A3D">
            <w:pPr>
              <w:rPr>
                <w:sz w:val="20"/>
                <w:szCs w:val="20"/>
              </w:rPr>
            </w:pPr>
            <w:r w:rsidRPr="004A4A3D">
              <w:rPr>
                <w:rFonts w:eastAsiaTheme="minorHAnsi"/>
                <w:sz w:val="20"/>
                <w:szCs w:val="20"/>
              </w:rPr>
              <w:t>2.3</w:t>
            </w:r>
          </w:p>
        </w:tc>
        <w:tc>
          <w:tcPr>
            <w:tcW w:w="1954" w:type="dxa"/>
          </w:tcPr>
          <w:p w14:paraId="4CEF1874" w14:textId="54FCAA8C" w:rsidR="004A4A3D" w:rsidRPr="004A4A3D" w:rsidRDefault="004A4A3D" w:rsidP="004A4A3D">
            <w:pPr>
              <w:rPr>
                <w:sz w:val="20"/>
                <w:szCs w:val="20"/>
              </w:rPr>
            </w:pPr>
            <w:r w:rsidRPr="004A4A3D">
              <w:rPr>
                <w:rFonts w:eastAsiaTheme="minorHAnsi"/>
                <w:sz w:val="20"/>
                <w:szCs w:val="20"/>
              </w:rPr>
              <w:t>5.6</w:t>
            </w:r>
          </w:p>
        </w:tc>
      </w:tr>
      <w:tr w:rsidR="004A4A3D" w:rsidRPr="004A4A3D" w14:paraId="31E0DAF8" w14:textId="77777777" w:rsidTr="00011863">
        <w:tc>
          <w:tcPr>
            <w:tcW w:w="1954" w:type="dxa"/>
          </w:tcPr>
          <w:p w14:paraId="46A6B2C0" w14:textId="7C27AEAC" w:rsidR="004A4A3D" w:rsidRPr="004A4A3D" w:rsidRDefault="004A4A3D" w:rsidP="004A4A3D">
            <w:pPr>
              <w:rPr>
                <w:b/>
                <w:sz w:val="20"/>
                <w:szCs w:val="20"/>
              </w:rPr>
            </w:pPr>
            <w:r w:rsidRPr="004A4A3D">
              <w:rPr>
                <w:rFonts w:eastAsiaTheme="minorHAnsi"/>
                <w:b/>
                <w:sz w:val="20"/>
                <w:szCs w:val="20"/>
              </w:rPr>
              <w:t xml:space="preserve"> Total</w:t>
            </w:r>
            <w:r w:rsidRPr="004A4A3D">
              <w:rPr>
                <w:rFonts w:eastAsiaTheme="minorHAnsi"/>
                <w:b/>
                <w:sz w:val="20"/>
                <w:szCs w:val="20"/>
              </w:rPr>
              <w:tab/>
            </w:r>
          </w:p>
        </w:tc>
        <w:tc>
          <w:tcPr>
            <w:tcW w:w="1954" w:type="dxa"/>
          </w:tcPr>
          <w:p w14:paraId="04245954" w14:textId="1964F951" w:rsidR="004A4A3D" w:rsidRPr="004A4A3D" w:rsidRDefault="004A4A3D" w:rsidP="004A4A3D">
            <w:pPr>
              <w:rPr>
                <w:b/>
                <w:sz w:val="20"/>
                <w:szCs w:val="20"/>
              </w:rPr>
            </w:pPr>
            <w:r w:rsidRPr="004A4A3D">
              <w:rPr>
                <w:rFonts w:eastAsiaTheme="minorHAnsi"/>
                <w:b/>
                <w:sz w:val="20"/>
                <w:szCs w:val="20"/>
              </w:rPr>
              <w:t>100.0</w:t>
            </w:r>
          </w:p>
        </w:tc>
        <w:tc>
          <w:tcPr>
            <w:tcW w:w="1954" w:type="dxa"/>
          </w:tcPr>
          <w:p w14:paraId="01839C5F" w14:textId="51BD6394" w:rsidR="004A4A3D" w:rsidRPr="004A4A3D" w:rsidRDefault="004A4A3D" w:rsidP="004A4A3D">
            <w:pPr>
              <w:rPr>
                <w:b/>
                <w:sz w:val="20"/>
                <w:szCs w:val="20"/>
              </w:rPr>
            </w:pPr>
            <w:r w:rsidRPr="004A4A3D">
              <w:rPr>
                <w:rFonts w:eastAsiaTheme="minorHAnsi"/>
                <w:b/>
                <w:sz w:val="20"/>
                <w:szCs w:val="20"/>
              </w:rPr>
              <w:t>100.0</w:t>
            </w:r>
          </w:p>
        </w:tc>
        <w:tc>
          <w:tcPr>
            <w:tcW w:w="1954" w:type="dxa"/>
          </w:tcPr>
          <w:p w14:paraId="3112AC79" w14:textId="69A205B8" w:rsidR="004A4A3D" w:rsidRPr="004A4A3D" w:rsidRDefault="004A4A3D" w:rsidP="004A4A3D">
            <w:pPr>
              <w:rPr>
                <w:b/>
                <w:sz w:val="20"/>
                <w:szCs w:val="20"/>
              </w:rPr>
            </w:pPr>
            <w:r w:rsidRPr="004A4A3D">
              <w:rPr>
                <w:rFonts w:eastAsiaTheme="minorHAnsi"/>
                <w:b/>
                <w:sz w:val="20"/>
                <w:szCs w:val="20"/>
              </w:rPr>
              <w:t>100.0</w:t>
            </w:r>
          </w:p>
        </w:tc>
        <w:tc>
          <w:tcPr>
            <w:tcW w:w="1954" w:type="dxa"/>
          </w:tcPr>
          <w:p w14:paraId="346F6E22" w14:textId="07C265B3" w:rsidR="004A4A3D" w:rsidRPr="004A4A3D" w:rsidRDefault="004A4A3D" w:rsidP="004A4A3D">
            <w:pPr>
              <w:rPr>
                <w:b/>
                <w:sz w:val="20"/>
                <w:szCs w:val="20"/>
              </w:rPr>
            </w:pPr>
            <w:r w:rsidRPr="004A4A3D">
              <w:rPr>
                <w:rFonts w:eastAsiaTheme="minorHAnsi"/>
                <w:b/>
                <w:sz w:val="20"/>
                <w:szCs w:val="20"/>
              </w:rPr>
              <w:t>100.0</w:t>
            </w:r>
          </w:p>
        </w:tc>
      </w:tr>
    </w:tbl>
    <w:p w14:paraId="10A423C0" w14:textId="101964A7" w:rsidR="00011863" w:rsidRDefault="00011863" w:rsidP="00086408">
      <w:pPr>
        <w:spacing w:line="276" w:lineRule="auto"/>
        <w:rPr>
          <w:b/>
          <w:lang w:eastAsia="en-AU"/>
        </w:rPr>
      </w:pPr>
      <w:r>
        <w:rPr>
          <w:b/>
          <w:lang w:eastAsia="en-AU"/>
        </w:rPr>
        <w:t>Table 3:</w:t>
      </w:r>
      <w:r w:rsidR="00D31537" w:rsidRPr="00B25D72">
        <w:rPr>
          <w:b/>
          <w:lang w:eastAsia="en-AU"/>
        </w:rPr>
        <w:t xml:space="preserve"> Indicators of social disadvantage present in rural and regional Victoria as captured by the 2011 Census</w:t>
      </w:r>
      <w:r w:rsidR="00D31537">
        <w:rPr>
          <w:rStyle w:val="FootnoteReference"/>
          <w:b/>
          <w:lang w:eastAsia="en-AU"/>
        </w:rPr>
        <w:footnoteReference w:id="166"/>
      </w:r>
    </w:p>
    <w:tbl>
      <w:tblPr>
        <w:tblStyle w:val="TableGrid"/>
        <w:tblW w:w="10915" w:type="dxa"/>
        <w:tblInd w:w="-572" w:type="dxa"/>
        <w:tblLayout w:type="fixed"/>
        <w:tblLook w:val="04A0" w:firstRow="1" w:lastRow="0" w:firstColumn="1" w:lastColumn="0" w:noHBand="0" w:noVBand="1"/>
      </w:tblPr>
      <w:tblGrid>
        <w:gridCol w:w="1541"/>
        <w:gridCol w:w="1011"/>
        <w:gridCol w:w="1134"/>
        <w:gridCol w:w="850"/>
        <w:gridCol w:w="993"/>
        <w:gridCol w:w="992"/>
        <w:gridCol w:w="992"/>
        <w:gridCol w:w="851"/>
        <w:gridCol w:w="850"/>
        <w:gridCol w:w="851"/>
        <w:gridCol w:w="850"/>
      </w:tblGrid>
      <w:tr w:rsidR="005D44EA" w:rsidRPr="005D44EA" w14:paraId="79781712" w14:textId="77777777" w:rsidTr="005D44EA">
        <w:trPr>
          <w:tblHeader/>
        </w:trPr>
        <w:tc>
          <w:tcPr>
            <w:tcW w:w="1541" w:type="dxa"/>
            <w:tcBorders>
              <w:bottom w:val="single" w:sz="4" w:space="0" w:color="auto"/>
            </w:tcBorders>
            <w:shd w:val="clear" w:color="auto" w:fill="FFC000"/>
            <w:vAlign w:val="bottom"/>
          </w:tcPr>
          <w:p w14:paraId="0513BF4F" w14:textId="7C5F21B3" w:rsidR="00011863" w:rsidRPr="005D44EA" w:rsidRDefault="00011863" w:rsidP="00011863">
            <w:pPr>
              <w:spacing w:line="276" w:lineRule="auto"/>
              <w:rPr>
                <w:b/>
                <w:sz w:val="17"/>
                <w:szCs w:val="17"/>
                <w:lang w:eastAsia="en-AU"/>
              </w:rPr>
            </w:pPr>
            <w:r w:rsidRPr="005D44EA">
              <w:rPr>
                <w:rFonts w:cs="Arial"/>
                <w:b/>
                <w:bCs/>
                <w:color w:val="000000"/>
                <w:sz w:val="17"/>
                <w:szCs w:val="17"/>
                <w:lang w:eastAsia="en-AU"/>
              </w:rPr>
              <w:t>Indicator of social disadvantage</w:t>
            </w:r>
          </w:p>
        </w:tc>
        <w:tc>
          <w:tcPr>
            <w:tcW w:w="1011" w:type="dxa"/>
            <w:shd w:val="clear" w:color="auto" w:fill="FFFF00"/>
            <w:vAlign w:val="bottom"/>
          </w:tcPr>
          <w:p w14:paraId="619EE6A8" w14:textId="689CC0FB" w:rsidR="00011863" w:rsidRPr="005D44EA" w:rsidRDefault="00011863" w:rsidP="00011863">
            <w:pPr>
              <w:spacing w:line="276" w:lineRule="auto"/>
              <w:rPr>
                <w:b/>
                <w:sz w:val="17"/>
                <w:szCs w:val="17"/>
                <w:lang w:eastAsia="en-AU"/>
              </w:rPr>
            </w:pPr>
            <w:r w:rsidRPr="005D44EA">
              <w:rPr>
                <w:rFonts w:cs="Arial"/>
                <w:b/>
                <w:bCs/>
                <w:color w:val="000000"/>
                <w:sz w:val="17"/>
                <w:szCs w:val="17"/>
                <w:lang w:eastAsia="en-AU"/>
              </w:rPr>
              <w:t>Victoria</w:t>
            </w:r>
          </w:p>
        </w:tc>
        <w:tc>
          <w:tcPr>
            <w:tcW w:w="1134" w:type="dxa"/>
            <w:shd w:val="clear" w:color="auto" w:fill="FFC000"/>
            <w:vAlign w:val="bottom"/>
          </w:tcPr>
          <w:p w14:paraId="28039446" w14:textId="60A44376" w:rsidR="00011863" w:rsidRPr="005D44EA" w:rsidRDefault="00011863" w:rsidP="00011863">
            <w:pPr>
              <w:spacing w:line="276" w:lineRule="auto"/>
              <w:rPr>
                <w:b/>
                <w:sz w:val="17"/>
                <w:szCs w:val="17"/>
                <w:lang w:eastAsia="en-AU"/>
              </w:rPr>
            </w:pPr>
            <w:r w:rsidRPr="005D44EA">
              <w:rPr>
                <w:rFonts w:cs="Arial"/>
                <w:b/>
                <w:color w:val="000000"/>
                <w:sz w:val="17"/>
                <w:szCs w:val="17"/>
                <w:lang w:eastAsia="en-AU"/>
              </w:rPr>
              <w:t>Bairnsdale</w:t>
            </w:r>
          </w:p>
        </w:tc>
        <w:tc>
          <w:tcPr>
            <w:tcW w:w="850" w:type="dxa"/>
            <w:shd w:val="clear" w:color="auto" w:fill="FFC000"/>
            <w:vAlign w:val="bottom"/>
          </w:tcPr>
          <w:p w14:paraId="2C5C01B8" w14:textId="18BCDD63" w:rsidR="00011863" w:rsidRPr="005D44EA" w:rsidRDefault="00011863" w:rsidP="00011863">
            <w:pPr>
              <w:spacing w:line="276" w:lineRule="auto"/>
              <w:rPr>
                <w:b/>
                <w:sz w:val="17"/>
                <w:szCs w:val="17"/>
                <w:lang w:eastAsia="en-AU"/>
              </w:rPr>
            </w:pPr>
            <w:r w:rsidRPr="005D44EA">
              <w:rPr>
                <w:rFonts w:cs="Arial"/>
                <w:b/>
                <w:color w:val="000000"/>
                <w:sz w:val="17"/>
                <w:szCs w:val="17"/>
                <w:lang w:eastAsia="en-AU"/>
              </w:rPr>
              <w:t>Ballarat</w:t>
            </w:r>
          </w:p>
        </w:tc>
        <w:tc>
          <w:tcPr>
            <w:tcW w:w="993" w:type="dxa"/>
            <w:shd w:val="clear" w:color="auto" w:fill="FFC000"/>
            <w:vAlign w:val="bottom"/>
          </w:tcPr>
          <w:p w14:paraId="60BAC3D6" w14:textId="2085D870" w:rsidR="00011863" w:rsidRPr="005D44EA" w:rsidRDefault="00011863" w:rsidP="00011863">
            <w:pPr>
              <w:spacing w:line="276" w:lineRule="auto"/>
              <w:rPr>
                <w:b/>
                <w:sz w:val="17"/>
                <w:szCs w:val="17"/>
                <w:lang w:eastAsia="en-AU"/>
              </w:rPr>
            </w:pPr>
            <w:r w:rsidRPr="005D44EA">
              <w:rPr>
                <w:rFonts w:cs="Arial"/>
                <w:b/>
                <w:color w:val="000000"/>
                <w:sz w:val="17"/>
                <w:szCs w:val="17"/>
                <w:lang w:eastAsia="en-AU"/>
              </w:rPr>
              <w:t>Bendigo</w:t>
            </w:r>
          </w:p>
        </w:tc>
        <w:tc>
          <w:tcPr>
            <w:tcW w:w="992" w:type="dxa"/>
            <w:shd w:val="clear" w:color="auto" w:fill="FFC000"/>
            <w:vAlign w:val="bottom"/>
          </w:tcPr>
          <w:p w14:paraId="3648BA64" w14:textId="49CD0060" w:rsidR="00011863" w:rsidRPr="005D44EA" w:rsidRDefault="00011863" w:rsidP="00011863">
            <w:pPr>
              <w:spacing w:line="276" w:lineRule="auto"/>
              <w:rPr>
                <w:b/>
                <w:sz w:val="17"/>
                <w:szCs w:val="17"/>
                <w:lang w:eastAsia="en-AU"/>
              </w:rPr>
            </w:pPr>
            <w:r w:rsidRPr="005D44EA">
              <w:rPr>
                <w:rFonts w:cs="Arial"/>
                <w:b/>
                <w:color w:val="000000"/>
                <w:sz w:val="17"/>
                <w:szCs w:val="17"/>
                <w:lang w:eastAsia="en-AU"/>
              </w:rPr>
              <w:t>Geelong</w:t>
            </w:r>
          </w:p>
        </w:tc>
        <w:tc>
          <w:tcPr>
            <w:tcW w:w="992" w:type="dxa"/>
            <w:shd w:val="clear" w:color="auto" w:fill="FFC000"/>
            <w:vAlign w:val="bottom"/>
          </w:tcPr>
          <w:p w14:paraId="264E542D" w14:textId="58944BD9" w:rsidR="00011863" w:rsidRPr="005D44EA" w:rsidRDefault="00011863" w:rsidP="00011863">
            <w:pPr>
              <w:spacing w:line="276" w:lineRule="auto"/>
              <w:rPr>
                <w:b/>
                <w:sz w:val="17"/>
                <w:szCs w:val="17"/>
                <w:lang w:eastAsia="en-AU"/>
              </w:rPr>
            </w:pPr>
            <w:r w:rsidRPr="005D44EA">
              <w:rPr>
                <w:rFonts w:cs="Arial"/>
                <w:b/>
                <w:color w:val="000000"/>
                <w:sz w:val="17"/>
                <w:szCs w:val="17"/>
                <w:lang w:eastAsia="en-AU"/>
              </w:rPr>
              <w:t>Horsham</w:t>
            </w:r>
          </w:p>
        </w:tc>
        <w:tc>
          <w:tcPr>
            <w:tcW w:w="851" w:type="dxa"/>
            <w:shd w:val="clear" w:color="auto" w:fill="FFC000"/>
            <w:vAlign w:val="bottom"/>
          </w:tcPr>
          <w:p w14:paraId="77F7DA55" w14:textId="4C2EB007" w:rsidR="00011863" w:rsidRPr="005D44EA" w:rsidRDefault="00011863" w:rsidP="00011863">
            <w:pPr>
              <w:spacing w:line="276" w:lineRule="auto"/>
              <w:rPr>
                <w:b/>
                <w:sz w:val="17"/>
                <w:szCs w:val="17"/>
                <w:lang w:eastAsia="en-AU"/>
              </w:rPr>
            </w:pPr>
            <w:r w:rsidRPr="005D44EA">
              <w:rPr>
                <w:rFonts w:cs="Arial"/>
                <w:b/>
                <w:color w:val="000000"/>
                <w:sz w:val="17"/>
                <w:szCs w:val="17"/>
                <w:lang w:eastAsia="en-AU"/>
              </w:rPr>
              <w:t>Mallee</w:t>
            </w:r>
          </w:p>
        </w:tc>
        <w:tc>
          <w:tcPr>
            <w:tcW w:w="850" w:type="dxa"/>
            <w:shd w:val="clear" w:color="auto" w:fill="FFC000"/>
            <w:vAlign w:val="bottom"/>
          </w:tcPr>
          <w:p w14:paraId="7A7FD6CD" w14:textId="3623E179" w:rsidR="00011863" w:rsidRPr="005D44EA" w:rsidRDefault="00011863" w:rsidP="00011863">
            <w:pPr>
              <w:spacing w:line="276" w:lineRule="auto"/>
              <w:rPr>
                <w:b/>
                <w:sz w:val="17"/>
                <w:szCs w:val="17"/>
                <w:lang w:eastAsia="en-AU"/>
              </w:rPr>
            </w:pPr>
            <w:proofErr w:type="spellStart"/>
            <w:r w:rsidRPr="005D44EA">
              <w:rPr>
                <w:rFonts w:cs="Arial"/>
                <w:b/>
                <w:color w:val="000000"/>
                <w:sz w:val="17"/>
                <w:szCs w:val="17"/>
                <w:lang w:eastAsia="en-AU"/>
              </w:rPr>
              <w:t>Shepp</w:t>
            </w:r>
            <w:proofErr w:type="spellEnd"/>
          </w:p>
        </w:tc>
        <w:tc>
          <w:tcPr>
            <w:tcW w:w="851" w:type="dxa"/>
            <w:shd w:val="clear" w:color="auto" w:fill="FFC000"/>
            <w:vAlign w:val="bottom"/>
          </w:tcPr>
          <w:p w14:paraId="15607448" w14:textId="198DAC23" w:rsidR="00011863" w:rsidRPr="005D44EA" w:rsidRDefault="00011863" w:rsidP="00011863">
            <w:pPr>
              <w:spacing w:line="276" w:lineRule="auto"/>
              <w:rPr>
                <w:b/>
                <w:sz w:val="17"/>
                <w:szCs w:val="17"/>
                <w:lang w:eastAsia="en-AU"/>
              </w:rPr>
            </w:pPr>
            <w:r w:rsidRPr="005D44EA">
              <w:rPr>
                <w:rFonts w:cs="Arial"/>
                <w:b/>
                <w:color w:val="000000"/>
                <w:sz w:val="17"/>
                <w:szCs w:val="17"/>
                <w:lang w:eastAsia="en-AU"/>
              </w:rPr>
              <w:t>Morwell</w:t>
            </w:r>
          </w:p>
        </w:tc>
        <w:tc>
          <w:tcPr>
            <w:tcW w:w="850" w:type="dxa"/>
            <w:shd w:val="clear" w:color="auto" w:fill="FFC000"/>
            <w:vAlign w:val="bottom"/>
          </w:tcPr>
          <w:p w14:paraId="3059A0BC" w14:textId="6B1171A3" w:rsidR="00011863" w:rsidRPr="005D44EA" w:rsidRDefault="00011863" w:rsidP="00011863">
            <w:pPr>
              <w:spacing w:line="276" w:lineRule="auto"/>
              <w:rPr>
                <w:b/>
                <w:sz w:val="17"/>
                <w:szCs w:val="17"/>
                <w:lang w:eastAsia="en-AU"/>
              </w:rPr>
            </w:pPr>
            <w:proofErr w:type="spellStart"/>
            <w:r w:rsidRPr="005D44EA">
              <w:rPr>
                <w:rFonts w:cs="Arial"/>
                <w:b/>
                <w:color w:val="000000"/>
                <w:sz w:val="17"/>
                <w:szCs w:val="17"/>
                <w:lang w:eastAsia="en-AU"/>
              </w:rPr>
              <w:t>W'bool</w:t>
            </w:r>
            <w:proofErr w:type="spellEnd"/>
          </w:p>
        </w:tc>
      </w:tr>
      <w:tr w:rsidR="005D44EA" w:rsidRPr="005D44EA" w14:paraId="4333DA7E" w14:textId="77777777" w:rsidTr="005D44EA">
        <w:tc>
          <w:tcPr>
            <w:tcW w:w="1541" w:type="dxa"/>
            <w:shd w:val="clear" w:color="auto" w:fill="FFC000"/>
            <w:vAlign w:val="bottom"/>
          </w:tcPr>
          <w:p w14:paraId="0F1A1862" w14:textId="17415987" w:rsidR="00011863" w:rsidRPr="005D44EA" w:rsidRDefault="00011863" w:rsidP="00011863">
            <w:pPr>
              <w:spacing w:line="276" w:lineRule="auto"/>
              <w:rPr>
                <w:b/>
                <w:sz w:val="17"/>
                <w:szCs w:val="17"/>
                <w:lang w:eastAsia="en-AU"/>
              </w:rPr>
            </w:pPr>
            <w:r w:rsidRPr="005D44EA">
              <w:rPr>
                <w:rFonts w:cs="Arial"/>
                <w:b/>
                <w:color w:val="000000"/>
                <w:sz w:val="17"/>
                <w:szCs w:val="17"/>
                <w:lang w:eastAsia="en-AU"/>
              </w:rPr>
              <w:t>IRSED</w:t>
            </w:r>
          </w:p>
        </w:tc>
        <w:tc>
          <w:tcPr>
            <w:tcW w:w="1011" w:type="dxa"/>
            <w:shd w:val="clear" w:color="auto" w:fill="FFFF00"/>
            <w:vAlign w:val="bottom"/>
          </w:tcPr>
          <w:p w14:paraId="77263167" w14:textId="41144551"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1016</w:t>
            </w:r>
          </w:p>
        </w:tc>
        <w:tc>
          <w:tcPr>
            <w:tcW w:w="1134" w:type="dxa"/>
            <w:vAlign w:val="bottom"/>
          </w:tcPr>
          <w:p w14:paraId="0F423967" w14:textId="41B413E2"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958</w:t>
            </w:r>
          </w:p>
        </w:tc>
        <w:tc>
          <w:tcPr>
            <w:tcW w:w="850" w:type="dxa"/>
            <w:vAlign w:val="bottom"/>
          </w:tcPr>
          <w:p w14:paraId="7AA0D6FE" w14:textId="346BAEAD"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981</w:t>
            </w:r>
          </w:p>
        </w:tc>
        <w:tc>
          <w:tcPr>
            <w:tcW w:w="993" w:type="dxa"/>
            <w:vAlign w:val="bottom"/>
          </w:tcPr>
          <w:p w14:paraId="0764BF6B" w14:textId="2218FA11"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934</w:t>
            </w:r>
          </w:p>
        </w:tc>
        <w:tc>
          <w:tcPr>
            <w:tcW w:w="992" w:type="dxa"/>
            <w:vAlign w:val="bottom"/>
          </w:tcPr>
          <w:p w14:paraId="2B96D459" w14:textId="333E2223"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993</w:t>
            </w:r>
          </w:p>
        </w:tc>
        <w:tc>
          <w:tcPr>
            <w:tcW w:w="992" w:type="dxa"/>
            <w:vAlign w:val="bottom"/>
          </w:tcPr>
          <w:p w14:paraId="6CFE5257" w14:textId="71B068E3"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986</w:t>
            </w:r>
          </w:p>
        </w:tc>
        <w:tc>
          <w:tcPr>
            <w:tcW w:w="851" w:type="dxa"/>
            <w:vAlign w:val="bottom"/>
          </w:tcPr>
          <w:p w14:paraId="3F102A23" w14:textId="17B4B3F2"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934</w:t>
            </w:r>
          </w:p>
        </w:tc>
        <w:tc>
          <w:tcPr>
            <w:tcW w:w="850" w:type="dxa"/>
            <w:vAlign w:val="bottom"/>
          </w:tcPr>
          <w:p w14:paraId="6A2D5861" w14:textId="0A67F88D"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937</w:t>
            </w:r>
          </w:p>
        </w:tc>
        <w:tc>
          <w:tcPr>
            <w:tcW w:w="851" w:type="dxa"/>
            <w:vAlign w:val="bottom"/>
          </w:tcPr>
          <w:p w14:paraId="68A46F02" w14:textId="51B6DE16"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866</w:t>
            </w:r>
          </w:p>
        </w:tc>
        <w:tc>
          <w:tcPr>
            <w:tcW w:w="850" w:type="dxa"/>
            <w:vAlign w:val="bottom"/>
          </w:tcPr>
          <w:p w14:paraId="07437D8A" w14:textId="6F72D9EA"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942</w:t>
            </w:r>
          </w:p>
        </w:tc>
      </w:tr>
      <w:tr w:rsidR="005D44EA" w:rsidRPr="005D44EA" w14:paraId="5D592E1F" w14:textId="77777777" w:rsidTr="005D44EA">
        <w:tc>
          <w:tcPr>
            <w:tcW w:w="1541" w:type="dxa"/>
            <w:shd w:val="clear" w:color="auto" w:fill="FFC000"/>
            <w:vAlign w:val="bottom"/>
          </w:tcPr>
          <w:p w14:paraId="3751F8ED" w14:textId="241EE3BD" w:rsidR="00011863" w:rsidRPr="005D44EA" w:rsidRDefault="00011863" w:rsidP="00011863">
            <w:pPr>
              <w:spacing w:line="276" w:lineRule="auto"/>
              <w:rPr>
                <w:b/>
                <w:sz w:val="17"/>
                <w:szCs w:val="17"/>
                <w:lang w:eastAsia="en-AU"/>
              </w:rPr>
            </w:pPr>
            <w:r w:rsidRPr="005D44EA">
              <w:rPr>
                <w:rFonts w:cs="Arial"/>
                <w:b/>
                <w:color w:val="000000"/>
                <w:sz w:val="17"/>
                <w:szCs w:val="17"/>
                <w:lang w:eastAsia="en-AU"/>
              </w:rPr>
              <w:t>Index</w:t>
            </w:r>
          </w:p>
        </w:tc>
        <w:tc>
          <w:tcPr>
            <w:tcW w:w="1011" w:type="dxa"/>
            <w:shd w:val="clear" w:color="auto" w:fill="FFFF00"/>
            <w:vAlign w:val="bottom"/>
          </w:tcPr>
          <w:p w14:paraId="5EC77E2D" w14:textId="36908000"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 </w:t>
            </w:r>
            <w:r w:rsidR="008F37FD">
              <w:rPr>
                <w:rFonts w:cs="Arial"/>
                <w:color w:val="000000"/>
                <w:sz w:val="17"/>
                <w:szCs w:val="17"/>
                <w:lang w:eastAsia="en-AU"/>
              </w:rPr>
              <w:t>N/A</w:t>
            </w:r>
          </w:p>
        </w:tc>
        <w:tc>
          <w:tcPr>
            <w:tcW w:w="1134" w:type="dxa"/>
            <w:vAlign w:val="bottom"/>
          </w:tcPr>
          <w:p w14:paraId="26407BA3" w14:textId="1B4944A0"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1</w:t>
            </w:r>
          </w:p>
        </w:tc>
        <w:tc>
          <w:tcPr>
            <w:tcW w:w="850" w:type="dxa"/>
            <w:vAlign w:val="bottom"/>
          </w:tcPr>
          <w:p w14:paraId="12D3D64A" w14:textId="64DA67BE"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4</w:t>
            </w:r>
          </w:p>
        </w:tc>
        <w:tc>
          <w:tcPr>
            <w:tcW w:w="993" w:type="dxa"/>
            <w:vAlign w:val="bottom"/>
          </w:tcPr>
          <w:p w14:paraId="63D07F97" w14:textId="29CAD804"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1</w:t>
            </w:r>
          </w:p>
        </w:tc>
        <w:tc>
          <w:tcPr>
            <w:tcW w:w="992" w:type="dxa"/>
            <w:vAlign w:val="bottom"/>
          </w:tcPr>
          <w:p w14:paraId="13D2EE40" w14:textId="65CDCBD2"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5</w:t>
            </w:r>
          </w:p>
        </w:tc>
        <w:tc>
          <w:tcPr>
            <w:tcW w:w="992" w:type="dxa"/>
            <w:vAlign w:val="bottom"/>
          </w:tcPr>
          <w:p w14:paraId="534F7378" w14:textId="2311243D"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5</w:t>
            </w:r>
          </w:p>
        </w:tc>
        <w:tc>
          <w:tcPr>
            <w:tcW w:w="851" w:type="dxa"/>
            <w:vAlign w:val="bottom"/>
          </w:tcPr>
          <w:p w14:paraId="50BBB239" w14:textId="63A7EFAE"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1</w:t>
            </w:r>
          </w:p>
        </w:tc>
        <w:tc>
          <w:tcPr>
            <w:tcW w:w="850" w:type="dxa"/>
            <w:vAlign w:val="bottom"/>
          </w:tcPr>
          <w:p w14:paraId="4BB123E6" w14:textId="3CA2D6E7"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2</w:t>
            </w:r>
          </w:p>
        </w:tc>
        <w:tc>
          <w:tcPr>
            <w:tcW w:w="851" w:type="dxa"/>
            <w:vAlign w:val="bottom"/>
          </w:tcPr>
          <w:p w14:paraId="65BB1DAC" w14:textId="4E1B3CF3"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3</w:t>
            </w:r>
          </w:p>
        </w:tc>
        <w:tc>
          <w:tcPr>
            <w:tcW w:w="850" w:type="dxa"/>
            <w:vAlign w:val="bottom"/>
          </w:tcPr>
          <w:p w14:paraId="566E37A2" w14:textId="05FE18BD"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5</w:t>
            </w:r>
          </w:p>
        </w:tc>
      </w:tr>
      <w:tr w:rsidR="005D44EA" w:rsidRPr="005D44EA" w14:paraId="62535FFD" w14:textId="77777777" w:rsidTr="005D44EA">
        <w:tc>
          <w:tcPr>
            <w:tcW w:w="1541" w:type="dxa"/>
            <w:shd w:val="clear" w:color="auto" w:fill="FFC000"/>
            <w:vAlign w:val="bottom"/>
          </w:tcPr>
          <w:p w14:paraId="414B4729" w14:textId="0007B1B4" w:rsidR="00011863" w:rsidRPr="005D44EA" w:rsidRDefault="00011863" w:rsidP="00011863">
            <w:pPr>
              <w:spacing w:line="276" w:lineRule="auto"/>
              <w:rPr>
                <w:b/>
                <w:sz w:val="17"/>
                <w:szCs w:val="17"/>
                <w:lang w:eastAsia="en-AU"/>
              </w:rPr>
            </w:pPr>
            <w:r w:rsidRPr="005D44EA">
              <w:rPr>
                <w:rFonts w:cs="Arial"/>
                <w:b/>
                <w:color w:val="000000"/>
                <w:sz w:val="17"/>
                <w:szCs w:val="17"/>
                <w:lang w:eastAsia="en-AU"/>
              </w:rPr>
              <w:t>Population</w:t>
            </w:r>
          </w:p>
        </w:tc>
        <w:tc>
          <w:tcPr>
            <w:tcW w:w="1011" w:type="dxa"/>
            <w:shd w:val="clear" w:color="auto" w:fill="FFFF00"/>
            <w:vAlign w:val="bottom"/>
          </w:tcPr>
          <w:p w14:paraId="7FF5B8F2" w14:textId="4238EBDB"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5,354,042</w:t>
            </w:r>
          </w:p>
        </w:tc>
        <w:tc>
          <w:tcPr>
            <w:tcW w:w="1134" w:type="dxa"/>
            <w:vAlign w:val="bottom"/>
          </w:tcPr>
          <w:p w14:paraId="10C51FF1" w14:textId="1CBD0382"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13,243</w:t>
            </w:r>
          </w:p>
        </w:tc>
        <w:tc>
          <w:tcPr>
            <w:tcW w:w="850" w:type="dxa"/>
            <w:vAlign w:val="bottom"/>
          </w:tcPr>
          <w:p w14:paraId="7567161F" w14:textId="1A3C5644"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146,235</w:t>
            </w:r>
          </w:p>
        </w:tc>
        <w:tc>
          <w:tcPr>
            <w:tcW w:w="993" w:type="dxa"/>
            <w:vAlign w:val="bottom"/>
          </w:tcPr>
          <w:p w14:paraId="0EC89E99" w14:textId="17C61F7C"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140,614</w:t>
            </w:r>
          </w:p>
        </w:tc>
        <w:tc>
          <w:tcPr>
            <w:tcW w:w="992" w:type="dxa"/>
            <w:vAlign w:val="bottom"/>
          </w:tcPr>
          <w:p w14:paraId="1DE6AD5D" w14:textId="26B2950A"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250,651</w:t>
            </w:r>
          </w:p>
        </w:tc>
        <w:tc>
          <w:tcPr>
            <w:tcW w:w="992" w:type="dxa"/>
            <w:vAlign w:val="bottom"/>
          </w:tcPr>
          <w:p w14:paraId="66CFA4A6" w14:textId="2C0C74EE"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19,279</w:t>
            </w:r>
          </w:p>
        </w:tc>
        <w:tc>
          <w:tcPr>
            <w:tcW w:w="851" w:type="dxa"/>
            <w:vAlign w:val="bottom"/>
          </w:tcPr>
          <w:p w14:paraId="41790675" w14:textId="74EE8F32"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128,171</w:t>
            </w:r>
          </w:p>
        </w:tc>
        <w:tc>
          <w:tcPr>
            <w:tcW w:w="850" w:type="dxa"/>
            <w:vAlign w:val="bottom"/>
          </w:tcPr>
          <w:p w14:paraId="5AF99D28" w14:textId="7EF86EF7"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124,894</w:t>
            </w:r>
          </w:p>
        </w:tc>
        <w:tc>
          <w:tcPr>
            <w:tcW w:w="851" w:type="dxa"/>
            <w:vAlign w:val="bottom"/>
          </w:tcPr>
          <w:p w14:paraId="350EDB87" w14:textId="1BC5F909"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39,705</w:t>
            </w:r>
          </w:p>
        </w:tc>
        <w:tc>
          <w:tcPr>
            <w:tcW w:w="850" w:type="dxa"/>
            <w:vAlign w:val="bottom"/>
          </w:tcPr>
          <w:p w14:paraId="16089546" w14:textId="14EF9920"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120,659</w:t>
            </w:r>
          </w:p>
        </w:tc>
      </w:tr>
      <w:tr w:rsidR="005D44EA" w:rsidRPr="005D44EA" w14:paraId="0B047827" w14:textId="77777777" w:rsidTr="005D44EA">
        <w:tc>
          <w:tcPr>
            <w:tcW w:w="1541" w:type="dxa"/>
            <w:shd w:val="clear" w:color="auto" w:fill="FFC000"/>
            <w:vAlign w:val="bottom"/>
          </w:tcPr>
          <w:p w14:paraId="33966AA4" w14:textId="46D225B5" w:rsidR="00011863" w:rsidRPr="005D44EA" w:rsidRDefault="00011863" w:rsidP="00011863">
            <w:pPr>
              <w:spacing w:line="276" w:lineRule="auto"/>
              <w:rPr>
                <w:b/>
                <w:sz w:val="17"/>
                <w:szCs w:val="17"/>
                <w:lang w:eastAsia="en-AU"/>
              </w:rPr>
            </w:pPr>
            <w:r w:rsidRPr="005D44EA">
              <w:rPr>
                <w:rFonts w:cs="Arial"/>
                <w:b/>
                <w:color w:val="000000"/>
                <w:sz w:val="17"/>
                <w:szCs w:val="17"/>
                <w:lang w:eastAsia="en-AU"/>
              </w:rPr>
              <w:t>ATSI population</w:t>
            </w:r>
          </w:p>
        </w:tc>
        <w:tc>
          <w:tcPr>
            <w:tcW w:w="1011" w:type="dxa"/>
            <w:shd w:val="clear" w:color="auto" w:fill="FFFF00"/>
            <w:vAlign w:val="bottom"/>
          </w:tcPr>
          <w:p w14:paraId="2C85E77A" w14:textId="06FD7CBB"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37,990</w:t>
            </w:r>
          </w:p>
        </w:tc>
        <w:tc>
          <w:tcPr>
            <w:tcW w:w="1134" w:type="dxa"/>
            <w:vAlign w:val="bottom"/>
          </w:tcPr>
          <w:p w14:paraId="280DFB41" w14:textId="45A6BB98"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543</w:t>
            </w:r>
          </w:p>
        </w:tc>
        <w:tc>
          <w:tcPr>
            <w:tcW w:w="850" w:type="dxa"/>
            <w:vAlign w:val="bottom"/>
          </w:tcPr>
          <w:p w14:paraId="3B6CAE7A" w14:textId="28778FC3"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1596</w:t>
            </w:r>
          </w:p>
        </w:tc>
        <w:tc>
          <w:tcPr>
            <w:tcW w:w="993" w:type="dxa"/>
            <w:vAlign w:val="bottom"/>
          </w:tcPr>
          <w:p w14:paraId="536E4B32" w14:textId="0DD2E1A4"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1811</w:t>
            </w:r>
          </w:p>
        </w:tc>
        <w:tc>
          <w:tcPr>
            <w:tcW w:w="992" w:type="dxa"/>
            <w:vAlign w:val="bottom"/>
          </w:tcPr>
          <w:p w14:paraId="4733B551" w14:textId="6E271416"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2010</w:t>
            </w:r>
          </w:p>
        </w:tc>
        <w:tc>
          <w:tcPr>
            <w:tcW w:w="992" w:type="dxa"/>
            <w:vAlign w:val="bottom"/>
          </w:tcPr>
          <w:p w14:paraId="7769BA77" w14:textId="6C3A8314"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281</w:t>
            </w:r>
          </w:p>
        </w:tc>
        <w:tc>
          <w:tcPr>
            <w:tcW w:w="851" w:type="dxa"/>
            <w:vAlign w:val="bottom"/>
          </w:tcPr>
          <w:p w14:paraId="4947A4F1" w14:textId="1BC39678"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3434</w:t>
            </w:r>
          </w:p>
        </w:tc>
        <w:tc>
          <w:tcPr>
            <w:tcW w:w="850" w:type="dxa"/>
            <w:vAlign w:val="bottom"/>
          </w:tcPr>
          <w:p w14:paraId="5C8F7AFB" w14:textId="39704B57"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3297</w:t>
            </w:r>
          </w:p>
        </w:tc>
        <w:tc>
          <w:tcPr>
            <w:tcW w:w="851" w:type="dxa"/>
            <w:vAlign w:val="bottom"/>
          </w:tcPr>
          <w:p w14:paraId="076DC953" w14:textId="240728F7"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655</w:t>
            </w:r>
          </w:p>
        </w:tc>
        <w:tc>
          <w:tcPr>
            <w:tcW w:w="850" w:type="dxa"/>
            <w:vAlign w:val="bottom"/>
          </w:tcPr>
          <w:p w14:paraId="19D13C56" w14:textId="41BB55D6"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1580</w:t>
            </w:r>
          </w:p>
        </w:tc>
      </w:tr>
      <w:tr w:rsidR="005D44EA" w:rsidRPr="005D44EA" w14:paraId="7F0E3043" w14:textId="77777777" w:rsidTr="005D44EA">
        <w:tc>
          <w:tcPr>
            <w:tcW w:w="1541" w:type="dxa"/>
            <w:shd w:val="clear" w:color="auto" w:fill="FFC000"/>
            <w:vAlign w:val="bottom"/>
          </w:tcPr>
          <w:p w14:paraId="45821987" w14:textId="4AD8BEDE" w:rsidR="00011863" w:rsidRPr="005D44EA" w:rsidRDefault="00011863" w:rsidP="00011863">
            <w:pPr>
              <w:spacing w:line="276" w:lineRule="auto"/>
              <w:rPr>
                <w:b/>
                <w:sz w:val="17"/>
                <w:szCs w:val="17"/>
                <w:lang w:eastAsia="en-AU"/>
              </w:rPr>
            </w:pPr>
            <w:r w:rsidRPr="005D44EA">
              <w:rPr>
                <w:rFonts w:cs="Arial"/>
                <w:b/>
                <w:color w:val="000000"/>
                <w:sz w:val="17"/>
                <w:szCs w:val="17"/>
                <w:lang w:eastAsia="en-AU"/>
              </w:rPr>
              <w:lastRenderedPageBreak/>
              <w:t>ATSI pop %</w:t>
            </w:r>
          </w:p>
        </w:tc>
        <w:tc>
          <w:tcPr>
            <w:tcW w:w="1011" w:type="dxa"/>
            <w:shd w:val="clear" w:color="auto" w:fill="FFFF00"/>
            <w:vAlign w:val="bottom"/>
          </w:tcPr>
          <w:p w14:paraId="2B1A3413" w14:textId="781F3977"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0.70%</w:t>
            </w:r>
          </w:p>
        </w:tc>
        <w:tc>
          <w:tcPr>
            <w:tcW w:w="1134" w:type="dxa"/>
            <w:vAlign w:val="bottom"/>
          </w:tcPr>
          <w:p w14:paraId="274C8330" w14:textId="60EC7CDE"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4.10%</w:t>
            </w:r>
          </w:p>
        </w:tc>
        <w:tc>
          <w:tcPr>
            <w:tcW w:w="850" w:type="dxa"/>
            <w:vAlign w:val="bottom"/>
          </w:tcPr>
          <w:p w14:paraId="3D518A73" w14:textId="6B7F4D8D"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1.10%</w:t>
            </w:r>
          </w:p>
        </w:tc>
        <w:tc>
          <w:tcPr>
            <w:tcW w:w="993" w:type="dxa"/>
            <w:vAlign w:val="bottom"/>
          </w:tcPr>
          <w:p w14:paraId="7C393896" w14:textId="0DCF1290"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1.30%</w:t>
            </w:r>
          </w:p>
        </w:tc>
        <w:tc>
          <w:tcPr>
            <w:tcW w:w="992" w:type="dxa"/>
            <w:vAlign w:val="bottom"/>
          </w:tcPr>
          <w:p w14:paraId="4740D065" w14:textId="5C07C6FF"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0.80%</w:t>
            </w:r>
          </w:p>
        </w:tc>
        <w:tc>
          <w:tcPr>
            <w:tcW w:w="992" w:type="dxa"/>
            <w:vAlign w:val="bottom"/>
          </w:tcPr>
          <w:p w14:paraId="1EE7E336" w14:textId="316A16AE"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1.50%</w:t>
            </w:r>
          </w:p>
        </w:tc>
        <w:tc>
          <w:tcPr>
            <w:tcW w:w="851" w:type="dxa"/>
            <w:vAlign w:val="bottom"/>
          </w:tcPr>
          <w:p w14:paraId="3A3CD864" w14:textId="4DF4D638"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2.70%</w:t>
            </w:r>
          </w:p>
        </w:tc>
        <w:tc>
          <w:tcPr>
            <w:tcW w:w="850" w:type="dxa"/>
            <w:vAlign w:val="bottom"/>
          </w:tcPr>
          <w:p w14:paraId="4B463E95" w14:textId="44CB0759"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2.60%</w:t>
            </w:r>
          </w:p>
        </w:tc>
        <w:tc>
          <w:tcPr>
            <w:tcW w:w="851" w:type="dxa"/>
            <w:vAlign w:val="bottom"/>
          </w:tcPr>
          <w:p w14:paraId="60DBB431" w14:textId="3BE5B57A"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1.66%</w:t>
            </w:r>
          </w:p>
        </w:tc>
        <w:tc>
          <w:tcPr>
            <w:tcW w:w="850" w:type="dxa"/>
            <w:vAlign w:val="bottom"/>
          </w:tcPr>
          <w:p w14:paraId="679CA260" w14:textId="766FE27B"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1.30%</w:t>
            </w:r>
          </w:p>
        </w:tc>
      </w:tr>
      <w:tr w:rsidR="005D44EA" w:rsidRPr="005D44EA" w14:paraId="7664C5C9" w14:textId="77777777" w:rsidTr="005D44EA">
        <w:tc>
          <w:tcPr>
            <w:tcW w:w="1541" w:type="dxa"/>
            <w:shd w:val="clear" w:color="auto" w:fill="FFC000"/>
            <w:vAlign w:val="bottom"/>
          </w:tcPr>
          <w:p w14:paraId="5E5E700D" w14:textId="3D508EBB" w:rsidR="00011863" w:rsidRPr="005D44EA" w:rsidRDefault="00011863" w:rsidP="00011863">
            <w:pPr>
              <w:spacing w:line="276" w:lineRule="auto"/>
              <w:rPr>
                <w:b/>
                <w:sz w:val="17"/>
                <w:szCs w:val="17"/>
                <w:lang w:eastAsia="en-AU"/>
              </w:rPr>
            </w:pPr>
            <w:proofErr w:type="spellStart"/>
            <w:r w:rsidRPr="005D44EA">
              <w:rPr>
                <w:rFonts w:cs="Arial"/>
                <w:b/>
                <w:color w:val="000000"/>
                <w:sz w:val="17"/>
                <w:szCs w:val="17"/>
                <w:lang w:eastAsia="en-AU"/>
              </w:rPr>
              <w:t>avg</w:t>
            </w:r>
            <w:proofErr w:type="spellEnd"/>
            <w:r w:rsidRPr="005D44EA">
              <w:rPr>
                <w:rFonts w:cs="Arial"/>
                <w:b/>
                <w:color w:val="000000"/>
                <w:sz w:val="17"/>
                <w:szCs w:val="17"/>
                <w:lang w:eastAsia="en-AU"/>
              </w:rPr>
              <w:t xml:space="preserve"> weekly h/hold income ATSI</w:t>
            </w:r>
          </w:p>
        </w:tc>
        <w:tc>
          <w:tcPr>
            <w:tcW w:w="1011" w:type="dxa"/>
            <w:shd w:val="clear" w:color="auto" w:fill="FFFF00"/>
            <w:vAlign w:val="bottom"/>
          </w:tcPr>
          <w:p w14:paraId="67FD8A59" w14:textId="56807420"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$962</w:t>
            </w:r>
          </w:p>
        </w:tc>
        <w:tc>
          <w:tcPr>
            <w:tcW w:w="1134" w:type="dxa"/>
            <w:vAlign w:val="bottom"/>
          </w:tcPr>
          <w:p w14:paraId="04B15A31" w14:textId="18F3C173"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$727</w:t>
            </w:r>
          </w:p>
        </w:tc>
        <w:tc>
          <w:tcPr>
            <w:tcW w:w="850" w:type="dxa"/>
            <w:vAlign w:val="bottom"/>
          </w:tcPr>
          <w:p w14:paraId="22DDC5D2" w14:textId="5A5119BD"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$784</w:t>
            </w:r>
          </w:p>
        </w:tc>
        <w:tc>
          <w:tcPr>
            <w:tcW w:w="993" w:type="dxa"/>
            <w:vAlign w:val="bottom"/>
          </w:tcPr>
          <w:p w14:paraId="30FACFB9" w14:textId="74555401"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$787</w:t>
            </w:r>
          </w:p>
        </w:tc>
        <w:tc>
          <w:tcPr>
            <w:tcW w:w="992" w:type="dxa"/>
            <w:vAlign w:val="bottom"/>
          </w:tcPr>
          <w:p w14:paraId="1521A65C" w14:textId="08849D3B"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$968</w:t>
            </w:r>
          </w:p>
        </w:tc>
        <w:tc>
          <w:tcPr>
            <w:tcW w:w="992" w:type="dxa"/>
            <w:vAlign w:val="bottom"/>
          </w:tcPr>
          <w:p w14:paraId="5EE65C2B" w14:textId="6290A571"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$781</w:t>
            </w:r>
          </w:p>
        </w:tc>
        <w:tc>
          <w:tcPr>
            <w:tcW w:w="851" w:type="dxa"/>
            <w:vAlign w:val="bottom"/>
          </w:tcPr>
          <w:p w14:paraId="20FFBC28" w14:textId="6227C50D"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$704</w:t>
            </w:r>
          </w:p>
        </w:tc>
        <w:tc>
          <w:tcPr>
            <w:tcW w:w="850" w:type="dxa"/>
            <w:vAlign w:val="bottom"/>
          </w:tcPr>
          <w:p w14:paraId="0DE21D1B" w14:textId="2ABF7E3B"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$740</w:t>
            </w:r>
          </w:p>
        </w:tc>
        <w:tc>
          <w:tcPr>
            <w:tcW w:w="851" w:type="dxa"/>
            <w:vAlign w:val="bottom"/>
          </w:tcPr>
          <w:p w14:paraId="36834EBB" w14:textId="0F5A769A"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$827.00</w:t>
            </w:r>
          </w:p>
        </w:tc>
        <w:tc>
          <w:tcPr>
            <w:tcW w:w="850" w:type="dxa"/>
            <w:vAlign w:val="bottom"/>
          </w:tcPr>
          <w:p w14:paraId="66701F11" w14:textId="1C84AB45"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$795.00</w:t>
            </w:r>
          </w:p>
        </w:tc>
      </w:tr>
      <w:tr w:rsidR="005D44EA" w:rsidRPr="005D44EA" w14:paraId="2C7D974E" w14:textId="77777777" w:rsidTr="005D44EA">
        <w:tc>
          <w:tcPr>
            <w:tcW w:w="1541" w:type="dxa"/>
            <w:shd w:val="clear" w:color="auto" w:fill="FFC000"/>
            <w:vAlign w:val="bottom"/>
          </w:tcPr>
          <w:p w14:paraId="13049E78" w14:textId="28AB27D2" w:rsidR="00011863" w:rsidRPr="005D44EA" w:rsidRDefault="00011863" w:rsidP="00011863">
            <w:pPr>
              <w:spacing w:line="276" w:lineRule="auto"/>
              <w:rPr>
                <w:b/>
                <w:sz w:val="17"/>
                <w:szCs w:val="17"/>
                <w:lang w:eastAsia="en-AU"/>
              </w:rPr>
            </w:pPr>
            <w:proofErr w:type="spellStart"/>
            <w:r w:rsidRPr="005D44EA">
              <w:rPr>
                <w:rFonts w:cs="Arial"/>
                <w:b/>
                <w:color w:val="000000"/>
                <w:sz w:val="17"/>
                <w:szCs w:val="17"/>
                <w:lang w:eastAsia="en-AU"/>
              </w:rPr>
              <w:t>avg</w:t>
            </w:r>
            <w:proofErr w:type="spellEnd"/>
            <w:r w:rsidRPr="005D44EA">
              <w:rPr>
                <w:rFonts w:cs="Arial"/>
                <w:b/>
                <w:color w:val="000000"/>
                <w:sz w:val="17"/>
                <w:szCs w:val="17"/>
                <w:lang w:eastAsia="en-AU"/>
              </w:rPr>
              <w:t xml:space="preserve"> weekly h/hold income</w:t>
            </w:r>
          </w:p>
        </w:tc>
        <w:tc>
          <w:tcPr>
            <w:tcW w:w="1011" w:type="dxa"/>
            <w:shd w:val="clear" w:color="auto" w:fill="FFFF00"/>
            <w:vAlign w:val="bottom"/>
          </w:tcPr>
          <w:p w14:paraId="33400B2E" w14:textId="49236E24"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$1,216</w:t>
            </w:r>
          </w:p>
        </w:tc>
        <w:tc>
          <w:tcPr>
            <w:tcW w:w="1134" w:type="dxa"/>
            <w:vAlign w:val="bottom"/>
          </w:tcPr>
          <w:p w14:paraId="3AF9B648" w14:textId="6F454686"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$840</w:t>
            </w:r>
          </w:p>
        </w:tc>
        <w:tc>
          <w:tcPr>
            <w:tcW w:w="850" w:type="dxa"/>
            <w:vAlign w:val="bottom"/>
          </w:tcPr>
          <w:p w14:paraId="18D2C871" w14:textId="4FAF6EA7"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$935</w:t>
            </w:r>
          </w:p>
        </w:tc>
        <w:tc>
          <w:tcPr>
            <w:tcW w:w="993" w:type="dxa"/>
            <w:vAlign w:val="bottom"/>
          </w:tcPr>
          <w:p w14:paraId="69605A2F" w14:textId="1834CCC5"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$934</w:t>
            </w:r>
          </w:p>
        </w:tc>
        <w:tc>
          <w:tcPr>
            <w:tcW w:w="992" w:type="dxa"/>
            <w:vAlign w:val="bottom"/>
          </w:tcPr>
          <w:p w14:paraId="2D0CD5C3" w14:textId="3CA05BB6"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$1,079</w:t>
            </w:r>
          </w:p>
        </w:tc>
        <w:tc>
          <w:tcPr>
            <w:tcW w:w="992" w:type="dxa"/>
            <w:vAlign w:val="bottom"/>
          </w:tcPr>
          <w:p w14:paraId="0A62B522" w14:textId="6EEB2D28"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$946</w:t>
            </w:r>
          </w:p>
        </w:tc>
        <w:tc>
          <w:tcPr>
            <w:tcW w:w="851" w:type="dxa"/>
            <w:vAlign w:val="bottom"/>
          </w:tcPr>
          <w:p w14:paraId="3070B3B0" w14:textId="4F3041C7"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$853</w:t>
            </w:r>
          </w:p>
        </w:tc>
        <w:tc>
          <w:tcPr>
            <w:tcW w:w="850" w:type="dxa"/>
            <w:vAlign w:val="bottom"/>
          </w:tcPr>
          <w:p w14:paraId="6EAA2F04" w14:textId="09585F04"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$914</w:t>
            </w:r>
          </w:p>
        </w:tc>
        <w:tc>
          <w:tcPr>
            <w:tcW w:w="851" w:type="dxa"/>
            <w:vAlign w:val="bottom"/>
          </w:tcPr>
          <w:p w14:paraId="11DAA29E" w14:textId="1E41C943"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$962.00</w:t>
            </w:r>
          </w:p>
        </w:tc>
        <w:tc>
          <w:tcPr>
            <w:tcW w:w="850" w:type="dxa"/>
            <w:vAlign w:val="bottom"/>
          </w:tcPr>
          <w:p w14:paraId="0B9D4C1C" w14:textId="5CD2DAA4"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$951.00</w:t>
            </w:r>
          </w:p>
        </w:tc>
      </w:tr>
      <w:tr w:rsidR="005D44EA" w:rsidRPr="005D44EA" w14:paraId="789E632D" w14:textId="77777777" w:rsidTr="005D44EA">
        <w:tc>
          <w:tcPr>
            <w:tcW w:w="1541" w:type="dxa"/>
            <w:shd w:val="clear" w:color="auto" w:fill="FFC000"/>
            <w:vAlign w:val="bottom"/>
          </w:tcPr>
          <w:p w14:paraId="07BBDE7E" w14:textId="201AB479" w:rsidR="00011863" w:rsidRPr="005D44EA" w:rsidRDefault="00011863" w:rsidP="00011863">
            <w:pPr>
              <w:spacing w:line="276" w:lineRule="auto"/>
              <w:rPr>
                <w:b/>
                <w:sz w:val="17"/>
                <w:szCs w:val="17"/>
                <w:lang w:eastAsia="en-AU"/>
              </w:rPr>
            </w:pPr>
            <w:r w:rsidRPr="005D44EA">
              <w:rPr>
                <w:rFonts w:cs="Arial"/>
                <w:b/>
                <w:color w:val="000000"/>
                <w:sz w:val="17"/>
                <w:szCs w:val="17"/>
                <w:lang w:eastAsia="en-AU"/>
              </w:rPr>
              <w:t>Unemployment</w:t>
            </w:r>
          </w:p>
        </w:tc>
        <w:tc>
          <w:tcPr>
            <w:tcW w:w="1011" w:type="dxa"/>
            <w:shd w:val="clear" w:color="auto" w:fill="FFFF00"/>
            <w:vAlign w:val="bottom"/>
          </w:tcPr>
          <w:p w14:paraId="4D533B79" w14:textId="3B8A5934"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5.40%</w:t>
            </w:r>
          </w:p>
        </w:tc>
        <w:tc>
          <w:tcPr>
            <w:tcW w:w="1134" w:type="dxa"/>
            <w:vAlign w:val="bottom"/>
          </w:tcPr>
          <w:p w14:paraId="0D1D778A" w14:textId="458CF229"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8.40%</w:t>
            </w:r>
          </w:p>
        </w:tc>
        <w:tc>
          <w:tcPr>
            <w:tcW w:w="850" w:type="dxa"/>
            <w:vAlign w:val="bottom"/>
          </w:tcPr>
          <w:p w14:paraId="3E7F8FCC" w14:textId="4B32F9AB"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5.80%</w:t>
            </w:r>
          </w:p>
        </w:tc>
        <w:tc>
          <w:tcPr>
            <w:tcW w:w="993" w:type="dxa"/>
            <w:vAlign w:val="bottom"/>
          </w:tcPr>
          <w:p w14:paraId="3EBC5475" w14:textId="7DA0E8BD"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5.20%</w:t>
            </w:r>
          </w:p>
        </w:tc>
        <w:tc>
          <w:tcPr>
            <w:tcW w:w="992" w:type="dxa"/>
            <w:vAlign w:val="bottom"/>
          </w:tcPr>
          <w:p w14:paraId="5A00F40E" w14:textId="210D8FC6"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5.30%</w:t>
            </w:r>
          </w:p>
        </w:tc>
        <w:tc>
          <w:tcPr>
            <w:tcW w:w="992" w:type="dxa"/>
            <w:vAlign w:val="bottom"/>
          </w:tcPr>
          <w:p w14:paraId="719F97F9" w14:textId="2051752D"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3.60%</w:t>
            </w:r>
          </w:p>
        </w:tc>
        <w:tc>
          <w:tcPr>
            <w:tcW w:w="851" w:type="dxa"/>
            <w:vAlign w:val="bottom"/>
          </w:tcPr>
          <w:p w14:paraId="129611F6" w14:textId="7008F571"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5.00%</w:t>
            </w:r>
          </w:p>
        </w:tc>
        <w:tc>
          <w:tcPr>
            <w:tcW w:w="850" w:type="dxa"/>
            <w:vAlign w:val="bottom"/>
          </w:tcPr>
          <w:p w14:paraId="223BD06D" w14:textId="22BCF5CD"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5.10%</w:t>
            </w:r>
          </w:p>
        </w:tc>
        <w:tc>
          <w:tcPr>
            <w:tcW w:w="851" w:type="dxa"/>
            <w:vAlign w:val="bottom"/>
          </w:tcPr>
          <w:p w14:paraId="6BB7B911" w14:textId="462E75CA"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7.60%</w:t>
            </w:r>
          </w:p>
        </w:tc>
        <w:tc>
          <w:tcPr>
            <w:tcW w:w="850" w:type="dxa"/>
            <w:vAlign w:val="bottom"/>
          </w:tcPr>
          <w:p w14:paraId="0243A85B" w14:textId="7F69A8AF"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4.10%</w:t>
            </w:r>
          </w:p>
        </w:tc>
      </w:tr>
      <w:tr w:rsidR="005D44EA" w:rsidRPr="005D44EA" w14:paraId="3ABE41AA" w14:textId="77777777" w:rsidTr="005D44EA">
        <w:tc>
          <w:tcPr>
            <w:tcW w:w="1541" w:type="dxa"/>
            <w:shd w:val="clear" w:color="auto" w:fill="FFC000"/>
            <w:vAlign w:val="bottom"/>
          </w:tcPr>
          <w:p w14:paraId="5FE657C4" w14:textId="13794DC5" w:rsidR="00011863" w:rsidRPr="005D44EA" w:rsidRDefault="00011863" w:rsidP="00011863">
            <w:pPr>
              <w:spacing w:line="276" w:lineRule="auto"/>
              <w:rPr>
                <w:b/>
                <w:sz w:val="17"/>
                <w:szCs w:val="17"/>
                <w:lang w:eastAsia="en-AU"/>
              </w:rPr>
            </w:pPr>
            <w:r w:rsidRPr="005D44EA">
              <w:rPr>
                <w:rFonts w:cs="Arial"/>
                <w:b/>
                <w:color w:val="000000"/>
                <w:sz w:val="17"/>
                <w:szCs w:val="17"/>
                <w:lang w:eastAsia="en-AU"/>
              </w:rPr>
              <w:t>1 parent families</w:t>
            </w:r>
          </w:p>
        </w:tc>
        <w:tc>
          <w:tcPr>
            <w:tcW w:w="1011" w:type="dxa"/>
            <w:shd w:val="clear" w:color="auto" w:fill="FFFF00"/>
            <w:vAlign w:val="bottom"/>
          </w:tcPr>
          <w:p w14:paraId="22C1D89D" w14:textId="2FA92C59"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15.50%</w:t>
            </w:r>
          </w:p>
        </w:tc>
        <w:tc>
          <w:tcPr>
            <w:tcW w:w="1134" w:type="dxa"/>
            <w:vAlign w:val="bottom"/>
          </w:tcPr>
          <w:p w14:paraId="019FD3C8" w14:textId="08172B80"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18.80%</w:t>
            </w:r>
          </w:p>
        </w:tc>
        <w:tc>
          <w:tcPr>
            <w:tcW w:w="850" w:type="dxa"/>
            <w:vAlign w:val="bottom"/>
          </w:tcPr>
          <w:p w14:paraId="6B8C63D7" w14:textId="7BEC86D1"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17.40%</w:t>
            </w:r>
          </w:p>
        </w:tc>
        <w:tc>
          <w:tcPr>
            <w:tcW w:w="993" w:type="dxa"/>
            <w:vAlign w:val="bottom"/>
          </w:tcPr>
          <w:p w14:paraId="03DF1430" w14:textId="3BFCFE68"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17.80%</w:t>
            </w:r>
          </w:p>
        </w:tc>
        <w:tc>
          <w:tcPr>
            <w:tcW w:w="992" w:type="dxa"/>
            <w:vAlign w:val="bottom"/>
          </w:tcPr>
          <w:p w14:paraId="201635CE" w14:textId="73B8A6A2"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16.30%</w:t>
            </w:r>
          </w:p>
        </w:tc>
        <w:tc>
          <w:tcPr>
            <w:tcW w:w="992" w:type="dxa"/>
            <w:vAlign w:val="bottom"/>
          </w:tcPr>
          <w:p w14:paraId="0F1AD470" w14:textId="0DDD804D"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15.40%</w:t>
            </w:r>
          </w:p>
        </w:tc>
        <w:tc>
          <w:tcPr>
            <w:tcW w:w="851" w:type="dxa"/>
            <w:vAlign w:val="bottom"/>
          </w:tcPr>
          <w:p w14:paraId="135493CC" w14:textId="058FCFBC"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15.40%</w:t>
            </w:r>
          </w:p>
        </w:tc>
        <w:tc>
          <w:tcPr>
            <w:tcW w:w="850" w:type="dxa"/>
            <w:vAlign w:val="bottom"/>
          </w:tcPr>
          <w:p w14:paraId="2EB6BB0C" w14:textId="792116E4"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16.00%</w:t>
            </w:r>
          </w:p>
        </w:tc>
        <w:tc>
          <w:tcPr>
            <w:tcW w:w="851" w:type="dxa"/>
            <w:vAlign w:val="bottom"/>
          </w:tcPr>
          <w:p w14:paraId="33328F35" w14:textId="0578207E"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19.60%</w:t>
            </w:r>
          </w:p>
        </w:tc>
        <w:tc>
          <w:tcPr>
            <w:tcW w:w="850" w:type="dxa"/>
            <w:vAlign w:val="bottom"/>
          </w:tcPr>
          <w:p w14:paraId="35ACA18C" w14:textId="6C833865" w:rsidR="00011863" w:rsidRPr="005D44EA" w:rsidRDefault="00011863" w:rsidP="00011863">
            <w:pPr>
              <w:spacing w:line="276" w:lineRule="auto"/>
              <w:rPr>
                <w:b/>
                <w:sz w:val="17"/>
                <w:szCs w:val="17"/>
                <w:lang w:eastAsia="en-AU"/>
              </w:rPr>
            </w:pPr>
            <w:r w:rsidRPr="005D44EA">
              <w:rPr>
                <w:rFonts w:cs="Arial"/>
                <w:color w:val="000000"/>
                <w:sz w:val="17"/>
                <w:szCs w:val="17"/>
                <w:lang w:eastAsia="en-AU"/>
              </w:rPr>
              <w:t>14.80%</w:t>
            </w:r>
          </w:p>
        </w:tc>
      </w:tr>
    </w:tbl>
    <w:p w14:paraId="6B1D1E5B" w14:textId="1F2640F3" w:rsidR="00D31537" w:rsidRDefault="00D31537" w:rsidP="00086408">
      <w:pPr>
        <w:spacing w:line="276" w:lineRule="auto"/>
        <w:rPr>
          <w:lang w:eastAsia="en-AU"/>
        </w:rPr>
      </w:pPr>
    </w:p>
    <w:p w14:paraId="572275DA" w14:textId="77777777" w:rsidR="00D31537" w:rsidRDefault="00D31537" w:rsidP="00086408">
      <w:pPr>
        <w:spacing w:before="0" w:after="0" w:line="276" w:lineRule="auto"/>
        <w:rPr>
          <w:lang w:eastAsia="en-AU"/>
        </w:rPr>
      </w:pPr>
      <w:r>
        <w:rPr>
          <w:lang w:eastAsia="en-AU"/>
        </w:rPr>
        <w:br w:type="page"/>
      </w:r>
    </w:p>
    <w:p w14:paraId="6608A7CC" w14:textId="022A51C3" w:rsidR="00D31537" w:rsidRPr="009241A7" w:rsidRDefault="00D31537" w:rsidP="001E4493">
      <w:pPr>
        <w:pStyle w:val="Heading1"/>
        <w:spacing w:line="276" w:lineRule="auto"/>
      </w:pPr>
      <w:bookmarkStart w:id="58" w:name="_Annexure_2_–"/>
      <w:bookmarkStart w:id="59" w:name="_Toc465244434"/>
      <w:bookmarkEnd w:id="58"/>
      <w:r>
        <w:lastRenderedPageBreak/>
        <w:t>Annexure 2</w:t>
      </w:r>
      <w:r w:rsidR="00D15DE8">
        <w:t xml:space="preserve"> – Comparative of a</w:t>
      </w:r>
      <w:r w:rsidR="00E97014">
        <w:t>ssistance provided by Australian Legal Aid Commissions</w:t>
      </w:r>
      <w:bookmarkEnd w:id="59"/>
    </w:p>
    <w:tbl>
      <w:tblPr>
        <w:tblStyle w:val="TableGrid11"/>
        <w:tblW w:w="9351" w:type="dxa"/>
        <w:tblLook w:val="04A0" w:firstRow="1" w:lastRow="0" w:firstColumn="1" w:lastColumn="0" w:noHBand="0" w:noVBand="1"/>
      </w:tblPr>
      <w:tblGrid>
        <w:gridCol w:w="3005"/>
        <w:gridCol w:w="3005"/>
        <w:gridCol w:w="3341"/>
      </w:tblGrid>
      <w:tr w:rsidR="005F01EB" w:rsidRPr="005F01EB" w14:paraId="6B8977C8" w14:textId="77777777" w:rsidTr="001E4493">
        <w:trPr>
          <w:tblHeader/>
        </w:trPr>
        <w:tc>
          <w:tcPr>
            <w:tcW w:w="3005" w:type="dxa"/>
            <w:shd w:val="pct12" w:color="auto" w:fill="auto"/>
          </w:tcPr>
          <w:p w14:paraId="751A1D64" w14:textId="77777777" w:rsidR="005F01EB" w:rsidRPr="005F01EB" w:rsidRDefault="005F01EB" w:rsidP="001E4493">
            <w:pPr>
              <w:spacing w:before="0" w:after="160" w:line="276" w:lineRule="auto"/>
              <w:jc w:val="left"/>
              <w:rPr>
                <w:rFonts w:eastAsiaTheme="minorEastAsia" w:cs="Arial"/>
                <w:b/>
                <w:szCs w:val="22"/>
                <w:lang w:eastAsia="en-AU"/>
              </w:rPr>
            </w:pPr>
            <w:r w:rsidRPr="005F01EB">
              <w:rPr>
                <w:rFonts w:eastAsiaTheme="minorEastAsia" w:cs="Arial"/>
                <w:b/>
                <w:szCs w:val="22"/>
                <w:lang w:eastAsia="en-AU"/>
              </w:rPr>
              <w:t>Jurisdiction, Principal Act, Relevant Amendments</w:t>
            </w:r>
          </w:p>
        </w:tc>
        <w:tc>
          <w:tcPr>
            <w:tcW w:w="3005" w:type="dxa"/>
            <w:shd w:val="pct12" w:color="auto" w:fill="auto"/>
          </w:tcPr>
          <w:p w14:paraId="05E66ED5" w14:textId="77777777" w:rsidR="005F01EB" w:rsidRPr="005F01EB" w:rsidRDefault="005F01EB" w:rsidP="001E4493">
            <w:pPr>
              <w:spacing w:before="0" w:after="160" w:line="276" w:lineRule="auto"/>
              <w:jc w:val="left"/>
              <w:rPr>
                <w:rFonts w:eastAsiaTheme="minorEastAsia" w:cs="Arial"/>
                <w:b/>
                <w:szCs w:val="22"/>
                <w:lang w:eastAsia="en-AU"/>
              </w:rPr>
            </w:pPr>
            <w:r w:rsidRPr="005F01EB">
              <w:rPr>
                <w:rFonts w:eastAsiaTheme="minorEastAsia" w:cs="Arial"/>
                <w:b/>
                <w:szCs w:val="22"/>
                <w:lang w:eastAsia="en-AU"/>
              </w:rPr>
              <w:t>Key Principles Guiding the Legislation/Matters of note</w:t>
            </w:r>
          </w:p>
        </w:tc>
        <w:tc>
          <w:tcPr>
            <w:tcW w:w="3341" w:type="dxa"/>
            <w:shd w:val="pct12" w:color="auto" w:fill="auto"/>
          </w:tcPr>
          <w:p w14:paraId="74368B43" w14:textId="77777777" w:rsidR="005F01EB" w:rsidRPr="005F01EB" w:rsidRDefault="005F01EB" w:rsidP="001E4493">
            <w:pPr>
              <w:spacing w:before="0" w:after="160" w:line="276" w:lineRule="auto"/>
              <w:jc w:val="left"/>
              <w:rPr>
                <w:rFonts w:eastAsiaTheme="minorEastAsia" w:cs="Arial"/>
                <w:b/>
                <w:szCs w:val="22"/>
                <w:lang w:eastAsia="en-AU"/>
              </w:rPr>
            </w:pPr>
            <w:r w:rsidRPr="005F01EB">
              <w:rPr>
                <w:rFonts w:eastAsiaTheme="minorEastAsia" w:cs="Arial"/>
                <w:b/>
                <w:szCs w:val="22"/>
                <w:lang w:eastAsia="en-AU"/>
              </w:rPr>
              <w:t>Legal Aid Commission, Legal Services and Guidelines</w:t>
            </w:r>
          </w:p>
        </w:tc>
      </w:tr>
      <w:tr w:rsidR="005F01EB" w:rsidRPr="005F01EB" w14:paraId="3C1C43C8" w14:textId="77777777" w:rsidTr="001E4493">
        <w:tc>
          <w:tcPr>
            <w:tcW w:w="3005" w:type="dxa"/>
          </w:tcPr>
          <w:p w14:paraId="13C529F9" w14:textId="77777777" w:rsidR="005F01EB" w:rsidRPr="005F01EB" w:rsidRDefault="005F01EB" w:rsidP="001E4493">
            <w:pPr>
              <w:spacing w:before="0" w:after="160" w:line="276" w:lineRule="auto"/>
              <w:jc w:val="left"/>
              <w:rPr>
                <w:rFonts w:eastAsiaTheme="minorEastAsia" w:cs="Arial"/>
                <w:b/>
                <w:szCs w:val="22"/>
                <w:lang w:eastAsia="en-AU"/>
              </w:rPr>
            </w:pPr>
            <w:r w:rsidRPr="005F01EB">
              <w:rPr>
                <w:rFonts w:eastAsiaTheme="minorEastAsia" w:cs="Arial"/>
                <w:b/>
                <w:szCs w:val="22"/>
                <w:lang w:eastAsia="en-AU"/>
              </w:rPr>
              <w:t>Australian Capital Territory</w:t>
            </w:r>
          </w:p>
          <w:p w14:paraId="0DE7E1BE"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 xml:space="preserve">Children and Young People Act 2008 </w:t>
            </w:r>
            <w:r w:rsidRPr="005F01EB">
              <w:rPr>
                <w:rFonts w:eastAsiaTheme="minorEastAsia" w:cs="Arial"/>
                <w:szCs w:val="22"/>
                <w:lang w:eastAsia="en-AU"/>
              </w:rPr>
              <w:t>(ACT)</w:t>
            </w:r>
          </w:p>
        </w:tc>
        <w:tc>
          <w:tcPr>
            <w:tcW w:w="3005" w:type="dxa"/>
          </w:tcPr>
          <w:p w14:paraId="13CBF6EA" w14:textId="77777777" w:rsidR="005F01EB" w:rsidRPr="005F01EB" w:rsidRDefault="005F01EB" w:rsidP="001E4493">
            <w:pPr>
              <w:numPr>
                <w:ilvl w:val="0"/>
                <w:numId w:val="26"/>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‘best interests of child paramount consideration’</w:t>
            </w:r>
          </w:p>
          <w:p w14:paraId="12CC2E07" w14:textId="77777777" w:rsidR="005F01EB" w:rsidRPr="005F01EB" w:rsidRDefault="005F01EB" w:rsidP="001E4493">
            <w:pPr>
              <w:numPr>
                <w:ilvl w:val="0"/>
                <w:numId w:val="26"/>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Preservation of child’s cultural identity</w:t>
            </w:r>
          </w:p>
          <w:p w14:paraId="3E0E6CCE" w14:textId="77777777" w:rsidR="005F01EB" w:rsidRPr="005F01EB" w:rsidRDefault="005F01EB" w:rsidP="001E4493">
            <w:pPr>
              <w:numPr>
                <w:ilvl w:val="0"/>
                <w:numId w:val="26"/>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Delay in decision making prejudicial to child’s wellbeing</w:t>
            </w:r>
          </w:p>
          <w:p w14:paraId="4A70DF65" w14:textId="77777777" w:rsidR="005F01EB" w:rsidRPr="005F01EB" w:rsidRDefault="005F01EB" w:rsidP="001E4493">
            <w:pPr>
              <w:numPr>
                <w:ilvl w:val="0"/>
                <w:numId w:val="26"/>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ATSI Placement Principle</w:t>
            </w:r>
          </w:p>
          <w:p w14:paraId="6737073F" w14:textId="77777777" w:rsidR="005F01EB" w:rsidRPr="005F01EB" w:rsidRDefault="005F01EB" w:rsidP="001E4493">
            <w:pPr>
              <w:numPr>
                <w:ilvl w:val="0"/>
                <w:numId w:val="26"/>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Hierarchy of intervention, prioritises support for families and contact when children are unable to reside with family members</w:t>
            </w:r>
          </w:p>
          <w:p w14:paraId="451DE8C2" w14:textId="77777777" w:rsidR="005F01EB" w:rsidRPr="005F01EB" w:rsidRDefault="005F01EB" w:rsidP="001E4493">
            <w:pPr>
              <w:numPr>
                <w:ilvl w:val="0"/>
                <w:numId w:val="26"/>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Child participation encouraged to extent age and development enable – direct representation</w:t>
            </w:r>
          </w:p>
          <w:p w14:paraId="27773165" w14:textId="1268FF18" w:rsidR="005F01EB" w:rsidRPr="005F01EB" w:rsidRDefault="005F01EB" w:rsidP="001E4493">
            <w:pPr>
              <w:numPr>
                <w:ilvl w:val="0"/>
                <w:numId w:val="26"/>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Pre-</w:t>
            </w:r>
            <w:r w:rsidR="001873B0">
              <w:rPr>
                <w:rFonts w:eastAsiaTheme="minorEastAsia" w:cs="Arial"/>
                <w:szCs w:val="22"/>
                <w:lang w:eastAsia="en-AU"/>
              </w:rPr>
              <w:t>c</w:t>
            </w:r>
            <w:r w:rsidRPr="005F01EB">
              <w:rPr>
                <w:rFonts w:eastAsiaTheme="minorEastAsia" w:cs="Arial"/>
                <w:szCs w:val="22"/>
                <w:lang w:eastAsia="en-AU"/>
              </w:rPr>
              <w:t xml:space="preserve">ourt </w:t>
            </w:r>
            <w:r w:rsidRPr="005F01EB">
              <w:rPr>
                <w:rFonts w:eastAsiaTheme="minorEastAsia" w:cs="Arial"/>
                <w:i/>
                <w:szCs w:val="22"/>
                <w:lang w:eastAsia="en-AU"/>
              </w:rPr>
              <w:t>Family Group Conferences</w:t>
            </w:r>
            <w:r w:rsidRPr="005F01EB">
              <w:rPr>
                <w:rFonts w:eastAsiaTheme="minorEastAsia" w:cs="Arial"/>
                <w:szCs w:val="22"/>
                <w:lang w:eastAsia="en-AU"/>
              </w:rPr>
              <w:t xml:space="preserve"> encouraged</w:t>
            </w:r>
          </w:p>
          <w:p w14:paraId="22AEBE25" w14:textId="77777777" w:rsidR="005F01EB" w:rsidRPr="005F01EB" w:rsidRDefault="005F01EB" w:rsidP="001E4493">
            <w:pPr>
              <w:numPr>
                <w:ilvl w:val="0"/>
                <w:numId w:val="26"/>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Care and Protection Orders made in circumstances of ‘risk’ have a no fault threshold</w:t>
            </w:r>
          </w:p>
          <w:p w14:paraId="24C14BBD" w14:textId="4A329F18" w:rsidR="005F01EB" w:rsidRPr="005F01EB" w:rsidRDefault="001873B0" w:rsidP="001E4493">
            <w:pPr>
              <w:numPr>
                <w:ilvl w:val="0"/>
                <w:numId w:val="26"/>
              </w:numPr>
              <w:spacing w:before="0" w:after="0" w:line="276" w:lineRule="auto"/>
              <w:contextualSpacing/>
              <w:jc w:val="left"/>
              <w:rPr>
                <w:rFonts w:eastAsiaTheme="minorEastAsia" w:cs="Arial"/>
                <w:szCs w:val="22"/>
                <w:lang w:eastAsia="en-AU"/>
              </w:rPr>
            </w:pPr>
            <w:r>
              <w:rPr>
                <w:rFonts w:eastAsiaTheme="minorEastAsia" w:cs="Arial"/>
                <w:szCs w:val="22"/>
                <w:lang w:eastAsia="en-AU"/>
              </w:rPr>
              <w:t>Public Advocate monitors all c</w:t>
            </w:r>
            <w:r w:rsidR="005F01EB" w:rsidRPr="005F01EB">
              <w:rPr>
                <w:rFonts w:eastAsiaTheme="minorEastAsia" w:cs="Arial"/>
                <w:szCs w:val="22"/>
                <w:lang w:eastAsia="en-AU"/>
              </w:rPr>
              <w:t>ourt orders and may intervene on behalf of a child or young person</w:t>
            </w:r>
          </w:p>
        </w:tc>
        <w:tc>
          <w:tcPr>
            <w:tcW w:w="3341" w:type="dxa"/>
          </w:tcPr>
          <w:p w14:paraId="26835147" w14:textId="77777777" w:rsidR="005F01EB" w:rsidRPr="005F01EB" w:rsidRDefault="005F01EB" w:rsidP="001E4493">
            <w:pPr>
              <w:spacing w:before="0" w:after="160" w:line="276" w:lineRule="auto"/>
              <w:jc w:val="left"/>
              <w:rPr>
                <w:rFonts w:eastAsiaTheme="minorEastAsia" w:cs="Arial"/>
                <w:b/>
                <w:szCs w:val="22"/>
                <w:lang w:eastAsia="en-AU"/>
              </w:rPr>
            </w:pPr>
            <w:r w:rsidRPr="005F01EB">
              <w:rPr>
                <w:rFonts w:eastAsiaTheme="minorEastAsia" w:cs="Arial"/>
                <w:b/>
                <w:szCs w:val="22"/>
                <w:lang w:eastAsia="en-AU"/>
              </w:rPr>
              <w:t>Legal Aid ACT</w:t>
            </w:r>
          </w:p>
          <w:p w14:paraId="16D1CC70"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Pre-court assistance/rep:</w:t>
            </w:r>
            <w:r w:rsidRPr="005F01EB">
              <w:rPr>
                <w:rFonts w:eastAsiaTheme="minorEastAsia" w:cs="Arial"/>
                <w:szCs w:val="22"/>
                <w:lang w:eastAsia="en-AU"/>
              </w:rPr>
              <w:t xml:space="preserve"> No</w:t>
            </w:r>
          </w:p>
          <w:p w14:paraId="099CAEA5"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Duty Lawyer Service:</w:t>
            </w:r>
            <w:r w:rsidRPr="005F01EB">
              <w:rPr>
                <w:rFonts w:eastAsiaTheme="minorEastAsia" w:cs="Arial"/>
                <w:szCs w:val="22"/>
                <w:lang w:eastAsia="en-AU"/>
              </w:rPr>
              <w:t xml:space="preserve"> No</w:t>
            </w:r>
          </w:p>
          <w:p w14:paraId="5AE4AE21"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Court based assistance/rep:</w:t>
            </w:r>
            <w:r w:rsidRPr="005F01EB">
              <w:rPr>
                <w:rFonts w:eastAsiaTheme="minorEastAsia" w:cs="Arial"/>
                <w:szCs w:val="22"/>
                <w:lang w:eastAsia="en-AU"/>
              </w:rPr>
              <w:t xml:space="preserve"> Yes </w:t>
            </w:r>
          </w:p>
          <w:p w14:paraId="11F91F0D"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Post-court assistance/rep:</w:t>
            </w:r>
            <w:r w:rsidRPr="005F01EB">
              <w:rPr>
                <w:rFonts w:eastAsiaTheme="minorEastAsia" w:cs="Arial"/>
                <w:szCs w:val="22"/>
                <w:lang w:eastAsia="en-AU"/>
              </w:rPr>
              <w:t xml:space="preserve"> No</w:t>
            </w:r>
          </w:p>
          <w:p w14:paraId="1D290141"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 xml:space="preserve">Third Parties: </w:t>
            </w:r>
            <w:r w:rsidRPr="005F01EB">
              <w:rPr>
                <w:rFonts w:eastAsiaTheme="minorEastAsia" w:cs="Arial"/>
                <w:szCs w:val="22"/>
                <w:lang w:eastAsia="en-AU"/>
              </w:rPr>
              <w:t>Unclear</w:t>
            </w:r>
          </w:p>
          <w:p w14:paraId="4921D1AF"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 xml:space="preserve">Initiate applications: </w:t>
            </w:r>
            <w:r w:rsidRPr="005F01EB">
              <w:rPr>
                <w:rFonts w:eastAsiaTheme="minorEastAsia" w:cs="Arial"/>
                <w:szCs w:val="22"/>
                <w:lang w:eastAsia="en-AU"/>
              </w:rPr>
              <w:t>No</w:t>
            </w:r>
          </w:p>
          <w:p w14:paraId="317613D2"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 xml:space="preserve">Administrative review: </w:t>
            </w:r>
            <w:r w:rsidRPr="005F01EB">
              <w:rPr>
                <w:rFonts w:eastAsiaTheme="minorEastAsia" w:cs="Arial"/>
                <w:szCs w:val="22"/>
                <w:lang w:eastAsia="en-AU"/>
              </w:rPr>
              <w:t>Potentially</w:t>
            </w:r>
          </w:p>
          <w:p w14:paraId="19E332B0"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Guidelines:</w:t>
            </w:r>
            <w:r w:rsidRPr="005F01EB">
              <w:rPr>
                <w:rFonts w:eastAsiaTheme="minorEastAsia" w:cs="Arial"/>
                <w:szCs w:val="22"/>
                <w:lang w:eastAsia="en-AU"/>
              </w:rPr>
              <w:t xml:space="preserve"> assistance available ‘for proceedings pursuant to Principal Act, except where the total cost, in the opinion of the CEO, is likely to exceed $15K’</w:t>
            </w:r>
          </w:p>
        </w:tc>
      </w:tr>
      <w:tr w:rsidR="005F01EB" w:rsidRPr="005F01EB" w14:paraId="54E49FBE" w14:textId="77777777" w:rsidTr="001E4493">
        <w:tc>
          <w:tcPr>
            <w:tcW w:w="3005" w:type="dxa"/>
          </w:tcPr>
          <w:p w14:paraId="23613230" w14:textId="77777777" w:rsidR="005F01EB" w:rsidRPr="005F01EB" w:rsidRDefault="005F01EB" w:rsidP="001E4493">
            <w:pPr>
              <w:spacing w:before="0" w:after="160" w:line="276" w:lineRule="auto"/>
              <w:jc w:val="left"/>
              <w:rPr>
                <w:rFonts w:eastAsiaTheme="minorEastAsia" w:cs="Arial"/>
                <w:b/>
                <w:szCs w:val="22"/>
                <w:lang w:eastAsia="en-AU"/>
              </w:rPr>
            </w:pPr>
            <w:r w:rsidRPr="005F01EB">
              <w:rPr>
                <w:rFonts w:eastAsiaTheme="minorEastAsia" w:cs="Arial"/>
                <w:b/>
                <w:szCs w:val="22"/>
                <w:lang w:eastAsia="en-AU"/>
              </w:rPr>
              <w:t xml:space="preserve">New South Wales </w:t>
            </w:r>
          </w:p>
          <w:p w14:paraId="62CF2FCE"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 xml:space="preserve">Children and Young Persons (Care and Protection) Act 1998 </w:t>
            </w:r>
            <w:r w:rsidRPr="005F01EB">
              <w:rPr>
                <w:rFonts w:eastAsiaTheme="minorEastAsia" w:cs="Arial"/>
                <w:szCs w:val="22"/>
                <w:lang w:eastAsia="en-AU"/>
              </w:rPr>
              <w:t>(NSW)</w:t>
            </w:r>
          </w:p>
          <w:p w14:paraId="4169DFE8"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 xml:space="preserve">Children and Young Persons (Care and Protection) Amendment </w:t>
            </w:r>
            <w:r w:rsidRPr="005F01EB">
              <w:rPr>
                <w:rFonts w:eastAsiaTheme="minorEastAsia" w:cs="Arial"/>
                <w:i/>
                <w:szCs w:val="22"/>
                <w:lang w:eastAsia="en-AU"/>
              </w:rPr>
              <w:lastRenderedPageBreak/>
              <w:t xml:space="preserve">(Parental Responsibility Contracts) Act 2006 </w:t>
            </w:r>
            <w:r w:rsidRPr="005F01EB">
              <w:rPr>
                <w:rFonts w:eastAsiaTheme="minorEastAsia" w:cs="Arial"/>
                <w:szCs w:val="22"/>
                <w:lang w:eastAsia="en-AU"/>
              </w:rPr>
              <w:t>(NSW)</w:t>
            </w:r>
          </w:p>
          <w:p w14:paraId="15BF9A9B"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 xml:space="preserve">Child Protection Legislation Amendment Act 2015 </w:t>
            </w:r>
            <w:r w:rsidRPr="005F01EB">
              <w:rPr>
                <w:rFonts w:eastAsiaTheme="minorEastAsia" w:cs="Arial"/>
                <w:szCs w:val="22"/>
                <w:lang w:eastAsia="en-AU"/>
              </w:rPr>
              <w:t>(NSW)</w:t>
            </w:r>
          </w:p>
        </w:tc>
        <w:tc>
          <w:tcPr>
            <w:tcW w:w="3005" w:type="dxa"/>
          </w:tcPr>
          <w:p w14:paraId="729ADF2F" w14:textId="4E48052D" w:rsidR="005F01EB" w:rsidRPr="005F01EB" w:rsidRDefault="00DE39D3" w:rsidP="001E4493">
            <w:pPr>
              <w:numPr>
                <w:ilvl w:val="0"/>
                <w:numId w:val="28"/>
              </w:numPr>
              <w:spacing w:before="0" w:after="0" w:line="276" w:lineRule="auto"/>
              <w:contextualSpacing/>
              <w:jc w:val="left"/>
              <w:rPr>
                <w:rFonts w:eastAsiaTheme="minorEastAsia" w:cs="Arial"/>
                <w:szCs w:val="22"/>
                <w:lang w:eastAsia="en-AU"/>
              </w:rPr>
            </w:pPr>
            <w:r>
              <w:rPr>
                <w:rFonts w:eastAsiaTheme="minorEastAsia" w:cs="Arial"/>
                <w:szCs w:val="22"/>
                <w:lang w:eastAsia="en-AU"/>
              </w:rPr>
              <w:lastRenderedPageBreak/>
              <w:t>‘safety, welfare and well</w:t>
            </w:r>
            <w:r w:rsidR="005F01EB" w:rsidRPr="005F01EB">
              <w:rPr>
                <w:rFonts w:eastAsiaTheme="minorEastAsia" w:cs="Arial"/>
                <w:szCs w:val="22"/>
                <w:lang w:eastAsia="en-AU"/>
              </w:rPr>
              <w:t>being of the child or young person are paramount’</w:t>
            </w:r>
          </w:p>
          <w:p w14:paraId="3A70F4BA" w14:textId="77777777" w:rsidR="005F01EB" w:rsidRPr="005F01EB" w:rsidRDefault="005F01EB" w:rsidP="001E4493">
            <w:pPr>
              <w:numPr>
                <w:ilvl w:val="0"/>
                <w:numId w:val="28"/>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Child participation encouraged to extent developmental capacity and circumstances</w:t>
            </w:r>
          </w:p>
          <w:p w14:paraId="1A6957B8" w14:textId="77777777" w:rsidR="005F01EB" w:rsidRPr="005F01EB" w:rsidRDefault="005F01EB" w:rsidP="001E4493">
            <w:pPr>
              <w:spacing w:before="0" w:after="160" w:line="276" w:lineRule="auto"/>
              <w:ind w:left="360"/>
              <w:contextualSpacing/>
              <w:jc w:val="left"/>
              <w:rPr>
                <w:rFonts w:eastAsiaTheme="minorEastAsia" w:cs="Arial"/>
                <w:szCs w:val="22"/>
                <w:lang w:eastAsia="en-AU"/>
              </w:rPr>
            </w:pPr>
            <w:r w:rsidRPr="005F01EB">
              <w:rPr>
                <w:rFonts w:eastAsiaTheme="minorEastAsia" w:cs="Arial"/>
                <w:szCs w:val="22"/>
                <w:lang w:eastAsia="en-AU"/>
              </w:rPr>
              <w:lastRenderedPageBreak/>
              <w:t>allow – direct and separate</w:t>
            </w:r>
          </w:p>
          <w:p w14:paraId="5656E0A5" w14:textId="77777777" w:rsidR="005F01EB" w:rsidRPr="005F01EB" w:rsidRDefault="005F01EB" w:rsidP="001E4493">
            <w:pPr>
              <w:numPr>
                <w:ilvl w:val="0"/>
                <w:numId w:val="28"/>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Culture, disability, language, religion and sexuality of child must be taken into account</w:t>
            </w:r>
          </w:p>
          <w:p w14:paraId="5DF4F9A0" w14:textId="77777777" w:rsidR="005F01EB" w:rsidRPr="005F01EB" w:rsidRDefault="005F01EB" w:rsidP="001E4493">
            <w:pPr>
              <w:numPr>
                <w:ilvl w:val="0"/>
                <w:numId w:val="28"/>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Least intrusive intervention consistent with protection of child</w:t>
            </w:r>
          </w:p>
          <w:p w14:paraId="1A19473E" w14:textId="77777777" w:rsidR="005F01EB" w:rsidRPr="005F01EB" w:rsidRDefault="005F01EB" w:rsidP="001E4493">
            <w:pPr>
              <w:numPr>
                <w:ilvl w:val="0"/>
                <w:numId w:val="28"/>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Early intervention</w:t>
            </w:r>
          </w:p>
          <w:p w14:paraId="56CEE060" w14:textId="77777777" w:rsidR="005F01EB" w:rsidRPr="005F01EB" w:rsidRDefault="005F01EB" w:rsidP="001E4493">
            <w:pPr>
              <w:numPr>
                <w:ilvl w:val="0"/>
                <w:numId w:val="28"/>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Retention of relationships with people significant to child</w:t>
            </w:r>
          </w:p>
          <w:p w14:paraId="5982AE52" w14:textId="77777777" w:rsidR="005F01EB" w:rsidRPr="005F01EB" w:rsidRDefault="005F01EB" w:rsidP="001E4493">
            <w:pPr>
              <w:numPr>
                <w:ilvl w:val="0"/>
                <w:numId w:val="28"/>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Permanent placement principles – represent a hierarchy of intervention (restored to care of family, guardianship with relative, kin or suitable person, adoption, parental responsibility of the Minister</w:t>
            </w:r>
          </w:p>
          <w:p w14:paraId="05666BC4" w14:textId="77777777" w:rsidR="005F01EB" w:rsidRPr="005F01EB" w:rsidRDefault="005F01EB" w:rsidP="001E4493">
            <w:pPr>
              <w:numPr>
                <w:ilvl w:val="0"/>
                <w:numId w:val="28"/>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Hierarchy slightly different with respect to ATSI children, with adoption the intervention of last resort</w:t>
            </w:r>
          </w:p>
          <w:p w14:paraId="4540E7DD" w14:textId="77777777" w:rsidR="005F01EB" w:rsidRPr="005F01EB" w:rsidRDefault="005F01EB" w:rsidP="001E4493">
            <w:pPr>
              <w:numPr>
                <w:ilvl w:val="0"/>
                <w:numId w:val="28"/>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ATSI principles that include self-determination and participation</w:t>
            </w:r>
          </w:p>
          <w:p w14:paraId="660BE2D3" w14:textId="77777777" w:rsidR="005F01EB" w:rsidRPr="005F01EB" w:rsidRDefault="005F01EB" w:rsidP="001E4493">
            <w:pPr>
              <w:numPr>
                <w:ilvl w:val="0"/>
                <w:numId w:val="28"/>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 xml:space="preserve">Court to decide within 6 months (where child less than 2) of initial interim order placing child in OOHC, whether permanency plan is accepted. Court may direct Secretary to prepare a different permanency plan if unaccepted. Permanency plan only enforceable to extent it </w:t>
            </w:r>
            <w:r w:rsidRPr="005F01EB">
              <w:rPr>
                <w:rFonts w:eastAsiaTheme="minorEastAsia" w:cs="Arial"/>
                <w:szCs w:val="22"/>
                <w:lang w:eastAsia="en-AU"/>
              </w:rPr>
              <w:lastRenderedPageBreak/>
              <w:t xml:space="preserve">is approved by the Court. </w:t>
            </w:r>
          </w:p>
          <w:p w14:paraId="710994D0" w14:textId="77777777" w:rsidR="005F01EB" w:rsidRPr="005F01EB" w:rsidRDefault="005F01EB" w:rsidP="001E4493">
            <w:pPr>
              <w:numPr>
                <w:ilvl w:val="0"/>
                <w:numId w:val="28"/>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Court to decide within 12 months (where child above age of 2) of initial interim order placing child in OOHC, whether permanency plan is accepted. Court may direct Secretary to prepare a different permanency plan if unaccepted. Permanency plan only enforceable to extent it is approved by the Court.</w:t>
            </w:r>
          </w:p>
          <w:p w14:paraId="179ED970" w14:textId="77777777" w:rsidR="005F01EB" w:rsidRPr="005F01EB" w:rsidRDefault="005F01EB" w:rsidP="001E4493">
            <w:pPr>
              <w:numPr>
                <w:ilvl w:val="0"/>
                <w:numId w:val="28"/>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Care and Protection Orders made with no fault threshold.</w:t>
            </w:r>
          </w:p>
          <w:p w14:paraId="44086A7D" w14:textId="77777777" w:rsidR="005F01EB" w:rsidRPr="005F01EB" w:rsidRDefault="005F01EB" w:rsidP="001E4493">
            <w:pPr>
              <w:numPr>
                <w:ilvl w:val="0"/>
                <w:numId w:val="28"/>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Parental responsibility orders may be made to parents, the Minister, suitable persons and include contact conditions</w:t>
            </w:r>
          </w:p>
          <w:p w14:paraId="11EA1E38" w14:textId="77777777" w:rsidR="005F01EB" w:rsidRPr="005F01EB" w:rsidRDefault="005F01EB" w:rsidP="001E4493">
            <w:pPr>
              <w:numPr>
                <w:ilvl w:val="0"/>
                <w:numId w:val="28"/>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Guardianship orders may be made to a suitable person until age of 18.</w:t>
            </w:r>
          </w:p>
          <w:p w14:paraId="5D9617E5" w14:textId="77777777" w:rsidR="005F01EB" w:rsidRPr="005F01EB" w:rsidRDefault="005F01EB" w:rsidP="001E4493">
            <w:pPr>
              <w:numPr>
                <w:ilvl w:val="0"/>
                <w:numId w:val="28"/>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Contact orders</w:t>
            </w:r>
          </w:p>
        </w:tc>
        <w:tc>
          <w:tcPr>
            <w:tcW w:w="3341" w:type="dxa"/>
          </w:tcPr>
          <w:p w14:paraId="621F85F4" w14:textId="77777777" w:rsidR="005F01EB" w:rsidRPr="005F01EB" w:rsidRDefault="005F01EB" w:rsidP="001E4493">
            <w:pPr>
              <w:spacing w:before="0" w:after="160" w:line="276" w:lineRule="auto"/>
              <w:jc w:val="left"/>
              <w:rPr>
                <w:rFonts w:eastAsiaTheme="minorEastAsia" w:cs="Arial"/>
                <w:b/>
                <w:szCs w:val="22"/>
                <w:lang w:eastAsia="en-AU"/>
              </w:rPr>
            </w:pPr>
            <w:r w:rsidRPr="005F01EB">
              <w:rPr>
                <w:rFonts w:eastAsiaTheme="minorEastAsia" w:cs="Arial"/>
                <w:b/>
                <w:szCs w:val="22"/>
                <w:lang w:eastAsia="en-AU"/>
              </w:rPr>
              <w:lastRenderedPageBreak/>
              <w:t>Legal Aid NSW</w:t>
            </w:r>
          </w:p>
          <w:p w14:paraId="6E62D2B4"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Pre-court assistance/rep:</w:t>
            </w:r>
            <w:r w:rsidRPr="005F01EB">
              <w:rPr>
                <w:rFonts w:eastAsiaTheme="minorEastAsia" w:cs="Arial"/>
                <w:szCs w:val="22"/>
                <w:lang w:eastAsia="en-AU"/>
              </w:rPr>
              <w:t xml:space="preserve"> Yes</w:t>
            </w:r>
          </w:p>
          <w:p w14:paraId="603A4743"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szCs w:val="22"/>
                <w:lang w:eastAsia="en-AU"/>
              </w:rPr>
              <w:t>ADR where no current court proceedings offered as well as pre-litigation contact dispute mediation</w:t>
            </w:r>
          </w:p>
          <w:p w14:paraId="36CCC98E"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lastRenderedPageBreak/>
              <w:t>Duty Lawyer Service:</w:t>
            </w:r>
            <w:r w:rsidRPr="005F01EB">
              <w:rPr>
                <w:rFonts w:eastAsiaTheme="minorEastAsia" w:cs="Arial"/>
                <w:szCs w:val="22"/>
                <w:lang w:eastAsia="en-AU"/>
              </w:rPr>
              <w:t xml:space="preserve"> Yes</w:t>
            </w:r>
          </w:p>
          <w:p w14:paraId="695D1BDC"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Court based assistance/rep:</w:t>
            </w:r>
            <w:r w:rsidRPr="005F01EB">
              <w:rPr>
                <w:rFonts w:eastAsiaTheme="minorEastAsia" w:cs="Arial"/>
                <w:szCs w:val="22"/>
                <w:lang w:eastAsia="en-AU"/>
              </w:rPr>
              <w:t xml:space="preserve"> Yes </w:t>
            </w:r>
          </w:p>
          <w:p w14:paraId="3402A781"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Post-court assistance/rep:</w:t>
            </w:r>
            <w:r w:rsidRPr="005F01EB">
              <w:rPr>
                <w:rFonts w:eastAsiaTheme="minorEastAsia" w:cs="Arial"/>
                <w:szCs w:val="22"/>
                <w:lang w:eastAsia="en-AU"/>
              </w:rPr>
              <w:t xml:space="preserve"> Yes</w:t>
            </w:r>
          </w:p>
          <w:p w14:paraId="64E0DEDF"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szCs w:val="22"/>
                <w:lang w:eastAsia="en-AU"/>
              </w:rPr>
              <w:t>Post final orders grant</w:t>
            </w:r>
          </w:p>
          <w:p w14:paraId="21D2F724"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Third Parties</w:t>
            </w:r>
            <w:r w:rsidRPr="005F01EB">
              <w:rPr>
                <w:rFonts w:eastAsiaTheme="minorEastAsia" w:cs="Arial"/>
                <w:szCs w:val="22"/>
                <w:lang w:eastAsia="en-AU"/>
              </w:rPr>
              <w:t>: Yes</w:t>
            </w:r>
          </w:p>
          <w:p w14:paraId="355FE9A9"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 xml:space="preserve">Initiate applications: </w:t>
            </w:r>
            <w:r w:rsidR="00D31537">
              <w:rPr>
                <w:rFonts w:eastAsiaTheme="minorEastAsia" w:cs="Arial"/>
                <w:szCs w:val="22"/>
                <w:lang w:eastAsia="en-AU"/>
              </w:rPr>
              <w:t>Yes, including breach applications</w:t>
            </w:r>
          </w:p>
          <w:p w14:paraId="3B93BA1B"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 xml:space="preserve">Administrative review: </w:t>
            </w:r>
            <w:r w:rsidRPr="005F01EB">
              <w:rPr>
                <w:rFonts w:eastAsiaTheme="minorEastAsia" w:cs="Arial"/>
                <w:szCs w:val="22"/>
                <w:lang w:eastAsia="en-AU"/>
              </w:rPr>
              <w:t>Yes</w:t>
            </w:r>
          </w:p>
          <w:p w14:paraId="2D57831D"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Guidelines:</w:t>
            </w:r>
            <w:r w:rsidRPr="005F01EB">
              <w:rPr>
                <w:rFonts w:eastAsiaTheme="minorEastAsia" w:cs="Arial"/>
                <w:szCs w:val="22"/>
                <w:lang w:eastAsia="en-AU"/>
              </w:rPr>
              <w:t xml:space="preserve"> assistance available ‘where applicant has parental responsibility for the child or young person, or from whom an aspect of parental responsibility has been removed by an order of the court’. </w:t>
            </w:r>
          </w:p>
          <w:p w14:paraId="114DB931"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szCs w:val="22"/>
                <w:lang w:eastAsia="en-AU"/>
              </w:rPr>
              <w:t>Applicants must also meet the:</w:t>
            </w:r>
          </w:p>
          <w:p w14:paraId="6DC6557B" w14:textId="77777777" w:rsidR="005F01EB" w:rsidRPr="005F01EB" w:rsidRDefault="005F01EB" w:rsidP="001E4493">
            <w:pPr>
              <w:numPr>
                <w:ilvl w:val="0"/>
                <w:numId w:val="27"/>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 xml:space="preserve">Merit test </w:t>
            </w:r>
          </w:p>
          <w:p w14:paraId="6CCA30DD" w14:textId="77777777" w:rsidR="005F01EB" w:rsidRPr="005F01EB" w:rsidRDefault="005F01EB" w:rsidP="001E4493">
            <w:pPr>
              <w:numPr>
                <w:ilvl w:val="0"/>
                <w:numId w:val="27"/>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Unpaid Contributions Test</w:t>
            </w:r>
          </w:p>
          <w:p w14:paraId="23C17EC1" w14:textId="77777777" w:rsidR="005F01EB" w:rsidRPr="005F01EB" w:rsidRDefault="005F01EB" w:rsidP="001E4493">
            <w:pPr>
              <w:numPr>
                <w:ilvl w:val="0"/>
                <w:numId w:val="27"/>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Availability of Funds Test</w:t>
            </w:r>
          </w:p>
          <w:p w14:paraId="51287E51" w14:textId="77777777" w:rsidR="005F01EB" w:rsidRPr="005F01EB" w:rsidRDefault="005F01EB" w:rsidP="001E4493">
            <w:pPr>
              <w:numPr>
                <w:ilvl w:val="0"/>
                <w:numId w:val="27"/>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Reasonable Test</w:t>
            </w:r>
          </w:p>
          <w:p w14:paraId="1982B8DA" w14:textId="77777777" w:rsidR="005F01EB" w:rsidRPr="005F01EB" w:rsidRDefault="005F01EB" w:rsidP="001E4493">
            <w:pPr>
              <w:numPr>
                <w:ilvl w:val="0"/>
                <w:numId w:val="27"/>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 xml:space="preserve">Show ‘exceptional circumstances’ (special hardship) and </w:t>
            </w:r>
          </w:p>
          <w:p w14:paraId="46FA4B5A" w14:textId="77777777" w:rsidR="005F01EB" w:rsidRPr="005F01EB" w:rsidRDefault="005F01EB" w:rsidP="001E4493">
            <w:pPr>
              <w:numPr>
                <w:ilvl w:val="0"/>
                <w:numId w:val="27"/>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 xml:space="preserve">Show a benefit to the child or young person that might be gained by the applicant receiving aid. </w:t>
            </w:r>
          </w:p>
          <w:p w14:paraId="0B299277" w14:textId="6DB7F79A"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szCs w:val="22"/>
                <w:lang w:eastAsia="en-AU"/>
              </w:rPr>
              <w:t>** Free face-to-face advice clinics in city office, weekdays from 9</w:t>
            </w:r>
            <w:r w:rsidR="003A1510">
              <w:rPr>
                <w:rFonts w:eastAsiaTheme="minorEastAsia" w:cs="Arial"/>
                <w:szCs w:val="22"/>
                <w:lang w:eastAsia="en-AU"/>
              </w:rPr>
              <w:t xml:space="preserve"> am–</w:t>
            </w:r>
            <w:r w:rsidRPr="005F01EB">
              <w:rPr>
                <w:rFonts w:eastAsiaTheme="minorEastAsia" w:cs="Arial"/>
                <w:szCs w:val="22"/>
                <w:lang w:eastAsia="en-AU"/>
              </w:rPr>
              <w:t>4</w:t>
            </w:r>
            <w:r w:rsidR="003A1510">
              <w:rPr>
                <w:rFonts w:eastAsiaTheme="minorEastAsia" w:cs="Arial"/>
                <w:szCs w:val="22"/>
                <w:lang w:eastAsia="en-AU"/>
              </w:rPr>
              <w:t xml:space="preserve"> </w:t>
            </w:r>
            <w:r w:rsidRPr="005F01EB">
              <w:rPr>
                <w:rFonts w:eastAsiaTheme="minorEastAsia" w:cs="Arial"/>
                <w:szCs w:val="22"/>
                <w:lang w:eastAsia="en-AU"/>
              </w:rPr>
              <w:t>pm.</w:t>
            </w:r>
          </w:p>
        </w:tc>
      </w:tr>
      <w:tr w:rsidR="005F01EB" w:rsidRPr="005F01EB" w14:paraId="68CFB6CC" w14:textId="77777777" w:rsidTr="001E4493">
        <w:tc>
          <w:tcPr>
            <w:tcW w:w="3005" w:type="dxa"/>
          </w:tcPr>
          <w:p w14:paraId="61D124EC" w14:textId="77777777" w:rsidR="005F01EB" w:rsidRPr="005F01EB" w:rsidRDefault="005F01EB" w:rsidP="001E4493">
            <w:pPr>
              <w:spacing w:before="0" w:after="160" w:line="276" w:lineRule="auto"/>
              <w:jc w:val="left"/>
              <w:rPr>
                <w:rFonts w:eastAsiaTheme="minorEastAsia" w:cs="Arial"/>
                <w:b/>
                <w:szCs w:val="22"/>
                <w:lang w:eastAsia="en-AU"/>
              </w:rPr>
            </w:pPr>
            <w:r w:rsidRPr="005F01EB">
              <w:rPr>
                <w:rFonts w:eastAsiaTheme="minorEastAsia" w:cs="Arial"/>
                <w:b/>
                <w:szCs w:val="22"/>
                <w:lang w:eastAsia="en-AU"/>
              </w:rPr>
              <w:lastRenderedPageBreak/>
              <w:t>Northern Territory</w:t>
            </w:r>
          </w:p>
          <w:p w14:paraId="2F8256F7"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 xml:space="preserve">Care and Protection of Children Act 2007 </w:t>
            </w:r>
            <w:r w:rsidRPr="005F01EB">
              <w:rPr>
                <w:rFonts w:eastAsiaTheme="minorEastAsia" w:cs="Arial"/>
                <w:szCs w:val="22"/>
                <w:lang w:eastAsia="en-AU"/>
              </w:rPr>
              <w:t>(NT)</w:t>
            </w:r>
          </w:p>
          <w:p w14:paraId="364F046B"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 xml:space="preserve">Care and Protection of Children Amendment (Permanent Care Orders) Act 2015 </w:t>
            </w:r>
            <w:r w:rsidRPr="005F01EB">
              <w:rPr>
                <w:rFonts w:eastAsiaTheme="minorEastAsia" w:cs="Arial"/>
                <w:szCs w:val="22"/>
                <w:lang w:eastAsia="en-AU"/>
              </w:rPr>
              <w:t>(NT)</w:t>
            </w:r>
          </w:p>
        </w:tc>
        <w:tc>
          <w:tcPr>
            <w:tcW w:w="3005" w:type="dxa"/>
          </w:tcPr>
          <w:p w14:paraId="106949AD" w14:textId="77777777" w:rsidR="005F01EB" w:rsidRPr="005F01EB" w:rsidRDefault="005F01EB" w:rsidP="001E4493">
            <w:pPr>
              <w:numPr>
                <w:ilvl w:val="0"/>
                <w:numId w:val="29"/>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‘best interests of the child are the paramount concern’</w:t>
            </w:r>
          </w:p>
          <w:p w14:paraId="323C2C4B" w14:textId="77777777" w:rsidR="005F01EB" w:rsidRPr="005F01EB" w:rsidRDefault="005F01EB" w:rsidP="001E4493">
            <w:pPr>
              <w:numPr>
                <w:ilvl w:val="0"/>
                <w:numId w:val="29"/>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Family has primary responsibility for care of child and contact encouraged if child removed</w:t>
            </w:r>
          </w:p>
          <w:p w14:paraId="497C06CC" w14:textId="77777777" w:rsidR="005F01EB" w:rsidRPr="005F01EB" w:rsidRDefault="005F01EB" w:rsidP="001E4493">
            <w:pPr>
              <w:numPr>
                <w:ilvl w:val="0"/>
                <w:numId w:val="29"/>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Child to be treated in a way that respect’s their dignity and privacy</w:t>
            </w:r>
          </w:p>
          <w:p w14:paraId="361D99E0" w14:textId="77777777" w:rsidR="005F01EB" w:rsidRPr="005F01EB" w:rsidRDefault="005F01EB" w:rsidP="001E4493">
            <w:pPr>
              <w:numPr>
                <w:ilvl w:val="0"/>
                <w:numId w:val="29"/>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 xml:space="preserve">Child participation to extent age and </w:t>
            </w:r>
            <w:r w:rsidRPr="005F01EB">
              <w:rPr>
                <w:rFonts w:eastAsiaTheme="minorEastAsia" w:cs="Arial"/>
                <w:szCs w:val="22"/>
                <w:lang w:eastAsia="en-AU"/>
              </w:rPr>
              <w:lastRenderedPageBreak/>
              <w:t>development enable – separate representation</w:t>
            </w:r>
          </w:p>
          <w:p w14:paraId="28A4F115" w14:textId="77777777" w:rsidR="005F01EB" w:rsidRPr="005F01EB" w:rsidRDefault="005F01EB" w:rsidP="001E4493">
            <w:pPr>
              <w:numPr>
                <w:ilvl w:val="0"/>
                <w:numId w:val="29"/>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ATSI placement hierarchy</w:t>
            </w:r>
          </w:p>
          <w:p w14:paraId="5AC169C6" w14:textId="77777777" w:rsidR="005F01EB" w:rsidRPr="005F01EB" w:rsidRDefault="005F01EB" w:rsidP="001E4493">
            <w:pPr>
              <w:numPr>
                <w:ilvl w:val="0"/>
                <w:numId w:val="29"/>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Permanency planning</w:t>
            </w:r>
          </w:p>
          <w:p w14:paraId="4903C525" w14:textId="77777777" w:rsidR="005F01EB" w:rsidRPr="005F01EB" w:rsidRDefault="005F01EB" w:rsidP="001E4493">
            <w:pPr>
              <w:numPr>
                <w:ilvl w:val="0"/>
                <w:numId w:val="29"/>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Grounds for making protection orders, no fault threshold</w:t>
            </w:r>
          </w:p>
        </w:tc>
        <w:tc>
          <w:tcPr>
            <w:tcW w:w="3341" w:type="dxa"/>
          </w:tcPr>
          <w:p w14:paraId="30AEEBB8" w14:textId="77777777" w:rsidR="005F01EB" w:rsidRPr="005F01EB" w:rsidRDefault="005F01EB" w:rsidP="001E4493">
            <w:pPr>
              <w:spacing w:before="0" w:after="160" w:line="276" w:lineRule="auto"/>
              <w:jc w:val="left"/>
              <w:rPr>
                <w:rFonts w:eastAsiaTheme="minorEastAsia" w:cs="Arial"/>
                <w:b/>
                <w:szCs w:val="22"/>
                <w:lang w:eastAsia="en-AU"/>
              </w:rPr>
            </w:pPr>
            <w:r w:rsidRPr="005F01EB">
              <w:rPr>
                <w:rFonts w:eastAsiaTheme="minorEastAsia" w:cs="Arial"/>
                <w:b/>
                <w:szCs w:val="22"/>
                <w:lang w:eastAsia="en-AU"/>
              </w:rPr>
              <w:lastRenderedPageBreak/>
              <w:t>NT Legal Aid Commission</w:t>
            </w:r>
          </w:p>
          <w:p w14:paraId="4195AC10"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Pre-court assistance/rep:</w:t>
            </w:r>
            <w:r w:rsidRPr="005F01EB">
              <w:rPr>
                <w:rFonts w:eastAsiaTheme="minorEastAsia" w:cs="Arial"/>
                <w:szCs w:val="22"/>
                <w:lang w:eastAsia="en-AU"/>
              </w:rPr>
              <w:t xml:space="preserve"> No, other than telephone advice</w:t>
            </w:r>
          </w:p>
          <w:p w14:paraId="25F6C0D3"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Duty Lawyer Service:</w:t>
            </w:r>
            <w:r w:rsidRPr="005F01EB">
              <w:rPr>
                <w:rFonts w:eastAsiaTheme="minorEastAsia" w:cs="Arial"/>
                <w:szCs w:val="22"/>
                <w:lang w:eastAsia="en-AU"/>
              </w:rPr>
              <w:t xml:space="preserve"> No</w:t>
            </w:r>
          </w:p>
          <w:p w14:paraId="06501E6C"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Court based assistance/rep:</w:t>
            </w:r>
            <w:r w:rsidRPr="005F01EB">
              <w:rPr>
                <w:rFonts w:eastAsiaTheme="minorEastAsia" w:cs="Arial"/>
                <w:szCs w:val="22"/>
                <w:lang w:eastAsia="en-AU"/>
              </w:rPr>
              <w:t xml:space="preserve"> Yes </w:t>
            </w:r>
          </w:p>
          <w:p w14:paraId="4AABB873"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Post-court assistance/rep:</w:t>
            </w:r>
            <w:r w:rsidRPr="005F01EB">
              <w:rPr>
                <w:rFonts w:eastAsiaTheme="minorEastAsia" w:cs="Arial"/>
                <w:szCs w:val="22"/>
                <w:lang w:eastAsia="en-AU"/>
              </w:rPr>
              <w:t xml:space="preserve"> No</w:t>
            </w:r>
          </w:p>
          <w:p w14:paraId="38CFFBDA"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 xml:space="preserve">Third Parties: </w:t>
            </w:r>
            <w:r w:rsidRPr="005F01EB">
              <w:rPr>
                <w:rFonts w:eastAsiaTheme="minorEastAsia" w:cs="Arial"/>
                <w:szCs w:val="22"/>
                <w:lang w:eastAsia="en-AU"/>
              </w:rPr>
              <w:t>Unclear</w:t>
            </w:r>
          </w:p>
          <w:p w14:paraId="1DFDBF80"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 xml:space="preserve">Initiate applications: </w:t>
            </w:r>
            <w:r w:rsidRPr="005F01EB">
              <w:rPr>
                <w:rFonts w:eastAsiaTheme="minorEastAsia" w:cs="Arial"/>
                <w:szCs w:val="22"/>
                <w:lang w:eastAsia="en-AU"/>
              </w:rPr>
              <w:t>No</w:t>
            </w:r>
          </w:p>
          <w:p w14:paraId="2AA85B28"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lastRenderedPageBreak/>
              <w:t xml:space="preserve">Administrative review: </w:t>
            </w:r>
            <w:r w:rsidRPr="005F01EB">
              <w:rPr>
                <w:rFonts w:eastAsiaTheme="minorEastAsia" w:cs="Arial"/>
                <w:szCs w:val="22"/>
                <w:lang w:eastAsia="en-AU"/>
              </w:rPr>
              <w:t>No</w:t>
            </w:r>
          </w:p>
          <w:p w14:paraId="17BDD637" w14:textId="77777777" w:rsidR="005F01EB" w:rsidRPr="005F01EB" w:rsidRDefault="005F01EB" w:rsidP="001E4493">
            <w:pPr>
              <w:spacing w:before="0" w:after="160" w:line="276" w:lineRule="auto"/>
              <w:jc w:val="left"/>
              <w:rPr>
                <w:rFonts w:eastAsiaTheme="minorEastAsia" w:cs="Arial"/>
                <w:b/>
                <w:szCs w:val="22"/>
                <w:lang w:eastAsia="en-AU"/>
              </w:rPr>
            </w:pPr>
            <w:r w:rsidRPr="005F01EB">
              <w:rPr>
                <w:rFonts w:eastAsiaTheme="minorEastAsia" w:cs="Arial"/>
                <w:i/>
                <w:szCs w:val="22"/>
                <w:lang w:eastAsia="en-AU"/>
              </w:rPr>
              <w:t>Guidelines:</w:t>
            </w:r>
            <w:r w:rsidRPr="005F01EB">
              <w:rPr>
                <w:rFonts w:eastAsiaTheme="minorEastAsia" w:cs="Arial"/>
                <w:szCs w:val="22"/>
                <w:lang w:eastAsia="en-AU"/>
              </w:rPr>
              <w:t xml:space="preserve"> assistance available ‘for Respondents in Care and Protection (FACS) proceedings in the Magistrates Court’.</w:t>
            </w:r>
          </w:p>
        </w:tc>
      </w:tr>
      <w:tr w:rsidR="005F01EB" w:rsidRPr="005F01EB" w14:paraId="02C87054" w14:textId="77777777" w:rsidTr="001E4493">
        <w:tc>
          <w:tcPr>
            <w:tcW w:w="3005" w:type="dxa"/>
          </w:tcPr>
          <w:p w14:paraId="03A4A081" w14:textId="77777777" w:rsidR="005F01EB" w:rsidRPr="005F01EB" w:rsidRDefault="005F01EB" w:rsidP="001E4493">
            <w:pPr>
              <w:spacing w:before="0" w:after="160" w:line="276" w:lineRule="auto"/>
              <w:jc w:val="left"/>
              <w:rPr>
                <w:rFonts w:eastAsiaTheme="minorEastAsia" w:cs="Arial"/>
                <w:b/>
                <w:szCs w:val="22"/>
                <w:lang w:eastAsia="en-AU"/>
              </w:rPr>
            </w:pPr>
            <w:r w:rsidRPr="005F01EB">
              <w:rPr>
                <w:rFonts w:eastAsiaTheme="minorEastAsia" w:cs="Arial"/>
                <w:b/>
                <w:szCs w:val="22"/>
                <w:lang w:eastAsia="en-AU"/>
              </w:rPr>
              <w:lastRenderedPageBreak/>
              <w:t>Queensland</w:t>
            </w:r>
          </w:p>
          <w:p w14:paraId="5DAE3A05"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 xml:space="preserve">Child Protection Act 1999 </w:t>
            </w:r>
            <w:r w:rsidRPr="005F01EB">
              <w:rPr>
                <w:rFonts w:eastAsiaTheme="minorEastAsia" w:cs="Arial"/>
                <w:szCs w:val="22"/>
                <w:lang w:eastAsia="en-AU"/>
              </w:rPr>
              <w:t>(QLD)</w:t>
            </w:r>
          </w:p>
          <w:p w14:paraId="7FF4C4C1"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 xml:space="preserve">Child Protection Reform Amendment Act 2014 </w:t>
            </w:r>
            <w:r w:rsidRPr="005F01EB">
              <w:rPr>
                <w:rFonts w:eastAsiaTheme="minorEastAsia" w:cs="Arial"/>
                <w:szCs w:val="22"/>
                <w:lang w:eastAsia="en-AU"/>
              </w:rPr>
              <w:t>(QLD)</w:t>
            </w:r>
          </w:p>
        </w:tc>
        <w:tc>
          <w:tcPr>
            <w:tcW w:w="3005" w:type="dxa"/>
          </w:tcPr>
          <w:p w14:paraId="6C2D1260" w14:textId="0EBD8610" w:rsidR="005F01EB" w:rsidRPr="005F01EB" w:rsidRDefault="00DE39D3" w:rsidP="001E4493">
            <w:pPr>
              <w:numPr>
                <w:ilvl w:val="0"/>
                <w:numId w:val="32"/>
              </w:numPr>
              <w:spacing w:before="0" w:after="0" w:line="276" w:lineRule="auto"/>
              <w:contextualSpacing/>
              <w:jc w:val="left"/>
              <w:rPr>
                <w:rFonts w:eastAsiaTheme="minorEastAsia" w:cs="Arial"/>
                <w:szCs w:val="22"/>
                <w:lang w:eastAsia="en-AU"/>
              </w:rPr>
            </w:pPr>
            <w:r>
              <w:rPr>
                <w:rFonts w:eastAsiaTheme="minorEastAsia" w:cs="Arial"/>
                <w:szCs w:val="22"/>
                <w:lang w:eastAsia="en-AU"/>
              </w:rPr>
              <w:t>‘safety, well</w:t>
            </w:r>
            <w:r w:rsidR="005F01EB" w:rsidRPr="005F01EB">
              <w:rPr>
                <w:rFonts w:eastAsiaTheme="minorEastAsia" w:cs="Arial"/>
                <w:szCs w:val="22"/>
                <w:lang w:eastAsia="en-AU"/>
              </w:rPr>
              <w:t>being and best interests of a child are paramount’</w:t>
            </w:r>
          </w:p>
          <w:p w14:paraId="1826ED3B" w14:textId="77777777" w:rsidR="005F01EB" w:rsidRPr="005F01EB" w:rsidRDefault="005F01EB" w:rsidP="001E4493">
            <w:pPr>
              <w:numPr>
                <w:ilvl w:val="0"/>
                <w:numId w:val="32"/>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Rights based principles, such as a child’s right to safety, maintenance of family relationships, explore identity/culture, expeditious decision making</w:t>
            </w:r>
          </w:p>
          <w:p w14:paraId="2867A9C1" w14:textId="77777777" w:rsidR="005F01EB" w:rsidRPr="005F01EB" w:rsidRDefault="005F01EB" w:rsidP="001E4493">
            <w:pPr>
              <w:numPr>
                <w:ilvl w:val="0"/>
                <w:numId w:val="32"/>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ATSI placement principles</w:t>
            </w:r>
          </w:p>
          <w:p w14:paraId="2BE8293B" w14:textId="77777777" w:rsidR="005F01EB" w:rsidRPr="005F01EB" w:rsidRDefault="005F01EB" w:rsidP="001E4493">
            <w:pPr>
              <w:numPr>
                <w:ilvl w:val="0"/>
                <w:numId w:val="32"/>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Child’s family has primary responsibility, supporting families preferred</w:t>
            </w:r>
          </w:p>
          <w:p w14:paraId="0482874A" w14:textId="77777777" w:rsidR="005F01EB" w:rsidRPr="005F01EB" w:rsidRDefault="005F01EB" w:rsidP="001E4493">
            <w:pPr>
              <w:numPr>
                <w:ilvl w:val="0"/>
                <w:numId w:val="32"/>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Child’s participation to the extent age and development enables – separate and direct representation (in limited circumstances)</w:t>
            </w:r>
          </w:p>
          <w:p w14:paraId="1E8CE6F8" w14:textId="77777777" w:rsidR="005F01EB" w:rsidRPr="005F01EB" w:rsidRDefault="005F01EB" w:rsidP="001E4493">
            <w:pPr>
              <w:numPr>
                <w:ilvl w:val="0"/>
                <w:numId w:val="32"/>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Limited intervention</w:t>
            </w:r>
          </w:p>
          <w:p w14:paraId="1E857DB4" w14:textId="77777777" w:rsidR="005F01EB" w:rsidRPr="005F01EB" w:rsidRDefault="005F01EB" w:rsidP="001E4493">
            <w:pPr>
              <w:numPr>
                <w:ilvl w:val="0"/>
                <w:numId w:val="32"/>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Early intervention promoted</w:t>
            </w:r>
          </w:p>
          <w:p w14:paraId="0234326B" w14:textId="77777777" w:rsidR="005F01EB" w:rsidRPr="005F01EB" w:rsidRDefault="005F01EB" w:rsidP="001E4493">
            <w:pPr>
              <w:numPr>
                <w:ilvl w:val="0"/>
                <w:numId w:val="32"/>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Contact provisions may be attached to all POs</w:t>
            </w:r>
          </w:p>
        </w:tc>
        <w:tc>
          <w:tcPr>
            <w:tcW w:w="3341" w:type="dxa"/>
          </w:tcPr>
          <w:p w14:paraId="277EE60D" w14:textId="77777777" w:rsidR="005F01EB" w:rsidRPr="005F01EB" w:rsidRDefault="005F01EB" w:rsidP="001E4493">
            <w:pPr>
              <w:spacing w:before="0" w:after="160" w:line="276" w:lineRule="auto"/>
              <w:jc w:val="left"/>
              <w:rPr>
                <w:rFonts w:eastAsiaTheme="minorEastAsia" w:cs="Arial"/>
                <w:b/>
                <w:szCs w:val="22"/>
                <w:lang w:eastAsia="en-AU"/>
              </w:rPr>
            </w:pPr>
            <w:r w:rsidRPr="005F01EB">
              <w:rPr>
                <w:rFonts w:eastAsiaTheme="minorEastAsia" w:cs="Arial"/>
                <w:b/>
                <w:szCs w:val="22"/>
                <w:lang w:eastAsia="en-AU"/>
              </w:rPr>
              <w:t>Legal Aid QLD</w:t>
            </w:r>
          </w:p>
          <w:p w14:paraId="4A4C3686"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Pre-court assistance/rep:</w:t>
            </w:r>
            <w:r w:rsidRPr="005F01EB">
              <w:rPr>
                <w:rFonts w:eastAsiaTheme="minorEastAsia" w:cs="Arial"/>
                <w:szCs w:val="22"/>
                <w:lang w:eastAsia="en-AU"/>
              </w:rPr>
              <w:t xml:space="preserve"> Yes, not subject to the merits test</w:t>
            </w:r>
          </w:p>
          <w:p w14:paraId="68D48D31"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Duty Lawyer Service:</w:t>
            </w:r>
            <w:r w:rsidRPr="005F01EB">
              <w:rPr>
                <w:rFonts w:eastAsiaTheme="minorEastAsia" w:cs="Arial"/>
                <w:szCs w:val="22"/>
                <w:lang w:eastAsia="en-AU"/>
              </w:rPr>
              <w:t xml:space="preserve"> No (although being piloted in 2 smaller, regional Courts)</w:t>
            </w:r>
          </w:p>
          <w:p w14:paraId="3D397AD3" w14:textId="2F0A23BC"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Court based assistance/rep:</w:t>
            </w:r>
            <w:r w:rsidRPr="005F01EB">
              <w:rPr>
                <w:rFonts w:eastAsiaTheme="minorEastAsia" w:cs="Arial"/>
                <w:szCs w:val="22"/>
                <w:lang w:eastAsia="en-AU"/>
              </w:rPr>
              <w:t xml:space="preserve"> </w:t>
            </w:r>
            <w:r w:rsidR="00D029F2" w:rsidRPr="005F01EB">
              <w:rPr>
                <w:rFonts w:eastAsiaTheme="minorEastAsia" w:cs="Arial"/>
                <w:szCs w:val="22"/>
                <w:lang w:eastAsia="en-AU"/>
              </w:rPr>
              <w:t>Yes,</w:t>
            </w:r>
            <w:r w:rsidRPr="005F01EB">
              <w:rPr>
                <w:rFonts w:eastAsiaTheme="minorEastAsia" w:cs="Arial"/>
                <w:szCs w:val="22"/>
                <w:lang w:eastAsia="en-AU"/>
              </w:rPr>
              <w:t xml:space="preserve"> </w:t>
            </w:r>
            <w:r w:rsidRPr="005F01EB">
              <w:rPr>
                <w:rFonts w:eastAsiaTheme="minorEastAsia" w:cs="Arial"/>
                <w:i/>
                <w:szCs w:val="22"/>
                <w:lang w:eastAsia="en-AU"/>
              </w:rPr>
              <w:t>Post-court assistance/rep:</w:t>
            </w:r>
            <w:r w:rsidRPr="005F01EB">
              <w:rPr>
                <w:rFonts w:eastAsiaTheme="minorEastAsia" w:cs="Arial"/>
                <w:szCs w:val="22"/>
                <w:lang w:eastAsia="en-AU"/>
              </w:rPr>
              <w:t xml:space="preserve"> Yes, attendance at FGC post-order, not subject to the merits test</w:t>
            </w:r>
          </w:p>
          <w:p w14:paraId="6129CB50"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 xml:space="preserve">Third Parties: </w:t>
            </w:r>
            <w:r w:rsidRPr="005F01EB">
              <w:rPr>
                <w:rFonts w:eastAsiaTheme="minorEastAsia" w:cs="Arial"/>
                <w:szCs w:val="22"/>
                <w:lang w:eastAsia="en-AU"/>
              </w:rPr>
              <w:t>Unclear</w:t>
            </w:r>
          </w:p>
          <w:p w14:paraId="1B69B406"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 xml:space="preserve">Initiate applications: </w:t>
            </w:r>
            <w:r w:rsidRPr="005F01EB">
              <w:rPr>
                <w:rFonts w:eastAsiaTheme="minorEastAsia" w:cs="Arial"/>
                <w:szCs w:val="22"/>
                <w:lang w:eastAsia="en-AU"/>
              </w:rPr>
              <w:t>Yes</w:t>
            </w:r>
          </w:p>
          <w:p w14:paraId="412C1C9A"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 xml:space="preserve">Administrative review: </w:t>
            </w:r>
            <w:r w:rsidRPr="005F01EB">
              <w:rPr>
                <w:rFonts w:eastAsiaTheme="minorEastAsia" w:cs="Arial"/>
                <w:szCs w:val="22"/>
                <w:lang w:eastAsia="en-AU"/>
              </w:rPr>
              <w:t>Yes, in limited circumstances</w:t>
            </w:r>
          </w:p>
          <w:p w14:paraId="5452124A"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Guidelines:</w:t>
            </w:r>
            <w:r w:rsidRPr="005F01EB">
              <w:rPr>
                <w:rFonts w:eastAsiaTheme="minorEastAsia" w:cs="Arial"/>
                <w:szCs w:val="22"/>
                <w:lang w:eastAsia="en-AU"/>
              </w:rPr>
              <w:t xml:space="preserve"> representation of ‘parents where Dept. seeking custody or short or long-term guardianship order, and either the applicant has reasonable prospects of challenging the order sought or there are special circumstances (ATSI, non-English speaking, physical/psychiatric disability or longstanding ill health, child or other special circs preventing effective negotiation)’. </w:t>
            </w:r>
          </w:p>
          <w:p w14:paraId="6B94929F"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szCs w:val="22"/>
                <w:lang w:eastAsia="en-AU"/>
              </w:rPr>
              <w:t xml:space="preserve">Representation of parents in contested hearings subject to stricter eligibility threshold. </w:t>
            </w:r>
          </w:p>
          <w:p w14:paraId="3DC9D3A0"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szCs w:val="22"/>
                <w:lang w:eastAsia="en-AU"/>
              </w:rPr>
              <w:lastRenderedPageBreak/>
              <w:t xml:space="preserve">** </w:t>
            </w:r>
            <w:r w:rsidRPr="005F01EB">
              <w:rPr>
                <w:rFonts w:eastAsiaTheme="minorEastAsia" w:cs="Arial"/>
                <w:i/>
                <w:szCs w:val="22"/>
                <w:lang w:eastAsia="en-AU"/>
              </w:rPr>
              <w:t>Complexity in civil law matters</w:t>
            </w:r>
            <w:r w:rsidRPr="005F01EB">
              <w:rPr>
                <w:rFonts w:eastAsiaTheme="minorEastAsia" w:cs="Arial"/>
                <w:szCs w:val="22"/>
                <w:lang w:eastAsia="en-AU"/>
              </w:rPr>
              <w:t xml:space="preserve"> where GOA has been exhausted</w:t>
            </w:r>
          </w:p>
        </w:tc>
      </w:tr>
      <w:tr w:rsidR="005F01EB" w:rsidRPr="005F01EB" w14:paraId="5FFB3DEE" w14:textId="77777777" w:rsidTr="001E4493">
        <w:tc>
          <w:tcPr>
            <w:tcW w:w="3005" w:type="dxa"/>
          </w:tcPr>
          <w:p w14:paraId="5E89F9C4" w14:textId="77777777" w:rsidR="005F01EB" w:rsidRPr="005F01EB" w:rsidRDefault="005F01EB" w:rsidP="001E4493">
            <w:pPr>
              <w:spacing w:before="0" w:after="160" w:line="276" w:lineRule="auto"/>
              <w:jc w:val="left"/>
              <w:rPr>
                <w:rFonts w:eastAsiaTheme="minorEastAsia" w:cs="Arial"/>
                <w:b/>
                <w:szCs w:val="22"/>
                <w:lang w:eastAsia="en-AU"/>
              </w:rPr>
            </w:pPr>
            <w:r w:rsidRPr="005F01EB">
              <w:rPr>
                <w:rFonts w:eastAsiaTheme="minorEastAsia" w:cs="Arial"/>
                <w:b/>
                <w:szCs w:val="22"/>
                <w:lang w:eastAsia="en-AU"/>
              </w:rPr>
              <w:lastRenderedPageBreak/>
              <w:t>South Australia</w:t>
            </w:r>
          </w:p>
          <w:p w14:paraId="6E3FB755"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 xml:space="preserve">Children’s Protection Act 1993 </w:t>
            </w:r>
            <w:r w:rsidRPr="005F01EB">
              <w:rPr>
                <w:rFonts w:eastAsiaTheme="minorEastAsia" w:cs="Arial"/>
                <w:szCs w:val="22"/>
                <w:lang w:eastAsia="en-AU"/>
              </w:rPr>
              <w:t>(SA)</w:t>
            </w:r>
          </w:p>
        </w:tc>
        <w:tc>
          <w:tcPr>
            <w:tcW w:w="3005" w:type="dxa"/>
          </w:tcPr>
          <w:p w14:paraId="1D6934A3" w14:textId="77777777" w:rsidR="005F01EB" w:rsidRPr="005F01EB" w:rsidRDefault="005F01EB" w:rsidP="001E4493">
            <w:pPr>
              <w:numPr>
                <w:ilvl w:val="0"/>
                <w:numId w:val="30"/>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Right to safety, care and a stable family environment</w:t>
            </w:r>
          </w:p>
          <w:p w14:paraId="68151553" w14:textId="77777777" w:rsidR="005F01EB" w:rsidRPr="005F01EB" w:rsidRDefault="005F01EB" w:rsidP="001E4493">
            <w:pPr>
              <w:numPr>
                <w:ilvl w:val="0"/>
                <w:numId w:val="30"/>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Expedient identification of risk and prompt provision of necessary support, protection or care</w:t>
            </w:r>
          </w:p>
          <w:p w14:paraId="0BDFEF44" w14:textId="77777777" w:rsidR="005F01EB" w:rsidRPr="005F01EB" w:rsidRDefault="005F01EB" w:rsidP="001E4493">
            <w:pPr>
              <w:numPr>
                <w:ilvl w:val="0"/>
                <w:numId w:val="30"/>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Family as primary means of providing care of children and high priority to supporting and assisting families to carry out this responsibility</w:t>
            </w:r>
          </w:p>
          <w:p w14:paraId="28EABC93" w14:textId="77777777" w:rsidR="005F01EB" w:rsidRPr="005F01EB" w:rsidRDefault="005F01EB" w:rsidP="001E4493">
            <w:pPr>
              <w:numPr>
                <w:ilvl w:val="0"/>
                <w:numId w:val="30"/>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Preservation and strengthening of family relationships</w:t>
            </w:r>
          </w:p>
          <w:p w14:paraId="50512812" w14:textId="77777777" w:rsidR="005F01EB" w:rsidRPr="005F01EB" w:rsidRDefault="005F01EB" w:rsidP="001E4493">
            <w:pPr>
              <w:numPr>
                <w:ilvl w:val="0"/>
                <w:numId w:val="30"/>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Child participation to the extent age and development enable – separate representation</w:t>
            </w:r>
          </w:p>
          <w:p w14:paraId="547B1E1E" w14:textId="77777777" w:rsidR="005F01EB" w:rsidRPr="005F01EB" w:rsidRDefault="005F01EB" w:rsidP="001E4493">
            <w:pPr>
              <w:numPr>
                <w:ilvl w:val="0"/>
                <w:numId w:val="30"/>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Grounds for protection order no fault threshold</w:t>
            </w:r>
          </w:p>
          <w:p w14:paraId="123F4E1A" w14:textId="77777777" w:rsidR="005F01EB" w:rsidRPr="005F01EB" w:rsidRDefault="005F01EB" w:rsidP="001E4493">
            <w:pPr>
              <w:numPr>
                <w:ilvl w:val="0"/>
                <w:numId w:val="30"/>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 xml:space="preserve">Strict time limit between lodgement of initial application and commencement of contest </w:t>
            </w:r>
            <w:r w:rsidR="00777B46" w:rsidRPr="005F01EB">
              <w:rPr>
                <w:rFonts w:eastAsiaTheme="minorEastAsia" w:cs="Arial"/>
                <w:szCs w:val="22"/>
                <w:lang w:eastAsia="en-AU"/>
              </w:rPr>
              <w:t>is weeks</w:t>
            </w:r>
          </w:p>
          <w:p w14:paraId="21A3EFD3" w14:textId="77777777" w:rsidR="005F01EB" w:rsidRPr="005F01EB" w:rsidRDefault="005F01EB" w:rsidP="001E4493">
            <w:pPr>
              <w:numPr>
                <w:ilvl w:val="0"/>
                <w:numId w:val="30"/>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Long term guardianship orders (until 18) frequently made (no permanent care)</w:t>
            </w:r>
          </w:p>
        </w:tc>
        <w:tc>
          <w:tcPr>
            <w:tcW w:w="3341" w:type="dxa"/>
          </w:tcPr>
          <w:p w14:paraId="293423DB" w14:textId="77777777" w:rsidR="005F01EB" w:rsidRPr="005F01EB" w:rsidRDefault="005F01EB" w:rsidP="001E4493">
            <w:pPr>
              <w:spacing w:before="0" w:after="160" w:line="276" w:lineRule="auto"/>
              <w:jc w:val="left"/>
              <w:rPr>
                <w:rFonts w:eastAsiaTheme="minorEastAsia" w:cs="Arial"/>
                <w:b/>
                <w:szCs w:val="22"/>
                <w:lang w:eastAsia="en-AU"/>
              </w:rPr>
            </w:pPr>
            <w:r w:rsidRPr="005F01EB">
              <w:rPr>
                <w:rFonts w:eastAsiaTheme="minorEastAsia" w:cs="Arial"/>
                <w:b/>
                <w:szCs w:val="22"/>
                <w:lang w:eastAsia="en-AU"/>
              </w:rPr>
              <w:t>Legal Services Commission of SA</w:t>
            </w:r>
          </w:p>
          <w:p w14:paraId="505056DC"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Pre-court assistance/rep:</w:t>
            </w:r>
            <w:r w:rsidRPr="005F01EB">
              <w:rPr>
                <w:rFonts w:eastAsiaTheme="minorEastAsia" w:cs="Arial"/>
                <w:szCs w:val="22"/>
                <w:lang w:eastAsia="en-AU"/>
              </w:rPr>
              <w:t xml:space="preserve"> No</w:t>
            </w:r>
          </w:p>
          <w:p w14:paraId="352108A5"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Duty Lawyer Service:</w:t>
            </w:r>
            <w:r w:rsidRPr="005F01EB">
              <w:rPr>
                <w:rFonts w:eastAsiaTheme="minorEastAsia" w:cs="Arial"/>
                <w:szCs w:val="22"/>
                <w:lang w:eastAsia="en-AU"/>
              </w:rPr>
              <w:t xml:space="preserve"> No</w:t>
            </w:r>
          </w:p>
          <w:p w14:paraId="4F5569CC"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Court based assistance/rep:</w:t>
            </w:r>
            <w:r w:rsidRPr="005F01EB">
              <w:rPr>
                <w:rFonts w:eastAsiaTheme="minorEastAsia" w:cs="Arial"/>
                <w:szCs w:val="22"/>
                <w:lang w:eastAsia="en-AU"/>
              </w:rPr>
              <w:t xml:space="preserve"> Yes </w:t>
            </w:r>
          </w:p>
          <w:p w14:paraId="1AC8985E"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Post-court assistance/rep:</w:t>
            </w:r>
            <w:r w:rsidRPr="005F01EB">
              <w:rPr>
                <w:rFonts w:eastAsiaTheme="minorEastAsia" w:cs="Arial"/>
                <w:szCs w:val="22"/>
                <w:lang w:eastAsia="en-AU"/>
              </w:rPr>
              <w:t xml:space="preserve"> No</w:t>
            </w:r>
          </w:p>
          <w:p w14:paraId="1C8A1F26"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 xml:space="preserve">Third Parties: </w:t>
            </w:r>
            <w:r w:rsidRPr="005F01EB">
              <w:rPr>
                <w:rFonts w:eastAsiaTheme="minorEastAsia" w:cs="Arial"/>
                <w:szCs w:val="22"/>
                <w:lang w:eastAsia="en-AU"/>
              </w:rPr>
              <w:t>Unclear</w:t>
            </w:r>
          </w:p>
          <w:p w14:paraId="79D9B5D7"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 xml:space="preserve">Initiate applications: </w:t>
            </w:r>
            <w:r w:rsidRPr="005F01EB">
              <w:rPr>
                <w:rFonts w:eastAsiaTheme="minorEastAsia" w:cs="Arial"/>
                <w:szCs w:val="22"/>
                <w:lang w:eastAsia="en-AU"/>
              </w:rPr>
              <w:t>Unclear</w:t>
            </w:r>
          </w:p>
          <w:p w14:paraId="3021EC6C"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 xml:space="preserve">Administrative review: </w:t>
            </w:r>
            <w:r w:rsidRPr="005F01EB">
              <w:rPr>
                <w:rFonts w:eastAsiaTheme="minorEastAsia" w:cs="Arial"/>
                <w:szCs w:val="22"/>
                <w:lang w:eastAsia="en-AU"/>
              </w:rPr>
              <w:t>Potentially</w:t>
            </w:r>
          </w:p>
          <w:p w14:paraId="2077B3B1"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 xml:space="preserve">Guidelines: </w:t>
            </w:r>
            <w:r w:rsidRPr="005F01EB">
              <w:rPr>
                <w:rFonts w:eastAsiaTheme="minorEastAsia" w:cs="Arial"/>
                <w:szCs w:val="22"/>
                <w:lang w:eastAsia="en-AU"/>
              </w:rPr>
              <w:t xml:space="preserve">applications to meet the means, merit, forum tests and comply with Funding Guidelines, which sets a funding cap of $12,500 for each party and $17,500 for independent representation of a child. </w:t>
            </w:r>
          </w:p>
          <w:p w14:paraId="2B355994" w14:textId="55871E2E"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szCs w:val="22"/>
                <w:lang w:eastAsia="en-AU"/>
              </w:rPr>
              <w:t>*</w:t>
            </w:r>
            <w:r w:rsidR="00777B46" w:rsidRPr="005F01EB">
              <w:rPr>
                <w:rFonts w:eastAsiaTheme="minorEastAsia" w:cs="Arial"/>
                <w:szCs w:val="22"/>
                <w:lang w:eastAsia="en-AU"/>
              </w:rPr>
              <w:t>* 10-week</w:t>
            </w:r>
            <w:r w:rsidRPr="005F01EB">
              <w:rPr>
                <w:rFonts w:eastAsiaTheme="minorEastAsia" w:cs="Arial"/>
                <w:szCs w:val="22"/>
                <w:lang w:eastAsia="en-AU"/>
              </w:rPr>
              <w:t xml:space="preserve"> time limit from initiation to contest (s</w:t>
            </w:r>
            <w:r w:rsidR="003A1510">
              <w:rPr>
                <w:rFonts w:eastAsiaTheme="minorEastAsia" w:cs="Arial"/>
                <w:szCs w:val="22"/>
                <w:lang w:eastAsia="en-AU"/>
              </w:rPr>
              <w:t xml:space="preserve">. </w:t>
            </w:r>
            <w:r w:rsidRPr="005F01EB">
              <w:rPr>
                <w:rFonts w:eastAsiaTheme="minorEastAsia" w:cs="Arial"/>
                <w:szCs w:val="22"/>
                <w:lang w:eastAsia="en-AU"/>
              </w:rPr>
              <w:t>39 of the Act) to mandate expeditious resolution</w:t>
            </w:r>
          </w:p>
          <w:p w14:paraId="38BA5929" w14:textId="77777777" w:rsidR="005F01EB" w:rsidRPr="005F01EB" w:rsidRDefault="005F01EB" w:rsidP="001E4493">
            <w:pPr>
              <w:spacing w:before="0" w:after="160" w:line="276" w:lineRule="auto"/>
              <w:jc w:val="left"/>
              <w:rPr>
                <w:rFonts w:eastAsiaTheme="minorEastAsia" w:cs="Arial"/>
                <w:b/>
                <w:szCs w:val="22"/>
                <w:lang w:eastAsia="en-AU"/>
              </w:rPr>
            </w:pPr>
          </w:p>
        </w:tc>
      </w:tr>
      <w:tr w:rsidR="005F01EB" w:rsidRPr="005F01EB" w14:paraId="27576514" w14:textId="77777777" w:rsidTr="001E4493">
        <w:tc>
          <w:tcPr>
            <w:tcW w:w="3005" w:type="dxa"/>
          </w:tcPr>
          <w:p w14:paraId="4483AA9A" w14:textId="77777777" w:rsidR="005F01EB" w:rsidRPr="005F01EB" w:rsidRDefault="005F01EB" w:rsidP="001E4493">
            <w:pPr>
              <w:spacing w:before="0" w:after="160" w:line="276" w:lineRule="auto"/>
              <w:jc w:val="left"/>
              <w:rPr>
                <w:rFonts w:eastAsiaTheme="minorEastAsia" w:cs="Arial"/>
                <w:b/>
                <w:szCs w:val="22"/>
                <w:lang w:eastAsia="en-AU"/>
              </w:rPr>
            </w:pPr>
            <w:r w:rsidRPr="005F01EB">
              <w:rPr>
                <w:rFonts w:eastAsiaTheme="minorEastAsia" w:cs="Arial"/>
                <w:b/>
                <w:szCs w:val="22"/>
                <w:lang w:eastAsia="en-AU"/>
              </w:rPr>
              <w:t>Tasmania</w:t>
            </w:r>
          </w:p>
          <w:p w14:paraId="0A34B94E"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 xml:space="preserve">Children, Young Persons and their Families Act 1997 </w:t>
            </w:r>
            <w:r w:rsidRPr="005F01EB">
              <w:rPr>
                <w:rFonts w:eastAsiaTheme="minorEastAsia" w:cs="Arial"/>
                <w:szCs w:val="22"/>
                <w:lang w:eastAsia="en-AU"/>
              </w:rPr>
              <w:t>(TAS)</w:t>
            </w:r>
          </w:p>
          <w:p w14:paraId="23B59345"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lastRenderedPageBreak/>
              <w:t xml:space="preserve">Children, Young Persons and their Families Amendment Act 2009 </w:t>
            </w:r>
            <w:r w:rsidRPr="005F01EB">
              <w:rPr>
                <w:rFonts w:eastAsiaTheme="minorEastAsia" w:cs="Arial"/>
                <w:szCs w:val="22"/>
                <w:lang w:eastAsia="en-AU"/>
              </w:rPr>
              <w:t>(TAS)</w:t>
            </w:r>
          </w:p>
        </w:tc>
        <w:tc>
          <w:tcPr>
            <w:tcW w:w="3005" w:type="dxa"/>
          </w:tcPr>
          <w:p w14:paraId="07DF7ECF" w14:textId="77777777" w:rsidR="005F01EB" w:rsidRPr="005F01EB" w:rsidRDefault="005F01EB" w:rsidP="001E4493">
            <w:pPr>
              <w:numPr>
                <w:ilvl w:val="0"/>
                <w:numId w:val="30"/>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lastRenderedPageBreak/>
              <w:t>‘best interest of the child must be paramount’</w:t>
            </w:r>
          </w:p>
          <w:p w14:paraId="24107C47" w14:textId="77777777" w:rsidR="005F01EB" w:rsidRPr="005F01EB" w:rsidRDefault="005F01EB" w:rsidP="001E4493">
            <w:pPr>
              <w:numPr>
                <w:ilvl w:val="0"/>
                <w:numId w:val="30"/>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Primary responsibility for child’s care and protection lies with family</w:t>
            </w:r>
          </w:p>
          <w:p w14:paraId="277C88A9" w14:textId="77777777" w:rsidR="005F01EB" w:rsidRPr="005F01EB" w:rsidRDefault="005F01EB" w:rsidP="001E4493">
            <w:pPr>
              <w:numPr>
                <w:ilvl w:val="0"/>
                <w:numId w:val="30"/>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 xml:space="preserve">High priority given to supporting families in </w:t>
            </w:r>
            <w:r w:rsidRPr="005F01EB">
              <w:rPr>
                <w:rFonts w:eastAsiaTheme="minorEastAsia" w:cs="Arial"/>
                <w:szCs w:val="22"/>
                <w:lang w:eastAsia="en-AU"/>
              </w:rPr>
              <w:lastRenderedPageBreak/>
              <w:t>preference to intervening</w:t>
            </w:r>
          </w:p>
          <w:p w14:paraId="6F937F34" w14:textId="77777777" w:rsidR="005F01EB" w:rsidRPr="005F01EB" w:rsidRDefault="005F01EB" w:rsidP="001E4493">
            <w:pPr>
              <w:numPr>
                <w:ilvl w:val="0"/>
                <w:numId w:val="30"/>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 xml:space="preserve">Preserving and strengthening family relationships where child removed </w:t>
            </w:r>
          </w:p>
          <w:p w14:paraId="0883D67F" w14:textId="77777777" w:rsidR="005F01EB" w:rsidRPr="005F01EB" w:rsidRDefault="005F01EB" w:rsidP="001E4493">
            <w:pPr>
              <w:numPr>
                <w:ilvl w:val="0"/>
                <w:numId w:val="30"/>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Preserving and enhancing child’s cultural identity</w:t>
            </w:r>
          </w:p>
          <w:p w14:paraId="44C86921" w14:textId="77777777" w:rsidR="005F01EB" w:rsidRPr="005F01EB" w:rsidRDefault="005F01EB" w:rsidP="001E4493">
            <w:pPr>
              <w:numPr>
                <w:ilvl w:val="0"/>
                <w:numId w:val="30"/>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 xml:space="preserve">Child participation to the extent that age development enables – separate representation </w:t>
            </w:r>
          </w:p>
          <w:p w14:paraId="5775EA28" w14:textId="77777777" w:rsidR="005F01EB" w:rsidRPr="005F01EB" w:rsidRDefault="005F01EB" w:rsidP="001E4493">
            <w:pPr>
              <w:numPr>
                <w:ilvl w:val="0"/>
                <w:numId w:val="30"/>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FGC encouraged</w:t>
            </w:r>
          </w:p>
          <w:p w14:paraId="61A4F232" w14:textId="77777777" w:rsidR="005F01EB" w:rsidRPr="005F01EB" w:rsidRDefault="005F01EB" w:rsidP="001E4493">
            <w:pPr>
              <w:numPr>
                <w:ilvl w:val="0"/>
                <w:numId w:val="30"/>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Grounds for making protection order no fault threshold</w:t>
            </w:r>
          </w:p>
          <w:p w14:paraId="0FEC5710" w14:textId="71D4C959" w:rsidR="005F01EB" w:rsidRPr="005F01EB" w:rsidRDefault="005F01EB" w:rsidP="001E4493">
            <w:pPr>
              <w:numPr>
                <w:ilvl w:val="0"/>
                <w:numId w:val="30"/>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Restriction on making equivalent long-term guardianship order similar to s</w:t>
            </w:r>
            <w:r w:rsidR="003A1510">
              <w:rPr>
                <w:rFonts w:eastAsiaTheme="minorEastAsia" w:cs="Arial"/>
                <w:szCs w:val="22"/>
                <w:lang w:eastAsia="en-AU"/>
              </w:rPr>
              <w:t xml:space="preserve">. </w:t>
            </w:r>
            <w:r w:rsidRPr="005F01EB">
              <w:rPr>
                <w:rFonts w:eastAsiaTheme="minorEastAsia" w:cs="Arial"/>
                <w:szCs w:val="22"/>
                <w:lang w:eastAsia="en-AU"/>
              </w:rPr>
              <w:t>276 of CYFA 2005 (VIC)</w:t>
            </w:r>
          </w:p>
        </w:tc>
        <w:tc>
          <w:tcPr>
            <w:tcW w:w="3341" w:type="dxa"/>
          </w:tcPr>
          <w:p w14:paraId="78D4ADB1" w14:textId="77777777" w:rsidR="005F01EB" w:rsidRPr="005F01EB" w:rsidRDefault="005F01EB" w:rsidP="001E4493">
            <w:pPr>
              <w:spacing w:before="0" w:after="160" w:line="276" w:lineRule="auto"/>
              <w:jc w:val="left"/>
              <w:rPr>
                <w:rFonts w:eastAsiaTheme="minorEastAsia" w:cs="Arial"/>
                <w:b/>
                <w:szCs w:val="22"/>
                <w:lang w:eastAsia="en-AU"/>
              </w:rPr>
            </w:pPr>
            <w:r w:rsidRPr="005F01EB">
              <w:rPr>
                <w:rFonts w:eastAsiaTheme="minorEastAsia" w:cs="Arial"/>
                <w:b/>
                <w:szCs w:val="22"/>
                <w:lang w:eastAsia="en-AU"/>
              </w:rPr>
              <w:lastRenderedPageBreak/>
              <w:t>Legal Aid Commission of TAS</w:t>
            </w:r>
          </w:p>
          <w:p w14:paraId="121857F0"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Pre-court assistance/rep:</w:t>
            </w:r>
            <w:r w:rsidRPr="005F01EB">
              <w:rPr>
                <w:rFonts w:eastAsiaTheme="minorEastAsia" w:cs="Arial"/>
                <w:szCs w:val="22"/>
                <w:lang w:eastAsia="en-AU"/>
              </w:rPr>
              <w:t xml:space="preserve"> No</w:t>
            </w:r>
          </w:p>
          <w:p w14:paraId="4AF256BF"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Duty Lawyer Service:</w:t>
            </w:r>
            <w:r w:rsidRPr="005F01EB">
              <w:rPr>
                <w:rFonts w:eastAsiaTheme="minorEastAsia" w:cs="Arial"/>
                <w:szCs w:val="22"/>
                <w:lang w:eastAsia="en-AU"/>
              </w:rPr>
              <w:t xml:space="preserve"> No</w:t>
            </w:r>
          </w:p>
          <w:p w14:paraId="4DF6BEF1"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Court based assistance/rep:</w:t>
            </w:r>
            <w:r w:rsidRPr="005F01EB">
              <w:rPr>
                <w:rFonts w:eastAsiaTheme="minorEastAsia" w:cs="Arial"/>
                <w:szCs w:val="22"/>
                <w:lang w:eastAsia="en-AU"/>
              </w:rPr>
              <w:t xml:space="preserve"> Yes </w:t>
            </w:r>
          </w:p>
          <w:p w14:paraId="0E08106D"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lastRenderedPageBreak/>
              <w:t>Post-court assistance/rep:</w:t>
            </w:r>
            <w:r w:rsidRPr="005F01EB">
              <w:rPr>
                <w:rFonts w:eastAsiaTheme="minorEastAsia" w:cs="Arial"/>
                <w:szCs w:val="22"/>
                <w:lang w:eastAsia="en-AU"/>
              </w:rPr>
              <w:t xml:space="preserve"> No</w:t>
            </w:r>
          </w:p>
          <w:p w14:paraId="666AD626"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 xml:space="preserve">Third Parties: </w:t>
            </w:r>
            <w:r w:rsidRPr="005F01EB">
              <w:rPr>
                <w:rFonts w:eastAsiaTheme="minorEastAsia" w:cs="Arial"/>
                <w:szCs w:val="22"/>
                <w:lang w:eastAsia="en-AU"/>
              </w:rPr>
              <w:t>Yes</w:t>
            </w:r>
          </w:p>
          <w:p w14:paraId="2BA6649F"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 xml:space="preserve">Initiate applications: </w:t>
            </w:r>
            <w:r w:rsidRPr="005F01EB">
              <w:rPr>
                <w:rFonts w:eastAsiaTheme="minorEastAsia" w:cs="Arial"/>
                <w:szCs w:val="22"/>
                <w:lang w:eastAsia="en-AU"/>
              </w:rPr>
              <w:t>Potentially</w:t>
            </w:r>
          </w:p>
          <w:p w14:paraId="296EE20F"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 xml:space="preserve">Administrative review: </w:t>
            </w:r>
            <w:r w:rsidRPr="005F01EB">
              <w:rPr>
                <w:rFonts w:eastAsiaTheme="minorEastAsia" w:cs="Arial"/>
                <w:szCs w:val="22"/>
                <w:lang w:eastAsia="en-AU"/>
              </w:rPr>
              <w:t>No</w:t>
            </w:r>
          </w:p>
          <w:p w14:paraId="1DE31911"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 xml:space="preserve">Guidelines: </w:t>
            </w:r>
            <w:r w:rsidRPr="005F01EB">
              <w:rPr>
                <w:rFonts w:eastAsiaTheme="minorEastAsia" w:cs="Arial"/>
                <w:szCs w:val="22"/>
                <w:lang w:eastAsia="en-AU"/>
              </w:rPr>
              <w:t>assistance available where ‘proceedings may result in the removal of a child from the care of the person seeking aid where that person is the normal carer of the child, subject to means and merit’. Assistance also available for separate representation of child subject to merits.</w:t>
            </w:r>
          </w:p>
          <w:p w14:paraId="2C455CD2"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szCs w:val="22"/>
                <w:lang w:eastAsia="en-AU"/>
              </w:rPr>
              <w:t>* Respondents contesting expected to complete Affidavits in support</w:t>
            </w:r>
          </w:p>
          <w:p w14:paraId="7C06AE3D"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szCs w:val="22"/>
                <w:lang w:eastAsia="en-AU"/>
              </w:rPr>
              <w:t>** Nominal contribution of $60 charged to all clients above age of 18</w:t>
            </w:r>
          </w:p>
        </w:tc>
      </w:tr>
      <w:tr w:rsidR="005F01EB" w:rsidRPr="005F01EB" w14:paraId="77A7EBD4" w14:textId="77777777" w:rsidTr="001E4493">
        <w:tc>
          <w:tcPr>
            <w:tcW w:w="3005" w:type="dxa"/>
          </w:tcPr>
          <w:p w14:paraId="5ECD811D" w14:textId="77777777" w:rsidR="005F01EB" w:rsidRPr="005F01EB" w:rsidRDefault="005F01EB" w:rsidP="001E4493">
            <w:pPr>
              <w:spacing w:before="0" w:after="160" w:line="276" w:lineRule="auto"/>
              <w:jc w:val="left"/>
              <w:rPr>
                <w:rFonts w:eastAsiaTheme="minorEastAsia" w:cs="Arial"/>
                <w:b/>
                <w:szCs w:val="22"/>
                <w:lang w:eastAsia="en-AU"/>
              </w:rPr>
            </w:pPr>
            <w:r w:rsidRPr="005F01EB">
              <w:rPr>
                <w:rFonts w:eastAsiaTheme="minorEastAsia" w:cs="Arial"/>
                <w:b/>
                <w:szCs w:val="22"/>
                <w:lang w:eastAsia="en-AU"/>
              </w:rPr>
              <w:lastRenderedPageBreak/>
              <w:t>Western Australia</w:t>
            </w:r>
          </w:p>
          <w:p w14:paraId="0CDF0F01"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 xml:space="preserve">Children and Community Services Act 2004 </w:t>
            </w:r>
            <w:r w:rsidRPr="005F01EB">
              <w:rPr>
                <w:rFonts w:eastAsiaTheme="minorEastAsia" w:cs="Arial"/>
                <w:szCs w:val="22"/>
                <w:lang w:eastAsia="en-AU"/>
              </w:rPr>
              <w:t>(WA)</w:t>
            </w:r>
          </w:p>
        </w:tc>
        <w:tc>
          <w:tcPr>
            <w:tcW w:w="3005" w:type="dxa"/>
          </w:tcPr>
          <w:p w14:paraId="644F4831" w14:textId="77777777" w:rsidR="005F01EB" w:rsidRPr="005F01EB" w:rsidRDefault="005F01EB" w:rsidP="001E4493">
            <w:pPr>
              <w:numPr>
                <w:ilvl w:val="0"/>
                <w:numId w:val="31"/>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‘best interests of the child paramount’</w:t>
            </w:r>
          </w:p>
          <w:p w14:paraId="50916DCB" w14:textId="77777777" w:rsidR="005F01EB" w:rsidRPr="005F01EB" w:rsidRDefault="005F01EB" w:rsidP="001E4493">
            <w:pPr>
              <w:numPr>
                <w:ilvl w:val="0"/>
                <w:numId w:val="31"/>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Need to protect child from harm, capacity of parents or other persons to offer such protection</w:t>
            </w:r>
          </w:p>
          <w:p w14:paraId="762DF775" w14:textId="77777777" w:rsidR="005F01EB" w:rsidRPr="005F01EB" w:rsidRDefault="005F01EB" w:rsidP="001E4493">
            <w:pPr>
              <w:numPr>
                <w:ilvl w:val="0"/>
                <w:numId w:val="31"/>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Nature of child’s relationship with parents, siblings, other relatives, attitude of parent’s to parental responsibility</w:t>
            </w:r>
          </w:p>
          <w:p w14:paraId="5C7B473A" w14:textId="77777777" w:rsidR="005F01EB" w:rsidRPr="005F01EB" w:rsidRDefault="005F01EB" w:rsidP="001E4493">
            <w:pPr>
              <w:numPr>
                <w:ilvl w:val="0"/>
                <w:numId w:val="31"/>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Participation of child to the extent that age and development enable – separate representation</w:t>
            </w:r>
          </w:p>
          <w:p w14:paraId="00686280" w14:textId="77777777" w:rsidR="005F01EB" w:rsidRPr="005F01EB" w:rsidRDefault="005F01EB" w:rsidP="001E4493">
            <w:pPr>
              <w:numPr>
                <w:ilvl w:val="0"/>
                <w:numId w:val="31"/>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Importance of continuity and stability in child’s living arrangement</w:t>
            </w:r>
          </w:p>
          <w:p w14:paraId="3F978797" w14:textId="77777777" w:rsidR="005F01EB" w:rsidRPr="005F01EB" w:rsidRDefault="005F01EB" w:rsidP="001E4493">
            <w:pPr>
              <w:numPr>
                <w:ilvl w:val="0"/>
                <w:numId w:val="31"/>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 xml:space="preserve">Preservation of contact with parents, siblings, </w:t>
            </w:r>
            <w:r w:rsidRPr="005F01EB">
              <w:rPr>
                <w:rFonts w:eastAsiaTheme="minorEastAsia" w:cs="Arial"/>
                <w:szCs w:val="22"/>
                <w:lang w:eastAsia="en-AU"/>
              </w:rPr>
              <w:lastRenderedPageBreak/>
              <w:t>family when placed away from home</w:t>
            </w:r>
          </w:p>
          <w:p w14:paraId="33398373" w14:textId="77777777" w:rsidR="005F01EB" w:rsidRPr="005F01EB" w:rsidRDefault="005F01EB" w:rsidP="001E4493">
            <w:pPr>
              <w:numPr>
                <w:ilvl w:val="0"/>
                <w:numId w:val="31"/>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ATSI placement principle</w:t>
            </w:r>
          </w:p>
          <w:p w14:paraId="4074A19A" w14:textId="77777777" w:rsidR="005F01EB" w:rsidRPr="005F01EB" w:rsidRDefault="005F01EB" w:rsidP="001E4493">
            <w:pPr>
              <w:numPr>
                <w:ilvl w:val="0"/>
                <w:numId w:val="31"/>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 xml:space="preserve">Prompt decision making </w:t>
            </w:r>
          </w:p>
          <w:p w14:paraId="55686E15" w14:textId="77777777" w:rsidR="005F01EB" w:rsidRPr="005F01EB" w:rsidRDefault="005F01EB" w:rsidP="001E4493">
            <w:pPr>
              <w:numPr>
                <w:ilvl w:val="0"/>
                <w:numId w:val="31"/>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Intervention only in circumstances where no other reasonable safeguard</w:t>
            </w:r>
          </w:p>
          <w:p w14:paraId="2253ED01" w14:textId="77777777" w:rsidR="005F01EB" w:rsidRPr="005F01EB" w:rsidRDefault="005F01EB" w:rsidP="001E4493">
            <w:pPr>
              <w:numPr>
                <w:ilvl w:val="0"/>
                <w:numId w:val="31"/>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Limited orders available</w:t>
            </w:r>
          </w:p>
        </w:tc>
        <w:tc>
          <w:tcPr>
            <w:tcW w:w="3341" w:type="dxa"/>
          </w:tcPr>
          <w:p w14:paraId="08B7FCE2" w14:textId="77777777" w:rsidR="005F01EB" w:rsidRPr="005F01EB" w:rsidRDefault="005F01EB" w:rsidP="001E4493">
            <w:pPr>
              <w:spacing w:before="0" w:after="160" w:line="276" w:lineRule="auto"/>
              <w:jc w:val="left"/>
              <w:rPr>
                <w:rFonts w:eastAsiaTheme="minorEastAsia" w:cs="Arial"/>
                <w:b/>
                <w:szCs w:val="22"/>
                <w:lang w:eastAsia="en-AU"/>
              </w:rPr>
            </w:pPr>
            <w:r w:rsidRPr="005F01EB">
              <w:rPr>
                <w:rFonts w:eastAsiaTheme="minorEastAsia" w:cs="Arial"/>
                <w:b/>
                <w:szCs w:val="22"/>
                <w:lang w:eastAsia="en-AU"/>
              </w:rPr>
              <w:lastRenderedPageBreak/>
              <w:t>Legal Aid WA</w:t>
            </w:r>
          </w:p>
          <w:p w14:paraId="156D2273"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Pre-court assistance/rep:</w:t>
            </w:r>
            <w:r w:rsidRPr="005F01EB">
              <w:rPr>
                <w:rFonts w:eastAsiaTheme="minorEastAsia" w:cs="Arial"/>
                <w:szCs w:val="22"/>
                <w:lang w:eastAsia="en-AU"/>
              </w:rPr>
              <w:t xml:space="preserve"> No</w:t>
            </w:r>
          </w:p>
          <w:p w14:paraId="16CF6009"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Duty Lawyer Service:</w:t>
            </w:r>
            <w:r w:rsidRPr="005F01EB">
              <w:rPr>
                <w:rFonts w:eastAsiaTheme="minorEastAsia" w:cs="Arial"/>
                <w:szCs w:val="22"/>
                <w:lang w:eastAsia="en-AU"/>
              </w:rPr>
              <w:t xml:space="preserve"> Yes</w:t>
            </w:r>
          </w:p>
          <w:p w14:paraId="2CA3ECF9"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Court based assistance/rep:</w:t>
            </w:r>
            <w:r w:rsidRPr="005F01EB">
              <w:rPr>
                <w:rFonts w:eastAsiaTheme="minorEastAsia" w:cs="Arial"/>
                <w:szCs w:val="22"/>
                <w:lang w:eastAsia="en-AU"/>
              </w:rPr>
              <w:t xml:space="preserve"> Yes </w:t>
            </w:r>
          </w:p>
          <w:p w14:paraId="27C6CCAC"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Post-court assistance/rep:</w:t>
            </w:r>
            <w:r w:rsidRPr="005F01EB">
              <w:rPr>
                <w:rFonts w:eastAsiaTheme="minorEastAsia" w:cs="Arial"/>
                <w:szCs w:val="22"/>
                <w:lang w:eastAsia="en-AU"/>
              </w:rPr>
              <w:t xml:space="preserve"> No</w:t>
            </w:r>
          </w:p>
          <w:p w14:paraId="10A6AF84"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 xml:space="preserve">Third Parties: </w:t>
            </w:r>
            <w:r w:rsidRPr="005F01EB">
              <w:rPr>
                <w:rFonts w:eastAsiaTheme="minorEastAsia" w:cs="Arial"/>
                <w:szCs w:val="22"/>
                <w:lang w:eastAsia="en-AU"/>
              </w:rPr>
              <w:t>Yes</w:t>
            </w:r>
          </w:p>
          <w:p w14:paraId="65A803F0"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 xml:space="preserve">Initiate applications: </w:t>
            </w:r>
            <w:r w:rsidRPr="005F01EB">
              <w:rPr>
                <w:rFonts w:eastAsiaTheme="minorEastAsia" w:cs="Arial"/>
                <w:szCs w:val="22"/>
                <w:lang w:eastAsia="en-AU"/>
              </w:rPr>
              <w:t>No</w:t>
            </w:r>
          </w:p>
          <w:p w14:paraId="79ABF5BC"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 xml:space="preserve">Administrative review: </w:t>
            </w:r>
            <w:r w:rsidRPr="005F01EB">
              <w:rPr>
                <w:rFonts w:eastAsiaTheme="minorEastAsia" w:cs="Arial"/>
                <w:szCs w:val="22"/>
                <w:lang w:eastAsia="en-AU"/>
              </w:rPr>
              <w:t>No</w:t>
            </w:r>
          </w:p>
          <w:p w14:paraId="54FF2E8C"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 xml:space="preserve">Guidelines: </w:t>
            </w:r>
            <w:r w:rsidRPr="005F01EB">
              <w:rPr>
                <w:rFonts w:eastAsiaTheme="minorEastAsia" w:cs="Arial"/>
                <w:szCs w:val="22"/>
                <w:lang w:eastAsia="en-AU"/>
              </w:rPr>
              <w:t xml:space="preserve">an ‘advice and investigation’ grant available if beyond scope of DL to provide. Aid that ‘includes representation up to and including defended hearing available if outside normal level </w:t>
            </w:r>
            <w:r w:rsidRPr="005F01EB">
              <w:rPr>
                <w:rFonts w:eastAsiaTheme="minorEastAsia" w:cs="Arial"/>
                <w:szCs w:val="22"/>
                <w:lang w:eastAsia="en-AU"/>
              </w:rPr>
              <w:lastRenderedPageBreak/>
              <w:t xml:space="preserve">of representation provided by DL, and there are reasonable chances of successfully opposing application and children have been taken into care of CEO or special circumstances exist’. </w:t>
            </w:r>
          </w:p>
          <w:p w14:paraId="5CA9976F"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szCs w:val="22"/>
                <w:lang w:eastAsia="en-AU"/>
              </w:rPr>
              <w:t xml:space="preserve">GOA available for separate representatives where Court ordered and Commission decides it’s reasonable to do so. </w:t>
            </w:r>
          </w:p>
          <w:p w14:paraId="712370B6" w14:textId="77777777" w:rsidR="005F01EB" w:rsidRPr="005F01EB" w:rsidRDefault="005F01EB" w:rsidP="001E4493">
            <w:pPr>
              <w:spacing w:before="0" w:after="160" w:line="276" w:lineRule="auto"/>
              <w:jc w:val="left"/>
              <w:rPr>
                <w:rFonts w:eastAsiaTheme="minorEastAsia" w:cs="Arial"/>
                <w:b/>
                <w:szCs w:val="22"/>
                <w:lang w:eastAsia="en-AU"/>
              </w:rPr>
            </w:pPr>
            <w:r w:rsidRPr="005F01EB">
              <w:rPr>
                <w:rFonts w:eastAsiaTheme="minorEastAsia" w:cs="Arial"/>
                <w:szCs w:val="22"/>
                <w:lang w:eastAsia="en-AU"/>
              </w:rPr>
              <w:t>** Respondents contesting an application required to lodge written materials</w:t>
            </w:r>
          </w:p>
        </w:tc>
      </w:tr>
      <w:tr w:rsidR="005F01EB" w:rsidRPr="005F01EB" w14:paraId="040F198F" w14:textId="77777777" w:rsidTr="001E4493">
        <w:tc>
          <w:tcPr>
            <w:tcW w:w="3005" w:type="dxa"/>
          </w:tcPr>
          <w:p w14:paraId="000F0BA5" w14:textId="77777777" w:rsidR="005F01EB" w:rsidRPr="005F01EB" w:rsidRDefault="005F01EB" w:rsidP="001E4493">
            <w:pPr>
              <w:spacing w:before="0" w:after="160" w:line="276" w:lineRule="auto"/>
              <w:jc w:val="left"/>
              <w:rPr>
                <w:rFonts w:eastAsiaTheme="minorEastAsia" w:cs="Arial"/>
                <w:b/>
                <w:szCs w:val="22"/>
                <w:lang w:eastAsia="en-AU"/>
              </w:rPr>
            </w:pPr>
            <w:r w:rsidRPr="005F01EB">
              <w:rPr>
                <w:rFonts w:eastAsiaTheme="minorEastAsia" w:cs="Arial"/>
                <w:b/>
                <w:szCs w:val="22"/>
                <w:lang w:eastAsia="en-AU"/>
              </w:rPr>
              <w:lastRenderedPageBreak/>
              <w:t xml:space="preserve">Victoria </w:t>
            </w:r>
          </w:p>
          <w:p w14:paraId="5C3E7482"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 xml:space="preserve">Children, Youth and Families Act 2005 </w:t>
            </w:r>
            <w:r w:rsidRPr="005F01EB">
              <w:rPr>
                <w:rFonts w:eastAsiaTheme="minorEastAsia" w:cs="Arial"/>
                <w:szCs w:val="22"/>
                <w:lang w:eastAsia="en-AU"/>
              </w:rPr>
              <w:t>(VIC)</w:t>
            </w:r>
          </w:p>
          <w:p w14:paraId="63088893" w14:textId="77777777" w:rsidR="005F01EB" w:rsidRPr="005F01EB" w:rsidRDefault="005F01EB" w:rsidP="001E4493">
            <w:pPr>
              <w:spacing w:before="0" w:after="160" w:line="276" w:lineRule="auto"/>
              <w:jc w:val="left"/>
              <w:rPr>
                <w:rFonts w:eastAsiaTheme="minorEastAsia" w:cs="Arial"/>
                <w:b/>
                <w:szCs w:val="22"/>
                <w:lang w:eastAsia="en-AU"/>
              </w:rPr>
            </w:pPr>
            <w:r w:rsidRPr="005F01EB">
              <w:rPr>
                <w:rFonts w:eastAsiaTheme="minorEastAsia" w:cs="Arial"/>
                <w:i/>
                <w:szCs w:val="22"/>
                <w:lang w:eastAsia="en-AU"/>
              </w:rPr>
              <w:t xml:space="preserve">Children, Youth and Families Amendment (Permanent Care and Other Matters) Act 2014 </w:t>
            </w:r>
            <w:r w:rsidRPr="005F01EB">
              <w:rPr>
                <w:rFonts w:eastAsiaTheme="minorEastAsia" w:cs="Arial"/>
                <w:szCs w:val="22"/>
                <w:lang w:eastAsia="en-AU"/>
              </w:rPr>
              <w:t>(VIC)</w:t>
            </w:r>
          </w:p>
        </w:tc>
        <w:tc>
          <w:tcPr>
            <w:tcW w:w="3005" w:type="dxa"/>
          </w:tcPr>
          <w:p w14:paraId="596C65B6" w14:textId="77777777" w:rsidR="005F01EB" w:rsidRPr="005F01EB" w:rsidRDefault="005F01EB" w:rsidP="001E4493">
            <w:pPr>
              <w:numPr>
                <w:ilvl w:val="0"/>
                <w:numId w:val="31"/>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‘best interests of the child paramount’</w:t>
            </w:r>
          </w:p>
          <w:p w14:paraId="2E86F00E" w14:textId="77777777" w:rsidR="005F01EB" w:rsidRPr="005F01EB" w:rsidRDefault="005F01EB" w:rsidP="001E4493">
            <w:pPr>
              <w:numPr>
                <w:ilvl w:val="0"/>
                <w:numId w:val="31"/>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Child participation encouraged to extent developmental capacity and circumstances</w:t>
            </w:r>
          </w:p>
          <w:p w14:paraId="09B40302" w14:textId="77777777" w:rsidR="005F01EB" w:rsidRPr="005F01EB" w:rsidRDefault="005F01EB" w:rsidP="001E4493">
            <w:pPr>
              <w:spacing w:before="0" w:after="160" w:line="276" w:lineRule="auto"/>
              <w:ind w:left="360"/>
              <w:contextualSpacing/>
              <w:jc w:val="left"/>
              <w:rPr>
                <w:rFonts w:eastAsiaTheme="minorEastAsia" w:cs="Arial"/>
                <w:szCs w:val="22"/>
                <w:lang w:eastAsia="en-AU"/>
              </w:rPr>
            </w:pPr>
            <w:r w:rsidRPr="005F01EB">
              <w:rPr>
                <w:rFonts w:eastAsiaTheme="minorEastAsia" w:cs="Arial"/>
                <w:szCs w:val="22"/>
                <w:lang w:eastAsia="en-AU"/>
              </w:rPr>
              <w:t>allow – direct and best interest</w:t>
            </w:r>
          </w:p>
          <w:p w14:paraId="59E426DC" w14:textId="77777777" w:rsidR="005F01EB" w:rsidRPr="005F01EB" w:rsidRDefault="005F01EB" w:rsidP="001E4493">
            <w:pPr>
              <w:numPr>
                <w:ilvl w:val="0"/>
                <w:numId w:val="31"/>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Culture, disability, language, religion and sexuality of child must be taken into account</w:t>
            </w:r>
          </w:p>
          <w:p w14:paraId="20B3BC89" w14:textId="77777777" w:rsidR="005F01EB" w:rsidRPr="005F01EB" w:rsidRDefault="005F01EB" w:rsidP="001E4493">
            <w:pPr>
              <w:numPr>
                <w:ilvl w:val="0"/>
                <w:numId w:val="31"/>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Least intrusive intervention consistent with protection of child</w:t>
            </w:r>
          </w:p>
          <w:p w14:paraId="2A549BDA" w14:textId="77777777" w:rsidR="005F01EB" w:rsidRPr="005F01EB" w:rsidRDefault="005F01EB" w:rsidP="001E4493">
            <w:pPr>
              <w:numPr>
                <w:ilvl w:val="0"/>
                <w:numId w:val="31"/>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Early intervention</w:t>
            </w:r>
          </w:p>
          <w:p w14:paraId="0AEBC9FF" w14:textId="77777777" w:rsidR="005F01EB" w:rsidRPr="005F01EB" w:rsidRDefault="005F01EB" w:rsidP="001E4493">
            <w:pPr>
              <w:numPr>
                <w:ilvl w:val="0"/>
                <w:numId w:val="31"/>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 xml:space="preserve">Permanent placement principles – hierarchy of intervention </w:t>
            </w:r>
          </w:p>
          <w:p w14:paraId="12B10046" w14:textId="77777777" w:rsidR="005F01EB" w:rsidRPr="005F01EB" w:rsidRDefault="005F01EB" w:rsidP="001E4493">
            <w:pPr>
              <w:numPr>
                <w:ilvl w:val="0"/>
                <w:numId w:val="31"/>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Desirability of expeditious decision making</w:t>
            </w:r>
          </w:p>
          <w:p w14:paraId="2B643F98" w14:textId="77777777" w:rsidR="005F01EB" w:rsidRPr="005F01EB" w:rsidRDefault="005F01EB" w:rsidP="001E4493">
            <w:pPr>
              <w:numPr>
                <w:ilvl w:val="0"/>
                <w:numId w:val="31"/>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ATSI placement principle</w:t>
            </w:r>
          </w:p>
          <w:p w14:paraId="3FE86C9B" w14:textId="77777777" w:rsidR="005F01EB" w:rsidRPr="005F01EB" w:rsidRDefault="005F01EB" w:rsidP="001E4493">
            <w:pPr>
              <w:numPr>
                <w:ilvl w:val="0"/>
                <w:numId w:val="31"/>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 xml:space="preserve">Strict timelines for reunification provide as follows: </w:t>
            </w:r>
          </w:p>
          <w:p w14:paraId="529B4D99" w14:textId="5196A867" w:rsidR="005F01EB" w:rsidRPr="005F01EB" w:rsidRDefault="005F01EB" w:rsidP="001E4493">
            <w:pPr>
              <w:numPr>
                <w:ilvl w:val="0"/>
                <w:numId w:val="33"/>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lastRenderedPageBreak/>
              <w:t>Court may order a Family Reunification Order for a period with the effect of a c</w:t>
            </w:r>
            <w:r w:rsidR="006D3C43">
              <w:rPr>
                <w:rFonts w:eastAsiaTheme="minorEastAsia" w:cs="Arial"/>
                <w:szCs w:val="22"/>
                <w:lang w:eastAsia="en-AU"/>
              </w:rPr>
              <w:t>hild being in court ordered out-</w:t>
            </w:r>
            <w:r w:rsidRPr="005F01EB">
              <w:rPr>
                <w:rFonts w:eastAsiaTheme="minorEastAsia" w:cs="Arial"/>
                <w:szCs w:val="22"/>
                <w:lang w:eastAsia="en-AU"/>
              </w:rPr>
              <w:t>of</w:t>
            </w:r>
            <w:r w:rsidR="006D3C43">
              <w:rPr>
                <w:rFonts w:eastAsiaTheme="minorEastAsia" w:cs="Arial"/>
                <w:szCs w:val="22"/>
                <w:lang w:eastAsia="en-AU"/>
              </w:rPr>
              <w:t>-</w:t>
            </w:r>
            <w:r w:rsidRPr="005F01EB">
              <w:rPr>
                <w:rFonts w:eastAsiaTheme="minorEastAsia" w:cs="Arial"/>
                <w:szCs w:val="22"/>
                <w:lang w:eastAsia="en-AU"/>
              </w:rPr>
              <w:t xml:space="preserve">home care for up to 12 months. </w:t>
            </w:r>
          </w:p>
          <w:p w14:paraId="2AFCD7E0" w14:textId="76374ABE" w:rsidR="005F01EB" w:rsidRPr="005F01EB" w:rsidRDefault="005F01EB" w:rsidP="001E4493">
            <w:pPr>
              <w:numPr>
                <w:ilvl w:val="0"/>
                <w:numId w:val="33"/>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Court may only extend a Family Reunification Order where compelling evidence exists that a parent is likely to permanently resume care of child during the period of extension and provided the extension will not have the effect of the child being in court ordered out</w:t>
            </w:r>
            <w:r w:rsidR="006D3C43">
              <w:rPr>
                <w:rFonts w:eastAsiaTheme="minorEastAsia" w:cs="Arial"/>
                <w:szCs w:val="22"/>
                <w:lang w:eastAsia="en-AU"/>
              </w:rPr>
              <w:t>-</w:t>
            </w:r>
            <w:r w:rsidRPr="005F01EB">
              <w:rPr>
                <w:rFonts w:eastAsiaTheme="minorEastAsia" w:cs="Arial"/>
                <w:szCs w:val="22"/>
                <w:lang w:eastAsia="en-AU"/>
              </w:rPr>
              <w:t>of</w:t>
            </w:r>
            <w:r w:rsidR="006D3C43">
              <w:rPr>
                <w:rFonts w:eastAsiaTheme="minorEastAsia" w:cs="Arial"/>
                <w:szCs w:val="22"/>
                <w:lang w:eastAsia="en-AU"/>
              </w:rPr>
              <w:t>-</w:t>
            </w:r>
            <w:r w:rsidRPr="005F01EB">
              <w:rPr>
                <w:rFonts w:eastAsiaTheme="minorEastAsia" w:cs="Arial"/>
                <w:szCs w:val="22"/>
                <w:lang w:eastAsia="en-AU"/>
              </w:rPr>
              <w:t xml:space="preserve">home care for more than 24 months. </w:t>
            </w:r>
          </w:p>
          <w:p w14:paraId="40F2786D" w14:textId="77777777" w:rsidR="005F01EB" w:rsidRPr="005F01EB" w:rsidRDefault="005F01EB" w:rsidP="001E4493">
            <w:pPr>
              <w:numPr>
                <w:ilvl w:val="0"/>
                <w:numId w:val="33"/>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 xml:space="preserve">The Court is disempowered from ordering a child return to the care of his/her parent once the child has been in OOHC for a cumulative period of 24 months. This decision may only be made administratively by the Department. </w:t>
            </w:r>
          </w:p>
          <w:p w14:paraId="3102D573" w14:textId="77777777" w:rsidR="005F01EB" w:rsidRPr="005F01EB" w:rsidRDefault="005F01EB" w:rsidP="001E4493">
            <w:pPr>
              <w:numPr>
                <w:ilvl w:val="0"/>
                <w:numId w:val="31"/>
              </w:numPr>
              <w:spacing w:before="0" w:after="0" w:line="276" w:lineRule="auto"/>
              <w:contextualSpacing/>
              <w:jc w:val="left"/>
              <w:rPr>
                <w:rFonts w:eastAsiaTheme="minorEastAsia" w:cs="Arial"/>
                <w:szCs w:val="22"/>
                <w:lang w:eastAsia="en-AU"/>
              </w:rPr>
            </w:pPr>
            <w:r w:rsidRPr="005F01EB">
              <w:rPr>
                <w:rFonts w:eastAsiaTheme="minorEastAsia" w:cs="Arial"/>
                <w:szCs w:val="22"/>
                <w:lang w:eastAsia="en-AU"/>
              </w:rPr>
              <w:t>Grounds for making Protection Orders contain a fault-based threshold: ‘</w:t>
            </w:r>
            <w:r w:rsidRPr="005F01EB">
              <w:rPr>
                <w:rFonts w:eastAsiaTheme="minorEastAsia" w:cs="Arial"/>
                <w:i/>
                <w:szCs w:val="22"/>
                <w:lang w:eastAsia="en-AU"/>
              </w:rPr>
              <w:t xml:space="preserve">the child has or is likely to suffer harm </w:t>
            </w:r>
            <w:r w:rsidRPr="005F01EB">
              <w:rPr>
                <w:rFonts w:eastAsiaTheme="minorEastAsia" w:cs="Arial"/>
                <w:i/>
                <w:szCs w:val="22"/>
                <w:u w:val="single"/>
                <w:lang w:eastAsia="en-AU"/>
              </w:rPr>
              <w:t>and</w:t>
            </w:r>
            <w:r w:rsidRPr="005F01EB">
              <w:rPr>
                <w:rFonts w:eastAsiaTheme="minorEastAsia" w:cs="Arial"/>
                <w:i/>
                <w:szCs w:val="22"/>
                <w:lang w:eastAsia="en-AU"/>
              </w:rPr>
              <w:t xml:space="preserve"> the parents have not protected or are unlikely to protect the child from harm’</w:t>
            </w:r>
          </w:p>
        </w:tc>
        <w:tc>
          <w:tcPr>
            <w:tcW w:w="3341" w:type="dxa"/>
          </w:tcPr>
          <w:p w14:paraId="54C36D2D" w14:textId="77777777" w:rsidR="005F01EB" w:rsidRPr="005F01EB" w:rsidRDefault="005F01EB" w:rsidP="001E4493">
            <w:pPr>
              <w:spacing w:before="0" w:after="160" w:line="276" w:lineRule="auto"/>
              <w:jc w:val="left"/>
              <w:rPr>
                <w:rFonts w:eastAsiaTheme="minorEastAsia" w:cs="Arial"/>
                <w:b/>
                <w:szCs w:val="22"/>
                <w:lang w:eastAsia="en-AU"/>
              </w:rPr>
            </w:pPr>
            <w:r w:rsidRPr="005F01EB">
              <w:rPr>
                <w:rFonts w:eastAsiaTheme="minorEastAsia" w:cs="Arial"/>
                <w:b/>
                <w:szCs w:val="22"/>
                <w:lang w:eastAsia="en-AU"/>
              </w:rPr>
              <w:lastRenderedPageBreak/>
              <w:t xml:space="preserve">Victoria Legal Aid </w:t>
            </w:r>
          </w:p>
          <w:p w14:paraId="68402D5D"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Pre-court assistance/rep:</w:t>
            </w:r>
            <w:r w:rsidRPr="005F01EB">
              <w:rPr>
                <w:rFonts w:eastAsiaTheme="minorEastAsia" w:cs="Arial"/>
                <w:szCs w:val="22"/>
                <w:lang w:eastAsia="en-AU"/>
              </w:rPr>
              <w:t xml:space="preserve"> No</w:t>
            </w:r>
          </w:p>
          <w:p w14:paraId="011936B6"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Duty Lawyer Service:</w:t>
            </w:r>
            <w:r w:rsidRPr="005F01EB">
              <w:rPr>
                <w:rFonts w:eastAsiaTheme="minorEastAsia" w:cs="Arial"/>
                <w:szCs w:val="22"/>
                <w:lang w:eastAsia="en-AU"/>
              </w:rPr>
              <w:t xml:space="preserve"> Yes</w:t>
            </w:r>
          </w:p>
          <w:p w14:paraId="3F548323"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Court based assistance/rep:</w:t>
            </w:r>
            <w:r w:rsidRPr="005F01EB">
              <w:rPr>
                <w:rFonts w:eastAsiaTheme="minorEastAsia" w:cs="Arial"/>
                <w:szCs w:val="22"/>
                <w:lang w:eastAsia="en-AU"/>
              </w:rPr>
              <w:t xml:space="preserve"> Yes </w:t>
            </w:r>
          </w:p>
          <w:p w14:paraId="2837B733"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Post-court assistance/rep:</w:t>
            </w:r>
            <w:r w:rsidRPr="005F01EB">
              <w:rPr>
                <w:rFonts w:eastAsiaTheme="minorEastAsia" w:cs="Arial"/>
                <w:szCs w:val="22"/>
                <w:lang w:eastAsia="en-AU"/>
              </w:rPr>
              <w:t xml:space="preserve"> No</w:t>
            </w:r>
          </w:p>
          <w:p w14:paraId="7C7BEA87"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 xml:space="preserve">Third Parties: </w:t>
            </w:r>
            <w:r w:rsidRPr="005F01EB">
              <w:rPr>
                <w:rFonts w:eastAsiaTheme="minorEastAsia" w:cs="Arial"/>
                <w:szCs w:val="22"/>
                <w:lang w:eastAsia="en-AU"/>
              </w:rPr>
              <w:t>Yes</w:t>
            </w:r>
          </w:p>
          <w:p w14:paraId="38E1366D"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 xml:space="preserve">Initiate applications: </w:t>
            </w:r>
            <w:r w:rsidRPr="005F01EB">
              <w:rPr>
                <w:rFonts w:eastAsiaTheme="minorEastAsia" w:cs="Arial"/>
                <w:szCs w:val="22"/>
                <w:lang w:eastAsia="en-AU"/>
              </w:rPr>
              <w:t>No</w:t>
            </w:r>
          </w:p>
          <w:p w14:paraId="32F1D754" w14:textId="77777777" w:rsidR="005F01EB" w:rsidRPr="005F01EB" w:rsidRDefault="005F01EB" w:rsidP="001E4493">
            <w:pPr>
              <w:spacing w:before="0" w:after="160" w:line="276" w:lineRule="auto"/>
              <w:jc w:val="left"/>
              <w:rPr>
                <w:rFonts w:eastAsiaTheme="minorEastAsia" w:cs="Arial"/>
                <w:szCs w:val="22"/>
                <w:lang w:eastAsia="en-AU"/>
              </w:rPr>
            </w:pPr>
            <w:r w:rsidRPr="005F01EB">
              <w:rPr>
                <w:rFonts w:eastAsiaTheme="minorEastAsia" w:cs="Arial"/>
                <w:i/>
                <w:szCs w:val="22"/>
                <w:lang w:eastAsia="en-AU"/>
              </w:rPr>
              <w:t xml:space="preserve">Administrative review: </w:t>
            </w:r>
            <w:r w:rsidRPr="005F01EB">
              <w:rPr>
                <w:rFonts w:eastAsiaTheme="minorEastAsia" w:cs="Arial"/>
                <w:szCs w:val="22"/>
                <w:lang w:eastAsia="en-AU"/>
              </w:rPr>
              <w:t>Yes</w:t>
            </w:r>
          </w:p>
          <w:p w14:paraId="02DE824B" w14:textId="008B5854" w:rsidR="005F01EB" w:rsidRPr="005F01EB" w:rsidRDefault="00F71279" w:rsidP="001E4493">
            <w:pPr>
              <w:spacing w:before="0" w:after="160" w:line="276" w:lineRule="auto"/>
              <w:jc w:val="left"/>
              <w:rPr>
                <w:rFonts w:eastAsiaTheme="minorEastAsia" w:cs="Arial"/>
                <w:szCs w:val="22"/>
                <w:lang w:eastAsia="en-AU"/>
              </w:rPr>
            </w:pPr>
            <w:r>
              <w:rPr>
                <w:rFonts w:eastAsiaTheme="minorEastAsia" w:cs="Arial"/>
                <w:i/>
                <w:szCs w:val="22"/>
                <w:lang w:eastAsia="en-AU"/>
              </w:rPr>
              <w:t>Guidelines:</w:t>
            </w:r>
          </w:p>
          <w:p w14:paraId="2D392361" w14:textId="77777777" w:rsidR="005F01EB" w:rsidRPr="005F01EB" w:rsidRDefault="005F01EB" w:rsidP="001E4493">
            <w:pPr>
              <w:spacing w:before="0" w:after="160" w:line="276" w:lineRule="auto"/>
              <w:jc w:val="left"/>
              <w:rPr>
                <w:rFonts w:eastAsiaTheme="minorEastAsia" w:cs="Arial"/>
                <w:b/>
                <w:szCs w:val="22"/>
                <w:lang w:eastAsia="en-AU"/>
              </w:rPr>
            </w:pPr>
            <w:r w:rsidRPr="005F01EB">
              <w:rPr>
                <w:rFonts w:eastAsiaTheme="minorEastAsia" w:cs="Arial"/>
                <w:szCs w:val="22"/>
                <w:lang w:eastAsia="en-AU"/>
              </w:rPr>
              <w:t xml:space="preserve">‘Reasonable prospects of a child being placed in the </w:t>
            </w:r>
            <w:r w:rsidR="00777B46" w:rsidRPr="005F01EB">
              <w:rPr>
                <w:rFonts w:eastAsiaTheme="minorEastAsia" w:cs="Arial"/>
                <w:szCs w:val="22"/>
                <w:lang w:eastAsia="en-AU"/>
              </w:rPr>
              <w:t>parent’s</w:t>
            </w:r>
            <w:r w:rsidRPr="005F01EB">
              <w:rPr>
                <w:rFonts w:eastAsiaTheme="minorEastAsia" w:cs="Arial"/>
                <w:szCs w:val="22"/>
                <w:lang w:eastAsia="en-AU"/>
              </w:rPr>
              <w:t xml:space="preserve"> care’ OR DHHS are seeking particular orders that would have the effect of removing custody and guardianship from parents. Restriction placed on pursuing contact only unless the parent is under 18. </w:t>
            </w:r>
          </w:p>
        </w:tc>
      </w:tr>
    </w:tbl>
    <w:p w14:paraId="52543AD8" w14:textId="77777777" w:rsidR="005F01EB" w:rsidRDefault="005F01EB" w:rsidP="001E4493">
      <w:pPr>
        <w:spacing w:line="276" w:lineRule="auto"/>
        <w:rPr>
          <w:rFonts w:cs="Arial"/>
          <w:lang w:eastAsia="en-AU"/>
        </w:rPr>
      </w:pPr>
      <w:r>
        <w:rPr>
          <w:rFonts w:cs="Arial"/>
          <w:lang w:eastAsia="en-AU"/>
        </w:rPr>
        <w:br w:type="page"/>
      </w:r>
    </w:p>
    <w:p w14:paraId="04625DA5" w14:textId="66B27289" w:rsidR="00D31537" w:rsidRPr="001E4493" w:rsidRDefault="00D31537" w:rsidP="001E4493">
      <w:pPr>
        <w:pStyle w:val="Heading1"/>
      </w:pPr>
      <w:bookmarkStart w:id="60" w:name="_Annexure_3_–"/>
      <w:bookmarkStart w:id="61" w:name="_Toc465244435"/>
      <w:bookmarkEnd w:id="60"/>
      <w:r w:rsidRPr="001E4493">
        <w:lastRenderedPageBreak/>
        <w:t>Annexure 3</w:t>
      </w:r>
      <w:r w:rsidR="00E97014" w:rsidRPr="001E4493">
        <w:t xml:space="preserve"> – National orientation toward child abuse</w:t>
      </w:r>
      <w:bookmarkEnd w:id="61"/>
    </w:p>
    <w:p w14:paraId="4CAF2901" w14:textId="77777777" w:rsidR="00D31537" w:rsidRDefault="00D31537" w:rsidP="001E4493">
      <w:pPr>
        <w:pStyle w:val="Figuretableheading"/>
        <w:rPr>
          <w:lang w:eastAsia="en-AU"/>
        </w:rPr>
      </w:pPr>
      <w:r w:rsidRPr="00B02CB4">
        <w:rPr>
          <w:lang w:eastAsia="en-AU"/>
        </w:rPr>
        <w:t>Table 8</w:t>
      </w:r>
    </w:p>
    <w:tbl>
      <w:tblPr>
        <w:tblStyle w:val="TableGrid5"/>
        <w:tblW w:w="9498" w:type="dxa"/>
        <w:tblInd w:w="-5" w:type="dxa"/>
        <w:tblLook w:val="04A0" w:firstRow="1" w:lastRow="0" w:firstColumn="1" w:lastColumn="0" w:noHBand="0" w:noVBand="1"/>
      </w:tblPr>
      <w:tblGrid>
        <w:gridCol w:w="2268"/>
        <w:gridCol w:w="3313"/>
        <w:gridCol w:w="3917"/>
      </w:tblGrid>
      <w:tr w:rsidR="00D31537" w:rsidRPr="00B02CB4" w14:paraId="22B3F1D2" w14:textId="77777777" w:rsidTr="001E4493">
        <w:trPr>
          <w:tblHeader/>
        </w:trPr>
        <w:tc>
          <w:tcPr>
            <w:tcW w:w="2268" w:type="dxa"/>
            <w:shd w:val="pct12" w:color="auto" w:fill="auto"/>
          </w:tcPr>
          <w:p w14:paraId="76C4EFB0" w14:textId="119004B4" w:rsidR="00D31537" w:rsidRPr="00B02CB4" w:rsidRDefault="001E4493" w:rsidP="001E4493">
            <w:pPr>
              <w:spacing w:after="0" w:line="276" w:lineRule="auto"/>
              <w:jc w:val="left"/>
              <w:rPr>
                <w:rFonts w:eastAsiaTheme="minorEastAsia" w:cs="Arial"/>
                <w:b/>
                <w:szCs w:val="22"/>
                <w:lang w:eastAsia="en-AU"/>
              </w:rPr>
            </w:pPr>
            <w:r>
              <w:rPr>
                <w:rFonts w:eastAsiaTheme="minorEastAsia" w:cs="Arial"/>
                <w:b/>
                <w:szCs w:val="22"/>
                <w:lang w:eastAsia="en-AU"/>
              </w:rPr>
              <w:t>Country</w:t>
            </w:r>
          </w:p>
        </w:tc>
        <w:tc>
          <w:tcPr>
            <w:tcW w:w="3313" w:type="dxa"/>
            <w:shd w:val="pct12" w:color="auto" w:fill="auto"/>
          </w:tcPr>
          <w:p w14:paraId="7C2C3B74" w14:textId="77777777" w:rsidR="00D31537" w:rsidRPr="00B02CB4" w:rsidRDefault="00D31537" w:rsidP="001E4493">
            <w:pPr>
              <w:spacing w:after="0" w:line="276" w:lineRule="auto"/>
              <w:jc w:val="left"/>
              <w:rPr>
                <w:rFonts w:eastAsiaTheme="minorEastAsia" w:cs="Arial"/>
                <w:b/>
                <w:szCs w:val="22"/>
                <w:lang w:eastAsia="en-AU"/>
              </w:rPr>
            </w:pPr>
            <w:r>
              <w:rPr>
                <w:rFonts w:eastAsiaTheme="minorEastAsia" w:cs="Arial"/>
                <w:b/>
                <w:szCs w:val="22"/>
                <w:lang w:eastAsia="en-AU"/>
              </w:rPr>
              <w:t xml:space="preserve">Who </w:t>
            </w:r>
            <w:r w:rsidRPr="00B02CB4">
              <w:rPr>
                <w:rFonts w:eastAsiaTheme="minorEastAsia" w:cs="Arial"/>
                <w:b/>
                <w:szCs w:val="22"/>
                <w:lang w:eastAsia="en-AU"/>
              </w:rPr>
              <w:t>provides CP services</w:t>
            </w:r>
          </w:p>
        </w:tc>
        <w:tc>
          <w:tcPr>
            <w:tcW w:w="3917" w:type="dxa"/>
            <w:shd w:val="pct12" w:color="auto" w:fill="auto"/>
          </w:tcPr>
          <w:p w14:paraId="47F1CF8B" w14:textId="77777777" w:rsidR="00D31537" w:rsidRPr="00B02CB4" w:rsidRDefault="00D31537" w:rsidP="001E4493">
            <w:pPr>
              <w:spacing w:after="0" w:line="276" w:lineRule="auto"/>
              <w:jc w:val="left"/>
              <w:rPr>
                <w:rFonts w:eastAsiaTheme="minorEastAsia" w:cs="Arial"/>
                <w:b/>
                <w:szCs w:val="22"/>
                <w:lang w:eastAsia="en-AU"/>
              </w:rPr>
            </w:pPr>
            <w:r w:rsidRPr="00B02CB4">
              <w:rPr>
                <w:rFonts w:eastAsiaTheme="minorEastAsia" w:cs="Arial"/>
                <w:b/>
                <w:szCs w:val="22"/>
                <w:lang w:eastAsia="en-AU"/>
              </w:rPr>
              <w:t>Workforce</w:t>
            </w:r>
          </w:p>
        </w:tc>
      </w:tr>
      <w:tr w:rsidR="00D31537" w:rsidRPr="00B02CB4" w14:paraId="6CD4D508" w14:textId="77777777" w:rsidTr="00D31537">
        <w:tc>
          <w:tcPr>
            <w:tcW w:w="2268" w:type="dxa"/>
          </w:tcPr>
          <w:p w14:paraId="6C50D576" w14:textId="77777777" w:rsidR="00D31537" w:rsidRPr="00B02CB4" w:rsidRDefault="00D31537" w:rsidP="001E4493">
            <w:pPr>
              <w:spacing w:after="0" w:line="276" w:lineRule="auto"/>
              <w:jc w:val="left"/>
              <w:rPr>
                <w:rFonts w:eastAsiaTheme="minorEastAsia" w:cs="Arial"/>
                <w:b/>
                <w:szCs w:val="22"/>
                <w:lang w:eastAsia="en-AU"/>
              </w:rPr>
            </w:pPr>
            <w:r w:rsidRPr="00B02CB4">
              <w:rPr>
                <w:rFonts w:eastAsiaTheme="minorEastAsia" w:cs="Arial"/>
                <w:b/>
                <w:szCs w:val="22"/>
                <w:lang w:eastAsia="en-AU"/>
              </w:rPr>
              <w:t>Australia</w:t>
            </w:r>
          </w:p>
        </w:tc>
        <w:tc>
          <w:tcPr>
            <w:tcW w:w="3313" w:type="dxa"/>
          </w:tcPr>
          <w:p w14:paraId="7419F757" w14:textId="77777777" w:rsidR="00D31537" w:rsidRPr="00B02CB4" w:rsidRDefault="00D31537" w:rsidP="001E4493">
            <w:pPr>
              <w:spacing w:after="0" w:line="276" w:lineRule="auto"/>
              <w:jc w:val="left"/>
              <w:rPr>
                <w:rFonts w:eastAsiaTheme="minorEastAsia" w:cs="Arial"/>
                <w:szCs w:val="22"/>
                <w:lang w:eastAsia="en-AU"/>
              </w:rPr>
            </w:pPr>
            <w:r w:rsidRPr="00B02CB4">
              <w:rPr>
                <w:rFonts w:eastAsiaTheme="minorEastAsia" w:cs="Arial"/>
                <w:szCs w:val="22"/>
                <w:lang w:eastAsia="en-AU"/>
              </w:rPr>
              <w:t>State and Territory governments</w:t>
            </w:r>
          </w:p>
        </w:tc>
        <w:tc>
          <w:tcPr>
            <w:tcW w:w="3917" w:type="dxa"/>
          </w:tcPr>
          <w:p w14:paraId="2332BEF7" w14:textId="77777777" w:rsidR="00D31537" w:rsidRPr="00B02CB4" w:rsidRDefault="00D31537" w:rsidP="001E4493">
            <w:pPr>
              <w:spacing w:after="0" w:line="276" w:lineRule="auto"/>
              <w:jc w:val="left"/>
              <w:rPr>
                <w:rFonts w:eastAsiaTheme="minorEastAsia" w:cs="Arial"/>
                <w:szCs w:val="22"/>
                <w:lang w:eastAsia="en-AU"/>
              </w:rPr>
            </w:pPr>
            <w:r w:rsidRPr="00B02CB4">
              <w:rPr>
                <w:rFonts w:eastAsiaTheme="minorEastAsia" w:cs="Arial"/>
                <w:szCs w:val="22"/>
                <w:lang w:eastAsia="en-AU"/>
              </w:rPr>
              <w:t xml:space="preserve">Public service social workers or equivalent </w:t>
            </w:r>
          </w:p>
        </w:tc>
      </w:tr>
      <w:tr w:rsidR="00D31537" w:rsidRPr="00B02CB4" w14:paraId="070EA150" w14:textId="77777777" w:rsidTr="00D31537">
        <w:tc>
          <w:tcPr>
            <w:tcW w:w="2268" w:type="dxa"/>
          </w:tcPr>
          <w:p w14:paraId="3BFD82CD" w14:textId="77777777" w:rsidR="00D31537" w:rsidRPr="00B02CB4" w:rsidRDefault="00D31537" w:rsidP="001E4493">
            <w:pPr>
              <w:spacing w:after="0" w:line="276" w:lineRule="auto"/>
              <w:jc w:val="left"/>
              <w:rPr>
                <w:rFonts w:eastAsiaTheme="minorEastAsia" w:cs="Arial"/>
                <w:b/>
                <w:szCs w:val="22"/>
                <w:lang w:eastAsia="en-AU"/>
              </w:rPr>
            </w:pPr>
            <w:r w:rsidRPr="00B02CB4">
              <w:rPr>
                <w:rFonts w:eastAsiaTheme="minorEastAsia" w:cs="Arial"/>
                <w:b/>
                <w:szCs w:val="22"/>
                <w:lang w:eastAsia="en-AU"/>
              </w:rPr>
              <w:t>New Zealand</w:t>
            </w:r>
          </w:p>
        </w:tc>
        <w:tc>
          <w:tcPr>
            <w:tcW w:w="3313" w:type="dxa"/>
          </w:tcPr>
          <w:p w14:paraId="078FC5B9" w14:textId="77777777" w:rsidR="00D31537" w:rsidRPr="00B769F6" w:rsidRDefault="00D31537" w:rsidP="001E4493">
            <w:pPr>
              <w:spacing w:after="0" w:line="276" w:lineRule="auto"/>
              <w:jc w:val="left"/>
              <w:rPr>
                <w:rFonts w:eastAsiaTheme="minorEastAsia" w:cs="Arial"/>
                <w:szCs w:val="22"/>
                <w:lang w:eastAsia="en-AU"/>
              </w:rPr>
            </w:pPr>
            <w:r w:rsidRPr="00B02CB4">
              <w:rPr>
                <w:rFonts w:eastAsiaTheme="minorEastAsia" w:cs="Arial"/>
                <w:szCs w:val="22"/>
                <w:lang w:eastAsia="en-AU"/>
              </w:rPr>
              <w:t xml:space="preserve">The national </w:t>
            </w:r>
            <w:r w:rsidRPr="00B769F6">
              <w:rPr>
                <w:rFonts w:eastAsiaTheme="minorEastAsia" w:cs="Arial"/>
                <w:szCs w:val="22"/>
                <w:lang w:eastAsia="en-AU"/>
              </w:rPr>
              <w:t>government</w:t>
            </w:r>
          </w:p>
        </w:tc>
        <w:tc>
          <w:tcPr>
            <w:tcW w:w="3917" w:type="dxa"/>
          </w:tcPr>
          <w:p w14:paraId="31A0F61E" w14:textId="77777777" w:rsidR="00D31537" w:rsidRPr="00B769F6" w:rsidRDefault="00D31537" w:rsidP="001E4493">
            <w:pPr>
              <w:spacing w:after="0" w:line="276" w:lineRule="auto"/>
              <w:jc w:val="left"/>
              <w:rPr>
                <w:rFonts w:eastAsiaTheme="minorEastAsia" w:cs="Arial"/>
                <w:szCs w:val="22"/>
                <w:lang w:eastAsia="en-AU"/>
              </w:rPr>
            </w:pPr>
            <w:r w:rsidRPr="00B769F6">
              <w:rPr>
                <w:rFonts w:eastAsiaTheme="minorEastAsia" w:cs="Arial"/>
                <w:szCs w:val="22"/>
                <w:lang w:eastAsia="en-AU"/>
              </w:rPr>
              <w:t>Public servant social workers</w:t>
            </w:r>
          </w:p>
        </w:tc>
      </w:tr>
      <w:tr w:rsidR="00D31537" w:rsidRPr="00B02CB4" w14:paraId="554CEE77" w14:textId="77777777" w:rsidTr="00D31537">
        <w:tc>
          <w:tcPr>
            <w:tcW w:w="2268" w:type="dxa"/>
          </w:tcPr>
          <w:p w14:paraId="574F2751" w14:textId="77777777" w:rsidR="00D31537" w:rsidRPr="00B02CB4" w:rsidRDefault="00D31537" w:rsidP="001E4493">
            <w:pPr>
              <w:spacing w:after="0" w:line="276" w:lineRule="auto"/>
              <w:jc w:val="left"/>
              <w:rPr>
                <w:rFonts w:eastAsiaTheme="minorEastAsia" w:cs="Arial"/>
                <w:b/>
                <w:szCs w:val="22"/>
                <w:lang w:eastAsia="en-AU"/>
              </w:rPr>
            </w:pPr>
            <w:r w:rsidRPr="00B02CB4">
              <w:rPr>
                <w:rFonts w:eastAsiaTheme="minorEastAsia" w:cs="Arial"/>
                <w:b/>
                <w:szCs w:val="22"/>
                <w:lang w:eastAsia="en-AU"/>
              </w:rPr>
              <w:t>United Kingdom</w:t>
            </w:r>
          </w:p>
        </w:tc>
        <w:tc>
          <w:tcPr>
            <w:tcW w:w="3313" w:type="dxa"/>
          </w:tcPr>
          <w:p w14:paraId="12A4438B" w14:textId="77777777" w:rsidR="00D31537" w:rsidRPr="00B02CB4" w:rsidRDefault="00D31537" w:rsidP="001E4493">
            <w:pPr>
              <w:spacing w:after="0" w:line="276" w:lineRule="auto"/>
              <w:jc w:val="left"/>
              <w:rPr>
                <w:rFonts w:eastAsiaTheme="minorEastAsia" w:cs="Arial"/>
                <w:szCs w:val="22"/>
                <w:lang w:eastAsia="en-AU"/>
              </w:rPr>
            </w:pPr>
            <w:r w:rsidRPr="00B02CB4">
              <w:rPr>
                <w:rFonts w:eastAsiaTheme="minorEastAsia" w:cs="Arial"/>
                <w:szCs w:val="22"/>
                <w:lang w:eastAsia="en-AU"/>
              </w:rPr>
              <w:t>Local authorities (Councils)</w:t>
            </w:r>
          </w:p>
        </w:tc>
        <w:tc>
          <w:tcPr>
            <w:tcW w:w="3917" w:type="dxa"/>
          </w:tcPr>
          <w:p w14:paraId="42BFDB4D" w14:textId="77777777" w:rsidR="00D31537" w:rsidRPr="00B02CB4" w:rsidRDefault="00D31537" w:rsidP="001E4493">
            <w:pPr>
              <w:spacing w:after="0" w:line="276" w:lineRule="auto"/>
              <w:jc w:val="left"/>
              <w:rPr>
                <w:rFonts w:eastAsiaTheme="minorEastAsia" w:cs="Arial"/>
                <w:szCs w:val="22"/>
                <w:lang w:eastAsia="en-AU"/>
              </w:rPr>
            </w:pPr>
            <w:r w:rsidRPr="00B02CB4">
              <w:rPr>
                <w:rFonts w:eastAsiaTheme="minorEastAsia" w:cs="Arial"/>
                <w:szCs w:val="22"/>
                <w:lang w:eastAsia="en-AU"/>
              </w:rPr>
              <w:t xml:space="preserve">Social workers </w:t>
            </w:r>
          </w:p>
        </w:tc>
      </w:tr>
      <w:tr w:rsidR="00D31537" w:rsidRPr="00B02CB4" w14:paraId="7B676F1B" w14:textId="77777777" w:rsidTr="00D31537">
        <w:tc>
          <w:tcPr>
            <w:tcW w:w="2268" w:type="dxa"/>
          </w:tcPr>
          <w:p w14:paraId="03652EBD" w14:textId="77777777" w:rsidR="00D31537" w:rsidRPr="00B02CB4" w:rsidRDefault="00D31537" w:rsidP="001E4493">
            <w:pPr>
              <w:spacing w:after="0" w:line="276" w:lineRule="auto"/>
              <w:jc w:val="left"/>
              <w:rPr>
                <w:rFonts w:eastAsiaTheme="minorEastAsia" w:cs="Arial"/>
                <w:b/>
                <w:szCs w:val="22"/>
                <w:lang w:eastAsia="en-AU"/>
              </w:rPr>
            </w:pPr>
            <w:r w:rsidRPr="00B02CB4">
              <w:rPr>
                <w:rFonts w:eastAsiaTheme="minorEastAsia" w:cs="Arial"/>
                <w:b/>
                <w:szCs w:val="22"/>
                <w:lang w:eastAsia="en-AU"/>
              </w:rPr>
              <w:t>Canada</w:t>
            </w:r>
          </w:p>
        </w:tc>
        <w:tc>
          <w:tcPr>
            <w:tcW w:w="3313" w:type="dxa"/>
          </w:tcPr>
          <w:p w14:paraId="5BBEC487" w14:textId="77777777" w:rsidR="00D31537" w:rsidRPr="00B02CB4" w:rsidRDefault="00D31537" w:rsidP="001E4493">
            <w:pPr>
              <w:spacing w:after="0" w:line="276" w:lineRule="auto"/>
              <w:jc w:val="left"/>
              <w:rPr>
                <w:rFonts w:eastAsiaTheme="minorEastAsia" w:cs="Arial"/>
                <w:szCs w:val="22"/>
                <w:lang w:eastAsia="en-AU"/>
              </w:rPr>
            </w:pPr>
            <w:r w:rsidRPr="00B02CB4">
              <w:rPr>
                <w:rFonts w:eastAsiaTheme="minorEastAsia" w:cs="Arial"/>
                <w:szCs w:val="22"/>
                <w:lang w:eastAsia="en-AU"/>
              </w:rPr>
              <w:t>Local authorities and non-government agencies/mandated agencies</w:t>
            </w:r>
          </w:p>
        </w:tc>
        <w:tc>
          <w:tcPr>
            <w:tcW w:w="3917" w:type="dxa"/>
          </w:tcPr>
          <w:p w14:paraId="40864DE7" w14:textId="77777777" w:rsidR="00D31537" w:rsidRPr="00B02CB4" w:rsidRDefault="00D31537" w:rsidP="001E4493">
            <w:pPr>
              <w:spacing w:after="0" w:line="276" w:lineRule="auto"/>
              <w:jc w:val="left"/>
              <w:rPr>
                <w:rFonts w:eastAsiaTheme="minorEastAsia" w:cs="Arial"/>
                <w:szCs w:val="22"/>
                <w:lang w:eastAsia="en-AU"/>
              </w:rPr>
            </w:pPr>
            <w:r w:rsidRPr="00B02CB4">
              <w:rPr>
                <w:rFonts w:eastAsiaTheme="minorEastAsia" w:cs="Arial"/>
                <w:szCs w:val="22"/>
                <w:lang w:eastAsia="en-AU"/>
              </w:rPr>
              <w:t xml:space="preserve">Social workers </w:t>
            </w:r>
          </w:p>
        </w:tc>
      </w:tr>
      <w:tr w:rsidR="00D31537" w:rsidRPr="00B02CB4" w14:paraId="1592E8F7" w14:textId="77777777" w:rsidTr="00D31537">
        <w:tc>
          <w:tcPr>
            <w:tcW w:w="2268" w:type="dxa"/>
          </w:tcPr>
          <w:p w14:paraId="4A1E56FE" w14:textId="77777777" w:rsidR="00D31537" w:rsidRPr="00B02CB4" w:rsidRDefault="00D31537" w:rsidP="001E4493">
            <w:pPr>
              <w:spacing w:after="0" w:line="276" w:lineRule="auto"/>
              <w:jc w:val="left"/>
              <w:rPr>
                <w:rFonts w:eastAsiaTheme="minorEastAsia" w:cs="Arial"/>
                <w:b/>
                <w:szCs w:val="22"/>
                <w:lang w:eastAsia="en-AU"/>
              </w:rPr>
            </w:pPr>
            <w:r w:rsidRPr="00B02CB4">
              <w:rPr>
                <w:rFonts w:eastAsiaTheme="minorEastAsia" w:cs="Arial"/>
                <w:b/>
                <w:szCs w:val="22"/>
                <w:lang w:eastAsia="en-AU"/>
              </w:rPr>
              <w:t>Sweden</w:t>
            </w:r>
          </w:p>
        </w:tc>
        <w:tc>
          <w:tcPr>
            <w:tcW w:w="3313" w:type="dxa"/>
          </w:tcPr>
          <w:p w14:paraId="08FC359A" w14:textId="77777777" w:rsidR="00D31537" w:rsidRPr="00B02CB4" w:rsidRDefault="00D31537" w:rsidP="001E4493">
            <w:pPr>
              <w:spacing w:after="0" w:line="276" w:lineRule="auto"/>
              <w:jc w:val="left"/>
              <w:rPr>
                <w:rFonts w:eastAsiaTheme="minorEastAsia" w:cs="Arial"/>
                <w:szCs w:val="22"/>
                <w:lang w:eastAsia="en-AU"/>
              </w:rPr>
            </w:pPr>
            <w:r w:rsidRPr="00B02CB4">
              <w:rPr>
                <w:rFonts w:eastAsiaTheme="minorEastAsia" w:cs="Arial"/>
                <w:szCs w:val="22"/>
                <w:lang w:eastAsia="en-AU"/>
              </w:rPr>
              <w:t xml:space="preserve">Local authorities/municipalities </w:t>
            </w:r>
          </w:p>
        </w:tc>
        <w:tc>
          <w:tcPr>
            <w:tcW w:w="3917" w:type="dxa"/>
          </w:tcPr>
          <w:p w14:paraId="4EA11AEE" w14:textId="77777777" w:rsidR="00D31537" w:rsidRPr="00B02CB4" w:rsidRDefault="00D31537" w:rsidP="001E4493">
            <w:pPr>
              <w:spacing w:after="0" w:line="276" w:lineRule="auto"/>
              <w:jc w:val="left"/>
              <w:rPr>
                <w:rFonts w:eastAsiaTheme="minorEastAsia" w:cs="Arial"/>
                <w:szCs w:val="22"/>
                <w:lang w:eastAsia="en-AU"/>
              </w:rPr>
            </w:pPr>
            <w:r w:rsidRPr="00B02CB4">
              <w:rPr>
                <w:rFonts w:eastAsiaTheme="minorEastAsia" w:cs="Arial"/>
                <w:szCs w:val="22"/>
                <w:lang w:eastAsia="en-AU"/>
              </w:rPr>
              <w:t>Varied workforce and locally determined. Staff may include professionals in social work, health, education or psychology</w:t>
            </w:r>
          </w:p>
        </w:tc>
      </w:tr>
      <w:tr w:rsidR="00D31537" w:rsidRPr="00B02CB4" w14:paraId="6AB29EE1" w14:textId="77777777" w:rsidTr="00D31537">
        <w:tc>
          <w:tcPr>
            <w:tcW w:w="2268" w:type="dxa"/>
          </w:tcPr>
          <w:p w14:paraId="400010AA" w14:textId="77777777" w:rsidR="00D31537" w:rsidRPr="00E97014" w:rsidRDefault="00D31537" w:rsidP="001E4493">
            <w:pPr>
              <w:spacing w:after="160" w:line="276" w:lineRule="auto"/>
              <w:jc w:val="left"/>
              <w:rPr>
                <w:rFonts w:eastAsiaTheme="minorEastAsia" w:cs="Arial"/>
                <w:b/>
                <w:szCs w:val="22"/>
                <w:lang w:eastAsia="en-AU"/>
              </w:rPr>
            </w:pPr>
            <w:r w:rsidRPr="00E97014">
              <w:rPr>
                <w:rFonts w:eastAsiaTheme="minorEastAsia" w:cs="Arial"/>
                <w:b/>
                <w:szCs w:val="22"/>
                <w:lang w:eastAsia="en-AU"/>
              </w:rPr>
              <w:t xml:space="preserve">Belgium </w:t>
            </w:r>
          </w:p>
        </w:tc>
        <w:tc>
          <w:tcPr>
            <w:tcW w:w="3313" w:type="dxa"/>
          </w:tcPr>
          <w:p w14:paraId="5D8C27CB" w14:textId="77777777" w:rsidR="00D31537" w:rsidRPr="00E97014" w:rsidRDefault="00D31537" w:rsidP="001E4493">
            <w:pPr>
              <w:spacing w:after="160" w:line="276" w:lineRule="auto"/>
              <w:jc w:val="left"/>
              <w:rPr>
                <w:rFonts w:eastAsiaTheme="minorEastAsia" w:cs="Arial"/>
                <w:szCs w:val="22"/>
                <w:lang w:eastAsia="en-AU"/>
              </w:rPr>
            </w:pPr>
            <w:r w:rsidRPr="00E97014">
              <w:rPr>
                <w:rFonts w:eastAsiaTheme="minorEastAsia" w:cs="Arial"/>
                <w:szCs w:val="22"/>
                <w:lang w:eastAsia="en-AU"/>
              </w:rPr>
              <w:t>Health centres/Confidential Doctors Centres</w:t>
            </w:r>
          </w:p>
        </w:tc>
        <w:tc>
          <w:tcPr>
            <w:tcW w:w="3917" w:type="dxa"/>
          </w:tcPr>
          <w:p w14:paraId="64DF6F02" w14:textId="77777777" w:rsidR="00D31537" w:rsidRPr="00E97014" w:rsidRDefault="00D31537" w:rsidP="001E4493">
            <w:pPr>
              <w:spacing w:after="160" w:line="276" w:lineRule="auto"/>
              <w:jc w:val="left"/>
              <w:rPr>
                <w:rFonts w:eastAsiaTheme="minorEastAsia" w:cs="Arial"/>
                <w:szCs w:val="22"/>
                <w:lang w:eastAsia="en-AU"/>
              </w:rPr>
            </w:pPr>
            <w:r w:rsidRPr="00E97014">
              <w:rPr>
                <w:rFonts w:eastAsiaTheme="minorEastAsia" w:cs="Arial"/>
                <w:szCs w:val="22"/>
                <w:lang w:eastAsia="en-AU"/>
              </w:rPr>
              <w:t>Multi-disciplinary teams – doctors, nurses, social workers and psychologists</w:t>
            </w:r>
          </w:p>
        </w:tc>
      </w:tr>
    </w:tbl>
    <w:p w14:paraId="618600F1" w14:textId="77777777" w:rsidR="00D31537" w:rsidRDefault="00D31537" w:rsidP="00086408">
      <w:pPr>
        <w:spacing w:line="276" w:lineRule="auto"/>
        <w:ind w:firstLine="720"/>
        <w:rPr>
          <w:rFonts w:cs="Arial"/>
          <w:szCs w:val="22"/>
          <w:lang w:eastAsia="en-AU"/>
        </w:rPr>
      </w:pPr>
    </w:p>
    <w:p w14:paraId="6CDF0A45" w14:textId="77777777" w:rsidR="00D31537" w:rsidRDefault="00D31537" w:rsidP="00086408">
      <w:pPr>
        <w:spacing w:before="0" w:after="0" w:line="276" w:lineRule="auto"/>
        <w:rPr>
          <w:rFonts w:cs="Arial"/>
          <w:szCs w:val="22"/>
          <w:lang w:eastAsia="en-AU"/>
        </w:rPr>
      </w:pPr>
      <w:r>
        <w:rPr>
          <w:rFonts w:cs="Arial"/>
          <w:szCs w:val="22"/>
          <w:lang w:eastAsia="en-AU"/>
        </w:rPr>
        <w:br w:type="page"/>
      </w:r>
    </w:p>
    <w:p w14:paraId="4399E869" w14:textId="2DCFDFF2" w:rsidR="00D31537" w:rsidRPr="001E4493" w:rsidRDefault="00D31537" w:rsidP="001E4493">
      <w:pPr>
        <w:pStyle w:val="Heading1"/>
        <w:rPr>
          <w:rFonts w:eastAsiaTheme="minorHAnsi"/>
        </w:rPr>
      </w:pPr>
      <w:bookmarkStart w:id="62" w:name="_Annexure_4_–"/>
      <w:bookmarkStart w:id="63" w:name="_Toc465244436"/>
      <w:bookmarkEnd w:id="62"/>
      <w:r w:rsidRPr="001E4493">
        <w:rPr>
          <w:rFonts w:eastAsiaTheme="minorHAnsi"/>
        </w:rPr>
        <w:lastRenderedPageBreak/>
        <w:t>Annexure 4</w:t>
      </w:r>
      <w:r w:rsidR="003A1510">
        <w:rPr>
          <w:rFonts w:eastAsiaTheme="minorHAnsi"/>
        </w:rPr>
        <w:t xml:space="preserve"> – Summary of New Zealand 2015 r</w:t>
      </w:r>
      <w:r w:rsidR="00E97014" w:rsidRPr="001E4493">
        <w:rPr>
          <w:rFonts w:eastAsiaTheme="minorHAnsi"/>
        </w:rPr>
        <w:t>eview</w:t>
      </w:r>
      <w:bookmarkEnd w:id="63"/>
      <w:r w:rsidR="00E97014" w:rsidRPr="001E4493">
        <w:rPr>
          <w:rFonts w:eastAsiaTheme="minorHAnsi"/>
        </w:rPr>
        <w:t xml:space="preserve"> </w:t>
      </w:r>
    </w:p>
    <w:p w14:paraId="0275DAFE" w14:textId="77777777" w:rsidR="005F01EB" w:rsidRPr="003A1510" w:rsidRDefault="005F01EB" w:rsidP="003A1510">
      <w:pPr>
        <w:rPr>
          <w:rFonts w:eastAsiaTheme="minorEastAsia"/>
        </w:rPr>
      </w:pPr>
      <w:r w:rsidRPr="003A1510">
        <w:rPr>
          <w:rFonts w:eastAsiaTheme="minorEastAsia"/>
        </w:rPr>
        <w:t xml:space="preserve">The Modernising Child, Youth and Family Expert Panel conducted a comprehensive review and delivered its report in December 2015, entitled </w:t>
      </w:r>
      <w:r w:rsidRPr="003A1510">
        <w:rPr>
          <w:rFonts w:eastAsiaTheme="minorEastAsia"/>
          <w:i/>
        </w:rPr>
        <w:t>Investing in New Zealand’s Children and their Families</w:t>
      </w:r>
      <w:r w:rsidRPr="003A1510">
        <w:rPr>
          <w:rFonts w:eastAsiaTheme="minorEastAsia"/>
        </w:rPr>
        <w:t xml:space="preserve"> (referred to as ‘Investing in Children’ report). </w:t>
      </w:r>
    </w:p>
    <w:p w14:paraId="7E5EE363" w14:textId="77777777" w:rsidR="005F01EB" w:rsidRPr="003A1510" w:rsidRDefault="005F01EB" w:rsidP="003A1510">
      <w:pPr>
        <w:rPr>
          <w:rFonts w:eastAsiaTheme="minorEastAsia"/>
        </w:rPr>
      </w:pPr>
      <w:r w:rsidRPr="003A1510">
        <w:rPr>
          <w:rFonts w:eastAsiaTheme="minorEastAsia"/>
        </w:rPr>
        <w:t>The report recommends a complete and ‘radical’ overhaul of Children, Youth and Family services</w:t>
      </w:r>
      <w:r w:rsidRPr="003A1510">
        <w:rPr>
          <w:rStyle w:val="FootnoteReference"/>
          <w:rFonts w:eastAsiaTheme="minorEastAsia"/>
        </w:rPr>
        <w:footnoteReference w:id="167"/>
      </w:r>
      <w:r w:rsidRPr="003A1510">
        <w:rPr>
          <w:rFonts w:eastAsiaTheme="minorEastAsia"/>
        </w:rPr>
        <w:t xml:space="preserve">. </w:t>
      </w:r>
    </w:p>
    <w:p w14:paraId="1946581D" w14:textId="77777777" w:rsidR="005F01EB" w:rsidRPr="003A1510" w:rsidRDefault="005F01EB" w:rsidP="003A1510">
      <w:pPr>
        <w:rPr>
          <w:rFonts w:eastAsiaTheme="minorEastAsia"/>
        </w:rPr>
      </w:pPr>
      <w:r w:rsidRPr="003A1510">
        <w:t>The package of reforms, which is expected to take up to five years to be fully implemented, includes:</w:t>
      </w:r>
    </w:p>
    <w:p w14:paraId="3AAF006A" w14:textId="77777777" w:rsidR="005F01EB" w:rsidRPr="005F01EB" w:rsidRDefault="005F01EB" w:rsidP="001E4493">
      <w:pPr>
        <w:pStyle w:val="ListBullet"/>
        <w:rPr>
          <w:rFonts w:eastAsiaTheme="minorHAnsi"/>
        </w:rPr>
      </w:pPr>
      <w:r w:rsidRPr="005F01EB">
        <w:rPr>
          <w:lang w:eastAsia="en-AU"/>
        </w:rPr>
        <w:t xml:space="preserve">A new child-centred operating model with a greater focus on harm and trauma prevention and early intervention. It will provide a single point of accountability for the long-term wellbeing of vulnerable children, with the voice of the child represented in planning and strategy. </w:t>
      </w:r>
    </w:p>
    <w:p w14:paraId="66AFBEF8" w14:textId="77777777" w:rsidR="005F01EB" w:rsidRPr="005F01EB" w:rsidRDefault="005F01EB" w:rsidP="001E4493">
      <w:pPr>
        <w:pStyle w:val="ListBullet"/>
        <w:rPr>
          <w:rFonts w:eastAsiaTheme="minorHAnsi"/>
        </w:rPr>
      </w:pPr>
      <w:r w:rsidRPr="005F01EB">
        <w:rPr>
          <w:lang w:eastAsia="en-AU"/>
        </w:rPr>
        <w:t xml:space="preserve">A social investment approach using actuarial valuations and evidence of what works will identify the best way of targeting early interventions, to ensure that vulnerable children receive the care and support they need, when they need it. </w:t>
      </w:r>
    </w:p>
    <w:p w14:paraId="7F3E0F79" w14:textId="77777777" w:rsidR="005F01EB" w:rsidRPr="005F01EB" w:rsidRDefault="005F01EB" w:rsidP="001E4493">
      <w:pPr>
        <w:pStyle w:val="ListBullet"/>
        <w:rPr>
          <w:rFonts w:eastAsiaTheme="minorEastAsia"/>
          <w:lang w:eastAsia="en-AU"/>
        </w:rPr>
      </w:pPr>
      <w:r w:rsidRPr="005F01EB">
        <w:rPr>
          <w:lang w:eastAsia="en-AU"/>
        </w:rPr>
        <w:t xml:space="preserve">Direct purchasing of vital services such as health, education and counselling support to allow funding to follow the child, so that young people can gain immediate access to assistance. </w:t>
      </w:r>
    </w:p>
    <w:p w14:paraId="0AE49DEE" w14:textId="77777777" w:rsidR="005F01EB" w:rsidRPr="005F01EB" w:rsidRDefault="005F01EB" w:rsidP="001E4493">
      <w:pPr>
        <w:pStyle w:val="ListBullet"/>
        <w:rPr>
          <w:rFonts w:eastAsiaTheme="minorEastAsia"/>
          <w:lang w:eastAsia="en-AU"/>
        </w:rPr>
      </w:pPr>
      <w:r w:rsidRPr="005F01EB">
        <w:rPr>
          <w:lang w:eastAsia="en-AU"/>
        </w:rPr>
        <w:t>A stronger focus on reducing the over-representation of Maori young people in the system. Currently, 60 per cent of children in care are Maori. Strategic partnerships will be developed with iwi groups and NGOs.</w:t>
      </w:r>
    </w:p>
    <w:p w14:paraId="7F8B686F" w14:textId="77777777" w:rsidR="005F01EB" w:rsidRPr="005F01EB" w:rsidRDefault="005F01EB" w:rsidP="001E4493">
      <w:pPr>
        <w:pStyle w:val="ListBullet"/>
        <w:rPr>
          <w:rFonts w:eastAsiaTheme="minorEastAsia"/>
          <w:lang w:eastAsia="en-AU"/>
        </w:rPr>
      </w:pPr>
      <w:r w:rsidRPr="005F01EB">
        <w:rPr>
          <w:lang w:eastAsia="en-AU"/>
        </w:rPr>
        <w:t>Legislation to be introduced this year raising the age of state care to a young person’s 18</w:t>
      </w:r>
      <w:r w:rsidRPr="005F01EB">
        <w:rPr>
          <w:vertAlign w:val="superscript"/>
          <w:lang w:eastAsia="en-AU"/>
        </w:rPr>
        <w:t>th</w:t>
      </w:r>
      <w:r w:rsidRPr="005F01EB">
        <w:rPr>
          <w:lang w:eastAsia="en-AU"/>
        </w:rPr>
        <w:t xml:space="preserve"> birthday, with transition support being considered up to the age of 25. Cabinet has also agreed to investigate raising the youth justice age to 17. </w:t>
      </w:r>
    </w:p>
    <w:p w14:paraId="22325446" w14:textId="77777777" w:rsidR="005F01EB" w:rsidRPr="005F01EB" w:rsidRDefault="005F01EB" w:rsidP="001E4493">
      <w:pPr>
        <w:pStyle w:val="ListBullet"/>
        <w:rPr>
          <w:rFonts w:eastAsiaTheme="minorHAnsi"/>
        </w:rPr>
      </w:pPr>
      <w:r w:rsidRPr="005F01EB">
        <w:rPr>
          <w:lang w:eastAsia="en-AU"/>
        </w:rPr>
        <w:t xml:space="preserve">Legislation establishing an independent </w:t>
      </w:r>
      <w:r w:rsidRPr="005F01EB">
        <w:rPr>
          <w:i/>
          <w:lang w:eastAsia="en-AU"/>
        </w:rPr>
        <w:t>youth advocacy service</w:t>
      </w:r>
      <w:r w:rsidRPr="005F01EB">
        <w:rPr>
          <w:lang w:eastAsia="en-AU"/>
        </w:rPr>
        <w:t xml:space="preserve"> to ensure that the voices of children and young people are heard in the design of systems and services.</w:t>
      </w:r>
    </w:p>
    <w:p w14:paraId="7FD7D545" w14:textId="77777777" w:rsidR="005F01EB" w:rsidRPr="003A1510" w:rsidRDefault="005F01EB" w:rsidP="003A1510">
      <w:pPr>
        <w:rPr>
          <w:rFonts w:eastAsiaTheme="minorEastAsia"/>
        </w:rPr>
      </w:pPr>
      <w:r w:rsidRPr="003A1510">
        <w:rPr>
          <w:rFonts w:eastAsiaTheme="minorEastAsia"/>
        </w:rPr>
        <w:t>In terms of specific legislative changes, the report notes the following:</w:t>
      </w:r>
    </w:p>
    <w:p w14:paraId="161DC216" w14:textId="4CEB5365" w:rsidR="005F01EB" w:rsidRPr="005F01EB" w:rsidRDefault="003A1510" w:rsidP="001E4493">
      <w:pPr>
        <w:pStyle w:val="ListBullet"/>
        <w:rPr>
          <w:rFonts w:eastAsiaTheme="minorEastAsia"/>
          <w:lang w:eastAsia="en-AU"/>
        </w:rPr>
      </w:pPr>
      <w:r>
        <w:rPr>
          <w:rFonts w:eastAsiaTheme="minorEastAsia"/>
          <w:lang w:eastAsia="en-AU"/>
        </w:rPr>
        <w:t>s</w:t>
      </w:r>
      <w:r w:rsidR="005F01EB" w:rsidRPr="005F01EB">
        <w:rPr>
          <w:rFonts w:eastAsiaTheme="minorEastAsia"/>
          <w:lang w:eastAsia="en-AU"/>
        </w:rPr>
        <w:t>upport better integration of care and protect</w:t>
      </w:r>
      <w:r>
        <w:rPr>
          <w:rFonts w:eastAsiaTheme="minorEastAsia"/>
          <w:lang w:eastAsia="en-AU"/>
        </w:rPr>
        <w:t>ion and youth justice processes</w:t>
      </w:r>
    </w:p>
    <w:p w14:paraId="0EAB8FF3" w14:textId="786A86C0" w:rsidR="005F01EB" w:rsidRPr="005F01EB" w:rsidRDefault="003A1510" w:rsidP="001E4493">
      <w:pPr>
        <w:pStyle w:val="ListBullet"/>
        <w:rPr>
          <w:rFonts w:eastAsiaTheme="minorEastAsia"/>
          <w:lang w:eastAsia="en-AU"/>
        </w:rPr>
      </w:pPr>
      <w:r>
        <w:rPr>
          <w:rFonts w:eastAsiaTheme="minorEastAsia"/>
          <w:lang w:eastAsia="en-AU"/>
        </w:rPr>
        <w:t>s</w:t>
      </w:r>
      <w:r w:rsidR="005F01EB" w:rsidRPr="005F01EB">
        <w:rPr>
          <w:rFonts w:eastAsiaTheme="minorEastAsia"/>
          <w:lang w:eastAsia="en-AU"/>
        </w:rPr>
        <w:t>upport better alignment with related legislation, such</w:t>
      </w:r>
      <w:r>
        <w:rPr>
          <w:rFonts w:eastAsiaTheme="minorEastAsia"/>
          <w:lang w:eastAsia="en-AU"/>
        </w:rPr>
        <w:t xml:space="preserve"> as family violence legislation</w:t>
      </w:r>
    </w:p>
    <w:p w14:paraId="66BE1B77" w14:textId="43FE7354" w:rsidR="005F01EB" w:rsidRPr="005F01EB" w:rsidRDefault="003A1510" w:rsidP="001E4493">
      <w:pPr>
        <w:pStyle w:val="ListBullet"/>
        <w:rPr>
          <w:rFonts w:eastAsiaTheme="minorEastAsia"/>
          <w:lang w:eastAsia="en-AU"/>
        </w:rPr>
      </w:pPr>
      <w:r>
        <w:rPr>
          <w:rFonts w:eastAsiaTheme="minorEastAsia"/>
          <w:lang w:eastAsia="en-AU"/>
        </w:rPr>
        <w:t>a</w:t>
      </w:r>
      <w:r w:rsidR="005F01EB" w:rsidRPr="005F01EB">
        <w:rPr>
          <w:rFonts w:eastAsiaTheme="minorEastAsia"/>
          <w:lang w:eastAsia="en-AU"/>
        </w:rPr>
        <w:t>mended care provisions to support stable car</w:t>
      </w:r>
      <w:r>
        <w:rPr>
          <w:rFonts w:eastAsiaTheme="minorEastAsia"/>
          <w:lang w:eastAsia="en-AU"/>
        </w:rPr>
        <w:t>e from the earliest opportunity</w:t>
      </w:r>
    </w:p>
    <w:p w14:paraId="26309B4B" w14:textId="209870B0" w:rsidR="005F01EB" w:rsidRPr="005F01EB" w:rsidRDefault="003A1510" w:rsidP="001E4493">
      <w:pPr>
        <w:pStyle w:val="ListBullet"/>
        <w:rPr>
          <w:rFonts w:eastAsiaTheme="minorEastAsia"/>
          <w:lang w:eastAsia="en-AU"/>
        </w:rPr>
      </w:pPr>
      <w:r>
        <w:rPr>
          <w:rFonts w:eastAsiaTheme="minorEastAsia"/>
          <w:lang w:eastAsia="en-AU"/>
        </w:rPr>
        <w:t>r</w:t>
      </w:r>
      <w:r w:rsidR="005F01EB" w:rsidRPr="005F01EB">
        <w:rPr>
          <w:rFonts w:eastAsiaTheme="minorEastAsia"/>
          <w:lang w:eastAsia="en-AU"/>
        </w:rPr>
        <w:t>aising the age of crimin</w:t>
      </w:r>
      <w:r>
        <w:rPr>
          <w:rFonts w:eastAsiaTheme="minorEastAsia"/>
          <w:lang w:eastAsia="en-AU"/>
        </w:rPr>
        <w:t>al responsibility from 10 to 12</w:t>
      </w:r>
    </w:p>
    <w:p w14:paraId="31C257C6" w14:textId="4A2E046E" w:rsidR="005F01EB" w:rsidRPr="005F01EB" w:rsidRDefault="003A1510" w:rsidP="001E4493">
      <w:pPr>
        <w:pStyle w:val="ListBullet"/>
        <w:rPr>
          <w:rFonts w:eastAsiaTheme="minorEastAsia"/>
          <w:lang w:eastAsia="en-AU"/>
        </w:rPr>
      </w:pPr>
      <w:r>
        <w:rPr>
          <w:rFonts w:eastAsiaTheme="minorEastAsia"/>
          <w:lang w:eastAsia="en-AU"/>
        </w:rPr>
        <w:t>e</w:t>
      </w:r>
      <w:r w:rsidR="005F01EB" w:rsidRPr="005F01EB">
        <w:rPr>
          <w:rFonts w:eastAsiaTheme="minorEastAsia"/>
          <w:lang w:eastAsia="en-AU"/>
        </w:rPr>
        <w:t xml:space="preserve">nsuring better transitional support for young </w:t>
      </w:r>
      <w:r>
        <w:rPr>
          <w:rFonts w:eastAsiaTheme="minorEastAsia"/>
          <w:lang w:eastAsia="en-AU"/>
        </w:rPr>
        <w:t>people leaving care by increasin</w:t>
      </w:r>
      <w:r w:rsidR="005F01EB" w:rsidRPr="005F01EB">
        <w:rPr>
          <w:rFonts w:eastAsiaTheme="minorEastAsia"/>
          <w:lang w:eastAsia="en-AU"/>
        </w:rPr>
        <w:t>g the age of protection to 18, thereby allo</w:t>
      </w:r>
      <w:r>
        <w:rPr>
          <w:rFonts w:eastAsiaTheme="minorEastAsia"/>
          <w:lang w:eastAsia="en-AU"/>
        </w:rPr>
        <w:t>wing orders to be made until 21</w:t>
      </w:r>
    </w:p>
    <w:p w14:paraId="07AE245E" w14:textId="79F93E29" w:rsidR="005F01EB" w:rsidRPr="005F01EB" w:rsidRDefault="003A1510" w:rsidP="001E4493">
      <w:pPr>
        <w:pStyle w:val="ListBullet"/>
        <w:rPr>
          <w:rFonts w:eastAsiaTheme="minorEastAsia"/>
          <w:lang w:eastAsia="en-AU"/>
        </w:rPr>
      </w:pPr>
      <w:r>
        <w:rPr>
          <w:rFonts w:eastAsiaTheme="minorEastAsia"/>
          <w:lang w:eastAsia="en-AU"/>
        </w:rPr>
        <w:t>a</w:t>
      </w:r>
      <w:r w:rsidR="005F01EB" w:rsidRPr="005F01EB">
        <w:rPr>
          <w:rFonts w:eastAsiaTheme="minorEastAsia"/>
          <w:lang w:eastAsia="en-AU"/>
        </w:rPr>
        <w:t xml:space="preserve"> raft of changes to support a more ‘child-focused’ legislative framework. </w:t>
      </w:r>
    </w:p>
    <w:p w14:paraId="3EB5F108" w14:textId="77777777" w:rsidR="005F01EB" w:rsidRPr="003A1510" w:rsidRDefault="005F01EB" w:rsidP="003A1510">
      <w:pPr>
        <w:rPr>
          <w:rFonts w:eastAsiaTheme="minorEastAsia"/>
        </w:rPr>
      </w:pPr>
      <w:r w:rsidRPr="003A1510">
        <w:rPr>
          <w:rFonts w:eastAsiaTheme="minorEastAsia"/>
        </w:rPr>
        <w:t xml:space="preserve">It is unclear how the amended care provisions might look or whether they will utilise similar ‘time-frames’ to those adopted in the Victorian amendments. The overall focus appears to remain participatory, which is reflected in the quality and breadth of consultation documented in the excellent Investing in Children report. </w:t>
      </w:r>
    </w:p>
    <w:p w14:paraId="64EC934D" w14:textId="24B1020D" w:rsidR="00D31537" w:rsidRPr="003A1510" w:rsidRDefault="005F01EB" w:rsidP="003A1510">
      <w:pPr>
        <w:rPr>
          <w:rFonts w:eastAsiaTheme="minorEastAsia"/>
        </w:rPr>
      </w:pPr>
      <w:r w:rsidRPr="003A1510">
        <w:rPr>
          <w:rFonts w:eastAsiaTheme="minorEastAsia"/>
        </w:rPr>
        <w:t xml:space="preserve">NZ continues to represent an exciting space in terms of its delivery of child protection services and remains a jurisdiction to observe keenly over the next </w:t>
      </w:r>
      <w:r w:rsidR="003A1510">
        <w:rPr>
          <w:rFonts w:eastAsiaTheme="minorEastAsia"/>
        </w:rPr>
        <w:t>five</w:t>
      </w:r>
      <w:r w:rsidRPr="003A1510">
        <w:rPr>
          <w:rFonts w:eastAsiaTheme="minorEastAsia"/>
        </w:rPr>
        <w:t xml:space="preserve"> years. </w:t>
      </w:r>
      <w:r w:rsidRPr="003A1510">
        <w:rPr>
          <w:rFonts w:eastAsiaTheme="minorEastAsia"/>
        </w:rPr>
        <w:br w:type="page"/>
      </w:r>
    </w:p>
    <w:p w14:paraId="62DBD12E" w14:textId="1A51F47F" w:rsidR="00D31537" w:rsidRPr="003A1510" w:rsidRDefault="00D31537" w:rsidP="003A1510">
      <w:pPr>
        <w:pStyle w:val="Heading1"/>
        <w:rPr>
          <w:rFonts w:eastAsiaTheme="minorHAnsi"/>
        </w:rPr>
      </w:pPr>
      <w:bookmarkStart w:id="64" w:name="_Annexure_5_–"/>
      <w:bookmarkStart w:id="65" w:name="_Toc465244437"/>
      <w:bookmarkEnd w:id="64"/>
      <w:r w:rsidRPr="003A1510">
        <w:rPr>
          <w:rFonts w:eastAsiaTheme="minorHAnsi"/>
        </w:rPr>
        <w:lastRenderedPageBreak/>
        <w:t>Annexure 5</w:t>
      </w:r>
      <w:r w:rsidR="00E97014" w:rsidRPr="003A1510">
        <w:rPr>
          <w:rFonts w:eastAsiaTheme="minorHAnsi"/>
        </w:rPr>
        <w:t xml:space="preserve"> – Manitoba, Canada</w:t>
      </w:r>
      <w:bookmarkEnd w:id="65"/>
    </w:p>
    <w:p w14:paraId="25F4B43E" w14:textId="77777777" w:rsidR="005F01EB" w:rsidRPr="005F01EB" w:rsidRDefault="005F01EB" w:rsidP="003A1510">
      <w:pPr>
        <w:rPr>
          <w:rFonts w:eastAsiaTheme="minorHAnsi"/>
        </w:rPr>
      </w:pPr>
      <w:r w:rsidRPr="005F01EB">
        <w:rPr>
          <w:rFonts w:eastAsiaTheme="minorHAnsi"/>
        </w:rPr>
        <w:t>Intake and investigation processes in Canada vary between provinces, however the responsibility for child welfare is mainly undertaken by local authorities and mandated non-government agencies. It was outside the scope of this scan to assess the various approaches adopted across the ten provinces and three territories of Canada-so it will focus on Manitoba.</w:t>
      </w:r>
      <w:r w:rsidRPr="005F01EB">
        <w:rPr>
          <w:rFonts w:eastAsiaTheme="minorHAnsi"/>
          <w:vertAlign w:val="superscript"/>
        </w:rPr>
        <w:footnoteReference w:id="168"/>
      </w:r>
    </w:p>
    <w:p w14:paraId="37B382E5" w14:textId="76868AC5" w:rsidR="005F01EB" w:rsidRPr="005F01EB" w:rsidRDefault="005F01EB" w:rsidP="003A1510">
      <w:pPr>
        <w:rPr>
          <w:rFonts w:eastAsiaTheme="minorHAnsi"/>
          <w:lang w:val="en"/>
        </w:rPr>
      </w:pPr>
      <w:r w:rsidRPr="005F01EB">
        <w:rPr>
          <w:rFonts w:eastAsiaTheme="minorHAnsi"/>
          <w:lang w:val="en"/>
        </w:rPr>
        <w:t xml:space="preserve">In 2013 </w:t>
      </w:r>
      <w:r w:rsidRPr="005F01EB">
        <w:rPr>
          <w:rFonts w:eastAsiaTheme="minorHAnsi"/>
        </w:rPr>
        <w:t xml:space="preserve">Manitoba had the highest population of indigenous residents of any Canadian province, </w:t>
      </w:r>
      <w:r w:rsidRPr="005F01EB">
        <w:rPr>
          <w:rFonts w:eastAsiaTheme="minorHAnsi"/>
          <w:lang w:val="en"/>
        </w:rPr>
        <w:t>16.7 pe</w:t>
      </w:r>
      <w:r w:rsidR="003A1510">
        <w:rPr>
          <w:rFonts w:eastAsiaTheme="minorHAnsi"/>
          <w:lang w:val="en"/>
        </w:rPr>
        <w:t>r cent (around 200,000 people) –</w:t>
      </w:r>
      <w:r w:rsidRPr="005F01EB">
        <w:rPr>
          <w:rFonts w:eastAsiaTheme="minorHAnsi"/>
          <w:lang w:val="en"/>
        </w:rPr>
        <w:t xml:space="preserve"> four times the Canadian average of 4.3 per cent</w:t>
      </w:r>
      <w:r w:rsidRPr="005F01EB">
        <w:rPr>
          <w:rFonts w:eastAsiaTheme="minorHAnsi"/>
          <w:vertAlign w:val="superscript"/>
          <w:lang w:val="en"/>
        </w:rPr>
        <w:footnoteReference w:id="169"/>
      </w:r>
      <w:r w:rsidRPr="005F01EB">
        <w:rPr>
          <w:rFonts w:eastAsiaTheme="minorHAnsi"/>
          <w:lang w:val="en"/>
        </w:rPr>
        <w:t>. The median age among the First Nations population in Manitoba was 21 years old, compared to 41 years old among non-aboriginal Manitobans.</w:t>
      </w:r>
      <w:r w:rsidRPr="005F01EB">
        <w:rPr>
          <w:rFonts w:eastAsiaTheme="minorHAnsi"/>
          <w:vertAlign w:val="superscript"/>
          <w:lang w:val="en"/>
        </w:rPr>
        <w:footnoteReference w:id="170"/>
      </w:r>
    </w:p>
    <w:p w14:paraId="7CB152E5" w14:textId="77777777" w:rsidR="005F01EB" w:rsidRPr="005F01EB" w:rsidRDefault="005F01EB" w:rsidP="003A1510">
      <w:pPr>
        <w:rPr>
          <w:rFonts w:eastAsiaTheme="minorHAnsi"/>
          <w:lang w:val="en"/>
        </w:rPr>
      </w:pPr>
      <w:r w:rsidRPr="005F01EB">
        <w:rPr>
          <w:rFonts w:eastAsiaTheme="minorHAnsi"/>
          <w:i/>
          <w:iCs/>
        </w:rPr>
        <w:t>The Child and Family Services Act (Manitoba)</w:t>
      </w:r>
      <w:r w:rsidRPr="005F01EB">
        <w:rPr>
          <w:rFonts w:eastAsiaTheme="minorHAnsi"/>
        </w:rPr>
        <w:t xml:space="preserve"> provides </w:t>
      </w:r>
      <w:r w:rsidRPr="005F01EB">
        <w:rPr>
          <w:rFonts w:eastAsiaTheme="minorHAnsi"/>
          <w:lang w:val="en"/>
        </w:rPr>
        <w:t>responsibility for children and family services is given to four Children’s Service Authorities, three of which service Aboriginal communities. These are:</w:t>
      </w:r>
    </w:p>
    <w:p w14:paraId="39C614E0" w14:textId="77777777" w:rsidR="005F01EB" w:rsidRPr="005F01EB" w:rsidRDefault="005F01EB" w:rsidP="001E4493">
      <w:pPr>
        <w:pStyle w:val="ListBullet"/>
        <w:rPr>
          <w:rFonts w:eastAsiaTheme="minorHAnsi"/>
        </w:rPr>
      </w:pPr>
      <w:r w:rsidRPr="005F01EB">
        <w:rPr>
          <w:rFonts w:eastAsiaTheme="minorHAnsi"/>
          <w:lang w:val="en"/>
        </w:rPr>
        <w:t>First Nations (Indigenous) of Northern Manitoba Child and Family Services Authority</w:t>
      </w:r>
    </w:p>
    <w:p w14:paraId="7F1BAE9C" w14:textId="77777777" w:rsidR="005F01EB" w:rsidRPr="005F01EB" w:rsidRDefault="005F01EB" w:rsidP="001E4493">
      <w:pPr>
        <w:pStyle w:val="ListBullet"/>
        <w:rPr>
          <w:rFonts w:eastAsiaTheme="minorHAnsi"/>
        </w:rPr>
      </w:pPr>
      <w:r w:rsidRPr="005F01EB">
        <w:rPr>
          <w:rFonts w:eastAsiaTheme="minorHAnsi"/>
          <w:lang w:val="en"/>
        </w:rPr>
        <w:t>First Nations of Southern Manitoba Child and Family Services Authority</w:t>
      </w:r>
    </w:p>
    <w:p w14:paraId="6406A3AF" w14:textId="54A4C08F" w:rsidR="005F01EB" w:rsidRPr="005F01EB" w:rsidRDefault="005F01EB" w:rsidP="001E4493">
      <w:pPr>
        <w:pStyle w:val="ListBullet"/>
        <w:rPr>
          <w:rFonts w:eastAsiaTheme="minorHAnsi"/>
        </w:rPr>
      </w:pPr>
      <w:r w:rsidRPr="005F01EB">
        <w:rPr>
          <w:rFonts w:eastAsiaTheme="minorHAnsi"/>
          <w:lang w:val="en"/>
        </w:rPr>
        <w:t>Metis Child and Family Services</w:t>
      </w:r>
      <w:r w:rsidR="003A1510">
        <w:rPr>
          <w:rFonts w:eastAsiaTheme="minorHAnsi"/>
          <w:lang w:val="en"/>
        </w:rPr>
        <w:t xml:space="preserve"> Authority,</w:t>
      </w:r>
      <w:r w:rsidRPr="005F01EB">
        <w:rPr>
          <w:rFonts w:eastAsiaTheme="minorHAnsi"/>
          <w:lang w:val="en"/>
        </w:rPr>
        <w:t xml:space="preserve"> and</w:t>
      </w:r>
    </w:p>
    <w:p w14:paraId="6DC26B14" w14:textId="12986EDB" w:rsidR="005F01EB" w:rsidRPr="005F01EB" w:rsidRDefault="005F01EB" w:rsidP="001E4493">
      <w:pPr>
        <w:pStyle w:val="ListBullet"/>
        <w:rPr>
          <w:rFonts w:eastAsiaTheme="minorHAnsi"/>
        </w:rPr>
      </w:pPr>
      <w:r w:rsidRPr="005F01EB">
        <w:rPr>
          <w:rFonts w:eastAsiaTheme="minorHAnsi"/>
          <w:lang w:val="en"/>
        </w:rPr>
        <w:t>General Child and Family Services Authority (f</w:t>
      </w:r>
      <w:r w:rsidR="001E4493">
        <w:rPr>
          <w:rFonts w:eastAsiaTheme="minorHAnsi"/>
          <w:lang w:val="en"/>
        </w:rPr>
        <w:t>or all non-Indigenous families).</w:t>
      </w:r>
    </w:p>
    <w:p w14:paraId="5692DDCB" w14:textId="77777777" w:rsidR="005F01EB" w:rsidRPr="005F01EB" w:rsidRDefault="005F01EB" w:rsidP="003A1510">
      <w:pPr>
        <w:rPr>
          <w:rFonts w:eastAsiaTheme="minorHAnsi"/>
        </w:rPr>
      </w:pPr>
      <w:r w:rsidRPr="005F01EB">
        <w:rPr>
          <w:rFonts w:eastAsiaTheme="minorHAnsi"/>
        </w:rPr>
        <w:t xml:space="preserve">Authorities are responsible for the design and management of the delivery of statutory, voluntary and preventative family services in accordance with provincial law. While the provincial government still maintains ultimate responsibility, the four Children’s Service Authorities have significant rights and responsibilities. A primary aim is to ensure that all interventions received are culturally sensitive and appropriate. </w:t>
      </w:r>
    </w:p>
    <w:p w14:paraId="5B539494" w14:textId="07DAA061" w:rsidR="005F01EB" w:rsidRPr="005F01EB" w:rsidRDefault="005F01EB" w:rsidP="003A1510">
      <w:pPr>
        <w:rPr>
          <w:rFonts w:eastAsiaTheme="minorHAnsi"/>
        </w:rPr>
      </w:pPr>
      <w:r w:rsidRPr="005F01EB">
        <w:rPr>
          <w:rFonts w:eastAsiaTheme="minorHAnsi"/>
        </w:rPr>
        <w:t xml:space="preserve">The four Children’s Service Authorities (CSA) have ‘concurrent jurisdiction’. This shared responsibility for the same area at the same time requires a high level of inter-agency coordination. Children and families entering the child protection system for the first time may nominate the authority that they most identify with in order to receive services that best meet their cultural needs. They are then ‘streamed’ into the appropriate authority. </w:t>
      </w:r>
    </w:p>
    <w:p w14:paraId="3077D7D2" w14:textId="77777777" w:rsidR="005F01EB" w:rsidRPr="005F01EB" w:rsidRDefault="005F01EB" w:rsidP="003A1510">
      <w:pPr>
        <w:rPr>
          <w:rFonts w:eastAsiaTheme="minorHAnsi"/>
        </w:rPr>
      </w:pPr>
      <w:r w:rsidRPr="005F01EB">
        <w:rPr>
          <w:rFonts w:eastAsiaTheme="minorHAnsi"/>
        </w:rPr>
        <w:t xml:space="preserve">In metropolitan areas, initial intake is undertaken by a Joint Intake Response Unit, which operates as a </w:t>
      </w:r>
      <w:r w:rsidR="00777B46" w:rsidRPr="005F01EB">
        <w:rPr>
          <w:rFonts w:eastAsiaTheme="minorHAnsi"/>
        </w:rPr>
        <w:t>24-hour</w:t>
      </w:r>
      <w:r w:rsidRPr="005F01EB">
        <w:rPr>
          <w:rFonts w:eastAsiaTheme="minorHAnsi"/>
        </w:rPr>
        <w:t xml:space="preserve"> centralised intake service, run by qualified social services staff. If the child is in immediate danger, an emergency response (usually involving police) is called. </w:t>
      </w:r>
    </w:p>
    <w:p w14:paraId="009F55E8" w14:textId="77777777" w:rsidR="005F01EB" w:rsidRPr="005F01EB" w:rsidRDefault="005F01EB" w:rsidP="003A1510">
      <w:pPr>
        <w:rPr>
          <w:rFonts w:eastAsiaTheme="minorHAnsi"/>
        </w:rPr>
      </w:pPr>
      <w:r w:rsidRPr="005F01EB">
        <w:rPr>
          <w:rFonts w:eastAsiaTheme="minorHAnsi"/>
        </w:rPr>
        <w:t xml:space="preserve">After the ‘streaming’ process, families are referred for further assessment by the nominated CSA, which will then provide support services or conduct formal child protection investigations in access where high risk has been established. </w:t>
      </w:r>
    </w:p>
    <w:p w14:paraId="7BAF44BF" w14:textId="77777777" w:rsidR="005F01EB" w:rsidRPr="005F01EB" w:rsidRDefault="005F01EB" w:rsidP="003A1510">
      <w:pPr>
        <w:rPr>
          <w:rFonts w:eastAsiaTheme="minorHAnsi"/>
        </w:rPr>
      </w:pPr>
      <w:r w:rsidRPr="005F01EB">
        <w:rPr>
          <w:rFonts w:eastAsiaTheme="minorHAnsi"/>
        </w:rPr>
        <w:t>In establishing the four authorities, the Manitoba government has recognised the value of culturally appropriate services. However, the approach is not a system that allows for self-determination of Indigenous authorities</w:t>
      </w:r>
      <w:r w:rsidRPr="005F01EB">
        <w:rPr>
          <w:rFonts w:eastAsiaTheme="minorHAnsi"/>
          <w:vertAlign w:val="superscript"/>
        </w:rPr>
        <w:footnoteReference w:id="171"/>
      </w:r>
      <w:r w:rsidRPr="005F01EB">
        <w:rPr>
          <w:rFonts w:eastAsiaTheme="minorHAnsi"/>
        </w:rPr>
        <w:t xml:space="preserve">. The CSAs rely upon guidelines, risk assessments, streaming processes and legislation that are imposed by the Provincial government. Managing the differences between </w:t>
      </w:r>
      <w:r w:rsidRPr="005F01EB">
        <w:rPr>
          <w:rFonts w:eastAsiaTheme="minorHAnsi"/>
        </w:rPr>
        <w:lastRenderedPageBreak/>
        <w:t>traditional values and beliefs and provincial legislation has represented a significant challenge for Indigenous authorities</w:t>
      </w:r>
      <w:r w:rsidRPr="005F01EB">
        <w:rPr>
          <w:rFonts w:eastAsiaTheme="minorHAnsi"/>
          <w:vertAlign w:val="superscript"/>
        </w:rPr>
        <w:footnoteReference w:id="172"/>
      </w:r>
      <w:r w:rsidRPr="005F01EB">
        <w:rPr>
          <w:rFonts w:eastAsiaTheme="minorHAnsi"/>
        </w:rPr>
        <w:t>.</w:t>
      </w:r>
    </w:p>
    <w:p w14:paraId="0DED5EAF" w14:textId="77777777" w:rsidR="005F01EB" w:rsidRPr="005F01EB" w:rsidRDefault="005F01EB" w:rsidP="003A1510">
      <w:pPr>
        <w:rPr>
          <w:rFonts w:eastAsiaTheme="minorHAnsi" w:cs="Arial"/>
          <w:szCs w:val="22"/>
        </w:rPr>
      </w:pPr>
      <w:r w:rsidRPr="005F01EB">
        <w:rPr>
          <w:rFonts w:eastAsiaTheme="minorHAnsi" w:cs="Arial"/>
          <w:szCs w:val="22"/>
        </w:rPr>
        <w:t xml:space="preserve">Where a child has been assessed to be ‘in need of protection’, the CSA may apply to the </w:t>
      </w:r>
      <w:r w:rsidRPr="005F01EB">
        <w:rPr>
          <w:rFonts w:eastAsiaTheme="minorHAnsi" w:cs="Arial"/>
          <w:szCs w:val="22"/>
          <w:lang w:val="en"/>
        </w:rPr>
        <w:t xml:space="preserve">Court </w:t>
      </w:r>
      <w:r w:rsidRPr="005F01EB">
        <w:rPr>
          <w:rFonts w:eastAsiaTheme="minorHAnsi" w:cs="Arial"/>
          <w:szCs w:val="22"/>
        </w:rPr>
        <w:t xml:space="preserve">for an order pursuant to </w:t>
      </w:r>
      <w:r w:rsidRPr="005F01EB">
        <w:rPr>
          <w:rFonts w:eastAsiaTheme="minorHAnsi" w:cs="Arial"/>
          <w:i/>
          <w:szCs w:val="22"/>
        </w:rPr>
        <w:t>The Child and Family Services Act</w:t>
      </w:r>
      <w:r w:rsidRPr="005F01EB">
        <w:rPr>
          <w:rFonts w:eastAsiaTheme="minorHAnsi" w:cs="Arial"/>
          <w:szCs w:val="22"/>
        </w:rPr>
        <w:t xml:space="preserve">. The orders sought may involve the child or young person: </w:t>
      </w:r>
    </w:p>
    <w:p w14:paraId="66561200" w14:textId="6FC1FA5D" w:rsidR="005F01EB" w:rsidRPr="005F01EB" w:rsidRDefault="005F01EB" w:rsidP="001E4493">
      <w:pPr>
        <w:pStyle w:val="ListBullet"/>
        <w:rPr>
          <w:rFonts w:eastAsiaTheme="minorHAnsi"/>
        </w:rPr>
      </w:pPr>
      <w:r w:rsidRPr="005F01EB">
        <w:rPr>
          <w:rFonts w:eastAsiaTheme="minorHAnsi"/>
        </w:rPr>
        <w:t>b</w:t>
      </w:r>
      <w:r w:rsidR="003A1510">
        <w:rPr>
          <w:rFonts w:eastAsiaTheme="minorHAnsi"/>
        </w:rPr>
        <w:t>eing returned to their parents</w:t>
      </w:r>
    </w:p>
    <w:p w14:paraId="0EFD6D35" w14:textId="4767BE15" w:rsidR="005F01EB" w:rsidRPr="005F01EB" w:rsidRDefault="005F01EB" w:rsidP="001E4493">
      <w:pPr>
        <w:pStyle w:val="ListBullet"/>
        <w:rPr>
          <w:rFonts w:eastAsiaTheme="minorHAnsi"/>
        </w:rPr>
      </w:pPr>
      <w:r w:rsidRPr="005F01EB">
        <w:rPr>
          <w:rFonts w:eastAsiaTheme="minorHAnsi"/>
        </w:rPr>
        <w:t>b</w:t>
      </w:r>
      <w:r w:rsidR="003A1510">
        <w:rPr>
          <w:rFonts w:eastAsiaTheme="minorHAnsi"/>
        </w:rPr>
        <w:t>eing placed with a third party</w:t>
      </w:r>
    </w:p>
    <w:p w14:paraId="2B53509D" w14:textId="5B5EFFA7" w:rsidR="005F01EB" w:rsidRPr="005F01EB" w:rsidRDefault="005F01EB" w:rsidP="001E4493">
      <w:pPr>
        <w:pStyle w:val="ListBullet"/>
        <w:rPr>
          <w:rFonts w:eastAsiaTheme="minorHAnsi"/>
        </w:rPr>
      </w:pPr>
      <w:r w:rsidRPr="005F01EB">
        <w:rPr>
          <w:rFonts w:eastAsiaTheme="minorHAnsi"/>
        </w:rPr>
        <w:t>being placed under the temporary guardianship of the nominated agency for 6, 12 or 24 month</w:t>
      </w:r>
      <w:r w:rsidR="003A1510">
        <w:rPr>
          <w:rFonts w:eastAsiaTheme="minorHAnsi"/>
        </w:rPr>
        <w:t>s depending on the child’s age</w:t>
      </w:r>
    </w:p>
    <w:p w14:paraId="36486004" w14:textId="2C495A1E" w:rsidR="005F01EB" w:rsidRPr="005F01EB" w:rsidRDefault="005F01EB" w:rsidP="001E4493">
      <w:pPr>
        <w:pStyle w:val="ListBullet"/>
        <w:rPr>
          <w:rFonts w:eastAsiaTheme="minorHAnsi"/>
        </w:rPr>
      </w:pPr>
      <w:r w:rsidRPr="005F01EB">
        <w:rPr>
          <w:rFonts w:eastAsiaTheme="minorHAnsi"/>
        </w:rPr>
        <w:t>or placed under the permanent guardia</w:t>
      </w:r>
      <w:r w:rsidR="00F71279">
        <w:rPr>
          <w:rFonts w:eastAsiaTheme="minorHAnsi"/>
        </w:rPr>
        <w:t>nship of the nominated agency.</w:t>
      </w:r>
    </w:p>
    <w:p w14:paraId="11985026" w14:textId="77777777" w:rsidR="005F01EB" w:rsidRPr="005F01EB" w:rsidRDefault="005F01EB" w:rsidP="003A1510">
      <w:pPr>
        <w:rPr>
          <w:rFonts w:eastAsiaTheme="minorHAnsi"/>
        </w:rPr>
      </w:pPr>
      <w:r w:rsidRPr="005F01EB">
        <w:rPr>
          <w:rFonts w:eastAsiaTheme="minorHAnsi"/>
        </w:rPr>
        <w:t xml:space="preserve">The legislation provides for interim and long-terms orders and conditions relating to access with parents. Children and young people are eligible for legal representation and may instruct from the age of 12. </w:t>
      </w:r>
    </w:p>
    <w:p w14:paraId="1B477B5A" w14:textId="335FFBAD" w:rsidR="005F01EB" w:rsidRPr="005F01EB" w:rsidRDefault="005F01EB" w:rsidP="003A1510">
      <w:pPr>
        <w:rPr>
          <w:rFonts w:eastAsiaTheme="minorHAnsi"/>
        </w:rPr>
      </w:pPr>
      <w:r w:rsidRPr="005F01EB">
        <w:rPr>
          <w:rFonts w:eastAsiaTheme="minorHAnsi"/>
        </w:rPr>
        <w:t>Legal Aid Manitoba has a</w:t>
      </w:r>
      <w:r w:rsidR="003A1510">
        <w:rPr>
          <w:rFonts w:eastAsiaTheme="minorHAnsi"/>
        </w:rPr>
        <w:t xml:space="preserve"> Child Protection Legal Office. </w:t>
      </w:r>
      <w:r w:rsidRPr="005F01EB">
        <w:rPr>
          <w:rFonts w:eastAsiaTheme="minorHAnsi"/>
        </w:rPr>
        <w:t>They offer an ‘innovative service at all Winnipeg courtrooms devoted to child protection matters. Low income parents who arrive at court without an attorney are provided with immediate information, legal advice and short-term representation by a lawyer working for Legal Aid Manitoba. A team of lawyers and a paralegal provide follow up assistance. Almost all cases are resolved before going to trial’</w:t>
      </w:r>
      <w:r w:rsidRPr="005F01EB">
        <w:rPr>
          <w:rFonts w:eastAsiaTheme="minorHAnsi"/>
          <w:vertAlign w:val="superscript"/>
        </w:rPr>
        <w:footnoteReference w:id="173"/>
      </w:r>
      <w:r w:rsidRPr="005F01EB">
        <w:rPr>
          <w:rFonts w:eastAsiaTheme="minorHAnsi"/>
        </w:rPr>
        <w:t xml:space="preserve">. </w:t>
      </w:r>
    </w:p>
    <w:p w14:paraId="2053F25B" w14:textId="77777777" w:rsidR="005F01EB" w:rsidRPr="005F01EB" w:rsidRDefault="005F01EB" w:rsidP="003A1510">
      <w:pPr>
        <w:rPr>
          <w:rFonts w:eastAsiaTheme="minorHAnsi"/>
        </w:rPr>
      </w:pPr>
      <w:r w:rsidRPr="005F01EB">
        <w:rPr>
          <w:rFonts w:eastAsiaTheme="minorHAnsi"/>
        </w:rPr>
        <w:t>The Child Protection Legal Office has one supervising lawyer, one fulltime lawyer, one articled clerk and three administrative support staff, at its Winnipeg office</w:t>
      </w:r>
      <w:r w:rsidRPr="005F01EB">
        <w:rPr>
          <w:rFonts w:eastAsiaTheme="minorHAnsi"/>
          <w:vertAlign w:val="superscript"/>
        </w:rPr>
        <w:footnoteReference w:id="174"/>
      </w:r>
      <w:r w:rsidRPr="005F01EB">
        <w:rPr>
          <w:rFonts w:eastAsiaTheme="minorHAnsi"/>
        </w:rPr>
        <w:t xml:space="preserve">. No other child protection services have been identified in conducting this scan. It is unclear whether Legal Aid Manitoba utilise private practitioners to provide child protection legal services. </w:t>
      </w:r>
    </w:p>
    <w:p w14:paraId="4F854B8C" w14:textId="32D391AC" w:rsidR="005F01EB" w:rsidRPr="005F01EB" w:rsidRDefault="005F01EB" w:rsidP="003A1510">
      <w:pPr>
        <w:rPr>
          <w:lang w:eastAsia="en-AU"/>
        </w:rPr>
      </w:pPr>
      <w:r w:rsidRPr="005F01EB">
        <w:rPr>
          <w:rFonts w:eastAsiaTheme="minorHAnsi"/>
        </w:rPr>
        <w:t>The history of Canada and the treatment of the indigenous population during the last two hundred years has many parallels with the experience in Australia. From around 1</w:t>
      </w:r>
      <w:r w:rsidR="003A1510">
        <w:rPr>
          <w:rFonts w:eastAsiaTheme="minorHAnsi"/>
        </w:rPr>
        <w:t>,</w:t>
      </w:r>
      <w:r w:rsidRPr="005F01EB">
        <w:rPr>
          <w:rFonts w:eastAsiaTheme="minorHAnsi"/>
        </w:rPr>
        <w:t xml:space="preserve">880 many indigenous children in Canada were removed from their families and placed into residential schools, often long distances from their families, so that they could be ‘civilised’. A recent decision of the </w:t>
      </w:r>
      <w:r w:rsidRPr="005F01EB">
        <w:rPr>
          <w:lang w:eastAsia="en-AU"/>
        </w:rPr>
        <w:t>Canadian Human Rights Tribunal notes:</w:t>
      </w:r>
    </w:p>
    <w:p w14:paraId="47B0266E" w14:textId="018FB9B7" w:rsidR="005F01EB" w:rsidRPr="005F01EB" w:rsidRDefault="003A1510" w:rsidP="003A1510">
      <w:pPr>
        <w:pStyle w:val="VLAquotation"/>
        <w:rPr>
          <w:lang w:val="en" w:eastAsia="en-AU"/>
        </w:rPr>
      </w:pPr>
      <w:r>
        <w:rPr>
          <w:lang w:val="en" w:eastAsia="en-AU"/>
        </w:rPr>
        <w:t>‘</w:t>
      </w:r>
      <w:r w:rsidR="005F01EB" w:rsidRPr="005F01EB">
        <w:rPr>
          <w:lang w:val="en" w:eastAsia="en-AU"/>
        </w:rPr>
        <w:t>Living conditions in many cases were appalling, giving place to disease, hunger, stress, and despair. Children were often cold, overworked, shamed and could not speak their native language for fear of severe punishment, including some students who had needles inserted into their tongues. Many children were verbally, sexually and/or physically abused. There were instances where students were forced to eat their own vomit. Some children were locked in closets, cages, and basements. Others managed to run away, but some of those who did so during the winter months died in the cold weather. Many children committed suicide as a result of attending a Residential School.</w:t>
      </w:r>
    </w:p>
    <w:p w14:paraId="4BBF2B5E" w14:textId="2FBC0A9E" w:rsidR="005F01EB" w:rsidRPr="005F01EB" w:rsidRDefault="005F01EB" w:rsidP="003A1510">
      <w:pPr>
        <w:pStyle w:val="VLAquotation"/>
        <w:rPr>
          <w:lang w:val="en" w:eastAsia="en-AU"/>
        </w:rPr>
      </w:pPr>
      <w:r w:rsidRPr="005F01EB">
        <w:rPr>
          <w:lang w:val="en" w:eastAsia="en-AU"/>
        </w:rPr>
        <w:t>Overall, a large number of Aboriginal children under the supervision of the Residen</w:t>
      </w:r>
      <w:r w:rsidR="003A1510">
        <w:rPr>
          <w:lang w:val="en" w:eastAsia="en-AU"/>
        </w:rPr>
        <w:t>tial Schools system died while ‘</w:t>
      </w:r>
      <w:r w:rsidRPr="005F01EB">
        <w:rPr>
          <w:lang w:val="en" w:eastAsia="en-AU"/>
        </w:rPr>
        <w:t>in-care</w:t>
      </w:r>
      <w:r w:rsidR="003A1510">
        <w:rPr>
          <w:lang w:val="en" w:eastAsia="en-AU"/>
        </w:rPr>
        <w:t>’</w:t>
      </w:r>
      <w:r w:rsidRPr="005F01EB">
        <w:rPr>
          <w:lang w:val="en" w:eastAsia="en-AU"/>
        </w:rPr>
        <w:t xml:space="preserve"> (</w:t>
      </w:r>
      <w:r w:rsidRPr="00A313F3">
        <w:rPr>
          <w:lang w:val="en" w:eastAsia="en-AU"/>
        </w:rPr>
        <w:t>see A National Crime at p. 51</w:t>
      </w:r>
      <w:r w:rsidRPr="005F01EB">
        <w:rPr>
          <w:lang w:val="en" w:eastAsia="en-AU"/>
        </w:rPr>
        <w:t xml:space="preserve">). Many of those who managed to survive the ordeal are psychologically scarred as a result. In addition to the </w:t>
      </w:r>
      <w:r w:rsidRPr="005F01EB">
        <w:rPr>
          <w:lang w:val="en" w:eastAsia="en-AU"/>
        </w:rPr>
        <w:lastRenderedPageBreak/>
        <w:t xml:space="preserve">impacts on individuals, Dr. </w:t>
      </w:r>
      <w:proofErr w:type="spellStart"/>
      <w:r w:rsidRPr="005F01EB">
        <w:rPr>
          <w:lang w:val="en" w:eastAsia="en-AU"/>
        </w:rPr>
        <w:t>Milloy</w:t>
      </w:r>
      <w:proofErr w:type="spellEnd"/>
      <w:r w:rsidRPr="005F01EB">
        <w:rPr>
          <w:lang w:val="en" w:eastAsia="en-AU"/>
        </w:rPr>
        <w:t xml:space="preserve"> also explained how the Residential Schools affected First Nations communities as a whole. In losing future generations to the Residential Schools, the culture, language and the very survival of many First Nations co</w:t>
      </w:r>
      <w:r w:rsidR="003A1510">
        <w:rPr>
          <w:lang w:val="en" w:eastAsia="en-AU"/>
        </w:rPr>
        <w:t>mmunities was put in jeopardy.’</w:t>
      </w:r>
      <w:r w:rsidRPr="005F01EB">
        <w:rPr>
          <w:vertAlign w:val="superscript"/>
          <w:lang w:val="en" w:eastAsia="en-AU"/>
        </w:rPr>
        <w:footnoteReference w:id="175"/>
      </w:r>
    </w:p>
    <w:p w14:paraId="7FEF9414" w14:textId="77777777" w:rsidR="005F01EB" w:rsidRPr="005F01EB" w:rsidRDefault="005F01EB" w:rsidP="003A1510">
      <w:pPr>
        <w:rPr>
          <w:rFonts w:eastAsiaTheme="minorHAnsi"/>
        </w:rPr>
      </w:pPr>
      <w:r w:rsidRPr="005F01EB">
        <w:rPr>
          <w:rFonts w:eastAsiaTheme="minorHAnsi"/>
        </w:rPr>
        <w:t xml:space="preserve">The proceedings concerned the inadequate and discriminatory funding of child protection services for indigenous communities. </w:t>
      </w:r>
    </w:p>
    <w:p w14:paraId="2510C8CA" w14:textId="77777777" w:rsidR="005F01EB" w:rsidRDefault="005F01EB" w:rsidP="003A1510">
      <w:pPr>
        <w:rPr>
          <w:rFonts w:eastAsiaTheme="minorHAnsi"/>
        </w:rPr>
      </w:pPr>
      <w:r w:rsidRPr="005F01EB">
        <w:rPr>
          <w:rFonts w:eastAsiaTheme="minorHAnsi"/>
        </w:rPr>
        <w:t xml:space="preserve">This history set out in the decision has strong echoes of the ‘Bringing them home’ report (1997) of the Australian Human Rights Commission. </w:t>
      </w:r>
      <w:r>
        <w:rPr>
          <w:rFonts w:eastAsiaTheme="minorHAnsi"/>
        </w:rPr>
        <w:br w:type="page"/>
      </w:r>
    </w:p>
    <w:p w14:paraId="0FF3BB3D" w14:textId="23F403F7" w:rsidR="00666DB4" w:rsidRPr="00666DB4" w:rsidRDefault="00666DB4" w:rsidP="00086408">
      <w:pPr>
        <w:pStyle w:val="Heading1"/>
        <w:spacing w:line="276" w:lineRule="auto"/>
        <w:rPr>
          <w:lang w:val="en-GB"/>
        </w:rPr>
      </w:pPr>
      <w:bookmarkStart w:id="66" w:name="_Toc465244438"/>
      <w:r>
        <w:rPr>
          <w:lang w:val="en-GB"/>
        </w:rPr>
        <w:lastRenderedPageBreak/>
        <w:t>Annexure 6</w:t>
      </w:r>
      <w:r w:rsidR="00E97014">
        <w:rPr>
          <w:lang w:val="en-GB"/>
        </w:rPr>
        <w:t xml:space="preserve"> – English legal framework</w:t>
      </w:r>
      <w:bookmarkEnd w:id="66"/>
    </w:p>
    <w:p w14:paraId="1462BC13" w14:textId="77777777" w:rsidR="005F01EB" w:rsidRPr="005F01EB" w:rsidRDefault="005F01EB" w:rsidP="003A1510">
      <w:pPr>
        <w:rPr>
          <w:rFonts w:eastAsiaTheme="minorHAnsi"/>
        </w:rPr>
      </w:pPr>
      <w:r w:rsidRPr="005F01EB">
        <w:rPr>
          <w:rFonts w:eastAsiaTheme="minorHAnsi"/>
        </w:rPr>
        <w:t xml:space="preserve">Under the present English framework, concerns about the welfare of a child are reported to the social services department of local authorities. A practitioner in the social services department then determines whether the request warrants assessment by the local authority’s children’s social care services. The screening process determines whether: </w:t>
      </w:r>
    </w:p>
    <w:p w14:paraId="2AD5DF20" w14:textId="4BB367A2" w:rsidR="005F01EB" w:rsidRPr="005F01EB" w:rsidRDefault="003A1510" w:rsidP="001E4493">
      <w:pPr>
        <w:pStyle w:val="ListBullet"/>
        <w:rPr>
          <w:rFonts w:eastAsiaTheme="minorHAnsi"/>
        </w:rPr>
      </w:pPr>
      <w:r>
        <w:rPr>
          <w:rFonts w:eastAsiaTheme="minorHAnsi"/>
        </w:rPr>
        <w:t>no further action is required</w:t>
      </w:r>
    </w:p>
    <w:p w14:paraId="69DD8745" w14:textId="5591F622" w:rsidR="005F01EB" w:rsidRPr="005F01EB" w:rsidRDefault="005F01EB" w:rsidP="001E4493">
      <w:pPr>
        <w:pStyle w:val="ListBullet"/>
        <w:rPr>
          <w:rFonts w:eastAsiaTheme="minorHAnsi"/>
        </w:rPr>
      </w:pPr>
      <w:r w:rsidRPr="005F01EB">
        <w:rPr>
          <w:rFonts w:eastAsiaTheme="minorHAnsi"/>
        </w:rPr>
        <w:t>the child is considered ‘a child in need’ of family support services</w:t>
      </w:r>
      <w:r w:rsidR="003A1510">
        <w:rPr>
          <w:rFonts w:eastAsiaTheme="minorHAnsi"/>
        </w:rPr>
        <w:t>,</w:t>
      </w:r>
      <w:r w:rsidRPr="005F01EB">
        <w:rPr>
          <w:rFonts w:eastAsiaTheme="minorHAnsi"/>
        </w:rPr>
        <w:t xml:space="preserve"> or </w:t>
      </w:r>
    </w:p>
    <w:p w14:paraId="729B4831" w14:textId="77777777" w:rsidR="005F01EB" w:rsidRPr="005F01EB" w:rsidRDefault="005F01EB" w:rsidP="001E4493">
      <w:pPr>
        <w:pStyle w:val="ListBullet"/>
        <w:rPr>
          <w:rFonts w:eastAsiaTheme="minorHAnsi"/>
        </w:rPr>
      </w:pPr>
      <w:r w:rsidRPr="005F01EB">
        <w:rPr>
          <w:rFonts w:eastAsiaTheme="minorHAnsi"/>
        </w:rPr>
        <w:t>a ‘care plan’ is warranted.</w:t>
      </w:r>
      <w:r w:rsidRPr="005F01EB">
        <w:rPr>
          <w:rFonts w:eastAsiaTheme="minorHAnsi"/>
          <w:vertAlign w:val="superscript"/>
        </w:rPr>
        <w:footnoteReference w:id="176"/>
      </w:r>
    </w:p>
    <w:p w14:paraId="4A2D6FBE" w14:textId="77777777" w:rsidR="005F01EB" w:rsidRPr="005F01EB" w:rsidRDefault="005F01EB" w:rsidP="003A1510">
      <w:pPr>
        <w:rPr>
          <w:rFonts w:eastAsiaTheme="minorHAnsi"/>
        </w:rPr>
      </w:pPr>
      <w:r w:rsidRPr="005F01EB">
        <w:rPr>
          <w:rFonts w:eastAsiaTheme="minorHAnsi"/>
        </w:rPr>
        <w:t xml:space="preserve">A care plan may be made in circumstances where urgent action or safeguard is required or there is a continuing risk of significant harm. </w:t>
      </w:r>
    </w:p>
    <w:p w14:paraId="4C24B440" w14:textId="77777777" w:rsidR="005F01EB" w:rsidRPr="005F01EB" w:rsidRDefault="005F01EB" w:rsidP="003A1510">
      <w:pPr>
        <w:rPr>
          <w:rFonts w:eastAsiaTheme="minorHAnsi"/>
        </w:rPr>
      </w:pPr>
      <w:r w:rsidRPr="005F01EB">
        <w:rPr>
          <w:rFonts w:eastAsiaTheme="minorHAnsi"/>
        </w:rPr>
        <w:t xml:space="preserve">The </w:t>
      </w:r>
      <w:r w:rsidRPr="005F01EB">
        <w:rPr>
          <w:rFonts w:eastAsiaTheme="minorHAnsi"/>
          <w:i/>
        </w:rPr>
        <w:t xml:space="preserve">Children Act 1989 </w:t>
      </w:r>
      <w:r w:rsidRPr="005F01EB">
        <w:rPr>
          <w:rFonts w:eastAsiaTheme="minorHAnsi"/>
        </w:rPr>
        <w:t>provides that a child protection intervention is required where a child is suffering, or are likely to suffer, significant harm. There are no absolute criteria for determining intervention as harm may be judged according to a single event or events.</w:t>
      </w:r>
      <w:r w:rsidRPr="005F01EB">
        <w:rPr>
          <w:rFonts w:eastAsiaTheme="minorHAnsi"/>
          <w:vertAlign w:val="superscript"/>
        </w:rPr>
        <w:footnoteReference w:id="177"/>
      </w:r>
      <w:r w:rsidRPr="005F01EB">
        <w:rPr>
          <w:rFonts w:eastAsiaTheme="minorHAnsi"/>
        </w:rPr>
        <w:t xml:space="preserve"> A child under the age of 18 years can be subject to a care or placement order, which results in them being cared for or parented by the local council. This is equivalent to children on care by Secretary Orders in Australia. </w:t>
      </w:r>
    </w:p>
    <w:p w14:paraId="3723C821" w14:textId="77777777" w:rsidR="005F01EB" w:rsidRPr="005F01EB" w:rsidRDefault="005F01EB" w:rsidP="003A1510">
      <w:pPr>
        <w:rPr>
          <w:rFonts w:eastAsiaTheme="minorEastAsia"/>
          <w:lang w:eastAsia="en-AU"/>
        </w:rPr>
      </w:pPr>
      <w:r w:rsidRPr="005F01EB">
        <w:rPr>
          <w:rFonts w:eastAsiaTheme="minorEastAsia"/>
          <w:lang w:eastAsia="en-AU"/>
        </w:rPr>
        <w:t xml:space="preserve">Since 2004, all local authorities have been required to appoint Independent Reviewing Officers (IROs) to advocate on behalf of children’s interests throughout the care planning process. IROs are qualified social workers who are appointed by the local child protection authorities. They are physically situated within the local child protection authorities’ buildings, which for many continues to represent a source of consternation. This lack of independence has led to the effectiveness of IROs being questioned and in April 2011, the introduction of national statutory guidance to strengthen their role. </w:t>
      </w:r>
    </w:p>
    <w:p w14:paraId="72C15B66" w14:textId="77777777" w:rsidR="005F01EB" w:rsidRDefault="005F01EB" w:rsidP="003A1510">
      <w:pPr>
        <w:rPr>
          <w:rFonts w:eastAsiaTheme="minorEastAsia"/>
          <w:lang w:eastAsia="en-AU"/>
        </w:rPr>
      </w:pPr>
      <w:r w:rsidRPr="005F01EB">
        <w:rPr>
          <w:rFonts w:eastAsiaTheme="minorEastAsia"/>
          <w:lang w:eastAsia="en-AU"/>
        </w:rPr>
        <w:t>The changes made clear that the IRO is responsible for monitoring the child’s care plan on an ongoing basis, not just at the point when the case is being reviewed, and specifies the steps that they should take to prepare for review meetings, including speaking directly with the child. IROs can now refer cases to the Children and Family Court Advocacy Support Service (CAFCASS)</w:t>
      </w:r>
      <w:r w:rsidRPr="005F01EB">
        <w:rPr>
          <w:rFonts w:eastAsiaTheme="minorEastAsia"/>
          <w:vertAlign w:val="superscript"/>
          <w:lang w:eastAsia="en-AU"/>
        </w:rPr>
        <w:footnoteReference w:id="178"/>
      </w:r>
      <w:r w:rsidRPr="005F01EB">
        <w:rPr>
          <w:rFonts w:eastAsiaTheme="minorEastAsia"/>
          <w:lang w:eastAsia="en-AU"/>
        </w:rPr>
        <w:t xml:space="preserve"> if the failure to implement aspects of the care plan might be considered a breach of the child's human rights, with a view to CAFCASS initiating legal proceedings</w:t>
      </w:r>
      <w:r w:rsidRPr="005F01EB">
        <w:rPr>
          <w:rFonts w:eastAsiaTheme="minorEastAsia"/>
          <w:vertAlign w:val="superscript"/>
          <w:lang w:eastAsia="en-AU"/>
        </w:rPr>
        <w:footnoteReference w:id="179"/>
      </w:r>
      <w:r w:rsidRPr="005F01EB">
        <w:rPr>
          <w:rFonts w:eastAsiaTheme="minorEastAsia"/>
          <w:lang w:eastAsia="en-AU"/>
        </w:rPr>
        <w:t>.</w:t>
      </w:r>
      <w:r>
        <w:rPr>
          <w:rFonts w:eastAsiaTheme="minorEastAsia"/>
          <w:lang w:eastAsia="en-AU"/>
        </w:rPr>
        <w:br w:type="page"/>
      </w:r>
    </w:p>
    <w:p w14:paraId="7EDC47D8" w14:textId="58C50E0B" w:rsidR="005F01EB" w:rsidRDefault="005F01EB" w:rsidP="00086408">
      <w:pPr>
        <w:pStyle w:val="Heading1"/>
        <w:spacing w:line="276" w:lineRule="auto"/>
      </w:pPr>
      <w:bookmarkStart w:id="67" w:name="_Toc465244439"/>
      <w:r>
        <w:lastRenderedPageBreak/>
        <w:t xml:space="preserve">Annexure </w:t>
      </w:r>
      <w:r w:rsidR="00666DB4">
        <w:t>7</w:t>
      </w:r>
      <w:r w:rsidR="00E97014">
        <w:t xml:space="preserve"> – Scotland 2011 legislative changes</w:t>
      </w:r>
      <w:bookmarkEnd w:id="67"/>
    </w:p>
    <w:p w14:paraId="63BD29F8" w14:textId="77777777" w:rsidR="005F01EB" w:rsidRPr="003A1510" w:rsidRDefault="005F01EB" w:rsidP="003A1510">
      <w:r w:rsidRPr="003A1510">
        <w:t>The 2011 Act made some fundamental structural changes to the children's hearings system:</w:t>
      </w:r>
    </w:p>
    <w:p w14:paraId="6AFFFCB6" w14:textId="499F4448" w:rsidR="005F01EB" w:rsidRPr="005F01EB" w:rsidRDefault="005F01EB" w:rsidP="001E4493">
      <w:pPr>
        <w:pStyle w:val="ListBullet"/>
        <w:rPr>
          <w:lang w:val="en-GB" w:eastAsia="en-AU"/>
        </w:rPr>
      </w:pPr>
      <w:r w:rsidRPr="005F01EB">
        <w:rPr>
          <w:lang w:val="en-GB" w:eastAsia="en-AU"/>
        </w:rPr>
        <w:t>the creation of a National Convener, to act, for the first time, as a figurehead for children’s hearing panel members and ensure they are consistent</w:t>
      </w:r>
      <w:r w:rsidR="003A1510">
        <w:rPr>
          <w:lang w:val="en-GB" w:eastAsia="en-AU"/>
        </w:rPr>
        <w:t>ly supported to a high standard</w:t>
      </w:r>
    </w:p>
    <w:p w14:paraId="798EC85A" w14:textId="347BADB5" w:rsidR="005F01EB" w:rsidRPr="005F01EB" w:rsidRDefault="005F01EB" w:rsidP="001E4493">
      <w:pPr>
        <w:pStyle w:val="ListBullet"/>
        <w:rPr>
          <w:lang w:val="en-GB" w:eastAsia="en-AU"/>
        </w:rPr>
      </w:pPr>
      <w:r w:rsidRPr="005F01EB">
        <w:rPr>
          <w:lang w:val="en-GB" w:eastAsia="en-AU"/>
        </w:rPr>
        <w:t xml:space="preserve">the creation of a dedicated national body, Children's Hearings Scotland (CHS), to support the National Convener in the delivery of </w:t>
      </w:r>
      <w:r w:rsidR="00777B46" w:rsidRPr="005F01EB">
        <w:rPr>
          <w:lang w:val="en-GB" w:eastAsia="en-AU"/>
        </w:rPr>
        <w:t>their functions</w:t>
      </w:r>
      <w:r w:rsidRPr="005F01EB">
        <w:rPr>
          <w:lang w:val="en-GB" w:eastAsia="en-AU"/>
        </w:rPr>
        <w:t xml:space="preserve"> associated with the recruitment, selection, training, retenti</w:t>
      </w:r>
      <w:r w:rsidR="003A1510">
        <w:rPr>
          <w:lang w:val="en-GB" w:eastAsia="en-AU"/>
        </w:rPr>
        <w:t>on and support of panel members</w:t>
      </w:r>
    </w:p>
    <w:p w14:paraId="75A916CF" w14:textId="15174389" w:rsidR="005F01EB" w:rsidRPr="005F01EB" w:rsidRDefault="005F01EB" w:rsidP="001E4493">
      <w:pPr>
        <w:pStyle w:val="ListBullet"/>
        <w:rPr>
          <w:lang w:val="en-GB" w:eastAsia="en-AU"/>
        </w:rPr>
      </w:pPr>
      <w:r w:rsidRPr="005F01EB">
        <w:rPr>
          <w:lang w:val="en-GB" w:eastAsia="en-AU"/>
        </w:rPr>
        <w:t>the establishment of Area Support Teams by the National Convener in collaboration with local authorities that will support the hearings system at a local leve</w:t>
      </w:r>
      <w:r w:rsidR="003A1510">
        <w:rPr>
          <w:lang w:val="en-GB" w:eastAsia="en-AU"/>
        </w:rPr>
        <w:t>l</w:t>
      </w:r>
    </w:p>
    <w:p w14:paraId="72DCF59D" w14:textId="03F1C489" w:rsidR="005F01EB" w:rsidRPr="005F01EB" w:rsidRDefault="005F01EB" w:rsidP="001E4493">
      <w:pPr>
        <w:pStyle w:val="ListBullet"/>
        <w:rPr>
          <w:lang w:val="en-GB" w:eastAsia="en-AU"/>
        </w:rPr>
      </w:pPr>
      <w:r w:rsidRPr="005F01EB">
        <w:rPr>
          <w:lang w:val="en-GB" w:eastAsia="en-AU"/>
        </w:rPr>
        <w:t>the creation of a national Children's Panel (ch</w:t>
      </w:r>
      <w:r w:rsidR="003A1510">
        <w:rPr>
          <w:lang w:val="en-GB" w:eastAsia="en-AU"/>
        </w:rPr>
        <w:t>ildren’s hearing panel members)</w:t>
      </w:r>
    </w:p>
    <w:p w14:paraId="21C76FF6" w14:textId="77777777" w:rsidR="005F01EB" w:rsidRPr="005F01EB" w:rsidRDefault="005F01EB" w:rsidP="001E4493">
      <w:pPr>
        <w:pStyle w:val="ListBullet"/>
        <w:rPr>
          <w:lang w:val="en-GB" w:eastAsia="en-AU"/>
        </w:rPr>
      </w:pPr>
      <w:r w:rsidRPr="005F01EB">
        <w:rPr>
          <w:lang w:val="en-GB" w:eastAsia="en-AU"/>
        </w:rPr>
        <w:t xml:space="preserve">the creation of a national </w:t>
      </w:r>
      <w:proofErr w:type="spellStart"/>
      <w:r w:rsidRPr="005F01EB">
        <w:rPr>
          <w:lang w:val="en-GB" w:eastAsia="en-AU"/>
        </w:rPr>
        <w:t>Safeguarder</w:t>
      </w:r>
      <w:proofErr w:type="spellEnd"/>
      <w:r w:rsidRPr="005F01EB">
        <w:rPr>
          <w:lang w:val="en-GB" w:eastAsia="en-AU"/>
        </w:rPr>
        <w:t xml:space="preserve"> panel to improve consistency and standards and improve understanding within the system of the role of </w:t>
      </w:r>
      <w:proofErr w:type="spellStart"/>
      <w:r w:rsidRPr="005F01EB">
        <w:rPr>
          <w:lang w:val="en-GB" w:eastAsia="en-AU"/>
        </w:rPr>
        <w:t>Safeguarder</w:t>
      </w:r>
      <w:proofErr w:type="spellEnd"/>
      <w:r w:rsidRPr="005F01EB">
        <w:rPr>
          <w:lang w:val="en-GB" w:eastAsia="en-AU"/>
        </w:rPr>
        <w:t>.</w:t>
      </w:r>
    </w:p>
    <w:p w14:paraId="7B1F07CE" w14:textId="77777777" w:rsidR="005F01EB" w:rsidRPr="003A1510" w:rsidRDefault="005F01EB" w:rsidP="003A1510">
      <w:r w:rsidRPr="003A1510">
        <w:t>The 2011 Act also made a number of changes to the law by which a children's hearing makes decisions:</w:t>
      </w:r>
    </w:p>
    <w:p w14:paraId="707B6910" w14:textId="77777777" w:rsidR="005F01EB" w:rsidRPr="005F01EB" w:rsidRDefault="005F01EB" w:rsidP="001E4493">
      <w:pPr>
        <w:pStyle w:val="ListBullet"/>
        <w:rPr>
          <w:lang w:val="en-GB" w:eastAsia="en-AU"/>
        </w:rPr>
      </w:pPr>
      <w:r w:rsidRPr="005F01EB">
        <w:rPr>
          <w:lang w:val="en-GB" w:eastAsia="en-AU"/>
        </w:rPr>
        <w:t>the grounds of referral were revised and modernised</w:t>
      </w:r>
    </w:p>
    <w:p w14:paraId="497A7523" w14:textId="77777777" w:rsidR="005F01EB" w:rsidRPr="005F01EB" w:rsidRDefault="005F01EB" w:rsidP="001E4493">
      <w:pPr>
        <w:pStyle w:val="ListBullet"/>
        <w:rPr>
          <w:lang w:val="en-GB" w:eastAsia="en-AU"/>
        </w:rPr>
      </w:pPr>
      <w:r w:rsidRPr="005F01EB">
        <w:rPr>
          <w:lang w:val="en-GB" w:eastAsia="en-AU"/>
        </w:rPr>
        <w:t>pre-hearing panels were created to make some procedural decisions in advance of the children's hearing</w:t>
      </w:r>
    </w:p>
    <w:p w14:paraId="79EC8FF6" w14:textId="77777777" w:rsidR="005F01EB" w:rsidRPr="005F01EB" w:rsidRDefault="005F01EB" w:rsidP="001E4493">
      <w:pPr>
        <w:pStyle w:val="ListBullet"/>
        <w:rPr>
          <w:lang w:val="en-GB" w:eastAsia="en-AU"/>
        </w:rPr>
      </w:pPr>
      <w:r w:rsidRPr="005F01EB">
        <w:rPr>
          <w:lang w:val="en-GB" w:eastAsia="en-AU"/>
        </w:rPr>
        <w:t>the legal orders panel members can make were simplified and modernised</w:t>
      </w:r>
    </w:p>
    <w:p w14:paraId="035BBED1" w14:textId="77777777" w:rsidR="005F01EB" w:rsidRPr="005F01EB" w:rsidRDefault="005F01EB" w:rsidP="001E4493">
      <w:pPr>
        <w:pStyle w:val="ListBullet"/>
        <w:rPr>
          <w:lang w:val="en-GB" w:eastAsia="en-AU"/>
        </w:rPr>
      </w:pPr>
      <w:r w:rsidRPr="005F01EB">
        <w:rPr>
          <w:lang w:val="en-GB" w:eastAsia="en-AU"/>
        </w:rPr>
        <w:t>more flexibility was given to the interim decisions panel members can make</w:t>
      </w:r>
    </w:p>
    <w:p w14:paraId="71B40182" w14:textId="77777777" w:rsidR="002D5EE5" w:rsidRDefault="005F01EB" w:rsidP="001E4493">
      <w:pPr>
        <w:pStyle w:val="ListBullet"/>
        <w:rPr>
          <w:lang w:val="en-GB" w:eastAsia="en-AU"/>
        </w:rPr>
      </w:pPr>
      <w:r w:rsidRPr="005F01EB">
        <w:rPr>
          <w:lang w:val="en-GB" w:eastAsia="en-AU"/>
        </w:rPr>
        <w:t>changes were made to how a solicitor is made available to assist a child, relevant person and certain others at a hearing.</w:t>
      </w:r>
    </w:p>
    <w:p w14:paraId="21AAD12A" w14:textId="77777777" w:rsidR="00C248DC" w:rsidRPr="002D5EE5" w:rsidRDefault="00C248DC" w:rsidP="008639EC">
      <w:pPr>
        <w:rPr>
          <w:rFonts w:cs="Arial"/>
          <w:szCs w:val="22"/>
          <w:lang w:eastAsia="en-AU"/>
        </w:rPr>
      </w:pPr>
    </w:p>
    <w:sectPr w:rsidR="00C248DC" w:rsidRPr="002D5EE5" w:rsidSect="005D44EA">
      <w:headerReference w:type="even" r:id="rId35"/>
      <w:headerReference w:type="first" r:id="rId36"/>
      <w:footerReference w:type="first" r:id="rId37"/>
      <w:pgSz w:w="11906" w:h="16838" w:code="9"/>
      <w:pgMar w:top="1418" w:right="992" w:bottom="1134" w:left="1134" w:header="851" w:footer="284" w:gutter="0"/>
      <w:paperSrc w:first="7" w:other="7"/>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4954E" w14:textId="77777777" w:rsidR="00A43161" w:rsidRDefault="00A43161">
      <w:r>
        <w:separator/>
      </w:r>
    </w:p>
    <w:p w14:paraId="0E509BF8" w14:textId="77777777" w:rsidR="00A43161" w:rsidRDefault="00A43161"/>
    <w:p w14:paraId="457C2946" w14:textId="77777777" w:rsidR="00A43161" w:rsidRDefault="00A43161"/>
  </w:endnote>
  <w:endnote w:type="continuationSeparator" w:id="0">
    <w:p w14:paraId="380F2251" w14:textId="77777777" w:rsidR="00A43161" w:rsidRDefault="00A43161">
      <w:r>
        <w:continuationSeparator/>
      </w:r>
    </w:p>
    <w:p w14:paraId="37A46188" w14:textId="77777777" w:rsidR="00A43161" w:rsidRDefault="00A43161"/>
    <w:p w14:paraId="383E6BA8" w14:textId="77777777" w:rsidR="00A43161" w:rsidRDefault="00A431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CDC73" w14:textId="77777777" w:rsidR="00A43161" w:rsidRDefault="00A43161" w:rsidP="004E0688">
    <w:pPr>
      <w:pBdr>
        <w:top w:val="single" w:sz="12"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CC80B" w14:textId="77777777" w:rsidR="00A43161" w:rsidRPr="00C97428" w:rsidRDefault="00A43161" w:rsidP="005375A4">
    <w:pPr>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8E4FF" w14:textId="1C23841E" w:rsidR="00A43161" w:rsidRDefault="00A43161" w:rsidP="00674E45">
    <w:pPr>
      <w:pStyle w:val="Filename"/>
      <w:pBdr>
        <w:top w:val="single" w:sz="4" w:space="1" w:color="971A4B"/>
      </w:pBdr>
      <w:tabs>
        <w:tab w:val="clear" w:pos="9240"/>
      </w:tabs>
    </w:pPr>
    <w:r>
      <w:t>Victoria Legal Aid – Environmental scan – April 2016</w:t>
    </w:r>
  </w:p>
  <w:p w14:paraId="4FB5B951" w14:textId="73581AA0" w:rsidR="00A43161" w:rsidRPr="002B4970" w:rsidRDefault="00A43161"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883212">
      <w:rPr>
        <w:rStyle w:val="PageNumber"/>
        <w:noProof/>
      </w:rPr>
      <w:t>i</w:t>
    </w:r>
    <w:r>
      <w:rPr>
        <w:rStyle w:val="PageNumber"/>
      </w:rPr>
      <w:fldChar w:fldCharType="end"/>
    </w:r>
    <w:r>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B1F31" w14:textId="4D99B3A2" w:rsidR="00A43161" w:rsidRDefault="00A43161" w:rsidP="00674E45">
    <w:pPr>
      <w:pStyle w:val="Filename"/>
      <w:pBdr>
        <w:top w:val="single" w:sz="4" w:space="1" w:color="971A4B"/>
      </w:pBdr>
      <w:tabs>
        <w:tab w:val="clear" w:pos="9240"/>
      </w:tabs>
    </w:pPr>
    <w:r>
      <w:t>Victoria Legal Aid – Environmental scan – April 2016</w:t>
    </w:r>
  </w:p>
  <w:p w14:paraId="69187DB4" w14:textId="60DA7EE2" w:rsidR="00A43161" w:rsidRPr="002B4970" w:rsidRDefault="00A43161"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883212">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DEE55" w14:textId="77777777" w:rsidR="00A43161" w:rsidRPr="00E9228F" w:rsidRDefault="00A43161" w:rsidP="00E9228F">
      <w:pPr>
        <w:rPr>
          <w:sz w:val="18"/>
          <w:szCs w:val="18"/>
        </w:rPr>
      </w:pPr>
      <w:r w:rsidRPr="006831FC">
        <w:rPr>
          <w:sz w:val="18"/>
        </w:rPr>
        <w:separator/>
      </w:r>
    </w:p>
  </w:footnote>
  <w:footnote w:type="continuationSeparator" w:id="0">
    <w:p w14:paraId="380C70D0" w14:textId="77777777" w:rsidR="00A43161" w:rsidRDefault="00A43161">
      <w:r>
        <w:continuationSeparator/>
      </w:r>
    </w:p>
    <w:p w14:paraId="5050B7E0" w14:textId="77777777" w:rsidR="00A43161" w:rsidRDefault="00A43161"/>
    <w:p w14:paraId="43AADDD2" w14:textId="77777777" w:rsidR="00A43161" w:rsidRDefault="00A43161"/>
  </w:footnote>
  <w:footnote w:id="1">
    <w:p w14:paraId="1CA103BF" w14:textId="399CF092" w:rsidR="00A43161" w:rsidRPr="00226EB1" w:rsidRDefault="00A43161" w:rsidP="001E62A6">
      <w:pPr>
        <w:pStyle w:val="FootnoteText"/>
        <w:spacing w:after="0"/>
        <w:rPr>
          <w:lang w:val="en-US"/>
        </w:rPr>
      </w:pPr>
      <w:r>
        <w:rPr>
          <w:rStyle w:val="FootnoteReference"/>
        </w:rPr>
        <w:footnoteRef/>
      </w:r>
      <w:r>
        <w:t xml:space="preserve"> </w:t>
      </w:r>
      <w:r>
        <w:rPr>
          <w:szCs w:val="18"/>
        </w:rPr>
        <w:t>The term children</w:t>
      </w:r>
      <w:r w:rsidRPr="005102C0">
        <w:rPr>
          <w:szCs w:val="18"/>
        </w:rPr>
        <w:t xml:space="preserve"> </w:t>
      </w:r>
      <w:proofErr w:type="gramStart"/>
      <w:r w:rsidRPr="005102C0">
        <w:rPr>
          <w:szCs w:val="18"/>
        </w:rPr>
        <w:t>include</w:t>
      </w:r>
      <w:r>
        <w:rPr>
          <w:szCs w:val="18"/>
        </w:rPr>
        <w:t>s</w:t>
      </w:r>
      <w:proofErr w:type="gramEnd"/>
      <w:r w:rsidRPr="005102C0">
        <w:rPr>
          <w:szCs w:val="18"/>
        </w:rPr>
        <w:t xml:space="preserve"> both children and young people, acknowledging that the needs and responses of these groups may differ in some instances.</w:t>
      </w:r>
    </w:p>
  </w:footnote>
  <w:footnote w:id="2">
    <w:p w14:paraId="492739B1" w14:textId="687A697B" w:rsidR="00A43161" w:rsidRPr="006F7BBE" w:rsidRDefault="00A43161" w:rsidP="004F4EA7">
      <w:pPr>
        <w:pStyle w:val="FootnoteText"/>
        <w:spacing w:after="0" w:line="240" w:lineRule="auto"/>
        <w:rPr>
          <w:szCs w:val="18"/>
        </w:rPr>
      </w:pPr>
      <w:r>
        <w:rPr>
          <w:rStyle w:val="FootnoteReference"/>
        </w:rPr>
        <w:footnoteRef/>
      </w:r>
      <w:r>
        <w:t xml:space="preserve"> </w:t>
      </w:r>
      <w:r w:rsidRPr="0032402F">
        <w:rPr>
          <w:szCs w:val="18"/>
        </w:rPr>
        <w:t>Swain, S 2014, History of Child Protection Legislation, Royal Commission into Institutional Responses to Child Sexual Abuse</w:t>
      </w:r>
      <w:r w:rsidRPr="0032402F">
        <w:rPr>
          <w:szCs w:val="18"/>
          <w:u w:val="single"/>
        </w:rPr>
        <w:t xml:space="preserve">; Secretary to the Department of Human Services </w:t>
      </w:r>
      <w:proofErr w:type="gramStart"/>
      <w:r w:rsidRPr="0032402F">
        <w:rPr>
          <w:szCs w:val="18"/>
          <w:u w:val="single"/>
        </w:rPr>
        <w:t>v</w:t>
      </w:r>
      <w:proofErr w:type="gramEnd"/>
      <w:r w:rsidRPr="0032402F">
        <w:rPr>
          <w:szCs w:val="18"/>
          <w:u w:val="single"/>
        </w:rPr>
        <w:t> Sanding</w:t>
      </w:r>
      <w:r>
        <w:rPr>
          <w:szCs w:val="18"/>
        </w:rPr>
        <w:t> </w:t>
      </w:r>
      <w:r w:rsidRPr="0032402F">
        <w:rPr>
          <w:szCs w:val="18"/>
        </w:rPr>
        <w:t xml:space="preserve">[2011] VSC 42 (22 February 2011); and </w:t>
      </w:r>
      <w:r w:rsidRPr="0032402F">
        <w:rPr>
          <w:szCs w:val="18"/>
          <w:u w:val="single"/>
        </w:rPr>
        <w:t xml:space="preserve">A &amp; B v Children's Court of Victoria &amp; </w:t>
      </w:r>
      <w:proofErr w:type="spellStart"/>
      <w:r w:rsidRPr="0032402F">
        <w:rPr>
          <w:szCs w:val="18"/>
          <w:u w:val="single"/>
        </w:rPr>
        <w:t>Ors</w:t>
      </w:r>
      <w:proofErr w:type="spellEnd"/>
      <w:r w:rsidRPr="0032402F">
        <w:rPr>
          <w:szCs w:val="18"/>
        </w:rPr>
        <w:t xml:space="preserve"> [2012] VSC 589 (5 December 2012)</w:t>
      </w:r>
    </w:p>
  </w:footnote>
  <w:footnote w:id="3">
    <w:p w14:paraId="0F54B8C9" w14:textId="77777777" w:rsidR="00A43161" w:rsidRDefault="00A43161" w:rsidP="00885F45">
      <w:pPr>
        <w:autoSpaceDE w:val="0"/>
        <w:autoSpaceDN w:val="0"/>
        <w:adjustRightInd w:val="0"/>
        <w:spacing w:before="0" w:after="0" w:line="240" w:lineRule="auto"/>
        <w:rPr>
          <w:rFonts w:cs="Arial"/>
          <w:sz w:val="18"/>
          <w:szCs w:val="18"/>
          <w:lang w:eastAsia="en-AU"/>
        </w:rPr>
      </w:pPr>
      <w:r>
        <w:rPr>
          <w:rStyle w:val="FootnoteReference"/>
        </w:rPr>
        <w:footnoteRef/>
      </w:r>
      <w:r>
        <w:t xml:space="preserve"> </w:t>
      </w:r>
      <w:r>
        <w:rPr>
          <w:rFonts w:cs="Arial"/>
          <w:sz w:val="18"/>
          <w:szCs w:val="18"/>
          <w:lang w:eastAsia="en-AU"/>
        </w:rPr>
        <w:t xml:space="preserve">The CYFA provides for the existence of the Children’s Court of Victoria with four divisions: </w:t>
      </w:r>
      <w:proofErr w:type="gramStart"/>
      <w:r>
        <w:rPr>
          <w:rFonts w:cs="Arial"/>
          <w:sz w:val="18"/>
          <w:szCs w:val="18"/>
          <w:lang w:eastAsia="en-AU"/>
        </w:rPr>
        <w:t>the</w:t>
      </w:r>
      <w:proofErr w:type="gramEnd"/>
      <w:r>
        <w:rPr>
          <w:rFonts w:cs="Arial"/>
          <w:sz w:val="18"/>
          <w:szCs w:val="18"/>
          <w:lang w:eastAsia="en-AU"/>
        </w:rPr>
        <w:t xml:space="preserve"> Family Division (for child</w:t>
      </w:r>
    </w:p>
    <w:p w14:paraId="4041C2D9" w14:textId="77777777" w:rsidR="00A43161" w:rsidRDefault="00A43161" w:rsidP="00885F45">
      <w:pPr>
        <w:autoSpaceDE w:val="0"/>
        <w:autoSpaceDN w:val="0"/>
        <w:adjustRightInd w:val="0"/>
        <w:spacing w:before="0" w:after="0" w:line="240" w:lineRule="auto"/>
        <w:rPr>
          <w:rFonts w:cs="Arial"/>
          <w:sz w:val="18"/>
          <w:szCs w:val="18"/>
          <w:lang w:eastAsia="en-AU"/>
        </w:rPr>
      </w:pPr>
      <w:r>
        <w:rPr>
          <w:rFonts w:cs="Arial"/>
          <w:sz w:val="18"/>
          <w:szCs w:val="18"/>
          <w:lang w:eastAsia="en-AU"/>
        </w:rPr>
        <w:t>protection proceedings but also family violence intervention order matters) and the Criminal Division (for criminal charges</w:t>
      </w:r>
    </w:p>
    <w:p w14:paraId="35DCD1C7" w14:textId="77777777" w:rsidR="00A43161" w:rsidRPr="00A63C7B" w:rsidRDefault="00A43161" w:rsidP="00885F45">
      <w:pPr>
        <w:autoSpaceDE w:val="0"/>
        <w:autoSpaceDN w:val="0"/>
        <w:adjustRightInd w:val="0"/>
        <w:spacing w:before="0" w:after="0" w:line="240" w:lineRule="auto"/>
        <w:rPr>
          <w:rFonts w:cs="Arial"/>
          <w:sz w:val="18"/>
          <w:szCs w:val="18"/>
          <w:lang w:eastAsia="en-AU"/>
        </w:rPr>
      </w:pPr>
      <w:r>
        <w:rPr>
          <w:rFonts w:cs="Arial"/>
          <w:sz w:val="18"/>
          <w:szCs w:val="18"/>
          <w:lang w:eastAsia="en-AU"/>
        </w:rPr>
        <w:t>against children), as well as two specialist divisions (being the Koori Court (Criminal Division) and the Neighbourhood Justice Division).</w:t>
      </w:r>
    </w:p>
  </w:footnote>
  <w:footnote w:id="4">
    <w:p w14:paraId="30B3DE46" w14:textId="77777777" w:rsidR="00A43161" w:rsidRPr="00CA20DF" w:rsidRDefault="00A43161" w:rsidP="007500C9">
      <w:pPr>
        <w:pStyle w:val="FootnoteText"/>
        <w:spacing w:after="0"/>
        <w:rPr>
          <w:lang w:val="en-US"/>
        </w:rPr>
      </w:pPr>
      <w:r>
        <w:rPr>
          <w:rStyle w:val="FootnoteReference"/>
        </w:rPr>
        <w:footnoteRef/>
      </w:r>
      <w:r>
        <w:t xml:space="preserve"> </w:t>
      </w:r>
      <w:r w:rsidRPr="00CA20DF">
        <w:t xml:space="preserve">CP Quarterly Measures 2014-15: </w:t>
      </w:r>
      <w:hyperlink r:id="rId1" w:history="1">
        <w:r w:rsidRPr="00834946">
          <w:rPr>
            <w:rStyle w:val="Hyperlink"/>
          </w:rPr>
          <w:t>http://www.dhs.vic.gov.au/about-the-department/documents-and-resources/research,-data-and-statistics/additional-data-selected-child-protection</w:t>
        </w:r>
      </w:hyperlink>
      <w:r>
        <w:t xml:space="preserve"> </w:t>
      </w:r>
    </w:p>
  </w:footnote>
  <w:footnote w:id="5">
    <w:p w14:paraId="7F62FB9E" w14:textId="10B5D69A" w:rsidR="00A43161" w:rsidRPr="001A094A" w:rsidRDefault="00A43161" w:rsidP="007500C9">
      <w:pPr>
        <w:pStyle w:val="FootnoteText"/>
      </w:pPr>
      <w:r>
        <w:rPr>
          <w:rStyle w:val="FootnoteReference"/>
        </w:rPr>
        <w:footnoteRef/>
      </w:r>
      <w:r>
        <w:t xml:space="preserve"> Productivity Commission, Report on Government Services 2015, Volume f, Chapter 15</w:t>
      </w:r>
    </w:p>
  </w:footnote>
  <w:footnote w:id="6">
    <w:p w14:paraId="135BD496" w14:textId="77777777" w:rsidR="00A43161" w:rsidRPr="00CA20DF" w:rsidRDefault="00A43161" w:rsidP="007500C9">
      <w:pPr>
        <w:pStyle w:val="FootnoteText"/>
        <w:spacing w:after="0"/>
        <w:rPr>
          <w:lang w:val="en-US"/>
        </w:rPr>
      </w:pPr>
      <w:r>
        <w:rPr>
          <w:rStyle w:val="FootnoteReference"/>
        </w:rPr>
        <w:footnoteRef/>
      </w:r>
      <w:r>
        <w:t xml:space="preserve"> </w:t>
      </w:r>
      <w:r w:rsidRPr="00CA20DF">
        <w:t>Children’s Court of Victoria, Annual Report 2014-15, p. 5</w:t>
      </w:r>
    </w:p>
  </w:footnote>
  <w:footnote w:id="7">
    <w:p w14:paraId="44F73F74" w14:textId="77777777" w:rsidR="00A43161" w:rsidRPr="00CA20DF" w:rsidRDefault="00A43161" w:rsidP="007500C9">
      <w:pPr>
        <w:pStyle w:val="FootnoteText"/>
        <w:rPr>
          <w:lang w:val="en-US"/>
        </w:rPr>
      </w:pPr>
      <w:r>
        <w:rPr>
          <w:rStyle w:val="FootnoteReference"/>
        </w:rPr>
        <w:footnoteRef/>
      </w:r>
      <w:r>
        <w:t xml:space="preserve"> </w:t>
      </w:r>
      <w:r w:rsidRPr="00CA20DF">
        <w:t xml:space="preserve">“A case plan is to be prepared for all children where protective concerns have been substantiated”: DHHS Child Protection Manual: </w:t>
      </w:r>
      <w:hyperlink r:id="rId2" w:history="1">
        <w:r w:rsidRPr="00834946">
          <w:rPr>
            <w:rStyle w:val="Hyperlink"/>
          </w:rPr>
          <w:t>http://www.cpmanual.vic.gov.au/policies-and-procedures/case-planning/case-planning-policy</w:t>
        </w:r>
      </w:hyperlink>
      <w:r>
        <w:t xml:space="preserve">: </w:t>
      </w:r>
      <w:r w:rsidRPr="00CA20DF">
        <w:t>“A case plan is to be prepared for all children where protective concerns have been substantiated”.</w:t>
      </w:r>
    </w:p>
  </w:footnote>
  <w:footnote w:id="8">
    <w:p w14:paraId="3015F1BB" w14:textId="705218AA" w:rsidR="00A43161" w:rsidRPr="00CC5697" w:rsidRDefault="00A43161" w:rsidP="004F4EA7">
      <w:pPr>
        <w:pStyle w:val="FootnoteText"/>
      </w:pPr>
      <w:r>
        <w:rPr>
          <w:rStyle w:val="FootnoteReference"/>
        </w:rPr>
        <w:footnoteRef/>
      </w:r>
      <w:r>
        <w:t xml:space="preserve"> Data from the Report on Government Services 2016, Volume f, Chapter 15</w:t>
      </w:r>
    </w:p>
  </w:footnote>
  <w:footnote w:id="9">
    <w:p w14:paraId="54E7637B" w14:textId="77777777" w:rsidR="00A43161" w:rsidRPr="00563091" w:rsidRDefault="00A43161" w:rsidP="004F4EA7">
      <w:pPr>
        <w:pStyle w:val="FootnoteText"/>
        <w:spacing w:after="0"/>
        <w:rPr>
          <w:lang w:val="en-US"/>
        </w:rPr>
      </w:pPr>
      <w:r>
        <w:rPr>
          <w:rStyle w:val="FootnoteReference"/>
        </w:rPr>
        <w:footnoteRef/>
      </w:r>
      <w:r>
        <w:t xml:space="preserve"> </w:t>
      </w:r>
      <w:r>
        <w:rPr>
          <w:lang w:val="en-US"/>
        </w:rPr>
        <w:t>Ibid</w:t>
      </w:r>
    </w:p>
  </w:footnote>
  <w:footnote w:id="10">
    <w:p w14:paraId="4BE049A3" w14:textId="77777777" w:rsidR="00A43161" w:rsidRPr="00563091" w:rsidRDefault="00A43161" w:rsidP="004F4EA7">
      <w:pPr>
        <w:pStyle w:val="FootnoteText"/>
        <w:spacing w:after="0"/>
        <w:rPr>
          <w:lang w:val="en-US"/>
        </w:rPr>
      </w:pPr>
      <w:r>
        <w:rPr>
          <w:rStyle w:val="FootnoteReference"/>
        </w:rPr>
        <w:footnoteRef/>
      </w:r>
      <w:r>
        <w:t xml:space="preserve"> Ibid</w:t>
      </w:r>
    </w:p>
  </w:footnote>
  <w:footnote w:id="11">
    <w:p w14:paraId="7675D7E4" w14:textId="77777777" w:rsidR="00A43161" w:rsidRPr="00563091" w:rsidRDefault="00A43161" w:rsidP="004F4EA7">
      <w:pPr>
        <w:pStyle w:val="FootnoteText"/>
        <w:rPr>
          <w:lang w:val="en-US"/>
        </w:rPr>
      </w:pPr>
      <w:r>
        <w:rPr>
          <w:rStyle w:val="FootnoteReference"/>
        </w:rPr>
        <w:footnoteRef/>
      </w:r>
      <w:r>
        <w:t xml:space="preserve"> </w:t>
      </w:r>
      <w:r w:rsidRPr="00563091">
        <w:t xml:space="preserve">Annual State of Victoria’s Children report (2011): </w:t>
      </w:r>
      <w:r w:rsidRPr="00563091">
        <w:rPr>
          <w:i/>
        </w:rPr>
        <w:t>A report on how children in regional and rural Victoria are faring</w:t>
      </w:r>
    </w:p>
  </w:footnote>
  <w:footnote w:id="12">
    <w:p w14:paraId="21E83254" w14:textId="77777777" w:rsidR="00A43161" w:rsidRPr="009733C3" w:rsidRDefault="00A43161" w:rsidP="004F4EA7">
      <w:pPr>
        <w:pStyle w:val="FootnoteText"/>
        <w:spacing w:after="0"/>
        <w:rPr>
          <w:lang w:val="en-US"/>
        </w:rPr>
      </w:pPr>
      <w:r>
        <w:rPr>
          <w:rStyle w:val="FootnoteReference"/>
        </w:rPr>
        <w:footnoteRef/>
      </w:r>
      <w:r>
        <w:t xml:space="preserve"> </w:t>
      </w:r>
      <w:r w:rsidRPr="009733C3">
        <w:t>PHIDU 2010 [http://phidu.torrens.edu.au/help-and-information/about-our-data/statistical-information] Atlases of census data since 1999; ABS 2010</w:t>
      </w:r>
    </w:p>
  </w:footnote>
  <w:footnote w:id="13">
    <w:p w14:paraId="63DF7497" w14:textId="77777777" w:rsidR="00A43161" w:rsidRPr="009733C3" w:rsidRDefault="00A43161" w:rsidP="004F4EA7">
      <w:pPr>
        <w:pStyle w:val="FootnoteText"/>
        <w:spacing w:after="0"/>
        <w:rPr>
          <w:lang w:val="en-US"/>
        </w:rPr>
      </w:pPr>
      <w:r>
        <w:rPr>
          <w:rStyle w:val="FootnoteReference"/>
        </w:rPr>
        <w:footnoteRef/>
      </w:r>
      <w:r>
        <w:t xml:space="preserve"> </w:t>
      </w:r>
      <w:r w:rsidRPr="009733C3">
        <w:t>Victorian Population Bulletin[http://www.dtpli.vic.gov.au/data-and-research/population/census-2011/victorian-population-bulletin]</w:t>
      </w:r>
      <w:r>
        <w:t xml:space="preserve"> This includes, </w:t>
      </w:r>
      <w:r w:rsidRPr="00573D62">
        <w:rPr>
          <w:szCs w:val="18"/>
          <w:lang w:eastAsia="en-AU"/>
        </w:rPr>
        <w:t>Aborigines and</w:t>
      </w:r>
      <w:r>
        <w:rPr>
          <w:szCs w:val="18"/>
          <w:lang w:eastAsia="en-AU"/>
        </w:rPr>
        <w:t>/or</w:t>
      </w:r>
      <w:r w:rsidRPr="00573D62">
        <w:rPr>
          <w:szCs w:val="18"/>
          <w:lang w:eastAsia="en-AU"/>
        </w:rPr>
        <w:t xml:space="preserve"> Torres Strait Islanders;</w:t>
      </w:r>
      <w:r>
        <w:rPr>
          <w:szCs w:val="18"/>
          <w:lang w:eastAsia="en-AU"/>
        </w:rPr>
        <w:t xml:space="preserve"> </w:t>
      </w:r>
      <w:r w:rsidRPr="00573D62">
        <w:rPr>
          <w:szCs w:val="18"/>
          <w:lang w:eastAsia="en-AU"/>
        </w:rPr>
        <w:t>one parent families;</w:t>
      </w:r>
      <w:r>
        <w:rPr>
          <w:szCs w:val="18"/>
          <w:lang w:eastAsia="en-AU"/>
        </w:rPr>
        <w:t xml:space="preserve"> </w:t>
      </w:r>
      <w:r w:rsidRPr="00573D62">
        <w:rPr>
          <w:szCs w:val="18"/>
          <w:lang w:eastAsia="en-AU"/>
        </w:rPr>
        <w:t>people with non-English speaking backgrounds;</w:t>
      </w:r>
      <w:r>
        <w:rPr>
          <w:szCs w:val="18"/>
          <w:lang w:eastAsia="en-AU"/>
        </w:rPr>
        <w:t xml:space="preserve"> </w:t>
      </w:r>
      <w:r w:rsidRPr="00573D62">
        <w:rPr>
          <w:szCs w:val="18"/>
          <w:lang w:eastAsia="en-AU"/>
        </w:rPr>
        <w:t>the unemployed; and</w:t>
      </w:r>
      <w:r>
        <w:rPr>
          <w:szCs w:val="18"/>
          <w:lang w:eastAsia="en-AU"/>
        </w:rPr>
        <w:t xml:space="preserve"> </w:t>
      </w:r>
      <w:r w:rsidRPr="00573D62">
        <w:rPr>
          <w:szCs w:val="18"/>
          <w:lang w:eastAsia="en-AU"/>
        </w:rPr>
        <w:t>people with a disability</w:t>
      </w:r>
      <w:r>
        <w:rPr>
          <w:szCs w:val="18"/>
          <w:lang w:eastAsia="en-AU"/>
        </w:rPr>
        <w:t>.</w:t>
      </w:r>
    </w:p>
  </w:footnote>
  <w:footnote w:id="14">
    <w:p w14:paraId="0E88A7EA" w14:textId="2AB27168" w:rsidR="00A43161" w:rsidRDefault="00A43161" w:rsidP="004F4EA7">
      <w:pPr>
        <w:pStyle w:val="FootnoteText"/>
        <w:spacing w:after="0"/>
      </w:pPr>
      <w:r>
        <w:rPr>
          <w:rStyle w:val="FootnoteReference"/>
        </w:rPr>
        <w:footnoteRef/>
      </w:r>
      <w:r>
        <w:t xml:space="preserve">  Gilbert, 1997, Hetherington et al, 1997</w:t>
      </w:r>
    </w:p>
  </w:footnote>
  <w:footnote w:id="15">
    <w:p w14:paraId="78E5712E" w14:textId="033C09D2" w:rsidR="00A43161" w:rsidRPr="006F7BBE" w:rsidRDefault="00A43161" w:rsidP="00FB0137">
      <w:pPr>
        <w:pStyle w:val="FootnoteText"/>
        <w:spacing w:after="0" w:line="240" w:lineRule="auto"/>
        <w:rPr>
          <w:szCs w:val="18"/>
        </w:rPr>
      </w:pPr>
      <w:r>
        <w:rPr>
          <w:rStyle w:val="FootnoteReference"/>
        </w:rPr>
        <w:footnoteRef/>
      </w:r>
      <w:r>
        <w:t xml:space="preserve"> </w:t>
      </w:r>
      <w:r w:rsidRPr="0032402F">
        <w:rPr>
          <w:szCs w:val="18"/>
        </w:rPr>
        <w:t>Swain, S 2014, History of Child Protection Legislation, Royal Commission into Institutional Responses to Child Sexual Abuse</w:t>
      </w:r>
      <w:r w:rsidRPr="0032402F">
        <w:rPr>
          <w:szCs w:val="18"/>
          <w:u w:val="single"/>
        </w:rPr>
        <w:t xml:space="preserve">; Secretary to the Department of Human Services </w:t>
      </w:r>
      <w:proofErr w:type="gramStart"/>
      <w:r>
        <w:rPr>
          <w:szCs w:val="18"/>
          <w:u w:val="single"/>
        </w:rPr>
        <w:t>v</w:t>
      </w:r>
      <w:proofErr w:type="gramEnd"/>
      <w:r w:rsidRPr="0032402F">
        <w:rPr>
          <w:szCs w:val="18"/>
          <w:u w:val="single"/>
        </w:rPr>
        <w:t> Sanding</w:t>
      </w:r>
      <w:r w:rsidRPr="0032402F">
        <w:rPr>
          <w:szCs w:val="18"/>
        </w:rPr>
        <w:t xml:space="preserve"> [2011] VSC 42 (22 February 2011); and </w:t>
      </w:r>
      <w:r w:rsidRPr="0032402F">
        <w:rPr>
          <w:szCs w:val="18"/>
          <w:u w:val="single"/>
        </w:rPr>
        <w:t xml:space="preserve">A &amp; B v Children's Court of Victoria &amp; </w:t>
      </w:r>
      <w:proofErr w:type="spellStart"/>
      <w:r w:rsidRPr="0032402F">
        <w:rPr>
          <w:szCs w:val="18"/>
          <w:u w:val="single"/>
        </w:rPr>
        <w:t>Ors</w:t>
      </w:r>
      <w:proofErr w:type="spellEnd"/>
      <w:r w:rsidRPr="0032402F">
        <w:rPr>
          <w:szCs w:val="18"/>
        </w:rPr>
        <w:t xml:space="preserve"> [2012] VSC 589 (5 December 2012)</w:t>
      </w:r>
    </w:p>
  </w:footnote>
  <w:footnote w:id="16">
    <w:p w14:paraId="1533EE05" w14:textId="77777777" w:rsidR="00A43161" w:rsidRPr="00514EA2" w:rsidRDefault="00A43161" w:rsidP="00FB0137">
      <w:pPr>
        <w:pStyle w:val="FootnoteText"/>
        <w:spacing w:after="0"/>
        <w:rPr>
          <w:lang w:val="en-US"/>
        </w:rPr>
      </w:pPr>
      <w:r>
        <w:rPr>
          <w:rStyle w:val="FootnoteReference"/>
        </w:rPr>
        <w:footnoteRef/>
      </w:r>
      <w:r>
        <w:t xml:space="preserve"> Victoria, The </w:t>
      </w:r>
      <w:r w:rsidRPr="00514EA2">
        <w:t>Child Welfare Practice and Legislation</w:t>
      </w:r>
      <w:r>
        <w:t xml:space="preserve"> and</w:t>
      </w:r>
      <w:r w:rsidRPr="00514EA2">
        <w:t xml:space="preserve"> Review,</w:t>
      </w:r>
      <w:r>
        <w:t xml:space="preserve"> Carney, Terry: </w:t>
      </w:r>
      <w:r w:rsidRPr="00514EA2">
        <w:t xml:space="preserve"> </w:t>
      </w:r>
      <w:r>
        <w:rPr>
          <w:i/>
        </w:rPr>
        <w:t xml:space="preserve">Report </w:t>
      </w:r>
      <w:r w:rsidRPr="00514EA2">
        <w:t>(1984)</w:t>
      </w:r>
    </w:p>
  </w:footnote>
  <w:footnote w:id="17">
    <w:p w14:paraId="043EF67C" w14:textId="45A1F459" w:rsidR="00A43161" w:rsidRPr="00AE37E0" w:rsidRDefault="00A43161" w:rsidP="00FB0137">
      <w:pPr>
        <w:pStyle w:val="FootnoteText"/>
        <w:spacing w:after="0"/>
        <w:rPr>
          <w:lang w:val="en-US"/>
        </w:rPr>
      </w:pPr>
      <w:r>
        <w:rPr>
          <w:rStyle w:val="FootnoteReference"/>
        </w:rPr>
        <w:footnoteRef/>
      </w:r>
      <w:r>
        <w:t xml:space="preserve"> </w:t>
      </w:r>
      <w:r w:rsidRPr="00AE37E0">
        <w:t xml:space="preserve">Justice </w:t>
      </w:r>
      <w:r>
        <w:t xml:space="preserve">John </w:t>
      </w:r>
      <w:r w:rsidRPr="00AE37E0">
        <w:t xml:space="preserve">Fogarty, </w:t>
      </w:r>
      <w:r w:rsidRPr="00AE37E0">
        <w:rPr>
          <w:i/>
        </w:rPr>
        <w:t>Protective Services for Children in Victoria: An Interim Report (1989)</w:t>
      </w:r>
    </w:p>
  </w:footnote>
  <w:footnote w:id="18">
    <w:p w14:paraId="7E829D27" w14:textId="77777777" w:rsidR="00A43161" w:rsidRPr="00AE37E0" w:rsidRDefault="00A43161" w:rsidP="00FB0137">
      <w:pPr>
        <w:pStyle w:val="FootnoteText"/>
        <w:spacing w:after="0"/>
        <w:rPr>
          <w:lang w:val="en-US"/>
        </w:rPr>
      </w:pPr>
      <w:r>
        <w:rPr>
          <w:rStyle w:val="FootnoteReference"/>
        </w:rPr>
        <w:footnoteRef/>
      </w:r>
      <w:r>
        <w:t xml:space="preserve"> </w:t>
      </w:r>
      <w:r w:rsidRPr="00AE37E0">
        <w:t xml:space="preserve">Allen Consulting Group: </w:t>
      </w:r>
      <w:r w:rsidRPr="00AE37E0">
        <w:rPr>
          <w:i/>
        </w:rPr>
        <w:t xml:space="preserve">Protecting children: </w:t>
      </w:r>
      <w:proofErr w:type="gramStart"/>
      <w:r w:rsidRPr="00AE37E0">
        <w:rPr>
          <w:i/>
        </w:rPr>
        <w:t>the</w:t>
      </w:r>
      <w:proofErr w:type="gramEnd"/>
      <w:r w:rsidRPr="00AE37E0">
        <w:rPr>
          <w:i/>
        </w:rPr>
        <w:t xml:space="preserve"> Child Protection Outcomes Project: final report for the Victorian Department of Human Services </w:t>
      </w:r>
      <w:r w:rsidRPr="00AE37E0">
        <w:t>(2003)</w:t>
      </w:r>
    </w:p>
  </w:footnote>
  <w:footnote w:id="19">
    <w:p w14:paraId="73D3E484" w14:textId="77777777" w:rsidR="00A43161" w:rsidRPr="00AE37E0" w:rsidRDefault="00A43161" w:rsidP="00FB0137">
      <w:pPr>
        <w:pStyle w:val="FootnoteText"/>
        <w:spacing w:after="0"/>
        <w:rPr>
          <w:lang w:val="en-US"/>
        </w:rPr>
      </w:pPr>
      <w:r>
        <w:rPr>
          <w:rStyle w:val="FootnoteReference"/>
        </w:rPr>
        <w:footnoteRef/>
      </w:r>
      <w:r>
        <w:t xml:space="preserve"> </w:t>
      </w:r>
      <w:r w:rsidRPr="00AE37E0">
        <w:rPr>
          <w:i/>
        </w:rPr>
        <w:t>Children, Youth and Families Act</w:t>
      </w:r>
      <w:r w:rsidRPr="00AE37E0">
        <w:t xml:space="preserve"> (2005) (Vic)</w:t>
      </w:r>
    </w:p>
  </w:footnote>
  <w:footnote w:id="20">
    <w:p w14:paraId="22F285D4" w14:textId="77777777" w:rsidR="00A43161" w:rsidRPr="00AE37E0" w:rsidRDefault="00A43161">
      <w:pPr>
        <w:pStyle w:val="FootnoteText"/>
        <w:rPr>
          <w:lang w:val="en-US"/>
        </w:rPr>
      </w:pPr>
      <w:r>
        <w:rPr>
          <w:rStyle w:val="FootnoteReference"/>
        </w:rPr>
        <w:footnoteRef/>
      </w:r>
      <w:r>
        <w:t xml:space="preserve"> </w:t>
      </w:r>
      <w:r w:rsidRPr="00AE37E0">
        <w:rPr>
          <w:i/>
        </w:rPr>
        <w:t>History of child protection services</w:t>
      </w:r>
      <w:r w:rsidRPr="00AE37E0">
        <w:t>, Australian Institute of Family Studies, January 2015 https://aifs.gov.au/cfca/publications/history-child-protection-services</w:t>
      </w:r>
    </w:p>
  </w:footnote>
  <w:footnote w:id="21">
    <w:p w14:paraId="4D04E2D1" w14:textId="77777777" w:rsidR="00A43161" w:rsidRPr="00CC5A3C" w:rsidRDefault="00A43161" w:rsidP="002407FB">
      <w:pPr>
        <w:pStyle w:val="FootnoteText"/>
        <w:spacing w:after="0"/>
        <w:rPr>
          <w:lang w:val="en-US"/>
        </w:rPr>
      </w:pPr>
      <w:r>
        <w:rPr>
          <w:rStyle w:val="FootnoteReference"/>
        </w:rPr>
        <w:footnoteRef/>
      </w:r>
      <w:r>
        <w:t xml:space="preserve"> </w:t>
      </w:r>
      <w:r w:rsidRPr="00CC5A3C">
        <w:t>Hansard, 6 October 2005, Legislative Assembly, p1368</w:t>
      </w:r>
    </w:p>
  </w:footnote>
  <w:footnote w:id="22">
    <w:p w14:paraId="4F7E4CBC" w14:textId="77777777" w:rsidR="00A43161" w:rsidRPr="00CC5A3C" w:rsidRDefault="00A43161" w:rsidP="002407FB">
      <w:pPr>
        <w:pStyle w:val="FootnoteText"/>
        <w:spacing w:after="0"/>
        <w:rPr>
          <w:lang w:val="en-US"/>
        </w:rPr>
      </w:pPr>
      <w:r>
        <w:rPr>
          <w:rStyle w:val="FootnoteReference"/>
        </w:rPr>
        <w:footnoteRef/>
      </w:r>
      <w:r>
        <w:t xml:space="preserve"> </w:t>
      </w:r>
      <w:r w:rsidRPr="00CC5A3C">
        <w:t xml:space="preserve">Office of the Victorian Ombudsman, </w:t>
      </w:r>
      <w:r w:rsidRPr="00CC5A3C">
        <w:rPr>
          <w:i/>
        </w:rPr>
        <w:t>Own Motion Investigation into the Department of Human Services Child Protection Program</w:t>
      </w:r>
      <w:r w:rsidRPr="00CC5A3C">
        <w:t xml:space="preserve"> (2009);</w:t>
      </w:r>
    </w:p>
  </w:footnote>
  <w:footnote w:id="23">
    <w:p w14:paraId="3B5295D9" w14:textId="77777777" w:rsidR="00A43161" w:rsidRPr="00CC5A3C" w:rsidRDefault="00A43161" w:rsidP="002407FB">
      <w:pPr>
        <w:pStyle w:val="FootnoteText"/>
        <w:spacing w:after="0"/>
        <w:rPr>
          <w:lang w:val="en-US"/>
        </w:rPr>
      </w:pPr>
      <w:r>
        <w:rPr>
          <w:rStyle w:val="FootnoteReference"/>
        </w:rPr>
        <w:footnoteRef/>
      </w:r>
      <w:r>
        <w:t xml:space="preserve"> </w:t>
      </w:r>
      <w:r w:rsidRPr="00CC5A3C">
        <w:t xml:space="preserve">Victorian Law Reform Commission (VLRC), </w:t>
      </w:r>
      <w:r w:rsidRPr="00CC5A3C">
        <w:rPr>
          <w:i/>
        </w:rPr>
        <w:t>Protection Applications in the Children's Court: Final Report</w:t>
      </w:r>
      <w:r w:rsidRPr="00CC5A3C">
        <w:t xml:space="preserve"> (2010), Chapter 2, p. 40;</w:t>
      </w:r>
    </w:p>
  </w:footnote>
  <w:footnote w:id="24">
    <w:p w14:paraId="6A4B7F98" w14:textId="77777777" w:rsidR="00A43161" w:rsidRPr="00CC5A3C" w:rsidRDefault="00A43161" w:rsidP="002407FB">
      <w:pPr>
        <w:pStyle w:val="FootnoteText"/>
        <w:spacing w:after="0"/>
        <w:rPr>
          <w:lang w:val="en-US"/>
        </w:rPr>
      </w:pPr>
      <w:r>
        <w:rPr>
          <w:rStyle w:val="FootnoteReference"/>
        </w:rPr>
        <w:footnoteRef/>
      </w:r>
      <w:r>
        <w:t xml:space="preserve"> </w:t>
      </w:r>
      <w:r w:rsidRPr="00CC5A3C">
        <w:t>Ibid</w:t>
      </w:r>
    </w:p>
  </w:footnote>
  <w:footnote w:id="25">
    <w:p w14:paraId="6D6ADB48" w14:textId="77777777" w:rsidR="00A43161" w:rsidRPr="006F7BBE" w:rsidRDefault="00A43161" w:rsidP="002407FB">
      <w:pPr>
        <w:pStyle w:val="FootnoteText"/>
        <w:spacing w:after="0"/>
        <w:rPr>
          <w:lang w:val="en-US"/>
        </w:rPr>
      </w:pPr>
      <w:r>
        <w:rPr>
          <w:rStyle w:val="FootnoteReference"/>
        </w:rPr>
        <w:footnoteRef/>
      </w:r>
      <w:r>
        <w:t xml:space="preserve"> </w:t>
      </w:r>
      <w:r w:rsidRPr="006F7BBE">
        <w:t xml:space="preserve">Office of the Victorian Ombudsman, </w:t>
      </w:r>
      <w:r w:rsidRPr="006F7BBE">
        <w:rPr>
          <w:i/>
        </w:rPr>
        <w:t>Own Motion Investigation into Child Protection—Out of Home Care</w:t>
      </w:r>
      <w:r w:rsidRPr="006F7BBE">
        <w:t xml:space="preserve"> (2010).</w:t>
      </w:r>
    </w:p>
  </w:footnote>
  <w:footnote w:id="26">
    <w:p w14:paraId="376B5D08" w14:textId="77777777" w:rsidR="00A43161" w:rsidRPr="006F7BBE" w:rsidRDefault="00A43161" w:rsidP="002407FB">
      <w:pPr>
        <w:pStyle w:val="FootnoteText"/>
        <w:spacing w:after="0"/>
        <w:rPr>
          <w:lang w:val="en-US"/>
        </w:rPr>
      </w:pPr>
      <w:r>
        <w:rPr>
          <w:rStyle w:val="FootnoteReference"/>
        </w:rPr>
        <w:footnoteRef/>
      </w:r>
      <w:r>
        <w:t xml:space="preserve"> </w:t>
      </w:r>
      <w:r w:rsidRPr="006F7BBE">
        <w:t>Ibid, p9.</w:t>
      </w:r>
    </w:p>
  </w:footnote>
  <w:footnote w:id="27">
    <w:p w14:paraId="2CDCC9C2" w14:textId="77777777" w:rsidR="00A43161" w:rsidRPr="00FB0137" w:rsidRDefault="00A43161">
      <w:pPr>
        <w:pStyle w:val="FootnoteText"/>
        <w:rPr>
          <w:lang w:val="en-US"/>
        </w:rPr>
      </w:pPr>
      <w:r>
        <w:rPr>
          <w:rStyle w:val="FootnoteReference"/>
        </w:rPr>
        <w:footnoteRef/>
      </w:r>
      <w:r>
        <w:t xml:space="preserve"> </w:t>
      </w:r>
      <w:r w:rsidRPr="00FB0137">
        <w:t>Ibid</w:t>
      </w:r>
    </w:p>
  </w:footnote>
  <w:footnote w:id="28">
    <w:p w14:paraId="2D34E6C1" w14:textId="50856B5A" w:rsidR="00A43161" w:rsidRPr="00FB0137" w:rsidRDefault="00A43161" w:rsidP="002407FB">
      <w:pPr>
        <w:pStyle w:val="FootnoteText"/>
        <w:spacing w:after="0"/>
        <w:rPr>
          <w:lang w:val="en-US"/>
        </w:rPr>
      </w:pPr>
      <w:r>
        <w:rPr>
          <w:rStyle w:val="FootnoteReference"/>
        </w:rPr>
        <w:footnoteRef/>
      </w:r>
      <w:r>
        <w:t xml:space="preserve"> The Honourable Phillip </w:t>
      </w:r>
      <w:r w:rsidRPr="00FB0137">
        <w:t>Cummins</w:t>
      </w:r>
      <w:r>
        <w:t xml:space="preserve">, </w:t>
      </w:r>
      <w:proofErr w:type="spellStart"/>
      <w:r>
        <w:t>Prof.</w:t>
      </w:r>
      <w:proofErr w:type="spellEnd"/>
      <w:r>
        <w:t xml:space="preserve"> Dorothy Scott and Bill Scales</w:t>
      </w:r>
      <w:r w:rsidRPr="00FB0137">
        <w:t xml:space="preserve">, </w:t>
      </w:r>
      <w:r w:rsidRPr="00FB0137">
        <w:rPr>
          <w:i/>
        </w:rPr>
        <w:t>Protecting Victoria’s Vulnerable Children Inquiry</w:t>
      </w:r>
      <w:r w:rsidRPr="00FB0137">
        <w:t xml:space="preserve"> (2012)</w:t>
      </w:r>
    </w:p>
  </w:footnote>
  <w:footnote w:id="29">
    <w:p w14:paraId="61853455" w14:textId="77777777" w:rsidR="00A43161" w:rsidRPr="00FB0137" w:rsidRDefault="00A43161" w:rsidP="002407FB">
      <w:pPr>
        <w:pStyle w:val="FootnoteText"/>
        <w:spacing w:after="0"/>
        <w:rPr>
          <w:lang w:val="en-US"/>
        </w:rPr>
      </w:pPr>
      <w:r>
        <w:rPr>
          <w:rStyle w:val="FootnoteReference"/>
        </w:rPr>
        <w:footnoteRef/>
      </w:r>
      <w:r>
        <w:t xml:space="preserve"> </w:t>
      </w:r>
      <w:r w:rsidRPr="00FB0137">
        <w:t xml:space="preserve">Office of the Public Advocate, </w:t>
      </w:r>
      <w:proofErr w:type="gramStart"/>
      <w:r w:rsidRPr="00FB0137">
        <w:rPr>
          <w:i/>
        </w:rPr>
        <w:t>Whatever</w:t>
      </w:r>
      <w:proofErr w:type="gramEnd"/>
      <w:r w:rsidRPr="00FB0137">
        <w:rPr>
          <w:i/>
        </w:rPr>
        <w:t xml:space="preserve"> happened to the village, the removal of children from parents with a disability (2013) and Rebuilding the village: Supporting families where a parent has a disability</w:t>
      </w:r>
      <w:r w:rsidRPr="00FB0137">
        <w:t xml:space="preserve"> (2015)</w:t>
      </w:r>
    </w:p>
  </w:footnote>
  <w:footnote w:id="30">
    <w:p w14:paraId="4E357FE3" w14:textId="77777777" w:rsidR="00A43161" w:rsidRPr="00FB0137" w:rsidRDefault="00A43161" w:rsidP="002407FB">
      <w:pPr>
        <w:pStyle w:val="FootnoteText"/>
        <w:spacing w:after="0"/>
        <w:rPr>
          <w:lang w:val="en-US"/>
        </w:rPr>
      </w:pPr>
      <w:r>
        <w:rPr>
          <w:rStyle w:val="FootnoteReference"/>
        </w:rPr>
        <w:footnoteRef/>
      </w:r>
      <w:r>
        <w:t xml:space="preserve"> </w:t>
      </w:r>
      <w:r w:rsidRPr="00FB0137">
        <w:t>Commission for Children and Young People, “…as a good parent would…” (2015)</w:t>
      </w:r>
    </w:p>
  </w:footnote>
  <w:footnote w:id="31">
    <w:p w14:paraId="75780D97" w14:textId="77777777" w:rsidR="00A43161" w:rsidRPr="00FB0137" w:rsidRDefault="00A43161" w:rsidP="002407FB">
      <w:pPr>
        <w:pStyle w:val="FootnoteText"/>
        <w:spacing w:after="0"/>
        <w:rPr>
          <w:lang w:val="en-US"/>
        </w:rPr>
      </w:pPr>
      <w:r>
        <w:rPr>
          <w:rStyle w:val="FootnoteReference"/>
        </w:rPr>
        <w:footnoteRef/>
      </w:r>
      <w:r>
        <w:t xml:space="preserve"> </w:t>
      </w:r>
      <w:r w:rsidRPr="00FB0137">
        <w:t>Royal Commission into Family Violence: Final Report (2016)</w:t>
      </w:r>
    </w:p>
  </w:footnote>
  <w:footnote w:id="32">
    <w:p w14:paraId="19AE49CD" w14:textId="0736336A" w:rsidR="00A43161" w:rsidRPr="00FB0137" w:rsidRDefault="00A43161" w:rsidP="002407FB">
      <w:pPr>
        <w:pStyle w:val="FootnoteText"/>
        <w:spacing w:after="0"/>
        <w:rPr>
          <w:lang w:val="en-US"/>
        </w:rPr>
      </w:pPr>
      <w:r>
        <w:rPr>
          <w:rStyle w:val="FootnoteReference"/>
        </w:rPr>
        <w:footnoteRef/>
      </w:r>
      <w:r>
        <w:t xml:space="preserve"> </w:t>
      </w:r>
      <w:r w:rsidRPr="00FB0137">
        <w:rPr>
          <w:i/>
        </w:rPr>
        <w:t>The Taskforce 1000</w:t>
      </w:r>
      <w:r w:rsidRPr="00FB0137">
        <w:t xml:space="preserve"> </w:t>
      </w:r>
      <w:r>
        <w:t>report is yet to be finalised</w:t>
      </w:r>
    </w:p>
  </w:footnote>
  <w:footnote w:id="33">
    <w:p w14:paraId="1725EBC1" w14:textId="37525A41" w:rsidR="00A43161" w:rsidRPr="00CA6D8A" w:rsidRDefault="00A43161" w:rsidP="00797E35">
      <w:pPr>
        <w:pStyle w:val="FootnoteText"/>
      </w:pPr>
      <w:r>
        <w:rPr>
          <w:rStyle w:val="FootnoteReference"/>
        </w:rPr>
        <w:footnoteRef/>
      </w:r>
      <w:r>
        <w:t xml:space="preserve"> </w:t>
      </w:r>
      <w:hyperlink r:id="rId3" w:history="1">
        <w:r w:rsidRPr="00102E4C">
          <w:rPr>
            <w:rStyle w:val="Hyperlink"/>
          </w:rPr>
          <w:t>https://www.childabuseroyalcommission.gov.au/</w:t>
        </w:r>
      </w:hyperlink>
    </w:p>
  </w:footnote>
  <w:footnote w:id="34">
    <w:p w14:paraId="3ABD531F" w14:textId="77777777" w:rsidR="00A43161" w:rsidRPr="00CA6D8A" w:rsidRDefault="00A43161">
      <w:pPr>
        <w:pStyle w:val="FootnoteText"/>
      </w:pPr>
      <w:r>
        <w:rPr>
          <w:rStyle w:val="FootnoteReference"/>
        </w:rPr>
        <w:footnoteRef/>
      </w:r>
      <w:r>
        <w:t xml:space="preserve"> </w:t>
      </w:r>
      <w:hyperlink r:id="rId4" w:history="1">
        <w:r w:rsidRPr="00CA6D8A">
          <w:rPr>
            <w:rStyle w:val="Hyperlink"/>
          </w:rPr>
          <w:t>http://www.ccyp.vic.gov.au/aboutus/news/inquiry-permanency-amendments.htm</w:t>
        </w:r>
      </w:hyperlink>
    </w:p>
  </w:footnote>
  <w:footnote w:id="35">
    <w:p w14:paraId="0C2A8DAD" w14:textId="77777777" w:rsidR="00A43161" w:rsidRPr="008B21FA" w:rsidRDefault="00A43161">
      <w:pPr>
        <w:pStyle w:val="FootnoteText"/>
      </w:pPr>
      <w:r>
        <w:rPr>
          <w:rStyle w:val="FootnoteReference"/>
        </w:rPr>
        <w:footnoteRef/>
      </w:r>
      <w:r>
        <w:t xml:space="preserve"> </w:t>
      </w:r>
      <w:hyperlink r:id="rId5" w:history="1">
        <w:r w:rsidRPr="00CA6D8A">
          <w:rPr>
            <w:rStyle w:val="Hyperlink"/>
          </w:rPr>
          <w:t>http://www.dhs.vic.gov.au/about-the-department/plans,-programs-and-projects/projects-and-initiatives/roadmap-for-reform-strong-families,-safe-children</w:t>
        </w:r>
      </w:hyperlink>
    </w:p>
  </w:footnote>
  <w:footnote w:id="36">
    <w:p w14:paraId="58A5B3F6" w14:textId="77777777" w:rsidR="00A43161" w:rsidRPr="00EB67E2" w:rsidRDefault="00A43161" w:rsidP="00311175">
      <w:pPr>
        <w:pStyle w:val="FootnoteText"/>
        <w:spacing w:line="240" w:lineRule="auto"/>
      </w:pPr>
      <w:r>
        <w:rPr>
          <w:rStyle w:val="FootnoteReference"/>
        </w:rPr>
        <w:footnoteRef/>
      </w:r>
      <w:r>
        <w:t xml:space="preserve"> Minister for Families and Children (2016) </w:t>
      </w:r>
      <w:r w:rsidRPr="001C1CDC">
        <w:rPr>
          <w:i/>
        </w:rPr>
        <w:t>Auditor General Praises Residential Care Reforms</w:t>
      </w:r>
      <w:r>
        <w:t xml:space="preserve"> [Press Release]. Accessed 4 October 2016 at &lt;</w:t>
      </w:r>
      <w:hyperlink r:id="rId6" w:history="1">
        <w:r w:rsidRPr="00BB477D">
          <w:rPr>
            <w:rStyle w:val="Hyperlink"/>
          </w:rPr>
          <w:t>http://www.premier.vic.gov.au/auditor-general-praises-residential-care-reform/</w:t>
        </w:r>
      </w:hyperlink>
      <w:r>
        <w:rPr>
          <w:rStyle w:val="Hyperlink"/>
        </w:rPr>
        <w:t>&gt;</w:t>
      </w:r>
    </w:p>
  </w:footnote>
  <w:footnote w:id="37">
    <w:p w14:paraId="5C2F6AA9" w14:textId="77777777" w:rsidR="00A43161" w:rsidRDefault="00A43161" w:rsidP="00311175">
      <w:pPr>
        <w:pStyle w:val="FootnoteText"/>
        <w:spacing w:line="240" w:lineRule="auto"/>
      </w:pPr>
      <w:r>
        <w:rPr>
          <w:rStyle w:val="FootnoteReference"/>
        </w:rPr>
        <w:footnoteRef/>
      </w:r>
      <w:r>
        <w:t xml:space="preserve"> Minister for Families and Children (2016) </w:t>
      </w:r>
      <w:r>
        <w:rPr>
          <w:i/>
        </w:rPr>
        <w:t xml:space="preserve">Keeping Aboriginal Children Connected with their Culture </w:t>
      </w:r>
      <w:r>
        <w:t xml:space="preserve">[Press Release]. Accessed 4 October 2016 at &lt; </w:t>
      </w:r>
      <w:hyperlink r:id="rId7" w:history="1">
        <w:r w:rsidRPr="00BB477D">
          <w:rPr>
            <w:rStyle w:val="Hyperlink"/>
          </w:rPr>
          <w:t>http://www.jennymikakos.com.au/media-releases/keeping-aboriginal-children-connected-with-their-culture/</w:t>
        </w:r>
      </w:hyperlink>
      <w:r>
        <w:rPr>
          <w:rStyle w:val="Hyperlink"/>
        </w:rPr>
        <w:t>&gt;</w:t>
      </w:r>
    </w:p>
    <w:p w14:paraId="221BCFE8" w14:textId="77777777" w:rsidR="00A43161" w:rsidRPr="0015276E" w:rsidRDefault="00A43161" w:rsidP="00311175">
      <w:pPr>
        <w:pStyle w:val="FootnoteText"/>
        <w:spacing w:line="240" w:lineRule="auto"/>
        <w:rPr>
          <w:lang w:val="en-US"/>
        </w:rPr>
      </w:pPr>
    </w:p>
  </w:footnote>
  <w:footnote w:id="38">
    <w:p w14:paraId="5789EF47" w14:textId="77777777" w:rsidR="00A43161" w:rsidRPr="009241A7" w:rsidRDefault="00A43161">
      <w:pPr>
        <w:pStyle w:val="FootnoteText"/>
        <w:rPr>
          <w:lang w:val="en-US"/>
        </w:rPr>
      </w:pPr>
      <w:r>
        <w:rPr>
          <w:rStyle w:val="FootnoteReference"/>
        </w:rPr>
        <w:footnoteRef/>
      </w:r>
      <w:r>
        <w:t xml:space="preserve"> National Framework for Protecting Australia’s Children 2009-2020, Foreword. </w:t>
      </w:r>
      <w:hyperlink r:id="rId8" w:history="1">
        <w:r w:rsidRPr="00595DF7">
          <w:rPr>
            <w:rStyle w:val="Hyperlink"/>
          </w:rPr>
          <w:t>https://www.dss.gov.au/our-responsibilities/families-and-children/publications-articles/protecting-children-is-everyones-business</w:t>
        </w:r>
      </w:hyperlink>
    </w:p>
  </w:footnote>
  <w:footnote w:id="39">
    <w:p w14:paraId="61AD50EE" w14:textId="77777777" w:rsidR="00A43161" w:rsidRPr="009241A7" w:rsidRDefault="00A43161" w:rsidP="009241A7">
      <w:pPr>
        <w:pStyle w:val="FootnoteText"/>
        <w:spacing w:after="0"/>
        <w:rPr>
          <w:lang w:val="en-US"/>
        </w:rPr>
      </w:pPr>
      <w:r>
        <w:rPr>
          <w:rStyle w:val="FootnoteReference"/>
        </w:rPr>
        <w:footnoteRef/>
      </w:r>
      <w:r>
        <w:t xml:space="preserve"> </w:t>
      </w:r>
      <w:r>
        <w:rPr>
          <w:lang w:val="en-US"/>
        </w:rPr>
        <w:t xml:space="preserve">National Plan to Reduce Violence against Women and their Children 2010-2022, Foreword. </w:t>
      </w:r>
      <w:hyperlink r:id="rId9" w:history="1">
        <w:r w:rsidRPr="00595DF7">
          <w:rPr>
            <w:rStyle w:val="Hyperlink"/>
            <w:lang w:val="en-US"/>
          </w:rPr>
          <w:t>https://www.dss.gov.au/our-responsibilities/women/programs-services/reducing-violence/the-national-plan-to-reduce-violence-against-women-and-their-children-2010-2022</w:t>
        </w:r>
      </w:hyperlink>
      <w:r>
        <w:rPr>
          <w:lang w:val="en-US"/>
        </w:rPr>
        <w:t xml:space="preserve"> </w:t>
      </w:r>
    </w:p>
  </w:footnote>
  <w:footnote w:id="40">
    <w:p w14:paraId="5106A801" w14:textId="77777777" w:rsidR="00A43161" w:rsidRPr="002407FB" w:rsidRDefault="00A43161" w:rsidP="002407FB">
      <w:pPr>
        <w:pStyle w:val="FootnoteText"/>
        <w:spacing w:after="0"/>
      </w:pPr>
      <w:r>
        <w:rPr>
          <w:rStyle w:val="FootnoteReference"/>
        </w:rPr>
        <w:footnoteRef/>
      </w:r>
      <w:r>
        <w:t xml:space="preserve"> </w:t>
      </w:r>
      <w:r w:rsidRPr="002407FB">
        <w:t xml:space="preserve">Modernising Child, Youth and Family Expert Panel, </w:t>
      </w:r>
      <w:r w:rsidRPr="002407FB">
        <w:rPr>
          <w:i/>
        </w:rPr>
        <w:t>Investing in New Zealand’s Children and their Families</w:t>
      </w:r>
      <w:r w:rsidRPr="002407FB">
        <w:t xml:space="preserve"> (December 2015), Foreword, p.3</w:t>
      </w:r>
    </w:p>
  </w:footnote>
  <w:footnote w:id="41">
    <w:p w14:paraId="07681DA3" w14:textId="77777777" w:rsidR="00A43161" w:rsidRDefault="00A43161" w:rsidP="00A63C7B">
      <w:pPr>
        <w:autoSpaceDE w:val="0"/>
        <w:autoSpaceDN w:val="0"/>
        <w:adjustRightInd w:val="0"/>
        <w:spacing w:before="0" w:after="0" w:line="240" w:lineRule="auto"/>
        <w:rPr>
          <w:rFonts w:cs="Arial"/>
          <w:sz w:val="18"/>
          <w:szCs w:val="18"/>
          <w:lang w:eastAsia="en-AU"/>
        </w:rPr>
      </w:pPr>
      <w:r>
        <w:rPr>
          <w:rStyle w:val="FootnoteReference"/>
        </w:rPr>
        <w:footnoteRef/>
      </w:r>
      <w:r>
        <w:t xml:space="preserve"> </w:t>
      </w:r>
      <w:r>
        <w:rPr>
          <w:rFonts w:cs="Arial"/>
          <w:sz w:val="18"/>
          <w:szCs w:val="18"/>
          <w:lang w:eastAsia="en-AU"/>
        </w:rPr>
        <w:t xml:space="preserve">The CYFA provides for the existence of the Children’s Court of Victoria with four divisions: </w:t>
      </w:r>
      <w:proofErr w:type="gramStart"/>
      <w:r>
        <w:rPr>
          <w:rFonts w:cs="Arial"/>
          <w:sz w:val="18"/>
          <w:szCs w:val="18"/>
          <w:lang w:eastAsia="en-AU"/>
        </w:rPr>
        <w:t>the</w:t>
      </w:r>
      <w:proofErr w:type="gramEnd"/>
      <w:r>
        <w:rPr>
          <w:rFonts w:cs="Arial"/>
          <w:sz w:val="18"/>
          <w:szCs w:val="18"/>
          <w:lang w:eastAsia="en-AU"/>
        </w:rPr>
        <w:t xml:space="preserve"> Family Division (for child</w:t>
      </w:r>
    </w:p>
    <w:p w14:paraId="40459F93" w14:textId="77777777" w:rsidR="00A43161" w:rsidRDefault="00A43161" w:rsidP="00A63C7B">
      <w:pPr>
        <w:autoSpaceDE w:val="0"/>
        <w:autoSpaceDN w:val="0"/>
        <w:adjustRightInd w:val="0"/>
        <w:spacing w:before="0" w:after="0" w:line="240" w:lineRule="auto"/>
        <w:rPr>
          <w:rFonts w:cs="Arial"/>
          <w:sz w:val="18"/>
          <w:szCs w:val="18"/>
          <w:lang w:eastAsia="en-AU"/>
        </w:rPr>
      </w:pPr>
      <w:r>
        <w:rPr>
          <w:rFonts w:cs="Arial"/>
          <w:sz w:val="18"/>
          <w:szCs w:val="18"/>
          <w:lang w:eastAsia="en-AU"/>
        </w:rPr>
        <w:t>protection proceedings but also family violence intervention order matters) and the Criminal Division (for criminal charges</w:t>
      </w:r>
    </w:p>
    <w:p w14:paraId="4A07AE6E" w14:textId="77777777" w:rsidR="00A43161" w:rsidRPr="00A63C7B" w:rsidRDefault="00A43161" w:rsidP="00A63C7B">
      <w:pPr>
        <w:autoSpaceDE w:val="0"/>
        <w:autoSpaceDN w:val="0"/>
        <w:adjustRightInd w:val="0"/>
        <w:spacing w:before="0" w:after="0" w:line="240" w:lineRule="auto"/>
        <w:rPr>
          <w:rFonts w:cs="Arial"/>
          <w:sz w:val="18"/>
          <w:szCs w:val="18"/>
          <w:lang w:eastAsia="en-AU"/>
        </w:rPr>
      </w:pPr>
      <w:r>
        <w:rPr>
          <w:rFonts w:cs="Arial"/>
          <w:sz w:val="18"/>
          <w:szCs w:val="18"/>
          <w:lang w:eastAsia="en-AU"/>
        </w:rPr>
        <w:t>against children), as well as two specialist divisions (being the Koori Court (Criminal Division) and the Neighbourhood Justice Division).</w:t>
      </w:r>
    </w:p>
  </w:footnote>
  <w:footnote w:id="42">
    <w:p w14:paraId="23BB9E9C" w14:textId="77777777" w:rsidR="00A43161" w:rsidRPr="00A63C7B" w:rsidRDefault="00A43161" w:rsidP="00A63C7B">
      <w:pPr>
        <w:autoSpaceDE w:val="0"/>
        <w:autoSpaceDN w:val="0"/>
        <w:adjustRightInd w:val="0"/>
        <w:spacing w:before="0" w:after="0" w:line="240" w:lineRule="auto"/>
        <w:rPr>
          <w:rFonts w:cs="Arial"/>
          <w:sz w:val="18"/>
          <w:szCs w:val="18"/>
          <w:lang w:eastAsia="en-AU"/>
        </w:rPr>
      </w:pPr>
      <w:r>
        <w:rPr>
          <w:rStyle w:val="FootnoteReference"/>
        </w:rPr>
        <w:footnoteRef/>
      </w:r>
      <w:r>
        <w:t xml:space="preserve"> </w:t>
      </w:r>
      <w:r>
        <w:rPr>
          <w:rFonts w:cs="Arial"/>
          <w:sz w:val="18"/>
          <w:szCs w:val="18"/>
          <w:lang w:eastAsia="en-AU"/>
        </w:rPr>
        <w:t>The Child Protection Litigation Office is a legal unit within the DHHS responsible for providing legal representation to the metropolitan divisions of DHHS for all matters before the Family Division of the Children’s Court.</w:t>
      </w:r>
    </w:p>
  </w:footnote>
  <w:footnote w:id="43">
    <w:p w14:paraId="6FC088AE" w14:textId="77777777" w:rsidR="00A43161" w:rsidRPr="00BD3B67" w:rsidRDefault="00A43161" w:rsidP="00BD3B67">
      <w:pPr>
        <w:autoSpaceDE w:val="0"/>
        <w:autoSpaceDN w:val="0"/>
        <w:adjustRightInd w:val="0"/>
        <w:spacing w:before="0" w:after="0" w:line="240" w:lineRule="auto"/>
        <w:rPr>
          <w:rFonts w:cs="Arial"/>
          <w:sz w:val="18"/>
          <w:szCs w:val="18"/>
          <w:lang w:eastAsia="en-AU"/>
        </w:rPr>
      </w:pPr>
      <w:r>
        <w:rPr>
          <w:rStyle w:val="FootnoteReference"/>
        </w:rPr>
        <w:footnoteRef/>
      </w:r>
      <w:r>
        <w:t xml:space="preserve"> </w:t>
      </w:r>
      <w:r>
        <w:rPr>
          <w:rFonts w:cs="Arial"/>
          <w:sz w:val="18"/>
          <w:szCs w:val="18"/>
          <w:lang w:eastAsia="en-AU"/>
        </w:rPr>
        <w:t>United Nations Convention on the Rights of Child, opened for signature on 20 November 1989 (entered into force on 20 September 1990), Article 12.</w:t>
      </w:r>
    </w:p>
  </w:footnote>
  <w:footnote w:id="44">
    <w:p w14:paraId="48487C63" w14:textId="77777777" w:rsidR="00A43161" w:rsidRPr="009E1D6D" w:rsidRDefault="00A43161">
      <w:pPr>
        <w:pStyle w:val="FootnoteText"/>
      </w:pPr>
      <w:r>
        <w:rPr>
          <w:rStyle w:val="FootnoteReference"/>
        </w:rPr>
        <w:footnoteRef/>
      </w:r>
      <w:r>
        <w:t xml:space="preserve"> Details of the types of services provided in these categories are located in the VLA Annual Report </w:t>
      </w:r>
      <w:hyperlink r:id="rId10" w:history="1">
        <w:r w:rsidRPr="009E1D6D">
          <w:rPr>
            <w:rStyle w:val="Hyperlink"/>
          </w:rPr>
          <w:t>http://annualreport.vla.vic.gov.au/glossary</w:t>
        </w:r>
      </w:hyperlink>
    </w:p>
  </w:footnote>
  <w:footnote w:id="45">
    <w:p w14:paraId="1FD8C180" w14:textId="77777777" w:rsidR="00A43161" w:rsidRPr="00CA20DF" w:rsidRDefault="00A43161" w:rsidP="00CA20DF">
      <w:pPr>
        <w:pStyle w:val="FootnoteText"/>
        <w:spacing w:after="0"/>
        <w:rPr>
          <w:lang w:val="en-US"/>
        </w:rPr>
      </w:pPr>
      <w:r>
        <w:rPr>
          <w:rStyle w:val="FootnoteReference"/>
        </w:rPr>
        <w:footnoteRef/>
      </w:r>
      <w:r>
        <w:t xml:space="preserve"> </w:t>
      </w:r>
      <w:r w:rsidRPr="00CA20DF">
        <w:t xml:space="preserve">CP Quarterly Measures 2014-15: </w:t>
      </w:r>
      <w:hyperlink r:id="rId11" w:history="1">
        <w:r w:rsidRPr="00834946">
          <w:rPr>
            <w:rStyle w:val="Hyperlink"/>
          </w:rPr>
          <w:t>http://www.dhs.vic.gov.au/about-the-department/documents-and-resources/research,-data-and-statistics/additional-data-selected-child-protection</w:t>
        </w:r>
      </w:hyperlink>
      <w:r>
        <w:t xml:space="preserve"> </w:t>
      </w:r>
    </w:p>
  </w:footnote>
  <w:footnote w:id="46">
    <w:p w14:paraId="598415AE" w14:textId="13ED2232" w:rsidR="00A43161" w:rsidRPr="000D085C" w:rsidRDefault="00A43161">
      <w:pPr>
        <w:pStyle w:val="FootnoteText"/>
      </w:pPr>
      <w:r>
        <w:rPr>
          <w:rStyle w:val="FootnoteReference"/>
        </w:rPr>
        <w:footnoteRef/>
      </w:r>
      <w:r>
        <w:t xml:space="preserve"> Report on Government Services 2016, Volume f, Chapter 15</w:t>
      </w:r>
    </w:p>
  </w:footnote>
  <w:footnote w:id="47">
    <w:p w14:paraId="3B40874F" w14:textId="77777777" w:rsidR="00A43161" w:rsidRPr="00CA20DF" w:rsidRDefault="00A43161" w:rsidP="00CA20DF">
      <w:pPr>
        <w:pStyle w:val="FootnoteText"/>
        <w:spacing w:after="0"/>
        <w:rPr>
          <w:lang w:val="en-US"/>
        </w:rPr>
      </w:pPr>
      <w:r>
        <w:rPr>
          <w:rStyle w:val="FootnoteReference"/>
        </w:rPr>
        <w:footnoteRef/>
      </w:r>
      <w:r>
        <w:t xml:space="preserve"> </w:t>
      </w:r>
      <w:r w:rsidRPr="00CA20DF">
        <w:t>Children’s Court of Victoria, Annual Report 2014-15, p. 5</w:t>
      </w:r>
    </w:p>
  </w:footnote>
  <w:footnote w:id="48">
    <w:p w14:paraId="3593A609" w14:textId="77777777" w:rsidR="00A43161" w:rsidRPr="00CA20DF" w:rsidRDefault="00A43161">
      <w:pPr>
        <w:pStyle w:val="FootnoteText"/>
        <w:rPr>
          <w:lang w:val="en-US"/>
        </w:rPr>
      </w:pPr>
      <w:r>
        <w:rPr>
          <w:rStyle w:val="FootnoteReference"/>
        </w:rPr>
        <w:footnoteRef/>
      </w:r>
      <w:r>
        <w:t xml:space="preserve"> </w:t>
      </w:r>
      <w:r w:rsidRPr="00CA20DF">
        <w:t xml:space="preserve">“A case plan is to be prepared for all children where protective concerns have been substantiated”: DHHS Child Protection Manual: </w:t>
      </w:r>
      <w:hyperlink r:id="rId12" w:history="1">
        <w:r w:rsidRPr="00834946">
          <w:rPr>
            <w:rStyle w:val="Hyperlink"/>
          </w:rPr>
          <w:t>http://www.cpmanual.vic.gov.au/policies-and-procedures/case-planning/case-planning-policy</w:t>
        </w:r>
      </w:hyperlink>
      <w:r>
        <w:t xml:space="preserve">: </w:t>
      </w:r>
      <w:r w:rsidRPr="00CA20DF">
        <w:t>“A case plan is to be prepared for all children where protective concerns have been substantiated”.</w:t>
      </w:r>
    </w:p>
  </w:footnote>
  <w:footnote w:id="49">
    <w:p w14:paraId="7C5573EB" w14:textId="77777777" w:rsidR="00A43161" w:rsidRPr="00CA20DF" w:rsidRDefault="00A43161" w:rsidP="00CA20DF">
      <w:pPr>
        <w:pStyle w:val="FootnoteText"/>
        <w:spacing w:after="0"/>
        <w:rPr>
          <w:lang w:val="en-US"/>
        </w:rPr>
      </w:pPr>
      <w:r>
        <w:rPr>
          <w:rStyle w:val="FootnoteReference"/>
        </w:rPr>
        <w:footnoteRef/>
      </w:r>
      <w:r>
        <w:t xml:space="preserve"> </w:t>
      </w:r>
      <w:r w:rsidRPr="00CA20DF">
        <w:t>DHHS Child Protection Manual: see policies on case planning [http://www.cpmanual.vic.gov.au/advice-and-protocols/advice/case-planning/case-planning] and permanency planning [http://www.cpmanual.vic.gov.au/advice-and-protocols/advice/case-planning/identifying-and-achieving-permanency-objective] where a permanency objective must be nominated (in order of preference): family preservation, family reunification, adoption, permanent care and long term out of home care.</w:t>
      </w:r>
    </w:p>
  </w:footnote>
  <w:footnote w:id="50">
    <w:p w14:paraId="754CF79A" w14:textId="77777777" w:rsidR="00A43161" w:rsidRPr="009606E7" w:rsidRDefault="00A43161">
      <w:pPr>
        <w:pStyle w:val="FootnoteText"/>
        <w:rPr>
          <w:lang w:val="en-US"/>
        </w:rPr>
      </w:pPr>
      <w:r>
        <w:rPr>
          <w:rStyle w:val="FootnoteReference"/>
        </w:rPr>
        <w:footnoteRef/>
      </w:r>
      <w:r>
        <w:t xml:space="preserve"> </w:t>
      </w:r>
      <w:r>
        <w:rPr>
          <w:lang w:val="en-US"/>
        </w:rPr>
        <w:t xml:space="preserve">This is limited to information about the court processes and the law in general terms, but does not include advice about the persons own circumstances. </w:t>
      </w:r>
    </w:p>
  </w:footnote>
  <w:footnote w:id="51">
    <w:p w14:paraId="6426EC3D" w14:textId="01A2C507" w:rsidR="00A43161" w:rsidRPr="00430AF7" w:rsidRDefault="00A43161" w:rsidP="00430AF7">
      <w:pPr>
        <w:pStyle w:val="FootnoteText"/>
        <w:spacing w:after="0"/>
      </w:pPr>
      <w:r>
        <w:rPr>
          <w:rStyle w:val="FootnoteReference"/>
        </w:rPr>
        <w:footnoteRef/>
      </w:r>
      <w:r>
        <w:t xml:space="preserve"> </w:t>
      </w:r>
      <w:r w:rsidRPr="00CA20DF">
        <w:t>VLA Handbook for Lawyers, Chap</w:t>
      </w:r>
      <w:r>
        <w:t xml:space="preserve">ter 6, State Family Guidelines, </w:t>
      </w:r>
      <w:hyperlink r:id="rId13" w:history="1">
        <w:r w:rsidRPr="006A0944">
          <w:rPr>
            <w:rStyle w:val="Hyperlink"/>
          </w:rPr>
          <w:t>https://handbook.vla.vic.gov.au/handbook/6-state-family-guidelines</w:t>
        </w:r>
      </w:hyperlink>
    </w:p>
  </w:footnote>
  <w:footnote w:id="52">
    <w:p w14:paraId="06593D48" w14:textId="77777777" w:rsidR="00A43161" w:rsidRPr="00CA20DF" w:rsidRDefault="00A43161" w:rsidP="00321D3F">
      <w:pPr>
        <w:pStyle w:val="FootnoteText"/>
        <w:spacing w:after="0"/>
        <w:rPr>
          <w:lang w:val="en-US"/>
        </w:rPr>
      </w:pPr>
      <w:r>
        <w:rPr>
          <w:rStyle w:val="FootnoteReference"/>
        </w:rPr>
        <w:footnoteRef/>
      </w:r>
      <w:r>
        <w:t xml:space="preserve"> </w:t>
      </w:r>
      <w:r w:rsidRPr="00CA20DF">
        <w:t>Pursuant to the March 2016 amendments, decisions regarding contact and all other conditions will now be made by DHHS for all children who have been in court ordered out of home care for greater than 2 years and are subject to Care by Secretary Orders and long-term Care by Secretary Orders.</w:t>
      </w:r>
    </w:p>
  </w:footnote>
  <w:footnote w:id="53">
    <w:p w14:paraId="28909D45" w14:textId="60C51EE2" w:rsidR="00A43161" w:rsidRPr="00430AF7" w:rsidRDefault="00A43161" w:rsidP="00430AF7">
      <w:pPr>
        <w:pStyle w:val="FootnoteText"/>
      </w:pPr>
      <w:r>
        <w:rPr>
          <w:rStyle w:val="FootnoteReference"/>
        </w:rPr>
        <w:footnoteRef/>
      </w:r>
      <w:r>
        <w:t xml:space="preserve"> </w:t>
      </w:r>
      <w:r w:rsidRPr="00EF271D">
        <w:t>Productivity Commission 2016</w:t>
      </w:r>
      <w:r>
        <w:t>,</w:t>
      </w:r>
      <w:r w:rsidRPr="00430AF7">
        <w:t xml:space="preserve"> </w:t>
      </w:r>
      <w:r>
        <w:t>Report on Government Services, Volume f, Chapter</w:t>
      </w:r>
      <w:r w:rsidRPr="00EF271D">
        <w:t xml:space="preserve"> 15.7</w:t>
      </w:r>
    </w:p>
  </w:footnote>
  <w:footnote w:id="54">
    <w:p w14:paraId="4EEE16B0" w14:textId="77777777" w:rsidR="00A43161" w:rsidRPr="00EA0C43" w:rsidRDefault="00A43161">
      <w:pPr>
        <w:pStyle w:val="FootnoteText"/>
      </w:pPr>
      <w:r>
        <w:rPr>
          <w:rStyle w:val="FootnoteReference"/>
        </w:rPr>
        <w:footnoteRef/>
      </w:r>
      <w:r>
        <w:t xml:space="preserve"> Ibid</w:t>
      </w:r>
    </w:p>
  </w:footnote>
  <w:footnote w:id="55">
    <w:p w14:paraId="1EE947BD" w14:textId="7563AB5B" w:rsidR="00A43161" w:rsidRPr="00EA0C43" w:rsidRDefault="00A43161">
      <w:pPr>
        <w:pStyle w:val="FootnoteText"/>
      </w:pPr>
      <w:r>
        <w:rPr>
          <w:rStyle w:val="FootnoteReference"/>
        </w:rPr>
        <w:footnoteRef/>
      </w:r>
      <w:r>
        <w:t xml:space="preserve"> Data from the Report on Government Services 2016, Volume f, Chapter 15</w:t>
      </w:r>
    </w:p>
  </w:footnote>
  <w:footnote w:id="56">
    <w:p w14:paraId="7671E36A" w14:textId="114D5C03" w:rsidR="00A43161" w:rsidRPr="00EA0C43" w:rsidRDefault="00A43161">
      <w:pPr>
        <w:pStyle w:val="FootnoteText"/>
      </w:pPr>
      <w:r>
        <w:rPr>
          <w:rStyle w:val="FootnoteReference"/>
        </w:rPr>
        <w:footnoteRef/>
      </w:r>
      <w:r>
        <w:t xml:space="preserve"> Data from the Report on Government Services 2016, Volume f, Chapter 15, Children’s Court of Victoria Annual Reports and VLA data. </w:t>
      </w:r>
    </w:p>
  </w:footnote>
  <w:footnote w:id="57">
    <w:p w14:paraId="0A2E5DD6" w14:textId="77777777" w:rsidR="00A43161" w:rsidRPr="001E765A" w:rsidRDefault="00A43161">
      <w:pPr>
        <w:pStyle w:val="FootnoteText"/>
        <w:rPr>
          <w:lang w:val="en-US"/>
        </w:rPr>
      </w:pPr>
      <w:r>
        <w:rPr>
          <w:rStyle w:val="FootnoteReference"/>
        </w:rPr>
        <w:footnoteRef/>
      </w:r>
      <w:r>
        <w:t xml:space="preserve"> </w:t>
      </w:r>
      <w:r w:rsidRPr="001E765A">
        <w:t>It is important to note that the initiations data is derived from the Children’s Court Annual</w:t>
      </w:r>
      <w:r>
        <w:t xml:space="preserve"> Reports and relates only to primary applications. The number of secondary initiations relative to primary initiations has been stable. The Court reports the </w:t>
      </w:r>
      <w:r w:rsidRPr="001E765A">
        <w:t xml:space="preserve">number of applications be reference to each child. VLA grants data relates to individual grants to </w:t>
      </w:r>
      <w:r>
        <w:t>parents or children. C</w:t>
      </w:r>
      <w:r w:rsidRPr="001E765A">
        <w:t xml:space="preserve">hildren are under 10 </w:t>
      </w:r>
      <w:r>
        <w:t>are not usually represented</w:t>
      </w:r>
      <w:r w:rsidRPr="001E765A">
        <w:t xml:space="preserve">.  </w:t>
      </w:r>
      <w:r>
        <w:t>The VLA data is for all grants, both primary and secondary, as it was not differentiated prior to 2013.  However, the around two-thirds of grants are for primary applications and one third for secondary applications.</w:t>
      </w:r>
    </w:p>
  </w:footnote>
  <w:footnote w:id="58">
    <w:p w14:paraId="2FD285D4" w14:textId="77777777" w:rsidR="00A43161" w:rsidRPr="001E765A" w:rsidRDefault="00A43161" w:rsidP="00C17153">
      <w:pPr>
        <w:pStyle w:val="FootnoteText"/>
        <w:spacing w:after="0"/>
        <w:rPr>
          <w:lang w:val="en-US"/>
        </w:rPr>
      </w:pPr>
      <w:r>
        <w:rPr>
          <w:rStyle w:val="FootnoteReference"/>
        </w:rPr>
        <w:footnoteRef/>
      </w:r>
      <w:r w:rsidRPr="001E765A">
        <w:t xml:space="preserve"> Section 3 of the CYFA provides that ‘out of home’ care means care of a child by a person other than a parent of the child</w:t>
      </w:r>
    </w:p>
  </w:footnote>
  <w:footnote w:id="59">
    <w:p w14:paraId="3A64DA80" w14:textId="45064F19" w:rsidR="00A43161" w:rsidRPr="00CC5697" w:rsidRDefault="00A43161" w:rsidP="00CC5697">
      <w:pPr>
        <w:pStyle w:val="FootnoteText"/>
      </w:pPr>
      <w:r>
        <w:rPr>
          <w:rStyle w:val="FootnoteReference"/>
        </w:rPr>
        <w:footnoteRef/>
      </w:r>
      <w:r>
        <w:t xml:space="preserve"> Data from the Report on Government Services 2016, Volume f, Chapter 15</w:t>
      </w:r>
    </w:p>
  </w:footnote>
  <w:footnote w:id="60">
    <w:p w14:paraId="4A1F3B17" w14:textId="77777777" w:rsidR="00A43161" w:rsidRPr="00C17153" w:rsidRDefault="00A43161">
      <w:pPr>
        <w:pStyle w:val="FootnoteText"/>
        <w:rPr>
          <w:lang w:val="en-US"/>
        </w:rPr>
      </w:pPr>
      <w:r>
        <w:rPr>
          <w:rStyle w:val="FootnoteReference"/>
        </w:rPr>
        <w:footnoteRef/>
      </w:r>
      <w:r>
        <w:t xml:space="preserve"> </w:t>
      </w:r>
      <w:r w:rsidRPr="00C17153">
        <w:t>Road Map to Reform. Data as at April 2015</w:t>
      </w:r>
    </w:p>
  </w:footnote>
  <w:footnote w:id="61">
    <w:p w14:paraId="1F14B917" w14:textId="0F0AB2D5" w:rsidR="00A43161" w:rsidRPr="00B831EA" w:rsidRDefault="00A43161" w:rsidP="001F41A2">
      <w:pPr>
        <w:pStyle w:val="FootnoteText"/>
      </w:pPr>
      <w:r>
        <w:rPr>
          <w:rStyle w:val="FootnoteReference"/>
        </w:rPr>
        <w:footnoteRef/>
      </w:r>
      <w:r>
        <w:t xml:space="preserve"> Data from the Report on Government Services 2016, Volume f, Chapter 15, </w:t>
      </w:r>
      <w:r w:rsidRPr="00C17153">
        <w:t>Annual State of Victoria’s Children Report 2013-14, Executive Summary, p.6</w:t>
      </w:r>
    </w:p>
  </w:footnote>
  <w:footnote w:id="62">
    <w:p w14:paraId="790D7953" w14:textId="77777777" w:rsidR="00A43161" w:rsidRPr="00C17153" w:rsidRDefault="00A43161">
      <w:pPr>
        <w:pStyle w:val="FootnoteText"/>
        <w:rPr>
          <w:lang w:val="en-US"/>
        </w:rPr>
      </w:pPr>
      <w:r>
        <w:rPr>
          <w:rStyle w:val="FootnoteReference"/>
        </w:rPr>
        <w:footnoteRef/>
      </w:r>
      <w:r>
        <w:t xml:space="preserve"> </w:t>
      </w:r>
      <w:r w:rsidRPr="00C17153">
        <w:t xml:space="preserve">  Annual State of Victoria’s Children Report 2013-14, Executive Summary, p.6</w:t>
      </w:r>
    </w:p>
  </w:footnote>
  <w:footnote w:id="63">
    <w:p w14:paraId="14F45A6B" w14:textId="77777777" w:rsidR="00A43161" w:rsidRPr="00085CB6" w:rsidRDefault="00A43161" w:rsidP="00085CB6">
      <w:pPr>
        <w:pStyle w:val="FootnoteText"/>
        <w:spacing w:after="0"/>
        <w:rPr>
          <w:lang w:val="en-US"/>
        </w:rPr>
      </w:pPr>
      <w:r>
        <w:rPr>
          <w:rStyle w:val="FootnoteReference"/>
        </w:rPr>
        <w:footnoteRef/>
      </w:r>
      <w:r>
        <w:t xml:space="preserve"> Ibid</w:t>
      </w:r>
    </w:p>
  </w:footnote>
  <w:footnote w:id="64">
    <w:p w14:paraId="7D3D78AF" w14:textId="77777777" w:rsidR="00A43161" w:rsidRPr="00085CB6" w:rsidRDefault="00A43161" w:rsidP="00085CB6">
      <w:pPr>
        <w:pStyle w:val="FootnoteText"/>
        <w:spacing w:after="0"/>
        <w:rPr>
          <w:lang w:val="en-US"/>
        </w:rPr>
      </w:pPr>
      <w:r>
        <w:rPr>
          <w:rStyle w:val="FootnoteReference"/>
        </w:rPr>
        <w:footnoteRef/>
      </w:r>
      <w:r>
        <w:t xml:space="preserve"> Ibid</w:t>
      </w:r>
    </w:p>
  </w:footnote>
  <w:footnote w:id="65">
    <w:p w14:paraId="3A4BCC28" w14:textId="77777777" w:rsidR="00A43161" w:rsidRPr="00085CB6" w:rsidRDefault="00A43161" w:rsidP="00085CB6">
      <w:pPr>
        <w:pStyle w:val="FootnoteText"/>
        <w:spacing w:after="0"/>
        <w:rPr>
          <w:lang w:val="en-US"/>
        </w:rPr>
      </w:pPr>
      <w:r>
        <w:rPr>
          <w:rStyle w:val="FootnoteReference"/>
        </w:rPr>
        <w:footnoteRef/>
      </w:r>
      <w:r>
        <w:t xml:space="preserve"> Ibid   See also </w:t>
      </w:r>
      <w:r w:rsidRPr="00C17153">
        <w:t>Australian Bureau of Statistics, Glossary of Statistical Geographical Terminology: regional/rural/metropolitan http://www.abs.gov.au/ausstats/abs@.nsf/mf/1217.0.55.001#PARALINK7</w:t>
      </w:r>
    </w:p>
  </w:footnote>
  <w:footnote w:id="66">
    <w:p w14:paraId="08E3FAAB" w14:textId="77777777" w:rsidR="00A43161" w:rsidRPr="00563091" w:rsidRDefault="00A43161">
      <w:pPr>
        <w:pStyle w:val="FootnoteText"/>
        <w:rPr>
          <w:lang w:val="en-US"/>
        </w:rPr>
      </w:pPr>
      <w:r>
        <w:rPr>
          <w:rStyle w:val="FootnoteReference"/>
        </w:rPr>
        <w:footnoteRef/>
      </w:r>
      <w:r>
        <w:t xml:space="preserve"> </w:t>
      </w:r>
      <w:r w:rsidRPr="00563091">
        <w:t>Data captured from VLA and Children’s Court of Victoria, Annual reports 2010-11, 2012-13, 2014-15</w:t>
      </w:r>
    </w:p>
  </w:footnote>
  <w:footnote w:id="67">
    <w:p w14:paraId="2D142752" w14:textId="77777777" w:rsidR="00A43161" w:rsidRPr="00D86B21" w:rsidRDefault="00A43161">
      <w:pPr>
        <w:pStyle w:val="FootnoteText"/>
        <w:rPr>
          <w:lang w:val="en-US"/>
        </w:rPr>
      </w:pPr>
      <w:r>
        <w:rPr>
          <w:rStyle w:val="FootnoteReference"/>
        </w:rPr>
        <w:footnoteRef/>
      </w:r>
      <w:r>
        <w:t xml:space="preserve"> </w:t>
      </w:r>
      <w:r>
        <w:rPr>
          <w:lang w:val="en-US"/>
        </w:rPr>
        <w:t xml:space="preserve">Primary applications refer to applications for a protection order. This does not include secondary applications, such as applications of an extension of an order. </w:t>
      </w:r>
    </w:p>
  </w:footnote>
  <w:footnote w:id="68">
    <w:p w14:paraId="79354D47" w14:textId="77777777" w:rsidR="00A43161" w:rsidRPr="00183296" w:rsidRDefault="00A43161">
      <w:pPr>
        <w:pStyle w:val="FootnoteText"/>
        <w:rPr>
          <w:lang w:val="en-US"/>
        </w:rPr>
      </w:pPr>
      <w:r>
        <w:rPr>
          <w:rStyle w:val="FootnoteReference"/>
        </w:rPr>
        <w:footnoteRef/>
      </w:r>
      <w:r>
        <w:t xml:space="preserve"> </w:t>
      </w:r>
      <w:r>
        <w:rPr>
          <w:lang w:val="en-US"/>
        </w:rPr>
        <w:t xml:space="preserve">VLA data recording did not distinguish between primary and secondary until 2013. However, the number of secondary applications relative to primary applications has been relatively stable. </w:t>
      </w:r>
    </w:p>
  </w:footnote>
  <w:footnote w:id="69">
    <w:p w14:paraId="0CE28A7E" w14:textId="77777777" w:rsidR="00A43161" w:rsidRPr="005E608C" w:rsidRDefault="00A43161">
      <w:pPr>
        <w:pStyle w:val="FootnoteText"/>
      </w:pPr>
      <w:r>
        <w:rPr>
          <w:rStyle w:val="FootnoteReference"/>
        </w:rPr>
        <w:footnoteRef/>
      </w:r>
      <w:r>
        <w:t xml:space="preserve"> The Children’s Court initiation data counts each application for each child. </w:t>
      </w:r>
      <w:r>
        <w:rPr>
          <w:lang w:val="en-US"/>
        </w:rPr>
        <w:t>It is estimated that there are 1.6 children in each family grouping. The number of initiations per family is ascertained by dividing total initiations by 1.6.</w:t>
      </w:r>
    </w:p>
  </w:footnote>
  <w:footnote w:id="70">
    <w:p w14:paraId="69E7B440" w14:textId="41B2D68B" w:rsidR="00A43161" w:rsidRPr="006072F4" w:rsidRDefault="00A43161">
      <w:pPr>
        <w:pStyle w:val="FootnoteText"/>
        <w:rPr>
          <w:lang w:val="en-US"/>
        </w:rPr>
      </w:pPr>
      <w:r>
        <w:rPr>
          <w:rStyle w:val="FootnoteReference"/>
        </w:rPr>
        <w:footnoteRef/>
      </w:r>
      <w:r>
        <w:t xml:space="preserve"> Data from Children’s Court of Victoria and VLA</w:t>
      </w:r>
    </w:p>
  </w:footnote>
  <w:footnote w:id="71">
    <w:p w14:paraId="78FAE917" w14:textId="2D31B2C1" w:rsidR="00A43161" w:rsidRPr="00563091" w:rsidRDefault="00A43161" w:rsidP="00563091">
      <w:pPr>
        <w:pStyle w:val="FootnoteText"/>
        <w:spacing w:after="0"/>
        <w:rPr>
          <w:lang w:val="en-US"/>
        </w:rPr>
      </w:pPr>
      <w:r>
        <w:rPr>
          <w:rStyle w:val="FootnoteReference"/>
        </w:rPr>
        <w:footnoteRef/>
      </w:r>
      <w:r>
        <w:t xml:space="preserve"> </w:t>
      </w:r>
      <w:r>
        <w:rPr>
          <w:lang w:val="en-US"/>
        </w:rPr>
        <w:t>Cummins Report 2012</w:t>
      </w:r>
    </w:p>
  </w:footnote>
  <w:footnote w:id="72">
    <w:p w14:paraId="4CCD227F" w14:textId="77777777" w:rsidR="00A43161" w:rsidRPr="00563091" w:rsidRDefault="00A43161" w:rsidP="00563091">
      <w:pPr>
        <w:pStyle w:val="FootnoteText"/>
        <w:spacing w:after="0"/>
        <w:rPr>
          <w:lang w:val="en-US"/>
        </w:rPr>
      </w:pPr>
      <w:r>
        <w:rPr>
          <w:rStyle w:val="FootnoteReference"/>
        </w:rPr>
        <w:footnoteRef/>
      </w:r>
      <w:r>
        <w:t xml:space="preserve"> Ibid</w:t>
      </w:r>
    </w:p>
  </w:footnote>
  <w:footnote w:id="73">
    <w:p w14:paraId="74B147D0" w14:textId="77777777" w:rsidR="00A43161" w:rsidRPr="00563091" w:rsidRDefault="00A43161">
      <w:pPr>
        <w:pStyle w:val="FootnoteText"/>
        <w:rPr>
          <w:lang w:val="en-US"/>
        </w:rPr>
      </w:pPr>
      <w:r>
        <w:rPr>
          <w:rStyle w:val="FootnoteReference"/>
        </w:rPr>
        <w:footnoteRef/>
      </w:r>
      <w:r>
        <w:t xml:space="preserve"> </w:t>
      </w:r>
      <w:r w:rsidRPr="00563091">
        <w:t xml:space="preserve">Annual State of Victoria’s Children report (2011): </w:t>
      </w:r>
      <w:r w:rsidRPr="00563091">
        <w:rPr>
          <w:i/>
        </w:rPr>
        <w:t>A report on how children in regional and rural Victoria are faring</w:t>
      </w:r>
    </w:p>
  </w:footnote>
  <w:footnote w:id="74">
    <w:p w14:paraId="501CE30F" w14:textId="77777777" w:rsidR="00A43161" w:rsidRPr="00024BA3" w:rsidRDefault="00A43161">
      <w:pPr>
        <w:pStyle w:val="FootnoteText"/>
      </w:pPr>
      <w:r>
        <w:rPr>
          <w:rStyle w:val="FootnoteReference"/>
        </w:rPr>
        <w:footnoteRef/>
      </w:r>
      <w:r>
        <w:t xml:space="preserve"> Health, safety, development and learning.</w:t>
      </w:r>
    </w:p>
  </w:footnote>
  <w:footnote w:id="75">
    <w:p w14:paraId="7F3F90E2" w14:textId="77777777" w:rsidR="00A43161" w:rsidRPr="009733C3" w:rsidRDefault="00A43161" w:rsidP="009733C3">
      <w:pPr>
        <w:pStyle w:val="FootnoteText"/>
        <w:spacing w:after="0"/>
        <w:rPr>
          <w:lang w:val="en-US"/>
        </w:rPr>
      </w:pPr>
      <w:r>
        <w:rPr>
          <w:rStyle w:val="FootnoteReference"/>
        </w:rPr>
        <w:footnoteRef/>
      </w:r>
      <w:r>
        <w:t xml:space="preserve"> </w:t>
      </w:r>
      <w:r w:rsidRPr="009733C3">
        <w:t>PHIDU 2010 [http://phidu.torrens.edu.au/help-and-information/about-our-data/statistical-information] Atlases of census data since 1999; ABS 2010</w:t>
      </w:r>
    </w:p>
  </w:footnote>
  <w:footnote w:id="76">
    <w:p w14:paraId="44A63785" w14:textId="77777777" w:rsidR="00A43161" w:rsidRPr="009733C3" w:rsidRDefault="00A43161" w:rsidP="006E38B1">
      <w:pPr>
        <w:pStyle w:val="FootnoteText"/>
        <w:spacing w:after="0"/>
        <w:rPr>
          <w:lang w:val="en-US"/>
        </w:rPr>
      </w:pPr>
      <w:r>
        <w:rPr>
          <w:rStyle w:val="FootnoteReference"/>
        </w:rPr>
        <w:footnoteRef/>
      </w:r>
      <w:r>
        <w:t xml:space="preserve"> </w:t>
      </w:r>
      <w:r w:rsidRPr="009733C3">
        <w:t>Victorian Population Bulletin[http://www.dtpli.vic.gov.au/data-and-research/population/census-2011/victorian-population-bulletin]</w:t>
      </w:r>
      <w:r>
        <w:t xml:space="preserve"> </w:t>
      </w:r>
    </w:p>
  </w:footnote>
  <w:footnote w:id="77">
    <w:p w14:paraId="37ACC840" w14:textId="77777777" w:rsidR="00A43161" w:rsidRPr="00D479A2" w:rsidRDefault="00A43161">
      <w:pPr>
        <w:pStyle w:val="FootnoteText"/>
        <w:rPr>
          <w:lang w:val="en-US"/>
        </w:rPr>
      </w:pPr>
      <w:r>
        <w:rPr>
          <w:rStyle w:val="FootnoteReference"/>
        </w:rPr>
        <w:footnoteRef/>
      </w:r>
      <w:r>
        <w:t xml:space="preserve"> Department of Planning and Community Development, </w:t>
      </w:r>
      <w:r w:rsidRPr="00D479A2">
        <w:rPr>
          <w:i/>
        </w:rPr>
        <w:t>Change and Disadvantage in Regional Victoria: An Overview</w:t>
      </w:r>
      <w:r>
        <w:t xml:space="preserve"> (May 2011), </w:t>
      </w:r>
      <w:hyperlink r:id="rId14" w:history="1">
        <w:r w:rsidRPr="00032983">
          <w:rPr>
            <w:rStyle w:val="Hyperlink"/>
          </w:rPr>
          <w:t>http://www.dtpli.vic.gov.au/__data/assets/pdf_file/0014/223052/Change_and_disadvantage_in_regional_Victoria_overview.pdf</w:t>
        </w:r>
      </w:hyperlink>
      <w:r>
        <w:t xml:space="preserve"> </w:t>
      </w:r>
    </w:p>
  </w:footnote>
  <w:footnote w:id="78">
    <w:p w14:paraId="7A8B1E68" w14:textId="77777777" w:rsidR="00A43161" w:rsidRPr="009733C3" w:rsidRDefault="00A43161" w:rsidP="009733C3">
      <w:pPr>
        <w:pStyle w:val="FootnoteText"/>
        <w:spacing w:after="0"/>
        <w:rPr>
          <w:lang w:val="en-US"/>
        </w:rPr>
      </w:pPr>
      <w:r>
        <w:rPr>
          <w:rStyle w:val="FootnoteReference"/>
        </w:rPr>
        <w:footnoteRef/>
      </w:r>
      <w:r>
        <w:t xml:space="preserve"> </w:t>
      </w:r>
      <w:r w:rsidRPr="009733C3">
        <w:t>SEIFA (Socio-Economic Indexes for Areas) is a Census-based measure that captures population-based characteristics of disadvantage as well as the social or structural characteristics of an area that may limit or promote the ability of its residents to participate fully in society</w:t>
      </w:r>
    </w:p>
  </w:footnote>
  <w:footnote w:id="79">
    <w:p w14:paraId="461A6FD8" w14:textId="77777777" w:rsidR="00A43161" w:rsidRPr="009733C3" w:rsidRDefault="00A43161" w:rsidP="009733C3">
      <w:pPr>
        <w:pStyle w:val="FootnoteText"/>
        <w:spacing w:after="0"/>
        <w:rPr>
          <w:lang w:val="en-US"/>
        </w:rPr>
      </w:pPr>
      <w:r>
        <w:rPr>
          <w:rStyle w:val="FootnoteReference"/>
        </w:rPr>
        <w:footnoteRef/>
      </w:r>
      <w:r>
        <w:t xml:space="preserve"> </w:t>
      </w:r>
      <w:r w:rsidRPr="009733C3">
        <w:t>Australian Institute of Health and Welfare: Child Protection Australia 2013-14</w:t>
      </w:r>
    </w:p>
  </w:footnote>
  <w:footnote w:id="80">
    <w:p w14:paraId="7F41993E" w14:textId="77777777" w:rsidR="00A43161" w:rsidRPr="00B32C0F" w:rsidRDefault="00A43161">
      <w:pPr>
        <w:pStyle w:val="FootnoteText"/>
      </w:pPr>
      <w:r>
        <w:rPr>
          <w:rStyle w:val="FootnoteReference"/>
        </w:rPr>
        <w:footnoteRef/>
      </w:r>
      <w:r>
        <w:t xml:space="preserve"> The Local Government Areas of Bairnsdale, Ballarat, Bendigo, Geelong, Horsham, Mallee, Morwell, Shepparton and Warrnambool.  </w:t>
      </w:r>
    </w:p>
  </w:footnote>
  <w:footnote w:id="81">
    <w:p w14:paraId="12A0CF52" w14:textId="77777777" w:rsidR="00A43161" w:rsidRPr="00B25D72" w:rsidRDefault="00A43161">
      <w:pPr>
        <w:pStyle w:val="FootnoteText"/>
        <w:rPr>
          <w:lang w:val="en-US"/>
        </w:rPr>
      </w:pPr>
      <w:r>
        <w:rPr>
          <w:rStyle w:val="FootnoteReference"/>
        </w:rPr>
        <w:footnoteRef/>
      </w:r>
      <w:r>
        <w:t xml:space="preserve"> </w:t>
      </w:r>
      <w:r w:rsidRPr="00BC1258">
        <w:t>In this context, legal services meaning duty lawyer services and grants of legal assistance</w:t>
      </w:r>
    </w:p>
  </w:footnote>
  <w:footnote w:id="82">
    <w:p w14:paraId="6EFB8F55" w14:textId="1C7BD345" w:rsidR="00A43161" w:rsidRPr="007E220C" w:rsidRDefault="00A43161" w:rsidP="007E220C">
      <w:pPr>
        <w:pStyle w:val="FootnoteText"/>
        <w:spacing w:after="0"/>
      </w:pPr>
      <w:r>
        <w:rPr>
          <w:rStyle w:val="FootnoteReference"/>
        </w:rPr>
        <w:footnoteRef/>
      </w:r>
      <w:r>
        <w:t xml:space="preserve"> The </w:t>
      </w:r>
      <w:r w:rsidRPr="00DA61B3">
        <w:t xml:space="preserve">Guidelines </w:t>
      </w:r>
      <w:r>
        <w:t xml:space="preserve">may be found at </w:t>
      </w:r>
      <w:hyperlink r:id="rId15" w:history="1">
        <w:r w:rsidRPr="006A0944">
          <w:rPr>
            <w:rStyle w:val="Hyperlink"/>
          </w:rPr>
          <w:t>http://handbook.vla.vic.gov.au/handbook/6-state-family-guidelines</w:t>
        </w:r>
      </w:hyperlink>
    </w:p>
  </w:footnote>
  <w:footnote w:id="83">
    <w:p w14:paraId="2E204DD4" w14:textId="600E5C57" w:rsidR="00A43161" w:rsidRPr="00DA61B3" w:rsidRDefault="00A43161" w:rsidP="00D479A2">
      <w:pPr>
        <w:spacing w:after="0"/>
        <w:rPr>
          <w:lang w:val="en-US"/>
        </w:rPr>
      </w:pPr>
      <w:r>
        <w:rPr>
          <w:rStyle w:val="FootnoteReference"/>
        </w:rPr>
        <w:footnoteRef/>
      </w:r>
      <w:r>
        <w:t xml:space="preserve"> </w:t>
      </w:r>
      <w:r w:rsidRPr="00DA61B3">
        <w:rPr>
          <w:b/>
          <w:i/>
          <w:sz w:val="18"/>
          <w:szCs w:val="20"/>
        </w:rPr>
        <w:t>reasonable prospects</w:t>
      </w:r>
      <w:r w:rsidRPr="00DA61B3">
        <w:rPr>
          <w:sz w:val="18"/>
          <w:szCs w:val="20"/>
        </w:rPr>
        <w:t xml:space="preserve"> mean that a prudent and experienced lawyer would consider it ‘more likely than not’ in all the circumstances that satisfaction of the relevant criteria under the guideline (e.g. of the child being placed in the parent’s care, of a case plan being changed, of reunification within the legislated timeframe, that a change in placement was not in the best interests of the child, etc.) can be successfully argued. The prospect of success must be real and not fanciful, having regard to the evidence and circumstances of the case. This requires more than an arguable case. </w:t>
      </w:r>
    </w:p>
  </w:footnote>
  <w:footnote w:id="84">
    <w:p w14:paraId="28568DD1" w14:textId="77777777" w:rsidR="00A43161" w:rsidRPr="00DA61B3" w:rsidRDefault="00A43161" w:rsidP="00DA61B3">
      <w:pPr>
        <w:pStyle w:val="FootnoteText"/>
        <w:spacing w:after="0"/>
        <w:rPr>
          <w:lang w:val="en-US"/>
        </w:rPr>
      </w:pPr>
      <w:r>
        <w:rPr>
          <w:rStyle w:val="FootnoteReference"/>
        </w:rPr>
        <w:footnoteRef/>
      </w:r>
      <w:r>
        <w:t xml:space="preserve"> </w:t>
      </w:r>
      <w:r w:rsidRPr="00DA61B3">
        <w:rPr>
          <w:b/>
          <w:i/>
        </w:rPr>
        <w:t>means test</w:t>
      </w:r>
      <w:r w:rsidRPr="00DA61B3">
        <w:t xml:space="preserve"> means the ‘means test’ as described in </w:t>
      </w:r>
      <w:hyperlink r:id="rId16" w:history="1">
        <w:r w:rsidRPr="00DA61B3">
          <w:rPr>
            <w:rStyle w:val="Hyperlink"/>
          </w:rPr>
          <w:t>VLA Handbook chapter 12</w:t>
        </w:r>
      </w:hyperlink>
      <w:r w:rsidRPr="00DA61B3">
        <w:t>. Further guidance on required documentary proof of income and assets is set out in section 3 of these ‘Simplified grants process – Notes on VLA Guidelines’. Note that VLA does not apply the means test to a child or any financially associated person of the child applying for a grant of assistance under the State Family Guidelines</w:t>
      </w:r>
    </w:p>
  </w:footnote>
  <w:footnote w:id="85">
    <w:p w14:paraId="1B8B4F90" w14:textId="77777777" w:rsidR="00A43161" w:rsidRPr="00DA61B3" w:rsidRDefault="00A43161" w:rsidP="00DA61B3">
      <w:pPr>
        <w:pStyle w:val="FootnoteText"/>
        <w:spacing w:after="0"/>
        <w:rPr>
          <w:lang w:val="en-US"/>
        </w:rPr>
      </w:pPr>
      <w:r>
        <w:rPr>
          <w:rStyle w:val="FootnoteReference"/>
        </w:rPr>
        <w:footnoteRef/>
      </w:r>
      <w:r>
        <w:t xml:space="preserve"> </w:t>
      </w:r>
      <w:r w:rsidRPr="00DA61B3">
        <w:rPr>
          <w:b/>
          <w:i/>
        </w:rPr>
        <w:t>State Reasonable test</w:t>
      </w:r>
      <w:r w:rsidRPr="00DA61B3">
        <w:t xml:space="preserve"> as described in VLA Handbook Chapter 14 (and is referred to as ‘merit outcome’ in ATLAS</w:t>
      </w:r>
    </w:p>
  </w:footnote>
  <w:footnote w:id="86">
    <w:p w14:paraId="4A780979" w14:textId="77777777" w:rsidR="00A43161" w:rsidRPr="005B372E" w:rsidRDefault="00A43161">
      <w:pPr>
        <w:pStyle w:val="FootnoteText"/>
        <w:rPr>
          <w:lang w:val="en-US"/>
        </w:rPr>
      </w:pPr>
      <w:r>
        <w:rPr>
          <w:rStyle w:val="FootnoteReference"/>
        </w:rPr>
        <w:footnoteRef/>
      </w:r>
      <w:r>
        <w:t xml:space="preserve"> </w:t>
      </w:r>
      <w:r w:rsidRPr="005B372E">
        <w:t>Circumstances that would satisfy the eligibility criteria include where that there is a current reunification order and the case plan changes to non-reunification or where a child or young person is in out of home care and they seek alternative placement to the one arranged by DHHS;</w:t>
      </w:r>
    </w:p>
  </w:footnote>
  <w:footnote w:id="87">
    <w:p w14:paraId="7A104FB4" w14:textId="7C8880E5" w:rsidR="00A43161" w:rsidRDefault="00A43161">
      <w:pPr>
        <w:pStyle w:val="FootnoteText"/>
      </w:pPr>
      <w:r>
        <w:rPr>
          <w:rStyle w:val="FootnoteReference"/>
        </w:rPr>
        <w:footnoteRef/>
      </w:r>
      <w:r>
        <w:t xml:space="preserve"> Report on Government Services 2016, Volume f, Chapter 15</w:t>
      </w:r>
    </w:p>
  </w:footnote>
  <w:footnote w:id="88">
    <w:p w14:paraId="5ECEAA0B" w14:textId="77777777" w:rsidR="00A43161" w:rsidRPr="005B372E" w:rsidRDefault="00A43161" w:rsidP="005B372E">
      <w:pPr>
        <w:pStyle w:val="FootnoteText"/>
        <w:spacing w:after="0"/>
        <w:rPr>
          <w:lang w:val="en-US"/>
        </w:rPr>
      </w:pPr>
      <w:r>
        <w:rPr>
          <w:rStyle w:val="FootnoteReference"/>
        </w:rPr>
        <w:footnoteRef/>
      </w:r>
      <w:r>
        <w:t xml:space="preserve"> </w:t>
      </w:r>
      <w:r w:rsidRPr="005B372E">
        <w:t xml:space="preserve">Permanency objectives are listed in s167 of the </w:t>
      </w:r>
      <w:r w:rsidRPr="005B372E">
        <w:rPr>
          <w:i/>
        </w:rPr>
        <w:t>CYFA</w:t>
      </w:r>
      <w:r w:rsidRPr="005B372E">
        <w:t xml:space="preserve"> (2005) and include a hiera</w:t>
      </w:r>
      <w:r>
        <w:t>rchy of intervention – family pr</w:t>
      </w:r>
      <w:r w:rsidRPr="005B372E">
        <w:t>eservation, family reunification, adoption, permanent care and long term out of home care</w:t>
      </w:r>
    </w:p>
  </w:footnote>
  <w:footnote w:id="89">
    <w:p w14:paraId="395E595D" w14:textId="77777777" w:rsidR="00A43161" w:rsidRPr="005B372E" w:rsidRDefault="00A43161" w:rsidP="005B372E">
      <w:pPr>
        <w:pStyle w:val="FootnoteText"/>
        <w:spacing w:after="0"/>
        <w:rPr>
          <w:lang w:val="en-US"/>
        </w:rPr>
      </w:pPr>
      <w:r>
        <w:rPr>
          <w:rStyle w:val="FootnoteReference"/>
        </w:rPr>
        <w:footnoteRef/>
      </w:r>
      <w:r>
        <w:t xml:space="preserve"> </w:t>
      </w:r>
      <w:hyperlink r:id="rId17" w:history="1">
        <w:r w:rsidRPr="00834946">
          <w:rPr>
            <w:rStyle w:val="Hyperlink"/>
          </w:rPr>
          <w:t>http://www.cpmanual.vic.gov.au/advice-and-protocols/information-sheets/permanency-children/legistative-changes-overview</w:t>
        </w:r>
      </w:hyperlink>
      <w:r>
        <w:t xml:space="preserve"> </w:t>
      </w:r>
    </w:p>
  </w:footnote>
  <w:footnote w:id="90">
    <w:p w14:paraId="739717CE" w14:textId="77777777" w:rsidR="00A43161" w:rsidRPr="00603D37" w:rsidRDefault="00A43161" w:rsidP="00603D37">
      <w:pPr>
        <w:pStyle w:val="CommentText"/>
      </w:pPr>
      <w:r>
        <w:rPr>
          <w:rStyle w:val="FootnoteReference"/>
        </w:rPr>
        <w:footnoteRef/>
      </w:r>
      <w:r>
        <w:t xml:space="preserve"> </w:t>
      </w:r>
      <w:r w:rsidRPr="00BB26D2">
        <w:t>Family Court of Australia and the Federal Circuit Court</w:t>
      </w:r>
    </w:p>
  </w:footnote>
  <w:footnote w:id="91">
    <w:p w14:paraId="06791D92" w14:textId="77777777" w:rsidR="00A43161" w:rsidRPr="00E37387" w:rsidRDefault="00A43161" w:rsidP="00E37387">
      <w:pPr>
        <w:pStyle w:val="FootnoteText"/>
        <w:spacing w:after="0"/>
        <w:rPr>
          <w:lang w:val="en-US"/>
        </w:rPr>
      </w:pPr>
      <w:r>
        <w:rPr>
          <w:rStyle w:val="FootnoteReference"/>
        </w:rPr>
        <w:footnoteRef/>
      </w:r>
      <w:r>
        <w:t xml:space="preserve"> </w:t>
      </w:r>
      <w:r w:rsidRPr="00E37387">
        <w:t xml:space="preserve">ALRC: </w:t>
      </w:r>
      <w:r w:rsidRPr="00E37387">
        <w:rPr>
          <w:i/>
        </w:rPr>
        <w:t>Family Violence – A National Perspective</w:t>
      </w:r>
      <w:r w:rsidRPr="00E37387">
        <w:t>, Report 114 (2010) 19.87</w:t>
      </w:r>
    </w:p>
  </w:footnote>
  <w:footnote w:id="92">
    <w:p w14:paraId="6F701485" w14:textId="77777777" w:rsidR="00A43161" w:rsidRPr="00E37387" w:rsidRDefault="00A43161" w:rsidP="00E37387">
      <w:pPr>
        <w:pStyle w:val="FootnoteText"/>
        <w:spacing w:after="0"/>
        <w:rPr>
          <w:lang w:val="en-US"/>
        </w:rPr>
      </w:pPr>
      <w:r>
        <w:rPr>
          <w:rStyle w:val="FootnoteReference"/>
        </w:rPr>
        <w:footnoteRef/>
      </w:r>
      <w:r>
        <w:t xml:space="preserve"> </w:t>
      </w:r>
      <w:r w:rsidRPr="00E37387">
        <w:t xml:space="preserve">Family Law Council, </w:t>
      </w:r>
      <w:r w:rsidRPr="00E37387">
        <w:rPr>
          <w:i/>
        </w:rPr>
        <w:t>Improving Responses to Family Violence in the Family Law System: An Advice of the Intersection of Family Violence and Family Law Issues</w:t>
      </w:r>
      <w:r w:rsidRPr="00E37387">
        <w:t xml:space="preserve"> (2009) 7.2</w:t>
      </w:r>
    </w:p>
  </w:footnote>
  <w:footnote w:id="93">
    <w:p w14:paraId="39D03225" w14:textId="77777777" w:rsidR="00A43161" w:rsidRPr="00E37387" w:rsidRDefault="00A43161" w:rsidP="00E37387">
      <w:pPr>
        <w:pStyle w:val="FootnoteText"/>
        <w:spacing w:after="0"/>
        <w:rPr>
          <w:lang w:val="en-US"/>
        </w:rPr>
      </w:pPr>
      <w:r>
        <w:rPr>
          <w:rStyle w:val="FootnoteReference"/>
        </w:rPr>
        <w:footnoteRef/>
      </w:r>
      <w:r>
        <w:t xml:space="preserve"> </w:t>
      </w:r>
      <w:r w:rsidRPr="00E37387">
        <w:t xml:space="preserve">A non-exhaustive sample includes: ALRC: Family Violence, A National Legal Response, Report 114 (2010); Australian Institute of Family Studies, </w:t>
      </w:r>
      <w:r w:rsidRPr="00E37387">
        <w:rPr>
          <w:i/>
        </w:rPr>
        <w:t>Child Protection and Family Law</w:t>
      </w:r>
      <w:r w:rsidRPr="00E37387">
        <w:t xml:space="preserve"> </w:t>
      </w:r>
      <w:r w:rsidRPr="00E37387">
        <w:rPr>
          <w:i/>
        </w:rPr>
        <w:t>… joining the dots</w:t>
      </w:r>
      <w:r w:rsidRPr="00E37387">
        <w:t xml:space="preserve">, NCPC Issues, No.34; Australian Institute of Family Studies, </w:t>
      </w:r>
      <w:r w:rsidRPr="00E37387">
        <w:rPr>
          <w:i/>
        </w:rPr>
        <w:t>Mind(</w:t>
      </w:r>
      <w:proofErr w:type="spellStart"/>
      <w:r w:rsidRPr="00E37387">
        <w:rPr>
          <w:i/>
        </w:rPr>
        <w:t>ing</w:t>
      </w:r>
      <w:proofErr w:type="spellEnd"/>
      <w:r w:rsidRPr="00E37387">
        <w:rPr>
          <w:i/>
        </w:rPr>
        <w:t>) the Gap</w:t>
      </w:r>
      <w:r w:rsidRPr="00E37387">
        <w:t>, Family Matters, No. 89; VLA Submission to the Access to Justice Review (2016</w:t>
      </w:r>
    </w:p>
  </w:footnote>
  <w:footnote w:id="94">
    <w:p w14:paraId="03208ACA" w14:textId="77777777" w:rsidR="00A43161" w:rsidRPr="00E37387" w:rsidRDefault="00A43161" w:rsidP="00E37387">
      <w:pPr>
        <w:pStyle w:val="FootnoteText"/>
        <w:spacing w:after="0"/>
        <w:rPr>
          <w:lang w:val="en-US"/>
        </w:rPr>
      </w:pPr>
      <w:r>
        <w:rPr>
          <w:rStyle w:val="FootnoteReference"/>
        </w:rPr>
        <w:footnoteRef/>
      </w:r>
      <w:r>
        <w:t xml:space="preserve"> </w:t>
      </w:r>
      <w:r w:rsidRPr="00E37387">
        <w:t xml:space="preserve"> Higgins, D., &amp; </w:t>
      </w:r>
      <w:proofErr w:type="spellStart"/>
      <w:r w:rsidRPr="00E37387">
        <w:t>Kaspiew</w:t>
      </w:r>
      <w:proofErr w:type="spellEnd"/>
      <w:r w:rsidRPr="00E37387">
        <w:t xml:space="preserve">, R. (2008). "Mind the gap...": Protecting children in family law cases. </w:t>
      </w:r>
      <w:r w:rsidRPr="00E37387">
        <w:rPr>
          <w:i/>
        </w:rPr>
        <w:t>Australian Journal of Family Law</w:t>
      </w:r>
      <w:r w:rsidRPr="00E37387">
        <w:t>, 22, 235-258</w:t>
      </w:r>
    </w:p>
  </w:footnote>
  <w:footnote w:id="95">
    <w:p w14:paraId="12791697" w14:textId="77777777" w:rsidR="00A43161" w:rsidRPr="00E37387" w:rsidRDefault="00A43161" w:rsidP="00A21EA3">
      <w:pPr>
        <w:pStyle w:val="FootnoteText"/>
        <w:spacing w:after="0"/>
        <w:rPr>
          <w:lang w:val="en-US"/>
        </w:rPr>
      </w:pPr>
      <w:r>
        <w:rPr>
          <w:rStyle w:val="FootnoteReference"/>
        </w:rPr>
        <w:footnoteRef/>
      </w:r>
      <w:r>
        <w:t xml:space="preserve"> </w:t>
      </w:r>
      <w:r w:rsidRPr="00E37387">
        <w:t>Family Court of Australia, Ma</w:t>
      </w:r>
      <w:r>
        <w:t xml:space="preserve">gellan Program, (10 April 2015) </w:t>
      </w:r>
      <w:r w:rsidRPr="00E37387">
        <w:t>http://www.familycourt.gov.au/wps/wcm/connect/fcoaweb/family-law-matters/family-violence/child-abuse-allegations/</w:t>
      </w:r>
    </w:p>
  </w:footnote>
  <w:footnote w:id="96">
    <w:p w14:paraId="4A6462F8" w14:textId="77777777" w:rsidR="00A43161" w:rsidRPr="00A21EA3" w:rsidRDefault="00A43161" w:rsidP="00A21EA3">
      <w:pPr>
        <w:pStyle w:val="FootnoteText"/>
        <w:spacing w:after="0"/>
        <w:rPr>
          <w:lang w:val="en-US"/>
        </w:rPr>
      </w:pPr>
      <w:r>
        <w:rPr>
          <w:rStyle w:val="FootnoteReference"/>
        </w:rPr>
        <w:footnoteRef/>
      </w:r>
      <w:r>
        <w:t xml:space="preserve"> </w:t>
      </w:r>
      <w:r w:rsidRPr="00A21EA3">
        <w:t>ALRC: Family Violence, A National Legal Response, Report 114 (2010)</w:t>
      </w:r>
    </w:p>
  </w:footnote>
  <w:footnote w:id="97">
    <w:p w14:paraId="083592D9" w14:textId="3F2280DF" w:rsidR="00A43161" w:rsidRDefault="00A43161">
      <w:pPr>
        <w:pStyle w:val="FootnoteText"/>
      </w:pPr>
      <w:r>
        <w:rPr>
          <w:rStyle w:val="FootnoteReference"/>
        </w:rPr>
        <w:footnoteRef/>
      </w:r>
      <w:r>
        <w:t xml:space="preserve"> See the VLA submission to the Family Law Council, which addressed this issue in more detail </w:t>
      </w:r>
      <w:hyperlink r:id="rId18" w:history="1">
        <w:r w:rsidRPr="00FD4704">
          <w:rPr>
            <w:rStyle w:val="Hyperlink"/>
          </w:rPr>
          <w:t>http://www.legalaid.vic.gov.au/about-us/news/family-law-council-submission-encourages-earlier-identification-of-risk-factors-to-families</w:t>
        </w:r>
      </w:hyperlink>
    </w:p>
  </w:footnote>
  <w:footnote w:id="98">
    <w:p w14:paraId="1D22C8B6" w14:textId="77777777" w:rsidR="00A43161" w:rsidRPr="00A21EA3" w:rsidRDefault="00A43161" w:rsidP="00506CF9">
      <w:pPr>
        <w:pStyle w:val="FootnoteText"/>
        <w:spacing w:after="0"/>
        <w:rPr>
          <w:lang w:val="en-US"/>
        </w:rPr>
      </w:pPr>
      <w:r>
        <w:rPr>
          <w:rStyle w:val="FootnoteReference"/>
        </w:rPr>
        <w:footnoteRef/>
      </w:r>
      <w:r>
        <w:t xml:space="preserve"> </w:t>
      </w:r>
      <w:r w:rsidRPr="00A21EA3">
        <w:t xml:space="preserve">Australian Institute of Family Studies: </w:t>
      </w:r>
      <w:r w:rsidRPr="00A21EA3">
        <w:rPr>
          <w:i/>
        </w:rPr>
        <w:t>Risk and protective factor for child abuse and neglect</w:t>
      </w:r>
      <w:r w:rsidRPr="00A21EA3">
        <w:t>, CFCA Resource Sheet, March 2013</w:t>
      </w:r>
    </w:p>
  </w:footnote>
  <w:footnote w:id="99">
    <w:p w14:paraId="5A7AAB42" w14:textId="77777777" w:rsidR="00A43161" w:rsidRPr="00506CF9" w:rsidRDefault="00A43161" w:rsidP="00506CF9">
      <w:pPr>
        <w:pStyle w:val="FootnoteText"/>
        <w:spacing w:after="0"/>
        <w:rPr>
          <w:lang w:val="en-US"/>
        </w:rPr>
      </w:pPr>
      <w:r>
        <w:rPr>
          <w:rStyle w:val="FootnoteReference"/>
        </w:rPr>
        <w:footnoteRef/>
      </w:r>
      <w:r>
        <w:t xml:space="preserve"> </w:t>
      </w:r>
      <w:r w:rsidRPr="00506CF9">
        <w:t>Victorian Child Health and Wellbeing Survey (2013): Summary Findings Report</w:t>
      </w:r>
    </w:p>
  </w:footnote>
  <w:footnote w:id="100">
    <w:p w14:paraId="2F08E535" w14:textId="77777777" w:rsidR="00A43161" w:rsidRPr="00506CF9" w:rsidRDefault="00A43161" w:rsidP="00506CF9">
      <w:pPr>
        <w:pStyle w:val="FootnoteText"/>
        <w:spacing w:after="0"/>
        <w:rPr>
          <w:lang w:val="en-US"/>
        </w:rPr>
      </w:pPr>
      <w:r>
        <w:rPr>
          <w:rStyle w:val="FootnoteReference"/>
        </w:rPr>
        <w:footnoteRef/>
      </w:r>
      <w:r>
        <w:t xml:space="preserve"> Ibid</w:t>
      </w:r>
    </w:p>
  </w:footnote>
  <w:footnote w:id="101">
    <w:p w14:paraId="034E011E" w14:textId="77777777" w:rsidR="00A43161" w:rsidRPr="00506CF9" w:rsidRDefault="00A43161">
      <w:pPr>
        <w:pStyle w:val="FootnoteText"/>
        <w:rPr>
          <w:lang w:val="en-US"/>
        </w:rPr>
      </w:pPr>
      <w:r>
        <w:rPr>
          <w:rStyle w:val="FootnoteReference"/>
        </w:rPr>
        <w:footnoteRef/>
      </w:r>
      <w:r>
        <w:t xml:space="preserve"> </w:t>
      </w:r>
      <w:r w:rsidRPr="00506CF9">
        <w:t>State of our children report, 2013-14</w:t>
      </w:r>
    </w:p>
  </w:footnote>
  <w:footnote w:id="102">
    <w:p w14:paraId="628D8DB9" w14:textId="77777777" w:rsidR="00A43161" w:rsidRPr="00506CF9" w:rsidRDefault="00A43161">
      <w:pPr>
        <w:pStyle w:val="FootnoteText"/>
        <w:rPr>
          <w:lang w:val="en-US"/>
        </w:rPr>
      </w:pPr>
      <w:r>
        <w:rPr>
          <w:rStyle w:val="FootnoteReference"/>
        </w:rPr>
        <w:footnoteRef/>
      </w:r>
      <w:r>
        <w:t xml:space="preserve"> </w:t>
      </w:r>
      <w:r w:rsidRPr="00506CF9">
        <w:t xml:space="preserve">CYFA, s524, </w:t>
      </w:r>
      <w:proofErr w:type="spellStart"/>
      <w:proofErr w:type="gramStart"/>
      <w:r w:rsidRPr="00506CF9">
        <w:t>ss</w:t>
      </w:r>
      <w:proofErr w:type="spellEnd"/>
      <w:r w:rsidRPr="00506CF9">
        <w:t>(</w:t>
      </w:r>
      <w:proofErr w:type="gramEnd"/>
      <w:r w:rsidRPr="00506CF9">
        <w:t>4) court appointed best interest lawyer</w:t>
      </w:r>
    </w:p>
  </w:footnote>
  <w:footnote w:id="103">
    <w:p w14:paraId="6B82EA64" w14:textId="77777777" w:rsidR="00A43161" w:rsidRPr="00A34D47" w:rsidRDefault="00A43161">
      <w:pPr>
        <w:pStyle w:val="FootnoteText"/>
        <w:rPr>
          <w:lang w:val="en-US"/>
        </w:rPr>
      </w:pPr>
      <w:r>
        <w:rPr>
          <w:rStyle w:val="FootnoteReference"/>
        </w:rPr>
        <w:footnoteRef/>
      </w:r>
      <w:r>
        <w:t xml:space="preserve"> </w:t>
      </w:r>
      <w:r>
        <w:rPr>
          <w:lang w:val="en-US"/>
        </w:rPr>
        <w:t>Section 162, CYFA</w:t>
      </w:r>
    </w:p>
  </w:footnote>
  <w:footnote w:id="104">
    <w:p w14:paraId="1866FCA9" w14:textId="77777777" w:rsidR="00A43161" w:rsidRPr="007F0E6E" w:rsidRDefault="00A43161" w:rsidP="00DB6157">
      <w:pPr>
        <w:pStyle w:val="FootnoteText"/>
      </w:pPr>
      <w:r>
        <w:rPr>
          <w:rStyle w:val="FootnoteReference"/>
        </w:rPr>
        <w:footnoteRef/>
      </w:r>
      <w:r>
        <w:t xml:space="preserve"> Third parties do not have a right to be heard.</w:t>
      </w:r>
    </w:p>
  </w:footnote>
  <w:footnote w:id="105">
    <w:p w14:paraId="41F79C76" w14:textId="69F93A7A" w:rsidR="00A43161" w:rsidRDefault="00A43161">
      <w:pPr>
        <w:pStyle w:val="FootnoteText"/>
      </w:pPr>
      <w:r>
        <w:rPr>
          <w:rStyle w:val="FootnoteReference"/>
        </w:rPr>
        <w:footnoteRef/>
      </w:r>
      <w:r>
        <w:t xml:space="preserve"> See VLA’s submission to the ‘Access to Justice Review’ for more detail </w:t>
      </w:r>
      <w:hyperlink r:id="rId19" w:history="1">
        <w:r w:rsidRPr="00A24DD1">
          <w:rPr>
            <w:rStyle w:val="Hyperlink"/>
          </w:rPr>
          <w:t>http://www.legalaid.vic.gov.au/about-us/strategic-advocacy-and-law-reform/access-to-justice-review</w:t>
        </w:r>
      </w:hyperlink>
    </w:p>
  </w:footnote>
  <w:footnote w:id="106">
    <w:p w14:paraId="533A3621" w14:textId="174A40DA" w:rsidR="00A43161" w:rsidRDefault="00A43161" w:rsidP="00B02CB4">
      <w:pPr>
        <w:pStyle w:val="FootnoteText"/>
        <w:spacing w:after="0"/>
      </w:pPr>
      <w:r>
        <w:rPr>
          <w:rStyle w:val="FootnoteReference"/>
        </w:rPr>
        <w:footnoteRef/>
      </w:r>
      <w:r>
        <w:t xml:space="preserve">   </w:t>
      </w:r>
      <w:r w:rsidRPr="00972ADC">
        <w:t xml:space="preserve">Gilbert, 1997; </w:t>
      </w:r>
      <w:r>
        <w:t>Hetherington et al, 1997</w:t>
      </w:r>
    </w:p>
  </w:footnote>
  <w:footnote w:id="107">
    <w:p w14:paraId="7B3B72F7" w14:textId="77777777" w:rsidR="00A43161" w:rsidRDefault="00A43161" w:rsidP="00B02CB4">
      <w:pPr>
        <w:pStyle w:val="FootnoteText"/>
        <w:spacing w:after="0"/>
      </w:pPr>
      <w:r>
        <w:rPr>
          <w:rStyle w:val="FootnoteReference"/>
        </w:rPr>
        <w:footnoteRef/>
      </w:r>
      <w:r>
        <w:t xml:space="preserve"> </w:t>
      </w:r>
      <w:r w:rsidRPr="00B02CB4">
        <w:t xml:space="preserve">  Gilbert, Parton and </w:t>
      </w:r>
      <w:proofErr w:type="spellStart"/>
      <w:r w:rsidRPr="00B02CB4">
        <w:t>Skivenes</w:t>
      </w:r>
      <w:proofErr w:type="spellEnd"/>
      <w:r w:rsidRPr="00B02CB4">
        <w:t>, Child Protection Systems, International Trends and Orientations, Oxford University Press, 2011</w:t>
      </w:r>
    </w:p>
  </w:footnote>
  <w:footnote w:id="108">
    <w:p w14:paraId="32B66BE9" w14:textId="77777777" w:rsidR="00A43161" w:rsidRDefault="00A43161">
      <w:pPr>
        <w:pStyle w:val="FootnoteText"/>
      </w:pPr>
      <w:r>
        <w:rPr>
          <w:rStyle w:val="FootnoteReference"/>
        </w:rPr>
        <w:footnoteRef/>
      </w:r>
      <w:r>
        <w:t xml:space="preserve"> Ibid</w:t>
      </w:r>
    </w:p>
  </w:footnote>
  <w:footnote w:id="109">
    <w:p w14:paraId="1B569EFE" w14:textId="77777777" w:rsidR="00A43161" w:rsidRDefault="00A43161" w:rsidP="00B02CB4">
      <w:pPr>
        <w:pStyle w:val="FootnoteText"/>
        <w:spacing w:after="0"/>
      </w:pPr>
      <w:r>
        <w:rPr>
          <w:rStyle w:val="FootnoteReference"/>
        </w:rPr>
        <w:footnoteRef/>
      </w:r>
      <w:r>
        <w:t xml:space="preserve"> </w:t>
      </w:r>
      <w:r w:rsidRPr="00B02CB4">
        <w:t>Ibid, Table 12.2, p.255</w:t>
      </w:r>
    </w:p>
  </w:footnote>
  <w:footnote w:id="110">
    <w:p w14:paraId="651E257A" w14:textId="77777777" w:rsidR="00A43161" w:rsidRDefault="00A43161">
      <w:pPr>
        <w:pStyle w:val="FootnoteText"/>
      </w:pPr>
      <w:r>
        <w:rPr>
          <w:rStyle w:val="FootnoteReference"/>
        </w:rPr>
        <w:footnoteRef/>
      </w:r>
      <w:r>
        <w:t xml:space="preserve"> </w:t>
      </w:r>
      <w:r w:rsidRPr="00B02CB4">
        <w:t>Ibid, p255-6</w:t>
      </w:r>
    </w:p>
  </w:footnote>
  <w:footnote w:id="111">
    <w:p w14:paraId="5090A3CB" w14:textId="77777777" w:rsidR="00A43161" w:rsidRDefault="00A43161" w:rsidP="00B02CB4">
      <w:pPr>
        <w:pStyle w:val="FootnoteText"/>
        <w:spacing w:after="0"/>
      </w:pPr>
      <w:r>
        <w:rPr>
          <w:rStyle w:val="FootnoteReference"/>
        </w:rPr>
        <w:footnoteRef/>
      </w:r>
      <w:r>
        <w:t xml:space="preserve"> </w:t>
      </w:r>
      <w:r w:rsidRPr="00B02CB4">
        <w:t>Table reproduced from Price-Robertson, Bromfield and Lamont, Child Family Community Australia, Paper 23, Table 2</w:t>
      </w:r>
    </w:p>
  </w:footnote>
  <w:footnote w:id="112">
    <w:p w14:paraId="57E880DB" w14:textId="77777777" w:rsidR="00A43161" w:rsidRDefault="00A43161" w:rsidP="00B02CB4">
      <w:pPr>
        <w:pStyle w:val="FootnoteText"/>
        <w:spacing w:after="0"/>
      </w:pPr>
      <w:r>
        <w:rPr>
          <w:rStyle w:val="FootnoteReference"/>
        </w:rPr>
        <w:footnoteRef/>
      </w:r>
      <w:r>
        <w:t xml:space="preserve"> </w:t>
      </w:r>
      <w:r w:rsidRPr="00B02CB4">
        <w:t>Higgins and Katz, 2008</w:t>
      </w:r>
    </w:p>
  </w:footnote>
  <w:footnote w:id="113">
    <w:p w14:paraId="0DA430CC" w14:textId="77777777" w:rsidR="00A43161" w:rsidRDefault="00A43161" w:rsidP="00B02CB4">
      <w:pPr>
        <w:pStyle w:val="FootnoteText"/>
        <w:spacing w:after="0"/>
      </w:pPr>
      <w:r>
        <w:rPr>
          <w:rStyle w:val="FootnoteReference"/>
        </w:rPr>
        <w:footnoteRef/>
      </w:r>
      <w:r>
        <w:t xml:space="preserve"> </w:t>
      </w:r>
      <w:r w:rsidRPr="00B02CB4">
        <w:rPr>
          <w:i/>
        </w:rPr>
        <w:t>National Framework for Protecting Australia’s Children 2009-2020</w:t>
      </w:r>
      <w:r w:rsidRPr="00B02CB4">
        <w:t>, Council of Australian Governments, 2009, p7</w:t>
      </w:r>
    </w:p>
  </w:footnote>
  <w:footnote w:id="114">
    <w:p w14:paraId="6EF0B06A" w14:textId="77777777" w:rsidR="00A43161" w:rsidRDefault="00A43161" w:rsidP="00B02CB4">
      <w:pPr>
        <w:pStyle w:val="FootnoteText"/>
        <w:spacing w:after="0"/>
      </w:pPr>
      <w:r>
        <w:rPr>
          <w:rStyle w:val="FootnoteReference"/>
        </w:rPr>
        <w:footnoteRef/>
      </w:r>
      <w:r>
        <w:t xml:space="preserve"> </w:t>
      </w:r>
      <w:r w:rsidRPr="00B02CB4">
        <w:rPr>
          <w:i/>
        </w:rPr>
        <w:t>Children, Youth and Families Amendment (Permanent Care and Other Matters) Act 2014 (Vic) and Children, Youth and Families Amendment (Restrictions on the making of Protection Orders) Act 2015</w:t>
      </w:r>
      <w:r w:rsidRPr="00B02CB4">
        <w:t xml:space="preserve"> (Vic)</w:t>
      </w:r>
    </w:p>
  </w:footnote>
  <w:footnote w:id="115">
    <w:p w14:paraId="22ACB617" w14:textId="77777777" w:rsidR="00A43161" w:rsidRDefault="00A43161" w:rsidP="00B02CB4">
      <w:pPr>
        <w:pStyle w:val="FootnoteText"/>
        <w:spacing w:after="0"/>
      </w:pPr>
      <w:r>
        <w:rPr>
          <w:rStyle w:val="FootnoteReference"/>
        </w:rPr>
        <w:footnoteRef/>
      </w:r>
      <w:r>
        <w:t xml:space="preserve"> </w:t>
      </w:r>
      <w:r w:rsidRPr="00B02CB4">
        <w:t>Child Youth and Family Services is a government agency with the Ministry of Social Development and has legal powers to intervene and help children who are being abused or neglected: Ministry of Social Development webpage as at 28 April 2016</w:t>
      </w:r>
    </w:p>
  </w:footnote>
  <w:footnote w:id="116">
    <w:p w14:paraId="56D25344" w14:textId="78DF483D" w:rsidR="00A43161" w:rsidRDefault="00A43161" w:rsidP="00A02670">
      <w:pPr>
        <w:spacing w:line="276" w:lineRule="auto"/>
        <w:rPr>
          <w:lang w:eastAsia="en-AU"/>
        </w:rPr>
      </w:pPr>
      <w:r>
        <w:rPr>
          <w:rStyle w:val="FootnoteReference"/>
        </w:rPr>
        <w:footnoteRef/>
      </w:r>
      <w:r>
        <w:t xml:space="preserve"> </w:t>
      </w:r>
      <w:r w:rsidRPr="00A02670">
        <w:rPr>
          <w:sz w:val="18"/>
          <w:szCs w:val="18"/>
          <w:lang w:eastAsia="en-AU"/>
        </w:rPr>
        <w:t xml:space="preserve">Victorian Law Reform Commission (VLRC), (2010) Protection Applications in the Children's Court: Final Report </w:t>
      </w:r>
      <w:r w:rsidRPr="00A02670">
        <w:rPr>
          <w:sz w:val="18"/>
          <w:szCs w:val="18"/>
        </w:rPr>
        <w:t>page 170</w:t>
      </w:r>
    </w:p>
  </w:footnote>
  <w:footnote w:id="117">
    <w:p w14:paraId="5DD13968" w14:textId="77777777" w:rsidR="00A43161" w:rsidRDefault="00A43161" w:rsidP="00B02CB4">
      <w:pPr>
        <w:pStyle w:val="FootnoteText"/>
        <w:spacing w:after="0"/>
      </w:pPr>
      <w:r>
        <w:rPr>
          <w:rStyle w:val="FootnoteReference"/>
        </w:rPr>
        <w:footnoteRef/>
      </w:r>
      <w:r>
        <w:t xml:space="preserve"> </w:t>
      </w:r>
      <w:r w:rsidRPr="00B02CB4">
        <w:rPr>
          <w:i/>
        </w:rPr>
        <w:t>Children, Young Persons and Their Families Act</w:t>
      </w:r>
      <w:r w:rsidRPr="00B02CB4">
        <w:t xml:space="preserve"> 1989, s42</w:t>
      </w:r>
    </w:p>
  </w:footnote>
  <w:footnote w:id="118">
    <w:p w14:paraId="3E944597" w14:textId="77777777" w:rsidR="00A43161" w:rsidRDefault="00A43161" w:rsidP="00B02CB4">
      <w:pPr>
        <w:pStyle w:val="FootnoteText"/>
        <w:spacing w:after="0"/>
      </w:pPr>
      <w:r>
        <w:rPr>
          <w:rStyle w:val="FootnoteReference"/>
        </w:rPr>
        <w:footnoteRef/>
      </w:r>
      <w:r>
        <w:t xml:space="preserve"> </w:t>
      </w:r>
      <w:r w:rsidRPr="00B02CB4">
        <w:t xml:space="preserve">  Ibid s42(1)</w:t>
      </w:r>
    </w:p>
  </w:footnote>
  <w:footnote w:id="119">
    <w:p w14:paraId="593E8087" w14:textId="77777777" w:rsidR="00A43161" w:rsidRDefault="00A43161" w:rsidP="00B02CB4">
      <w:pPr>
        <w:pStyle w:val="FootnoteText"/>
        <w:spacing w:after="0"/>
      </w:pPr>
      <w:r>
        <w:rPr>
          <w:rStyle w:val="FootnoteReference"/>
        </w:rPr>
        <w:footnoteRef/>
      </w:r>
      <w:r>
        <w:t xml:space="preserve"> </w:t>
      </w:r>
      <w:r w:rsidRPr="00B02CB4">
        <w:t xml:space="preserve">Minister for Social Welfare, Hon Anne </w:t>
      </w:r>
      <w:proofErr w:type="spellStart"/>
      <w:r w:rsidRPr="00B02CB4">
        <w:t>Tolley</w:t>
      </w:r>
      <w:proofErr w:type="spellEnd"/>
      <w:r w:rsidRPr="00B02CB4">
        <w:t>, quoted at https://www.msd.govt.nz/about-msd-and-our-work/work-programmes/investing-in-children/index.html#FinalReportoftheExpertPanelonModernisingChildYouthandFamily1</w:t>
      </w:r>
    </w:p>
  </w:footnote>
  <w:footnote w:id="120">
    <w:p w14:paraId="2EBB4572" w14:textId="41A5E61A" w:rsidR="00A43161" w:rsidRDefault="00A43161" w:rsidP="00A02670">
      <w:pPr>
        <w:pStyle w:val="FootnoteText"/>
        <w:spacing w:after="0"/>
      </w:pPr>
      <w:r>
        <w:rPr>
          <w:rStyle w:val="FootnoteReference"/>
        </w:rPr>
        <w:footnoteRef/>
      </w:r>
      <w:r>
        <w:t xml:space="preserve"> VLA Handbook for Lawyers</w:t>
      </w:r>
      <w:r w:rsidRPr="00B02CB4">
        <w:t xml:space="preserve"> 2016</w:t>
      </w:r>
      <w:r w:rsidRPr="00A02670">
        <w:t xml:space="preserve"> http://handbook.vla.vic.gov.au/handbook/6-state-family-guidelines</w:t>
      </w:r>
    </w:p>
  </w:footnote>
  <w:footnote w:id="121">
    <w:p w14:paraId="19E503ED" w14:textId="41A5E61A" w:rsidR="00A43161" w:rsidRDefault="00A43161" w:rsidP="00B02CB4">
      <w:pPr>
        <w:pStyle w:val="FootnoteText"/>
        <w:spacing w:after="0"/>
      </w:pPr>
      <w:r>
        <w:rPr>
          <w:rStyle w:val="FootnoteReference"/>
        </w:rPr>
        <w:footnoteRef/>
      </w:r>
      <w:r>
        <w:t xml:space="preserve"> </w:t>
      </w:r>
      <w:r w:rsidRPr="00B02CB4">
        <w:t>Lead providers undergo a similar application process as that applied for acceptance on to the VLA s29A child protection panel. The lead providers must not delegate responsibility to junior practitioners without seeking prior permission from Legal Aid. The Commissioner may refuse to pay for services completed by a non-lead provider.</w:t>
      </w:r>
    </w:p>
  </w:footnote>
  <w:footnote w:id="122">
    <w:p w14:paraId="01D457DE" w14:textId="77777777" w:rsidR="00A43161" w:rsidRDefault="00A43161">
      <w:pPr>
        <w:pStyle w:val="FootnoteText"/>
      </w:pPr>
      <w:r>
        <w:rPr>
          <w:rStyle w:val="FootnoteReference"/>
        </w:rPr>
        <w:footnoteRef/>
      </w:r>
      <w:r>
        <w:t xml:space="preserve"> </w:t>
      </w:r>
      <w:r w:rsidRPr="0066733F">
        <w:t>The ‘fixed fee’ approach is relatively recent and has been the subject of recent review, with practitioners generally unsupportive, as fees are very low and the pool of lawyers has shrunk significantly as a result. See www.justice.govt.nz/services/...legal...legal-aid...fixed-fee.../family-fixed-fee-review-document for further discussion.</w:t>
      </w:r>
    </w:p>
  </w:footnote>
  <w:footnote w:id="123">
    <w:p w14:paraId="4A3B9F0A" w14:textId="77777777" w:rsidR="00A43161" w:rsidRDefault="00A43161">
      <w:pPr>
        <w:pStyle w:val="FootnoteText"/>
      </w:pPr>
      <w:r>
        <w:rPr>
          <w:rStyle w:val="FootnoteReference"/>
        </w:rPr>
        <w:footnoteRef/>
      </w:r>
      <w:r>
        <w:t xml:space="preserve"> </w:t>
      </w:r>
      <w:r w:rsidRPr="0066733F">
        <w:t>Price-Robertson, Bromfield and Lamont, International Approaches to Child Protection, Child Family Community Australia Paper 23</w:t>
      </w:r>
    </w:p>
  </w:footnote>
  <w:footnote w:id="124">
    <w:p w14:paraId="6C510FBC" w14:textId="77777777" w:rsidR="00A43161" w:rsidRDefault="00A43161" w:rsidP="0066733F">
      <w:pPr>
        <w:pStyle w:val="FootnoteText"/>
        <w:spacing w:after="0"/>
      </w:pPr>
      <w:r>
        <w:rPr>
          <w:rStyle w:val="FootnoteReference"/>
        </w:rPr>
        <w:footnoteRef/>
      </w:r>
      <w:r>
        <w:t xml:space="preserve"> </w:t>
      </w:r>
      <w:r w:rsidRPr="0066733F">
        <w:t xml:space="preserve">  Department of Justice, Canada, report on ‘Voice of the Child in Legal Proceedings’ (November 2014): </w:t>
      </w:r>
      <w:hyperlink r:id="rId20" w:history="1">
        <w:r w:rsidRPr="00715054">
          <w:rPr>
            <w:rStyle w:val="Hyperlink"/>
          </w:rPr>
          <w:t>http://www.justice.gc.ca/eng/rp-pr/fl-lf/divorce/vccp-vecp/voi2c.html</w:t>
        </w:r>
      </w:hyperlink>
      <w:r>
        <w:t xml:space="preserve"> </w:t>
      </w:r>
    </w:p>
  </w:footnote>
  <w:footnote w:id="125">
    <w:p w14:paraId="7CD58C9D" w14:textId="77777777" w:rsidR="00A43161" w:rsidRDefault="00A43161" w:rsidP="0066733F">
      <w:pPr>
        <w:pStyle w:val="FootnoteText"/>
        <w:spacing w:after="0"/>
      </w:pPr>
      <w:r>
        <w:rPr>
          <w:rStyle w:val="FootnoteReference"/>
        </w:rPr>
        <w:footnoteRef/>
      </w:r>
      <w:r>
        <w:t xml:space="preserve"> </w:t>
      </w:r>
      <w:r w:rsidRPr="0066733F">
        <w:t xml:space="preserve">  Ibid</w:t>
      </w:r>
    </w:p>
  </w:footnote>
  <w:footnote w:id="126">
    <w:p w14:paraId="278063D7" w14:textId="77777777" w:rsidR="00A43161" w:rsidRDefault="00A43161" w:rsidP="00DD3193">
      <w:pPr>
        <w:pStyle w:val="FootnoteText"/>
        <w:spacing w:after="0"/>
      </w:pPr>
      <w:r>
        <w:rPr>
          <w:rStyle w:val="FootnoteReference"/>
        </w:rPr>
        <w:footnoteRef/>
      </w:r>
      <w:r>
        <w:t xml:space="preserve"> </w:t>
      </w:r>
      <w:r w:rsidRPr="00DD3193">
        <w:rPr>
          <w:i/>
        </w:rPr>
        <w:t>Children’s Law Act</w:t>
      </w:r>
      <w:r w:rsidRPr="00DD3193">
        <w:t xml:space="preserve"> RSNL1990 CHAPTER C-13 s71 ss2</w:t>
      </w:r>
    </w:p>
  </w:footnote>
  <w:footnote w:id="127">
    <w:p w14:paraId="0382EBE0" w14:textId="77777777" w:rsidR="00A43161" w:rsidRDefault="00A43161">
      <w:pPr>
        <w:pStyle w:val="FootnoteText"/>
      </w:pPr>
      <w:r>
        <w:rPr>
          <w:rStyle w:val="FootnoteReference"/>
        </w:rPr>
        <w:footnoteRef/>
      </w:r>
      <w:r>
        <w:t xml:space="preserve">   </w:t>
      </w:r>
      <w:r w:rsidRPr="00DD3193">
        <w:t>The OCL also assists children and young people with respect to financial matters, civil law proceedings and trusts and estates. It does not assist children and young people with respect to education law, immigration law, criminal law, mental health law or social assistance. It is unclear whether all cases are legally aided or only those involving child protection.</w:t>
      </w:r>
    </w:p>
  </w:footnote>
  <w:footnote w:id="128">
    <w:p w14:paraId="509FAFC3" w14:textId="77777777" w:rsidR="00A43161" w:rsidRDefault="00A43161" w:rsidP="00DD3193">
      <w:pPr>
        <w:pStyle w:val="FootnoteText"/>
        <w:spacing w:after="0"/>
      </w:pPr>
      <w:r>
        <w:rPr>
          <w:rStyle w:val="FootnoteReference"/>
        </w:rPr>
        <w:footnoteRef/>
      </w:r>
      <w:r>
        <w:t xml:space="preserve"> </w:t>
      </w:r>
      <w:r w:rsidRPr="00DD3193">
        <w:t xml:space="preserve">Ontario Ministry for Justice website as at 9/5/2016: </w:t>
      </w:r>
      <w:hyperlink r:id="rId21" w:history="1">
        <w:r w:rsidRPr="00715054">
          <w:rPr>
            <w:rStyle w:val="Hyperlink"/>
          </w:rPr>
          <w:t>https://www.attorneygeneral.jus.gov.on.ca/english/family/ocl/faq/family_law_and_child_protection.php</w:t>
        </w:r>
      </w:hyperlink>
      <w:r>
        <w:t xml:space="preserve"> </w:t>
      </w:r>
    </w:p>
  </w:footnote>
  <w:footnote w:id="129">
    <w:p w14:paraId="1926BF4F" w14:textId="77777777" w:rsidR="00A43161" w:rsidRDefault="00A43161" w:rsidP="00DD3193">
      <w:pPr>
        <w:pStyle w:val="FootnoteText"/>
        <w:spacing w:after="0"/>
      </w:pPr>
      <w:r>
        <w:rPr>
          <w:rStyle w:val="FootnoteReference"/>
        </w:rPr>
        <w:footnoteRef/>
      </w:r>
      <w:r>
        <w:t xml:space="preserve"> </w:t>
      </w:r>
      <w:r w:rsidRPr="00DD3193">
        <w:t xml:space="preserve">  Department of Justice, Canada, Legal Aid Services website: </w:t>
      </w:r>
      <w:hyperlink r:id="rId22" w:history="1">
        <w:r w:rsidRPr="00715054">
          <w:rPr>
            <w:rStyle w:val="Hyperlink"/>
          </w:rPr>
          <w:t>http://www.justice.gc.ca/eng/fund-fina/gov-gouv/aid-aide.html</w:t>
        </w:r>
      </w:hyperlink>
      <w:r>
        <w:t xml:space="preserve"> </w:t>
      </w:r>
      <w:r w:rsidRPr="00DD3193">
        <w:t>as at 9/5/2016</w:t>
      </w:r>
    </w:p>
  </w:footnote>
  <w:footnote w:id="130">
    <w:p w14:paraId="7E85E9A6" w14:textId="77777777" w:rsidR="00A43161" w:rsidRDefault="00A43161" w:rsidP="00DD3193">
      <w:pPr>
        <w:pStyle w:val="FootnoteText"/>
        <w:spacing w:after="0"/>
      </w:pPr>
      <w:r>
        <w:rPr>
          <w:rStyle w:val="FootnoteReference"/>
        </w:rPr>
        <w:footnoteRef/>
      </w:r>
      <w:r>
        <w:t xml:space="preserve"> </w:t>
      </w:r>
      <w:r w:rsidRPr="00DD3193">
        <w:t>Ibid</w:t>
      </w:r>
    </w:p>
  </w:footnote>
  <w:footnote w:id="131">
    <w:p w14:paraId="72618F18" w14:textId="77777777" w:rsidR="00A43161" w:rsidRDefault="00A43161" w:rsidP="00C24212">
      <w:pPr>
        <w:pStyle w:val="FootnoteText"/>
        <w:spacing w:after="0"/>
      </w:pPr>
      <w:r>
        <w:rPr>
          <w:rStyle w:val="FootnoteReference"/>
        </w:rPr>
        <w:footnoteRef/>
      </w:r>
      <w:r>
        <w:t xml:space="preserve"> </w:t>
      </w:r>
      <w:r w:rsidRPr="00DD3193">
        <w:t xml:space="preserve">  For more details regarding the mechanics of child protection decision making and case planning see </w:t>
      </w:r>
      <w:r w:rsidRPr="00DD3193">
        <w:rPr>
          <w:b/>
        </w:rPr>
        <w:t xml:space="preserve">Annexure </w:t>
      </w:r>
      <w:r>
        <w:rPr>
          <w:b/>
        </w:rPr>
        <w:t>6</w:t>
      </w:r>
      <w:r w:rsidRPr="00DD3193">
        <w:t>.</w:t>
      </w:r>
    </w:p>
  </w:footnote>
  <w:footnote w:id="132">
    <w:p w14:paraId="23BB8D6C" w14:textId="77777777" w:rsidR="00A43161" w:rsidRDefault="00A43161" w:rsidP="00802741">
      <w:pPr>
        <w:pStyle w:val="FootnoteText"/>
        <w:spacing w:after="0"/>
      </w:pPr>
      <w:r>
        <w:rPr>
          <w:rStyle w:val="FootnoteReference"/>
        </w:rPr>
        <w:footnoteRef/>
      </w:r>
      <w:r>
        <w:t xml:space="preserve"> </w:t>
      </w:r>
      <w:r w:rsidRPr="00C24212">
        <w:t xml:space="preserve">  </w:t>
      </w:r>
      <w:r w:rsidRPr="00C24212">
        <w:rPr>
          <w:i/>
        </w:rPr>
        <w:t>The Protection of Children in England</w:t>
      </w:r>
      <w:r w:rsidRPr="00C24212">
        <w:t>, Lord Laming, 2008</w:t>
      </w:r>
    </w:p>
  </w:footnote>
  <w:footnote w:id="133">
    <w:p w14:paraId="6D2D2BE4" w14:textId="77777777" w:rsidR="00A43161" w:rsidRPr="00802741" w:rsidRDefault="00A43161" w:rsidP="00802741">
      <w:pPr>
        <w:pStyle w:val="FootnoteText"/>
        <w:spacing w:after="0"/>
        <w:rPr>
          <w:lang w:val="en-US"/>
        </w:rPr>
      </w:pPr>
      <w:r>
        <w:rPr>
          <w:rStyle w:val="FootnoteReference"/>
        </w:rPr>
        <w:footnoteRef/>
      </w:r>
      <w:r>
        <w:t xml:space="preserve"> </w:t>
      </w:r>
      <w:r w:rsidRPr="00802741">
        <w:t>Tim Loughton, MP, Parliamentary Undersecretary of State, 2011</w:t>
      </w:r>
    </w:p>
  </w:footnote>
  <w:footnote w:id="134">
    <w:p w14:paraId="78F9CADA" w14:textId="77777777" w:rsidR="00A43161" w:rsidRPr="00802741" w:rsidRDefault="00A43161" w:rsidP="00802741">
      <w:pPr>
        <w:pStyle w:val="FootnoteText"/>
        <w:spacing w:after="0"/>
        <w:rPr>
          <w:lang w:val="en-US"/>
        </w:rPr>
      </w:pPr>
      <w:r>
        <w:rPr>
          <w:rStyle w:val="FootnoteReference"/>
        </w:rPr>
        <w:footnoteRef/>
      </w:r>
      <w:r>
        <w:t xml:space="preserve"> </w:t>
      </w:r>
      <w:r w:rsidRPr="00802741">
        <w:rPr>
          <w:i/>
        </w:rPr>
        <w:t>The Munro Review of Child Protection</w:t>
      </w:r>
      <w:r w:rsidRPr="00802741">
        <w:t>, Professor Eileen Munro, 2011</w:t>
      </w:r>
    </w:p>
  </w:footnote>
  <w:footnote w:id="135">
    <w:p w14:paraId="21E8054F" w14:textId="77777777" w:rsidR="00A43161" w:rsidRPr="00802741" w:rsidRDefault="00A43161" w:rsidP="00802741">
      <w:pPr>
        <w:pStyle w:val="FootnoteText"/>
        <w:spacing w:after="0"/>
        <w:rPr>
          <w:lang w:val="en-US"/>
        </w:rPr>
      </w:pPr>
      <w:r>
        <w:rPr>
          <w:rStyle w:val="FootnoteReference"/>
        </w:rPr>
        <w:footnoteRef/>
      </w:r>
      <w:r>
        <w:t xml:space="preserve"> </w:t>
      </w:r>
      <w:r w:rsidRPr="00802741">
        <w:t xml:space="preserve">  Public Law Outline: </w:t>
      </w:r>
      <w:hyperlink r:id="rId23" w:history="1">
        <w:r w:rsidRPr="00715054">
          <w:rPr>
            <w:rStyle w:val="Hyperlink"/>
          </w:rPr>
          <w:t>http://www.familylaw.co.uk/system/uploads/attachments/0008/5147/PD12A_PLO.pdf</w:t>
        </w:r>
      </w:hyperlink>
      <w:r>
        <w:t xml:space="preserve"> </w:t>
      </w:r>
    </w:p>
  </w:footnote>
  <w:footnote w:id="136">
    <w:p w14:paraId="5D2061C4" w14:textId="77777777" w:rsidR="00A43161" w:rsidRPr="00802741" w:rsidRDefault="00A43161" w:rsidP="00802741">
      <w:pPr>
        <w:pStyle w:val="FootnoteText"/>
        <w:spacing w:after="0"/>
        <w:rPr>
          <w:lang w:val="en-US"/>
        </w:rPr>
      </w:pPr>
      <w:r>
        <w:rPr>
          <w:rStyle w:val="FootnoteReference"/>
        </w:rPr>
        <w:footnoteRef/>
      </w:r>
      <w:r>
        <w:t xml:space="preserve"> </w:t>
      </w:r>
      <w:r w:rsidRPr="00802741">
        <w:rPr>
          <w:i/>
        </w:rPr>
        <w:t>Children and Families Act 2014</w:t>
      </w:r>
      <w:r w:rsidRPr="00802741">
        <w:t xml:space="preserve"> (England)</w:t>
      </w:r>
    </w:p>
  </w:footnote>
  <w:footnote w:id="137">
    <w:p w14:paraId="3E5393A4" w14:textId="77777777" w:rsidR="00A43161" w:rsidRPr="00802741" w:rsidRDefault="00A43161" w:rsidP="00802741">
      <w:pPr>
        <w:pStyle w:val="FootnoteText"/>
        <w:spacing w:after="0"/>
        <w:rPr>
          <w:lang w:val="en-US"/>
        </w:rPr>
      </w:pPr>
      <w:r>
        <w:rPr>
          <w:rStyle w:val="FootnoteReference"/>
        </w:rPr>
        <w:footnoteRef/>
      </w:r>
      <w:r>
        <w:t xml:space="preserve"> </w:t>
      </w:r>
      <w:r w:rsidRPr="00802741">
        <w:t>Masson and Dickens: Care proceedings: the operation and effect of pre-proceedings – what do lawyers need to know? [http://www.familylawweek.co.uk/site.aspx?i=ed114447]</w:t>
      </w:r>
      <w:r>
        <w:t xml:space="preserve"> </w:t>
      </w:r>
    </w:p>
  </w:footnote>
  <w:footnote w:id="138">
    <w:p w14:paraId="2753C296" w14:textId="77777777" w:rsidR="00A43161" w:rsidRPr="00802741" w:rsidRDefault="00A43161" w:rsidP="00802741">
      <w:pPr>
        <w:pStyle w:val="FootnoteText"/>
        <w:spacing w:after="0"/>
        <w:rPr>
          <w:lang w:val="en-US"/>
        </w:rPr>
      </w:pPr>
      <w:r>
        <w:rPr>
          <w:rStyle w:val="FootnoteReference"/>
        </w:rPr>
        <w:footnoteRef/>
      </w:r>
      <w:r>
        <w:t xml:space="preserve"> </w:t>
      </w:r>
      <w:r w:rsidRPr="00802741">
        <w:t>Department of Education: Court orders and pre-proceedings publication (April 2014) [ https://www.gov.uk/government/uploads/system/uploads/attachment_data/file/306282/Statutory_guidance_on_court_orders_and_pre-proceedings.pdf]</w:t>
      </w:r>
    </w:p>
  </w:footnote>
  <w:footnote w:id="139">
    <w:p w14:paraId="535CBD52" w14:textId="77777777" w:rsidR="00A43161" w:rsidRPr="00802741" w:rsidRDefault="00A43161" w:rsidP="00802741">
      <w:pPr>
        <w:pStyle w:val="FootnoteText"/>
        <w:spacing w:after="0"/>
        <w:rPr>
          <w:lang w:val="en-US"/>
        </w:rPr>
      </w:pPr>
      <w:r>
        <w:rPr>
          <w:rStyle w:val="FootnoteReference"/>
        </w:rPr>
        <w:footnoteRef/>
      </w:r>
      <w:r>
        <w:t xml:space="preserve"> </w:t>
      </w:r>
      <w:r w:rsidRPr="00802741">
        <w:t xml:space="preserve">Masson and Bader, Dickens and Young, The pre-proceedings process for families on the edge of care proceedings, March 2013. [http://www.bristol.ac.uk/media-library/sites/law/migrated/documents/summary.pdf] The study was conducted in 6 local authorities in England and involved analysis of 207 court files, interviews with 16 social work managers, 19 social workers, 16 local authority lawyers, 19 lawyers who represent parents, 36 observed pre-proceeding meetings, 24 interviews with parents following meetings and a focus group with judges.  </w:t>
      </w:r>
    </w:p>
  </w:footnote>
  <w:footnote w:id="140">
    <w:p w14:paraId="27D7E1E9" w14:textId="77777777" w:rsidR="00A43161" w:rsidRPr="00802741" w:rsidRDefault="00A43161" w:rsidP="00802741">
      <w:pPr>
        <w:pStyle w:val="FootnoteText"/>
        <w:spacing w:after="0"/>
        <w:rPr>
          <w:lang w:val="en-US"/>
        </w:rPr>
      </w:pPr>
      <w:r>
        <w:rPr>
          <w:rStyle w:val="FootnoteReference"/>
        </w:rPr>
        <w:footnoteRef/>
      </w:r>
      <w:r>
        <w:t xml:space="preserve"> </w:t>
      </w:r>
      <w:r w:rsidRPr="00802741">
        <w:t>Based on the file sample, about a quarter of cases did not enter care proceedings; in a third of these children were protected by kin care or foster care; and in two thirds by improvements in care at home.</w:t>
      </w:r>
    </w:p>
  </w:footnote>
  <w:footnote w:id="141">
    <w:p w14:paraId="2002696F" w14:textId="77777777" w:rsidR="00A43161" w:rsidRPr="00802741" w:rsidRDefault="00A43161" w:rsidP="00802741">
      <w:pPr>
        <w:pStyle w:val="FootnoteText"/>
        <w:spacing w:after="0"/>
        <w:rPr>
          <w:lang w:val="en-US"/>
        </w:rPr>
      </w:pPr>
      <w:r>
        <w:rPr>
          <w:rStyle w:val="FootnoteReference"/>
        </w:rPr>
        <w:footnoteRef/>
      </w:r>
      <w:r>
        <w:t xml:space="preserve"> </w:t>
      </w:r>
      <w:r w:rsidRPr="00802741">
        <w:t>Legal Aid UK, Funding Guidelines (as at May 2016): https://www.govuk/legal-aid/print. It is unclear from desktop research whether having a ‘child in care’ is defined as ‘out of home care’ or the subject of care proceedings.</w:t>
      </w:r>
    </w:p>
  </w:footnote>
  <w:footnote w:id="142">
    <w:p w14:paraId="17938D3C" w14:textId="77777777" w:rsidR="00A43161" w:rsidRPr="00802741" w:rsidRDefault="00A43161" w:rsidP="00802741">
      <w:pPr>
        <w:pStyle w:val="FootnoteText"/>
        <w:spacing w:after="0"/>
        <w:rPr>
          <w:lang w:val="en-US"/>
        </w:rPr>
      </w:pPr>
      <w:r>
        <w:rPr>
          <w:rStyle w:val="FootnoteReference"/>
        </w:rPr>
        <w:footnoteRef/>
      </w:r>
      <w:r>
        <w:t xml:space="preserve"> </w:t>
      </w:r>
      <w:r w:rsidRPr="00802741">
        <w:t xml:space="preserve">  Ibid and https://www.gov.uk/legal-aid/eligibility</w:t>
      </w:r>
    </w:p>
  </w:footnote>
  <w:footnote w:id="143">
    <w:p w14:paraId="129DFC55" w14:textId="77777777" w:rsidR="00A43161" w:rsidRPr="00D11015" w:rsidRDefault="00A43161">
      <w:pPr>
        <w:pStyle w:val="FootnoteText"/>
        <w:rPr>
          <w:lang w:val="en-US"/>
        </w:rPr>
      </w:pPr>
      <w:r>
        <w:rPr>
          <w:rStyle w:val="FootnoteReference"/>
        </w:rPr>
        <w:footnoteRef/>
      </w:r>
      <w:r>
        <w:t xml:space="preserve"> </w:t>
      </w:r>
      <w:hyperlink r:id="rId24" w:history="1">
        <w:r w:rsidRPr="00032983">
          <w:rPr>
            <w:rStyle w:val="Hyperlink"/>
          </w:rPr>
          <w:t>https://www.citizensadvice.org.uk/law-and-rights/legal-system/taking-legal-action/help-with-legal-costs-legal-aid/</w:t>
        </w:r>
      </w:hyperlink>
      <w:r>
        <w:t xml:space="preserve"> and </w:t>
      </w:r>
      <w:hyperlink r:id="rId25" w:history="1">
        <w:r w:rsidRPr="00032983">
          <w:rPr>
            <w:rStyle w:val="Hyperlink"/>
          </w:rPr>
          <w:t>https://www.citizensadvice.org.uk/relationships/children-and-young-people/child-abuse/local-authority-involvement/child-protection-conferences/child-abuse-who-attends-a-child-protection-conference/</w:t>
        </w:r>
      </w:hyperlink>
      <w:r>
        <w:t xml:space="preserve"> </w:t>
      </w:r>
    </w:p>
  </w:footnote>
  <w:footnote w:id="144">
    <w:p w14:paraId="51E611EF" w14:textId="77777777" w:rsidR="00A43161" w:rsidRPr="00802741" w:rsidRDefault="00A43161" w:rsidP="00802741">
      <w:pPr>
        <w:pStyle w:val="FootnoteText"/>
        <w:spacing w:after="0"/>
        <w:rPr>
          <w:lang w:val="en-US"/>
        </w:rPr>
      </w:pPr>
      <w:r>
        <w:rPr>
          <w:rStyle w:val="FootnoteReference"/>
        </w:rPr>
        <w:footnoteRef/>
      </w:r>
      <w:r>
        <w:t xml:space="preserve"> </w:t>
      </w:r>
      <w:r w:rsidRPr="00802741">
        <w:t xml:space="preserve">Details of changes contained in </w:t>
      </w:r>
      <w:r w:rsidRPr="00802741">
        <w:rPr>
          <w:b/>
        </w:rPr>
        <w:t xml:space="preserve">Annexure </w:t>
      </w:r>
      <w:r>
        <w:rPr>
          <w:b/>
        </w:rPr>
        <w:t>7</w:t>
      </w:r>
    </w:p>
  </w:footnote>
  <w:footnote w:id="145">
    <w:p w14:paraId="024ADB7D" w14:textId="77777777" w:rsidR="00A43161" w:rsidRPr="00802741" w:rsidRDefault="00A43161" w:rsidP="00D449B1">
      <w:pPr>
        <w:pStyle w:val="FootnoteText"/>
        <w:spacing w:after="0"/>
        <w:rPr>
          <w:lang w:val="en-US"/>
        </w:rPr>
      </w:pPr>
      <w:r>
        <w:rPr>
          <w:rStyle w:val="FootnoteReference"/>
        </w:rPr>
        <w:footnoteRef/>
      </w:r>
      <w:r>
        <w:t xml:space="preserve"> </w:t>
      </w:r>
      <w:r w:rsidRPr="00802741">
        <w:t>VLRC, Protection Applications in the Children’s Court, Final Report 19, p180</w:t>
      </w:r>
    </w:p>
  </w:footnote>
  <w:footnote w:id="146">
    <w:p w14:paraId="0CD2FFD6" w14:textId="77777777" w:rsidR="00A43161" w:rsidRPr="00D449B1" w:rsidRDefault="00A43161" w:rsidP="00D449B1">
      <w:pPr>
        <w:pStyle w:val="FootnoteText"/>
        <w:spacing w:after="0"/>
        <w:rPr>
          <w:lang w:val="en-US"/>
        </w:rPr>
      </w:pPr>
      <w:r>
        <w:rPr>
          <w:rStyle w:val="FootnoteReference"/>
        </w:rPr>
        <w:footnoteRef/>
      </w:r>
      <w:r>
        <w:t xml:space="preserve"> </w:t>
      </w:r>
      <w:r w:rsidRPr="00D449B1">
        <w:t>2011 Act s28(2)</w:t>
      </w:r>
    </w:p>
  </w:footnote>
  <w:footnote w:id="147">
    <w:p w14:paraId="15AD7BC8" w14:textId="77777777" w:rsidR="00A43161" w:rsidRPr="00D449B1" w:rsidRDefault="00A43161" w:rsidP="00D449B1">
      <w:pPr>
        <w:pStyle w:val="FootnoteText"/>
        <w:spacing w:after="0"/>
        <w:rPr>
          <w:lang w:val="en-US"/>
        </w:rPr>
      </w:pPr>
      <w:r>
        <w:rPr>
          <w:rStyle w:val="FootnoteReference"/>
        </w:rPr>
        <w:footnoteRef/>
      </w:r>
      <w:r>
        <w:t xml:space="preserve"> </w:t>
      </w:r>
      <w:r w:rsidRPr="00D449B1">
        <w:t xml:space="preserve">Where ‘proof’ of an application is disputed by the child or their parents, the matter will be referred to compulsory pre-hearing conference and case management hearing. If no resolution is reached, the application will be referred to the Sheriff’s Court for a determination as to ‘proof’ before the matter is remitted to the children’s hearing process. From 3 June 2013 the Act of </w:t>
      </w:r>
      <w:proofErr w:type="spellStart"/>
      <w:r w:rsidRPr="00D449B1">
        <w:t>Sederunt</w:t>
      </w:r>
      <w:proofErr w:type="spellEnd"/>
      <w:r w:rsidRPr="00D449B1">
        <w:t xml:space="preserve"> (Sheriff Court Rules) (Miscellaneous Amendments) (No. 2) 2013 came into effect. This refers to Section 11 of the Children (Scotland) Act 1995 cases and is termed as “expeditious resolution of certain causes”. The changes introduced the pre-hearing conference, joint minute of pre hearing conference and case management hearing. The intention of the new rules is to enhance case management and limit the length and scope of disputes relating to ‘proof’ of an application. It has been designed to produce a more efficient, less costly procedure that is better for the court system, parties, and children.</w:t>
      </w:r>
    </w:p>
  </w:footnote>
  <w:footnote w:id="148">
    <w:p w14:paraId="3B725341" w14:textId="77777777" w:rsidR="00A43161" w:rsidRPr="00D449B1" w:rsidRDefault="00A43161" w:rsidP="00D449B1">
      <w:pPr>
        <w:pStyle w:val="FootnoteText"/>
        <w:spacing w:after="0"/>
        <w:rPr>
          <w:lang w:val="en-US"/>
        </w:rPr>
      </w:pPr>
      <w:r>
        <w:rPr>
          <w:rStyle w:val="FootnoteReference"/>
        </w:rPr>
        <w:footnoteRef/>
      </w:r>
      <w:r>
        <w:t xml:space="preserve"> </w:t>
      </w:r>
      <w:r w:rsidRPr="00D449B1">
        <w:t>2011 Act s27</w:t>
      </w:r>
    </w:p>
  </w:footnote>
  <w:footnote w:id="149">
    <w:p w14:paraId="2BF0CAA1" w14:textId="77777777" w:rsidR="00A43161" w:rsidRPr="00D449B1" w:rsidRDefault="00A43161">
      <w:pPr>
        <w:pStyle w:val="FootnoteText"/>
        <w:rPr>
          <w:lang w:val="en-US"/>
        </w:rPr>
      </w:pPr>
      <w:r>
        <w:rPr>
          <w:rStyle w:val="FootnoteReference"/>
        </w:rPr>
        <w:footnoteRef/>
      </w:r>
      <w:r>
        <w:t xml:space="preserve"> </w:t>
      </w:r>
      <w:hyperlink r:id="rId26" w:history="1">
        <w:r w:rsidRPr="00715054">
          <w:rPr>
            <w:rStyle w:val="Hyperlink"/>
          </w:rPr>
          <w:t>http://www.slab.org.uk/providers/mailshots/2013_Jun_to_Dec/newsfeed/Childrens</w:t>
        </w:r>
      </w:hyperlink>
      <w:r>
        <w:t xml:space="preserve"> </w:t>
      </w:r>
    </w:p>
  </w:footnote>
  <w:footnote w:id="150">
    <w:p w14:paraId="4F9A54C2" w14:textId="77777777" w:rsidR="00A43161" w:rsidRPr="00D449B1" w:rsidRDefault="00A43161" w:rsidP="00D449B1">
      <w:pPr>
        <w:pStyle w:val="FootnoteText"/>
        <w:spacing w:after="0"/>
        <w:rPr>
          <w:lang w:val="en-US"/>
        </w:rPr>
      </w:pPr>
      <w:r>
        <w:rPr>
          <w:rStyle w:val="FootnoteReference"/>
        </w:rPr>
        <w:footnoteRef/>
      </w:r>
      <w:r>
        <w:t xml:space="preserve"> </w:t>
      </w:r>
      <w:r w:rsidRPr="00D449B1">
        <w:t xml:space="preserve">Scottish Legal Aid Board’s </w:t>
      </w:r>
      <w:r w:rsidRPr="00D449B1">
        <w:rPr>
          <w:i/>
        </w:rPr>
        <w:t>Legal Assistance Handbook for Children’s Proceedings under the Children’s Hearings (Scotland) Act 2011</w:t>
      </w:r>
      <w:r w:rsidRPr="00D449B1">
        <w:t xml:space="preserve">, viewed at: www.slab.org.uk/handbooks/Children's%20Hearings%20(S)%20Act%202011/wwhelp/wwhimpl/js/html/wwhelp.htm#href=Part%20III%20Children's%20Legal%20Aid/Part%20III%201%20Legal%20aid%20for%20childrens%20proceedings.html  </w:t>
      </w:r>
    </w:p>
  </w:footnote>
  <w:footnote w:id="151">
    <w:p w14:paraId="6EB2813F" w14:textId="77777777" w:rsidR="00A43161" w:rsidRPr="00D449B1" w:rsidRDefault="00A43161" w:rsidP="00D449B1">
      <w:pPr>
        <w:pStyle w:val="FootnoteText"/>
        <w:spacing w:after="0"/>
        <w:rPr>
          <w:lang w:val="en-US"/>
        </w:rPr>
      </w:pPr>
      <w:r>
        <w:rPr>
          <w:rStyle w:val="FootnoteReference"/>
        </w:rPr>
        <w:footnoteRef/>
      </w:r>
      <w:r>
        <w:t xml:space="preserve"> </w:t>
      </w:r>
      <w:r w:rsidRPr="00D449B1">
        <w:t>Law Society of Scotland: Discussion Paper (March 2015) [https://www.lawscot.org.uk/media/391321/legal-assistance-in-scotland-discussion-paper.pdf]</w:t>
      </w:r>
    </w:p>
  </w:footnote>
  <w:footnote w:id="152">
    <w:p w14:paraId="511547DF" w14:textId="77777777" w:rsidR="00A43161" w:rsidRPr="00D449B1" w:rsidRDefault="00A43161" w:rsidP="00D449B1">
      <w:pPr>
        <w:pStyle w:val="FootnoteText"/>
        <w:spacing w:after="0"/>
        <w:rPr>
          <w:lang w:val="en-US"/>
        </w:rPr>
      </w:pPr>
      <w:r>
        <w:rPr>
          <w:rStyle w:val="FootnoteReference"/>
        </w:rPr>
        <w:footnoteRef/>
      </w:r>
      <w:r>
        <w:t xml:space="preserve"> </w:t>
      </w:r>
      <w:r w:rsidRPr="00D449B1">
        <w:t>Price-Robertson et al, p6</w:t>
      </w:r>
    </w:p>
  </w:footnote>
  <w:footnote w:id="153">
    <w:p w14:paraId="387304C3" w14:textId="77777777" w:rsidR="00A43161" w:rsidRPr="00D449B1" w:rsidRDefault="00A43161">
      <w:pPr>
        <w:pStyle w:val="FootnoteText"/>
        <w:rPr>
          <w:lang w:val="en-US"/>
        </w:rPr>
      </w:pPr>
      <w:r>
        <w:rPr>
          <w:rStyle w:val="FootnoteReference"/>
        </w:rPr>
        <w:footnoteRef/>
      </w:r>
      <w:r>
        <w:t xml:space="preserve"> </w:t>
      </w:r>
      <w:r w:rsidRPr="00D449B1">
        <w:t>Children and Parents Code of Sweden: http://www.government.se/information-material/2010/11/parents-and-children---brief-information-about-current-legislation/</w:t>
      </w:r>
    </w:p>
  </w:footnote>
  <w:footnote w:id="154">
    <w:p w14:paraId="6FD0B938" w14:textId="77777777" w:rsidR="00A43161" w:rsidRPr="00ED705C" w:rsidRDefault="00A43161" w:rsidP="00D449B1">
      <w:pPr>
        <w:pStyle w:val="FootnoteText"/>
        <w:spacing w:after="0"/>
        <w:rPr>
          <w:lang w:val="en-US"/>
        </w:rPr>
      </w:pPr>
      <w:r>
        <w:rPr>
          <w:rStyle w:val="FootnoteReference"/>
        </w:rPr>
        <w:footnoteRef/>
      </w:r>
      <w:r w:rsidRPr="00ED705C">
        <w:rPr>
          <w:lang w:val="en-US"/>
        </w:rPr>
        <w:t xml:space="preserve"> </w:t>
      </w:r>
      <w:hyperlink r:id="rId27" w:history="1">
        <w:r w:rsidRPr="00ED705C">
          <w:rPr>
            <w:rStyle w:val="Hyperlink"/>
            <w:lang w:val="en-US"/>
          </w:rPr>
          <w:t>http://www.rattshjalp.se/Funktioner/English/Legal-assistance/</w:t>
        </w:r>
      </w:hyperlink>
      <w:r w:rsidRPr="00ED705C">
        <w:rPr>
          <w:lang w:val="en-US"/>
        </w:rPr>
        <w:t xml:space="preserve"> </w:t>
      </w:r>
    </w:p>
  </w:footnote>
  <w:footnote w:id="155">
    <w:p w14:paraId="355E7CD9" w14:textId="77777777" w:rsidR="00A43161" w:rsidRPr="00D449B1" w:rsidRDefault="00A43161" w:rsidP="00D449B1">
      <w:pPr>
        <w:pStyle w:val="FootnoteText"/>
        <w:spacing w:after="0"/>
        <w:rPr>
          <w:lang w:val="en-US"/>
        </w:rPr>
      </w:pPr>
      <w:r>
        <w:rPr>
          <w:rStyle w:val="FootnoteReference"/>
        </w:rPr>
        <w:footnoteRef/>
      </w:r>
      <w:r>
        <w:t xml:space="preserve"> </w:t>
      </w:r>
      <w:r w:rsidRPr="00D449B1">
        <w:t xml:space="preserve">This is not applicable to children and young people. </w:t>
      </w:r>
      <w:hyperlink r:id="rId28" w:history="1">
        <w:r w:rsidRPr="00715054">
          <w:rPr>
            <w:rStyle w:val="Hyperlink"/>
          </w:rPr>
          <w:t>http://www.rattshjalp.se/Funktioner/English/Legal-assistance/Legal-aid/</w:t>
        </w:r>
      </w:hyperlink>
      <w:r>
        <w:t xml:space="preserve"> </w:t>
      </w:r>
    </w:p>
  </w:footnote>
  <w:footnote w:id="156">
    <w:p w14:paraId="04E87311" w14:textId="77777777" w:rsidR="00A43161" w:rsidRPr="00D449B1" w:rsidRDefault="00A43161" w:rsidP="00D449B1">
      <w:pPr>
        <w:pStyle w:val="FootnoteText"/>
        <w:spacing w:after="0"/>
        <w:rPr>
          <w:lang w:val="en-US"/>
        </w:rPr>
      </w:pPr>
      <w:r>
        <w:rPr>
          <w:rStyle w:val="FootnoteReference"/>
        </w:rPr>
        <w:footnoteRef/>
      </w:r>
      <w:r>
        <w:t xml:space="preserve"> </w:t>
      </w:r>
      <w:r w:rsidRPr="00D449B1">
        <w:t>Children and young people are not required to pay a fee. Lawyers must take into account income when determining cost of advice.</w:t>
      </w:r>
    </w:p>
  </w:footnote>
  <w:footnote w:id="157">
    <w:p w14:paraId="64930BAB" w14:textId="77777777" w:rsidR="00A43161" w:rsidRPr="00D449B1" w:rsidRDefault="00A43161" w:rsidP="00D449B1">
      <w:pPr>
        <w:pStyle w:val="FootnoteText"/>
        <w:spacing w:after="0"/>
        <w:rPr>
          <w:lang w:val="en-US"/>
        </w:rPr>
      </w:pPr>
      <w:r>
        <w:rPr>
          <w:rStyle w:val="FootnoteReference"/>
        </w:rPr>
        <w:footnoteRef/>
      </w:r>
      <w:r>
        <w:t xml:space="preserve"> </w:t>
      </w:r>
      <w:r w:rsidRPr="00D449B1">
        <w:t xml:space="preserve">  Legal Aid Sweden Information booklet: http://www.domstol.se/publikationer/informationsmaterial/legal_aid_in_sweden.pdf</w:t>
      </w:r>
    </w:p>
  </w:footnote>
  <w:footnote w:id="158">
    <w:p w14:paraId="78339DAC" w14:textId="77777777" w:rsidR="00A43161" w:rsidRPr="00D449B1" w:rsidRDefault="00A43161" w:rsidP="00D449B1">
      <w:pPr>
        <w:pStyle w:val="FootnoteText"/>
        <w:spacing w:after="0"/>
        <w:rPr>
          <w:lang w:val="en-US"/>
        </w:rPr>
      </w:pPr>
      <w:r>
        <w:rPr>
          <w:rStyle w:val="FootnoteReference"/>
        </w:rPr>
        <w:footnoteRef/>
      </w:r>
      <w:r>
        <w:t xml:space="preserve"> </w:t>
      </w:r>
      <w:r w:rsidRPr="00D449B1">
        <w:t xml:space="preserve">Norway Legal Aid website (as at 9/5/2016): </w:t>
      </w:r>
      <w:hyperlink r:id="rId29" w:history="1">
        <w:r w:rsidRPr="00715054">
          <w:rPr>
            <w:rStyle w:val="Hyperlink"/>
          </w:rPr>
          <w:t>http://www.sivilrett.no/who-can-receive-free-legal-aid.307233.no.html</w:t>
        </w:r>
      </w:hyperlink>
      <w:r>
        <w:t xml:space="preserve"> </w:t>
      </w:r>
    </w:p>
  </w:footnote>
  <w:footnote w:id="159">
    <w:p w14:paraId="6F34C7AB" w14:textId="77777777" w:rsidR="00A43161" w:rsidRPr="00D449B1" w:rsidRDefault="00A43161" w:rsidP="00D449B1">
      <w:pPr>
        <w:pStyle w:val="FootnoteText"/>
        <w:spacing w:after="0"/>
        <w:rPr>
          <w:lang w:val="en-US"/>
        </w:rPr>
      </w:pPr>
      <w:r>
        <w:rPr>
          <w:rStyle w:val="FootnoteReference"/>
        </w:rPr>
        <w:footnoteRef/>
      </w:r>
      <w:r>
        <w:t xml:space="preserve"> </w:t>
      </w:r>
      <w:r w:rsidRPr="00D449B1">
        <w:t>http://www.coe.int/en/web/children/alternative-care</w:t>
      </w:r>
    </w:p>
  </w:footnote>
  <w:footnote w:id="160">
    <w:p w14:paraId="56DCD272" w14:textId="77777777" w:rsidR="00A43161" w:rsidRPr="00D449B1" w:rsidRDefault="00A43161" w:rsidP="00D449B1">
      <w:pPr>
        <w:pStyle w:val="FootnoteText"/>
        <w:spacing w:after="0"/>
        <w:rPr>
          <w:lang w:val="en-US"/>
        </w:rPr>
      </w:pPr>
      <w:r>
        <w:rPr>
          <w:rStyle w:val="FootnoteReference"/>
        </w:rPr>
        <w:footnoteRef/>
      </w:r>
      <w:r>
        <w:t xml:space="preserve"> </w:t>
      </w:r>
      <w:hyperlink r:id="rId30" w:history="1">
        <w:r w:rsidRPr="00715054">
          <w:rPr>
            <w:rStyle w:val="Hyperlink"/>
          </w:rPr>
          <w:t>http://www.newsinenglish.no/2016/01/11/norway-defends-its-child-welfare-laws/</w:t>
        </w:r>
      </w:hyperlink>
      <w:r>
        <w:t xml:space="preserve"> </w:t>
      </w:r>
      <w:hyperlink r:id="rId31" w:history="1">
        <w:r w:rsidRPr="00715054">
          <w:rPr>
            <w:rStyle w:val="Hyperlink"/>
          </w:rPr>
          <w:t>http://www.thelocal.no/20160415/norway-to-face-world-record-protests-over-child-services</w:t>
        </w:r>
      </w:hyperlink>
      <w:r>
        <w:t xml:space="preserve"> </w:t>
      </w:r>
    </w:p>
  </w:footnote>
  <w:footnote w:id="161">
    <w:p w14:paraId="70824BD5" w14:textId="77777777" w:rsidR="00A43161" w:rsidRPr="00563091" w:rsidRDefault="00A43161" w:rsidP="00D31537">
      <w:pPr>
        <w:pStyle w:val="FootnoteText"/>
        <w:rPr>
          <w:lang w:val="en-US"/>
        </w:rPr>
      </w:pPr>
      <w:r>
        <w:rPr>
          <w:rStyle w:val="FootnoteReference"/>
        </w:rPr>
        <w:footnoteRef/>
      </w:r>
      <w:r>
        <w:t xml:space="preserve"> </w:t>
      </w:r>
      <w:r w:rsidRPr="00563091">
        <w:t xml:space="preserve">Annual State of Victoria’s Children report (2011): </w:t>
      </w:r>
      <w:r w:rsidRPr="00563091">
        <w:rPr>
          <w:i/>
        </w:rPr>
        <w:t>A report on how children in regional and rural Victoria are faring</w:t>
      </w:r>
    </w:p>
  </w:footnote>
  <w:footnote w:id="162">
    <w:p w14:paraId="51A42436" w14:textId="77777777" w:rsidR="00A43161" w:rsidRPr="000A2A3A" w:rsidRDefault="00A43161" w:rsidP="00D31537">
      <w:pPr>
        <w:pStyle w:val="FootnoteText"/>
        <w:spacing w:after="0"/>
        <w:rPr>
          <w:lang w:val="en-US"/>
        </w:rPr>
      </w:pPr>
      <w:r>
        <w:rPr>
          <w:rStyle w:val="FootnoteReference"/>
        </w:rPr>
        <w:footnoteRef/>
      </w:r>
      <w:r>
        <w:t xml:space="preserve"> </w:t>
      </w:r>
      <w:r w:rsidRPr="000A2A3A">
        <w:t xml:space="preserve">Table taken from 2012 </w:t>
      </w:r>
      <w:r w:rsidRPr="000A2A3A">
        <w:rPr>
          <w:i/>
        </w:rPr>
        <w:t>State of Victoria’s Children report</w:t>
      </w:r>
      <w:r w:rsidRPr="000A2A3A">
        <w:t xml:space="preserve"> (2011-12) (Table A9)</w:t>
      </w:r>
    </w:p>
  </w:footnote>
  <w:footnote w:id="163">
    <w:p w14:paraId="28D70CD1" w14:textId="77777777" w:rsidR="00A43161" w:rsidRPr="004C42B6" w:rsidRDefault="00A43161" w:rsidP="004A4A3D">
      <w:pPr>
        <w:pStyle w:val="FootnoteText"/>
        <w:rPr>
          <w:lang w:val="en-US"/>
        </w:rPr>
      </w:pPr>
      <w:r>
        <w:rPr>
          <w:rStyle w:val="FootnoteReference"/>
        </w:rPr>
        <w:footnoteRef/>
      </w:r>
      <w:r>
        <w:t xml:space="preserve"> </w:t>
      </w:r>
      <w:r w:rsidRPr="004C42B6">
        <w:t>The Index of Relative Socio-Economic Advantage and disadvantage (IRSAD), used here as a measure of SES, broadly assesses ‘people’s access to material and social resources, and their ability to participate in society’ (ABS 2013b). For more information, see ABS 2013b. Socioeconomic data exclude New South Wales, Queensland and Western Australia because location data were not available. Of jurisdictions that provided data, 412 records were excluded either due to missing location data, or because they were unable to be mapped to geographical areas to calculate the index.</w:t>
      </w:r>
    </w:p>
  </w:footnote>
  <w:footnote w:id="164">
    <w:p w14:paraId="14F059C2" w14:textId="77777777" w:rsidR="00A43161" w:rsidRPr="000A2A3A" w:rsidRDefault="00A43161" w:rsidP="004A4A3D">
      <w:pPr>
        <w:pStyle w:val="FootnoteText"/>
        <w:spacing w:after="0"/>
        <w:rPr>
          <w:lang w:val="en-US"/>
        </w:rPr>
      </w:pPr>
      <w:r>
        <w:rPr>
          <w:rStyle w:val="FootnoteReference"/>
        </w:rPr>
        <w:footnoteRef/>
      </w:r>
      <w:r>
        <w:t xml:space="preserve"> </w:t>
      </w:r>
      <w:r w:rsidRPr="000A2A3A">
        <w:t xml:space="preserve">Table taken from 2012 </w:t>
      </w:r>
      <w:r w:rsidRPr="000A2A3A">
        <w:rPr>
          <w:i/>
        </w:rPr>
        <w:t>State of Victoria’s Children report</w:t>
      </w:r>
      <w:r w:rsidRPr="000A2A3A">
        <w:t xml:space="preserve"> (2011-12) (Table A9)</w:t>
      </w:r>
    </w:p>
  </w:footnote>
  <w:footnote w:id="165">
    <w:p w14:paraId="1A3D184D" w14:textId="77777777" w:rsidR="00A43161" w:rsidRPr="004C42B6" w:rsidRDefault="00A43161" w:rsidP="004A4A3D">
      <w:pPr>
        <w:pStyle w:val="FootnoteText"/>
        <w:rPr>
          <w:lang w:val="en-US"/>
        </w:rPr>
      </w:pPr>
      <w:r>
        <w:rPr>
          <w:rStyle w:val="FootnoteReference"/>
        </w:rPr>
        <w:footnoteRef/>
      </w:r>
      <w:r>
        <w:t xml:space="preserve"> </w:t>
      </w:r>
      <w:r w:rsidRPr="004C42B6">
        <w:t>The Index of Relative Socio-Economic Advantage and disadvantage (IRSAD), used here as a measure of SES, broadly assesses ‘people’s access to material and social resources, and their ability to participate in society’ (ABS 2013b). For more information, see ABS 2013b. Socioeconomic data exclude New South Wales, Queensland and Western Australia because location data were not available. Of jurisdictions that provided data, 412 records were excluded either due to missing location data, or because they were unable to be mapped to geographical areas to calculate the index.</w:t>
      </w:r>
    </w:p>
  </w:footnote>
  <w:footnote w:id="166">
    <w:p w14:paraId="33F993E6" w14:textId="77777777" w:rsidR="00A43161" w:rsidRPr="00B25D72" w:rsidRDefault="00A43161" w:rsidP="00D31537">
      <w:pPr>
        <w:pStyle w:val="FootnoteText"/>
        <w:spacing w:after="0"/>
        <w:rPr>
          <w:lang w:val="en-US"/>
        </w:rPr>
      </w:pPr>
      <w:r>
        <w:rPr>
          <w:rStyle w:val="FootnoteReference"/>
        </w:rPr>
        <w:footnoteRef/>
      </w:r>
      <w:r>
        <w:t xml:space="preserve"> </w:t>
      </w:r>
      <w:r w:rsidRPr="00B25D72">
        <w:t>Data captured from Quick Stats for 2011 Census via ABS website [http://www.abs.gov.au/census]</w:t>
      </w:r>
    </w:p>
  </w:footnote>
  <w:footnote w:id="167">
    <w:p w14:paraId="08ABAB0F" w14:textId="77777777" w:rsidR="00A43161" w:rsidRPr="00D0708D" w:rsidRDefault="00A43161" w:rsidP="005F01EB">
      <w:pPr>
        <w:pStyle w:val="FootnoteText"/>
        <w:rPr>
          <w:szCs w:val="18"/>
        </w:rPr>
      </w:pPr>
      <w:r w:rsidRPr="00D0708D">
        <w:rPr>
          <w:rStyle w:val="FootnoteReference"/>
          <w:szCs w:val="18"/>
        </w:rPr>
        <w:footnoteRef/>
      </w:r>
      <w:r w:rsidRPr="00D0708D">
        <w:rPr>
          <w:szCs w:val="18"/>
        </w:rPr>
        <w:t xml:space="preserve"> Minister for Social Welfare, Hon Anne </w:t>
      </w:r>
      <w:proofErr w:type="spellStart"/>
      <w:r w:rsidRPr="00D0708D">
        <w:rPr>
          <w:szCs w:val="18"/>
        </w:rPr>
        <w:t>Tolley</w:t>
      </w:r>
      <w:proofErr w:type="spellEnd"/>
      <w:r w:rsidRPr="00D0708D">
        <w:rPr>
          <w:szCs w:val="18"/>
        </w:rPr>
        <w:t>, quoted at https://www.msd.govt.nz/about-msd-and-our-work/work-programmes/investing-in-children/index.html#FinalReportoftheExpertPanelonModernisingChildYouthandFamily1</w:t>
      </w:r>
    </w:p>
  </w:footnote>
  <w:footnote w:id="168">
    <w:p w14:paraId="3CCE2362" w14:textId="77777777" w:rsidR="00A43161" w:rsidRPr="00D63060" w:rsidRDefault="00A43161" w:rsidP="005F01EB">
      <w:pPr>
        <w:pStyle w:val="FootnoteText"/>
        <w:spacing w:after="0" w:line="240" w:lineRule="auto"/>
        <w:rPr>
          <w:szCs w:val="18"/>
        </w:rPr>
      </w:pPr>
      <w:r w:rsidRPr="001B1F13">
        <w:rPr>
          <w:rStyle w:val="FootnoteReference"/>
          <w:szCs w:val="18"/>
        </w:rPr>
        <w:footnoteRef/>
      </w:r>
      <w:r w:rsidRPr="001B1F13">
        <w:rPr>
          <w:szCs w:val="18"/>
        </w:rPr>
        <w:t xml:space="preserve"> </w:t>
      </w:r>
      <w:r w:rsidRPr="00C50CCB">
        <w:rPr>
          <w:szCs w:val="18"/>
        </w:rPr>
        <w:t xml:space="preserve">Price-Robertson, Bromfield and Lamont, </w:t>
      </w:r>
      <w:r w:rsidRPr="001B1F13">
        <w:rPr>
          <w:rFonts w:eastAsiaTheme="minorHAnsi" w:cs="Arial"/>
          <w:i/>
          <w:szCs w:val="18"/>
        </w:rPr>
        <w:t xml:space="preserve">International Approaches to Child Protection, </w:t>
      </w:r>
      <w:r w:rsidRPr="00D63060">
        <w:rPr>
          <w:szCs w:val="18"/>
        </w:rPr>
        <w:t>Child Family Community Australia Paper 23</w:t>
      </w:r>
    </w:p>
  </w:footnote>
  <w:footnote w:id="169">
    <w:p w14:paraId="4B3044A3" w14:textId="77777777" w:rsidR="00A43161" w:rsidRDefault="00A43161" w:rsidP="005F01EB">
      <w:pPr>
        <w:pStyle w:val="FootnoteText"/>
        <w:spacing w:after="0" w:line="240" w:lineRule="auto"/>
      </w:pPr>
      <w:r>
        <w:rPr>
          <w:rStyle w:val="FootnoteReference"/>
        </w:rPr>
        <w:footnoteRef/>
      </w:r>
      <w:r>
        <w:t xml:space="preserve"> </w:t>
      </w:r>
      <w:hyperlink r:id="rId32" w:history="1">
        <w:r w:rsidRPr="00935B1D">
          <w:rPr>
            <w:rStyle w:val="Hyperlink"/>
          </w:rPr>
          <w:t>http://www.statcan.gc.ca</w:t>
        </w:r>
      </w:hyperlink>
      <w:r>
        <w:t xml:space="preserve"> </w:t>
      </w:r>
    </w:p>
  </w:footnote>
  <w:footnote w:id="170">
    <w:p w14:paraId="15C5F97C" w14:textId="77777777" w:rsidR="00A43161" w:rsidRDefault="00A43161" w:rsidP="005F01EB">
      <w:pPr>
        <w:pStyle w:val="FootnoteText"/>
        <w:spacing w:after="0" w:line="240" w:lineRule="auto"/>
      </w:pPr>
      <w:r>
        <w:rPr>
          <w:rStyle w:val="FootnoteReference"/>
        </w:rPr>
        <w:footnoteRef/>
      </w:r>
      <w:r>
        <w:t xml:space="preserve"> </w:t>
      </w:r>
      <w:hyperlink r:id="rId33" w:history="1">
        <w:r w:rsidRPr="00935B1D">
          <w:rPr>
            <w:rStyle w:val="Hyperlink"/>
          </w:rPr>
          <w:t>http://www.statcan.gc.ca</w:t>
        </w:r>
      </w:hyperlink>
      <w:r>
        <w:t xml:space="preserve"> </w:t>
      </w:r>
    </w:p>
  </w:footnote>
  <w:footnote w:id="171">
    <w:p w14:paraId="6700BC79" w14:textId="77777777" w:rsidR="00A43161" w:rsidRPr="001C73C5" w:rsidRDefault="00A43161" w:rsidP="005F01EB">
      <w:pPr>
        <w:pStyle w:val="FootnoteText"/>
        <w:spacing w:after="0" w:line="240" w:lineRule="auto"/>
        <w:rPr>
          <w:szCs w:val="18"/>
        </w:rPr>
      </w:pPr>
      <w:r w:rsidRPr="001C73C5">
        <w:rPr>
          <w:rStyle w:val="FootnoteReference"/>
          <w:szCs w:val="18"/>
        </w:rPr>
        <w:footnoteRef/>
      </w:r>
      <w:r w:rsidRPr="001C73C5">
        <w:rPr>
          <w:szCs w:val="18"/>
        </w:rPr>
        <w:t xml:space="preserve"> Price-Robertson et al, op </w:t>
      </w:r>
      <w:proofErr w:type="spellStart"/>
      <w:r w:rsidRPr="001C73C5">
        <w:rPr>
          <w:szCs w:val="18"/>
        </w:rPr>
        <w:t>cit</w:t>
      </w:r>
      <w:proofErr w:type="spellEnd"/>
    </w:p>
  </w:footnote>
  <w:footnote w:id="172">
    <w:p w14:paraId="224B512A" w14:textId="77777777" w:rsidR="00A43161" w:rsidRPr="001C73C5" w:rsidRDefault="00A43161" w:rsidP="005F01EB">
      <w:pPr>
        <w:pStyle w:val="FootnoteText"/>
        <w:rPr>
          <w:szCs w:val="18"/>
        </w:rPr>
      </w:pPr>
      <w:r w:rsidRPr="001C73C5">
        <w:rPr>
          <w:rStyle w:val="FootnoteReference"/>
          <w:szCs w:val="18"/>
        </w:rPr>
        <w:footnoteRef/>
      </w:r>
      <w:r w:rsidRPr="001C73C5">
        <w:rPr>
          <w:szCs w:val="18"/>
        </w:rPr>
        <w:t xml:space="preserve"> Mandell et al, 2006</w:t>
      </w:r>
    </w:p>
  </w:footnote>
  <w:footnote w:id="173">
    <w:p w14:paraId="3E757E9E" w14:textId="77777777" w:rsidR="00A43161" w:rsidRPr="001C73C5" w:rsidRDefault="00A43161" w:rsidP="005F01EB">
      <w:pPr>
        <w:pStyle w:val="FootnoteText"/>
        <w:spacing w:after="0" w:line="240" w:lineRule="auto"/>
        <w:rPr>
          <w:szCs w:val="18"/>
        </w:rPr>
      </w:pPr>
      <w:r w:rsidRPr="001C73C5">
        <w:rPr>
          <w:rStyle w:val="FootnoteReference"/>
          <w:szCs w:val="18"/>
        </w:rPr>
        <w:footnoteRef/>
      </w:r>
      <w:r w:rsidRPr="001C73C5">
        <w:rPr>
          <w:szCs w:val="18"/>
        </w:rPr>
        <w:t xml:space="preserve"> </w:t>
      </w:r>
      <w:hyperlink r:id="rId34" w:history="1">
        <w:r w:rsidRPr="001C73C5">
          <w:rPr>
            <w:rStyle w:val="Hyperlink"/>
            <w:szCs w:val="18"/>
          </w:rPr>
          <w:t>http://www.legalaid.mb.ca/services/child-protection-law-office</w:t>
        </w:r>
      </w:hyperlink>
      <w:r w:rsidRPr="001C73C5">
        <w:rPr>
          <w:szCs w:val="18"/>
        </w:rPr>
        <w:t xml:space="preserve"> </w:t>
      </w:r>
    </w:p>
  </w:footnote>
  <w:footnote w:id="174">
    <w:p w14:paraId="3C873C61" w14:textId="77777777" w:rsidR="00A43161" w:rsidRPr="001C73C5" w:rsidRDefault="00A43161" w:rsidP="005F01EB">
      <w:pPr>
        <w:pStyle w:val="FootnoteText"/>
        <w:spacing w:after="0" w:line="240" w:lineRule="auto"/>
        <w:rPr>
          <w:szCs w:val="18"/>
        </w:rPr>
      </w:pPr>
      <w:r w:rsidRPr="001C73C5">
        <w:rPr>
          <w:rStyle w:val="FootnoteReference"/>
          <w:szCs w:val="18"/>
        </w:rPr>
        <w:footnoteRef/>
      </w:r>
      <w:r w:rsidRPr="001C73C5">
        <w:rPr>
          <w:szCs w:val="18"/>
        </w:rPr>
        <w:t xml:space="preserve"> Legal Aid Manitoba Annual Report 2015</w:t>
      </w:r>
    </w:p>
  </w:footnote>
  <w:footnote w:id="175">
    <w:p w14:paraId="2B242BEF" w14:textId="77777777" w:rsidR="00A43161" w:rsidRPr="001C73C5" w:rsidRDefault="00A43161" w:rsidP="005F01EB">
      <w:pPr>
        <w:pStyle w:val="FootnoteText"/>
        <w:rPr>
          <w:szCs w:val="18"/>
        </w:rPr>
      </w:pPr>
      <w:r w:rsidRPr="001C73C5">
        <w:rPr>
          <w:rStyle w:val="FootnoteReference"/>
          <w:szCs w:val="18"/>
        </w:rPr>
        <w:footnoteRef/>
      </w:r>
      <w:r w:rsidRPr="001C73C5">
        <w:rPr>
          <w:szCs w:val="18"/>
        </w:rPr>
        <w:t xml:space="preserve"> </w:t>
      </w:r>
      <w:r w:rsidRPr="001C73C5">
        <w:rPr>
          <w:rFonts w:cs="Arial"/>
          <w:szCs w:val="18"/>
        </w:rPr>
        <w:t>First Nations Child and Family Caring Society of Canada et al. v. Attorney General of Canada (for the Minister of Indian and Northern Affairs Canada)</w:t>
      </w:r>
    </w:p>
    <w:tbl>
      <w:tblPr>
        <w:tblW w:w="5000" w:type="pct"/>
        <w:tblCellMar>
          <w:top w:w="15" w:type="dxa"/>
          <w:left w:w="15" w:type="dxa"/>
          <w:bottom w:w="15" w:type="dxa"/>
          <w:right w:w="15" w:type="dxa"/>
        </w:tblCellMar>
        <w:tblLook w:val="04A0" w:firstRow="1" w:lastRow="0" w:firstColumn="1" w:lastColumn="0" w:noHBand="0" w:noVBand="1"/>
      </w:tblPr>
      <w:tblGrid>
        <w:gridCol w:w="9780"/>
      </w:tblGrid>
      <w:tr w:rsidR="00A43161" w:rsidRPr="002952AC" w14:paraId="585DE82B" w14:textId="77777777" w:rsidTr="006C3009">
        <w:tc>
          <w:tcPr>
            <w:tcW w:w="4015" w:type="pct"/>
            <w:hideMark/>
          </w:tcPr>
          <w:p w14:paraId="25B6295F" w14:textId="77777777" w:rsidR="00A43161" w:rsidRPr="002952AC" w:rsidRDefault="00A43161" w:rsidP="006C3009">
            <w:pPr>
              <w:spacing w:after="0" w:line="240" w:lineRule="auto"/>
              <w:rPr>
                <w:rFonts w:cs="Arial"/>
                <w:sz w:val="18"/>
                <w:szCs w:val="18"/>
              </w:rPr>
            </w:pPr>
          </w:p>
        </w:tc>
      </w:tr>
    </w:tbl>
    <w:p w14:paraId="25A09E7A" w14:textId="77777777" w:rsidR="00A43161" w:rsidRDefault="00A43161" w:rsidP="008A1538">
      <w:pPr>
        <w:pStyle w:val="FootnoteText"/>
        <w:ind w:left="0" w:firstLine="0"/>
      </w:pPr>
    </w:p>
  </w:footnote>
  <w:footnote w:id="176">
    <w:p w14:paraId="1DEC7488" w14:textId="77777777" w:rsidR="00A43161" w:rsidRDefault="00A43161" w:rsidP="005F01EB">
      <w:pPr>
        <w:pStyle w:val="FootnoteText"/>
        <w:spacing w:after="0" w:line="240" w:lineRule="auto"/>
      </w:pPr>
      <w:r>
        <w:rPr>
          <w:rStyle w:val="FootnoteReference"/>
        </w:rPr>
        <w:footnoteRef/>
      </w:r>
      <w:r>
        <w:t xml:space="preserve"> </w:t>
      </w:r>
      <w:proofErr w:type="spellStart"/>
      <w:r>
        <w:t>Horsfall</w:t>
      </w:r>
      <w:proofErr w:type="spellEnd"/>
      <w:r>
        <w:t xml:space="preserve">, Higgins, </w:t>
      </w:r>
      <w:proofErr w:type="spellStart"/>
      <w:r>
        <w:t>Kaspiew</w:t>
      </w:r>
      <w:proofErr w:type="spellEnd"/>
      <w:r>
        <w:t xml:space="preserve"> &amp; Bromfield, Australian Institute of Family Studies Submission to the VLRC Review of Child Protection Legislative Arrangements</w:t>
      </w:r>
    </w:p>
  </w:footnote>
  <w:footnote w:id="177">
    <w:p w14:paraId="133F4074" w14:textId="77777777" w:rsidR="00A43161" w:rsidRDefault="00A43161" w:rsidP="005F01EB">
      <w:pPr>
        <w:pStyle w:val="FootnoteText"/>
        <w:spacing w:after="0" w:line="240" w:lineRule="auto"/>
      </w:pPr>
      <w:r>
        <w:rPr>
          <w:rStyle w:val="FootnoteReference"/>
        </w:rPr>
        <w:footnoteRef/>
      </w:r>
      <w:r>
        <w:t xml:space="preserve"> HM Government publication: </w:t>
      </w:r>
      <w:r>
        <w:rPr>
          <w:i/>
        </w:rPr>
        <w:t>Working Together to Safeguard Children</w:t>
      </w:r>
      <w:r>
        <w:t>, March 2015</w:t>
      </w:r>
    </w:p>
  </w:footnote>
  <w:footnote w:id="178">
    <w:p w14:paraId="7C985AB5" w14:textId="77777777" w:rsidR="00A43161" w:rsidRDefault="00A43161" w:rsidP="005F01EB">
      <w:pPr>
        <w:pStyle w:val="FootnoteText"/>
        <w:spacing w:after="0" w:line="240" w:lineRule="auto"/>
      </w:pPr>
      <w:r>
        <w:rPr>
          <w:rStyle w:val="FootnoteReference"/>
        </w:rPr>
        <w:footnoteRef/>
      </w:r>
      <w:r>
        <w:t xml:space="preserve"> </w:t>
      </w:r>
      <w:proofErr w:type="spellStart"/>
      <w:r>
        <w:t>Cafcass</w:t>
      </w:r>
      <w:proofErr w:type="spellEnd"/>
      <w:r>
        <w:t xml:space="preserve"> website, </w:t>
      </w:r>
      <w:proofErr w:type="spellStart"/>
      <w:r>
        <w:rPr>
          <w:i/>
          <w:iCs/>
        </w:rPr>
        <w:t>Cafcass</w:t>
      </w:r>
      <w:proofErr w:type="spellEnd"/>
      <w:r>
        <w:rPr>
          <w:i/>
          <w:iCs/>
        </w:rPr>
        <w:t xml:space="preserve">’ role in care proceedings </w:t>
      </w:r>
      <w:r>
        <w:t xml:space="preserve">section, viewed at: www.cafcass.gov.uk/about-cafcass/care-proceedings.aspx  </w:t>
      </w:r>
    </w:p>
  </w:footnote>
  <w:footnote w:id="179">
    <w:p w14:paraId="7BDCD746" w14:textId="77777777" w:rsidR="00A43161" w:rsidRDefault="00A43161" w:rsidP="005F01EB">
      <w:pPr>
        <w:pStyle w:val="FootnoteText"/>
        <w:spacing w:after="0" w:line="240" w:lineRule="auto"/>
      </w:pPr>
      <w:r>
        <w:rPr>
          <w:rStyle w:val="FootnoteReference"/>
        </w:rPr>
        <w:footnoteRef/>
      </w:r>
      <w:r>
        <w:t xml:space="preserve"> Final Report of the Role of IROs in England, March 2014: </w:t>
      </w:r>
      <w:r w:rsidRPr="006C48C6">
        <w:t>http://www.ncb.org.uk/media/1124381/ncb_the_role_of_independent_reviewing_officers_in_england_-_final2.pdf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2FBB5" w14:textId="77777777" w:rsidR="00A43161" w:rsidRDefault="00883212">
    <w:pPr>
      <w:pStyle w:val="Header"/>
    </w:pPr>
    <w:r>
      <w:rPr>
        <w:noProof/>
      </w:rPr>
      <w:pict w14:anchorId="61058B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85.5pt;height:56.25pt;rotation:315;z-index:-251657728;mso-position-horizontal:center;mso-position-horizontal-relative:margin;mso-position-vertical:center;mso-position-vertical-relative:margin" o:allowincell="f" fillcolor="silver" stroked="f">
          <v:fill opacity=".5"/>
          <v:textpath style="font-family:&quot;Arial Narrow&quot;;font-size:48pt" string="Draft"/>
          <w10:wrap anchorx="margin" anchory="margin"/>
        </v:shape>
      </w:pict>
    </w:r>
    <w:r>
      <w:rPr>
        <w:noProof/>
        <w:lang w:eastAsia="en-AU"/>
      </w:rPr>
      <w:pict w14:anchorId="2CC50FFB">
        <v:shape id="PowerPlusWaterMarkObject3" o:spid="_x0000_s2050" type="#_x0000_t136" style="position:absolute;margin-left:0;margin-top:0;width:377.3pt;height:22in;rotation:300;z-index:251657728;mso-position-horizontal:center;mso-position-horizontal-relative:margin;mso-position-vertical:center;mso-position-vertical-relative:margin"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87D23" w14:textId="77777777" w:rsidR="00A43161" w:rsidRPr="009F7B2D" w:rsidRDefault="00A43161" w:rsidP="004E0688">
    <w:pPr>
      <w:pStyle w:val="Header"/>
      <w:jc w:val="right"/>
    </w:pPr>
    <w:r>
      <w:rPr>
        <w:noProof/>
        <w:lang w:eastAsia="en-AU"/>
      </w:rPr>
      <w:drawing>
        <wp:inline distT="0" distB="0" distL="0" distR="0" wp14:anchorId="1F02D44C" wp14:editId="4A971F5B">
          <wp:extent cx="1806575" cy="1445260"/>
          <wp:effectExtent l="0" t="0" r="3175" b="2540"/>
          <wp:docPr id="10" name="Picture 10" descr="v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575" cy="14452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9BE02" w14:textId="77777777" w:rsidR="00A43161" w:rsidRDefault="00A43161" w:rsidP="006E2882">
    <w:pPr>
      <w:spacing w:before="400"/>
      <w:jc w:val="right"/>
    </w:pPr>
    <w:r>
      <w:rPr>
        <w:noProof/>
        <w:lang w:eastAsia="en-AU"/>
      </w:rPr>
      <w:drawing>
        <wp:inline distT="0" distB="0" distL="0" distR="0" wp14:anchorId="229AC54B" wp14:editId="268FA2EB">
          <wp:extent cx="2691765" cy="427990"/>
          <wp:effectExtent l="0" t="0" r="0" b="0"/>
          <wp:docPr id="16" name="Picture 16" descr="vla_logo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a_logo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1765" cy="427990"/>
                  </a:xfrm>
                  <a:prstGeom prst="rect">
                    <a:avLst/>
                  </a:prstGeom>
                  <a:noFill/>
                  <a:ln>
                    <a:noFill/>
                  </a:ln>
                </pic:spPr>
              </pic:pic>
            </a:graphicData>
          </a:graphic>
        </wp:inline>
      </w:drawing>
    </w:r>
    <w:r w:rsidR="00883212">
      <w:rPr>
        <w:noProof/>
        <w:lang w:eastAsia="en-AU"/>
      </w:rPr>
      <w:pict w14:anchorId="6F69CE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377.3pt;height:22in;rotation:300;z-index:251656704;mso-position-horizontal:center;mso-position-horizontal-relative:margin;mso-position-vertical:center;mso-position-vertical-relative:margin"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2AE81" w14:textId="77777777" w:rsidR="00A43161" w:rsidRPr="009F7B2D" w:rsidRDefault="00A43161" w:rsidP="005375A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89735" w14:textId="77777777" w:rsidR="00A43161" w:rsidRPr="009F7B2D" w:rsidRDefault="00A43161" w:rsidP="00674E45">
    <w:pPr>
      <w:pStyle w:val="Header"/>
      <w:pBdr>
        <w:bottom w:val="single" w:sz="4" w:space="1" w:color="971A4B"/>
      </w:pBdr>
      <w:tabs>
        <w:tab w:val="clear" w:pos="4604"/>
        <w:tab w:val="clear" w:pos="9214"/>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AC1A3" w14:textId="77777777" w:rsidR="00A43161" w:rsidRDefault="00A4316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C57C2" w14:textId="77777777" w:rsidR="00A43161" w:rsidRPr="00665568" w:rsidRDefault="00A43161" w:rsidP="00674E45">
    <w:pPr>
      <w:pStyle w:val="Header"/>
      <w:pBdr>
        <w:bottom w:val="single" w:sz="4" w:space="1" w:color="971A4B"/>
      </w:pBdr>
      <w:tabs>
        <w:tab w:val="clear" w:pos="4604"/>
        <w:tab w:val="clear" w:pos="92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706F5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0A72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86DE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1A5E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AC3E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80ED018"/>
    <w:lvl w:ilvl="0">
      <w:start w:val="1"/>
      <w:numFmt w:val="decimal"/>
      <w:pStyle w:val="ListNumber"/>
      <w:lvlText w:val="%1."/>
      <w:lvlJc w:val="left"/>
      <w:pPr>
        <w:tabs>
          <w:tab w:val="num" w:pos="360"/>
        </w:tabs>
        <w:ind w:left="360" w:hanging="360"/>
      </w:pPr>
    </w:lvl>
  </w:abstractNum>
  <w:abstractNum w:abstractNumId="6" w15:restartNumberingAfterBreak="0">
    <w:nsid w:val="00CD72C6"/>
    <w:multiLevelType w:val="hybridMultilevel"/>
    <w:tmpl w:val="2870D2DE"/>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1FD6D22"/>
    <w:multiLevelType w:val="hybridMultilevel"/>
    <w:tmpl w:val="143ECD6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3D352A2"/>
    <w:multiLevelType w:val="hybridMultilevel"/>
    <w:tmpl w:val="C2FCCE8E"/>
    <w:lvl w:ilvl="0" w:tplc="282475F6">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49752AF"/>
    <w:multiLevelType w:val="hybridMultilevel"/>
    <w:tmpl w:val="6F0C9ED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7311862"/>
    <w:multiLevelType w:val="hybridMultilevel"/>
    <w:tmpl w:val="45CC18A4"/>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7BF67D0"/>
    <w:multiLevelType w:val="hybridMultilevel"/>
    <w:tmpl w:val="B29EDF6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F4344E"/>
    <w:multiLevelType w:val="hybridMultilevel"/>
    <w:tmpl w:val="45A07782"/>
    <w:lvl w:ilvl="0" w:tplc="D02CD7E6">
      <w:start w:val="1"/>
      <w:numFmt w:val="decimal"/>
      <w:pStyle w:val="Heading1numbered"/>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DDB327C"/>
    <w:multiLevelType w:val="hybridMultilevel"/>
    <w:tmpl w:val="E5629D02"/>
    <w:lvl w:ilvl="0" w:tplc="AA62F122">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F196600"/>
    <w:multiLevelType w:val="hybridMultilevel"/>
    <w:tmpl w:val="DE4456C2"/>
    <w:lvl w:ilvl="0" w:tplc="BE08D61C">
      <w:start w:val="1"/>
      <w:numFmt w:val="bullet"/>
      <w:lvlText w:val=""/>
      <w:lvlJc w:val="left"/>
      <w:pPr>
        <w:ind w:left="785" w:hanging="360"/>
      </w:pPr>
      <w:rPr>
        <w:rFonts w:ascii="Wingdings" w:hAnsi="Wingdings" w:hint="default"/>
        <w:color w:val="70AD47" w:themeColor="accent6"/>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abstractNum w:abstractNumId="15" w15:restartNumberingAfterBreak="0">
    <w:nsid w:val="10CC15C2"/>
    <w:multiLevelType w:val="hybridMultilevel"/>
    <w:tmpl w:val="D4E052D8"/>
    <w:lvl w:ilvl="0" w:tplc="857C53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7" w15:restartNumberingAfterBreak="0">
    <w:nsid w:val="139874B0"/>
    <w:multiLevelType w:val="hybridMultilevel"/>
    <w:tmpl w:val="CA86F0E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41F1BA6"/>
    <w:multiLevelType w:val="hybridMultilevel"/>
    <w:tmpl w:val="DA8005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65459E1"/>
    <w:multiLevelType w:val="hybridMultilevel"/>
    <w:tmpl w:val="95C4F3E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A5A32F9"/>
    <w:multiLevelType w:val="hybridMultilevel"/>
    <w:tmpl w:val="9486620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B9435A3"/>
    <w:multiLevelType w:val="multilevel"/>
    <w:tmpl w:val="E5408A3E"/>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545473"/>
    <w:multiLevelType w:val="hybridMultilevel"/>
    <w:tmpl w:val="EC1A1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2DA4AF9"/>
    <w:multiLevelType w:val="hybridMultilevel"/>
    <w:tmpl w:val="6504EA9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25" w15:restartNumberingAfterBreak="0">
    <w:nsid w:val="25991C92"/>
    <w:multiLevelType w:val="hybridMultilevel"/>
    <w:tmpl w:val="A9B054F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27EC49EC"/>
    <w:multiLevelType w:val="hybridMultilevel"/>
    <w:tmpl w:val="3FA4F4B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9985C42"/>
    <w:multiLevelType w:val="hybridMultilevel"/>
    <w:tmpl w:val="322626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E035392"/>
    <w:multiLevelType w:val="hybridMultilevel"/>
    <w:tmpl w:val="93A22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CF0721"/>
    <w:multiLevelType w:val="multilevel"/>
    <w:tmpl w:val="48BE0B30"/>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D7208C"/>
    <w:multiLevelType w:val="hybridMultilevel"/>
    <w:tmpl w:val="E6D8B3B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F1D3758"/>
    <w:multiLevelType w:val="hybridMultilevel"/>
    <w:tmpl w:val="25E88A86"/>
    <w:lvl w:ilvl="0" w:tplc="D7020018">
      <w:start w:val="1"/>
      <w:numFmt w:val="bullet"/>
      <w:lvlText w:val=""/>
      <w:lvlJc w:val="left"/>
      <w:pPr>
        <w:ind w:left="720" w:hanging="360"/>
      </w:pPr>
      <w:rPr>
        <w:rFonts w:ascii="Wingdings" w:hAnsi="Wingdings" w:hint="default"/>
        <w:color w:val="70AD47" w:themeColor="accent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FBD26A9"/>
    <w:multiLevelType w:val="hybridMultilevel"/>
    <w:tmpl w:val="C8A27D22"/>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0BE342A"/>
    <w:multiLevelType w:val="multilevel"/>
    <w:tmpl w:val="AEBAA8D8"/>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34" w15:restartNumberingAfterBreak="0">
    <w:nsid w:val="34AD0228"/>
    <w:multiLevelType w:val="hybridMultilevel"/>
    <w:tmpl w:val="E5E629DC"/>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hint="default"/>
        <w:sz w:val="21"/>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3E75424D"/>
    <w:multiLevelType w:val="hybridMultilevel"/>
    <w:tmpl w:val="6F9295B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11456F4"/>
    <w:multiLevelType w:val="hybridMultilevel"/>
    <w:tmpl w:val="347E294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6C47F2D"/>
    <w:multiLevelType w:val="hybridMultilevel"/>
    <w:tmpl w:val="8392EF6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8134211"/>
    <w:multiLevelType w:val="multilevel"/>
    <w:tmpl w:val="4B1AA84A"/>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48FF187E"/>
    <w:multiLevelType w:val="hybridMultilevel"/>
    <w:tmpl w:val="8B28E64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99E7D07"/>
    <w:multiLevelType w:val="hybridMultilevel"/>
    <w:tmpl w:val="5D342828"/>
    <w:lvl w:ilvl="0" w:tplc="8E1EB6B8">
      <w:start w:val="1"/>
      <w:numFmt w:val="bullet"/>
      <w:lvlText w:val=""/>
      <w:lvlJc w:val="left"/>
      <w:pPr>
        <w:ind w:left="660" w:hanging="360"/>
      </w:pPr>
      <w:rPr>
        <w:rFonts w:ascii="Wingdings" w:hAnsi="Wingdings" w:hint="default"/>
        <w:color w:val="70AD47" w:themeColor="accent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AD06338"/>
    <w:multiLevelType w:val="multilevel"/>
    <w:tmpl w:val="5DDC1C86"/>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43" w15:restartNumberingAfterBreak="0">
    <w:nsid w:val="557648A4"/>
    <w:multiLevelType w:val="hybridMultilevel"/>
    <w:tmpl w:val="0514095A"/>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557C3AE2"/>
    <w:multiLevelType w:val="multilevel"/>
    <w:tmpl w:val="C1AC7F98"/>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45" w15:restartNumberingAfterBreak="0">
    <w:nsid w:val="559756F3"/>
    <w:multiLevelType w:val="multilevel"/>
    <w:tmpl w:val="9364F1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pStyle w:val="Heading2numbered"/>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EFB1808"/>
    <w:multiLevelType w:val="hybridMultilevel"/>
    <w:tmpl w:val="75D032E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48" w15:restartNumberingAfterBreak="0">
    <w:nsid w:val="6007408B"/>
    <w:multiLevelType w:val="hybridMultilevel"/>
    <w:tmpl w:val="9F6EC22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50" w15:restartNumberingAfterBreak="0">
    <w:nsid w:val="6A476604"/>
    <w:multiLevelType w:val="hybridMultilevel"/>
    <w:tmpl w:val="EBC2F2C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C611E5F"/>
    <w:multiLevelType w:val="hybridMultilevel"/>
    <w:tmpl w:val="BA18B3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D800534"/>
    <w:multiLevelType w:val="hybridMultilevel"/>
    <w:tmpl w:val="9418F85E"/>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6E515E71"/>
    <w:multiLevelType w:val="hybridMultilevel"/>
    <w:tmpl w:val="CDF81E5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29468A4"/>
    <w:multiLevelType w:val="hybridMultilevel"/>
    <w:tmpl w:val="1B74843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2FF0441"/>
    <w:multiLevelType w:val="hybridMultilevel"/>
    <w:tmpl w:val="7374BD7E"/>
    <w:lvl w:ilvl="0" w:tplc="38A218F2">
      <w:start w:val="1"/>
      <w:numFmt w:val="bullet"/>
      <w:lvlText w:val=""/>
      <w:lvlJc w:val="left"/>
      <w:pPr>
        <w:ind w:left="720" w:hanging="360"/>
      </w:pPr>
      <w:rPr>
        <w:rFonts w:ascii="Wingdings" w:hAnsi="Wingdings" w:hint="default"/>
        <w:color w:val="70AD47" w:themeColor="accent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57" w15:restartNumberingAfterBreak="0">
    <w:nsid w:val="7C104AEB"/>
    <w:multiLevelType w:val="hybridMultilevel"/>
    <w:tmpl w:val="4906D222"/>
    <w:lvl w:ilvl="0" w:tplc="EAD478B4">
      <w:start w:val="1"/>
      <w:numFmt w:val="bullet"/>
      <w:lvlText w:val=""/>
      <w:lvlJc w:val="left"/>
      <w:pPr>
        <w:ind w:left="643" w:hanging="360"/>
      </w:pPr>
      <w:rPr>
        <w:rFonts w:ascii="Wingdings" w:hAnsi="Wingdings" w:hint="default"/>
        <w:color w:val="70AD47" w:themeColor="accent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C9F2936"/>
    <w:multiLevelType w:val="hybridMultilevel"/>
    <w:tmpl w:val="6744007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9"/>
  </w:num>
  <w:num w:numId="2">
    <w:abstractNumId w:val="33"/>
  </w:num>
  <w:num w:numId="3">
    <w:abstractNumId w:val="44"/>
  </w:num>
  <w:num w:numId="4">
    <w:abstractNumId w:val="42"/>
  </w:num>
  <w:num w:numId="5">
    <w:abstractNumId w:val="45"/>
  </w:num>
  <w:num w:numId="6">
    <w:abstractNumId w:val="30"/>
  </w:num>
  <w:num w:numId="7">
    <w:abstractNumId w:val="57"/>
  </w:num>
  <w:num w:numId="8">
    <w:abstractNumId w:val="11"/>
  </w:num>
  <w:num w:numId="9">
    <w:abstractNumId w:val="22"/>
  </w:num>
  <w:num w:numId="10">
    <w:abstractNumId w:val="15"/>
  </w:num>
  <w:num w:numId="11">
    <w:abstractNumId w:val="9"/>
  </w:num>
  <w:num w:numId="12">
    <w:abstractNumId w:val="20"/>
  </w:num>
  <w:num w:numId="13">
    <w:abstractNumId w:val="40"/>
  </w:num>
  <w:num w:numId="14">
    <w:abstractNumId w:val="18"/>
  </w:num>
  <w:num w:numId="15">
    <w:abstractNumId w:val="58"/>
  </w:num>
  <w:num w:numId="16">
    <w:abstractNumId w:val="27"/>
  </w:num>
  <w:num w:numId="17">
    <w:abstractNumId w:val="26"/>
  </w:num>
  <w:num w:numId="18">
    <w:abstractNumId w:val="48"/>
  </w:num>
  <w:num w:numId="19">
    <w:abstractNumId w:val="37"/>
  </w:num>
  <w:num w:numId="20">
    <w:abstractNumId w:val="19"/>
  </w:num>
  <w:num w:numId="21">
    <w:abstractNumId w:val="17"/>
  </w:num>
  <w:num w:numId="22">
    <w:abstractNumId w:val="51"/>
  </w:num>
  <w:num w:numId="23">
    <w:abstractNumId w:val="38"/>
  </w:num>
  <w:num w:numId="24">
    <w:abstractNumId w:val="50"/>
  </w:num>
  <w:num w:numId="25">
    <w:abstractNumId w:val="28"/>
  </w:num>
  <w:num w:numId="26">
    <w:abstractNumId w:val="10"/>
  </w:num>
  <w:num w:numId="27">
    <w:abstractNumId w:val="13"/>
  </w:num>
  <w:num w:numId="28">
    <w:abstractNumId w:val="6"/>
  </w:num>
  <w:num w:numId="29">
    <w:abstractNumId w:val="43"/>
  </w:num>
  <w:num w:numId="30">
    <w:abstractNumId w:val="32"/>
  </w:num>
  <w:num w:numId="31">
    <w:abstractNumId w:val="34"/>
  </w:num>
  <w:num w:numId="32">
    <w:abstractNumId w:val="52"/>
  </w:num>
  <w:num w:numId="33">
    <w:abstractNumId w:val="25"/>
  </w:num>
  <w:num w:numId="34">
    <w:abstractNumId w:val="23"/>
  </w:num>
  <w:num w:numId="35">
    <w:abstractNumId w:val="54"/>
  </w:num>
  <w:num w:numId="36">
    <w:abstractNumId w:val="7"/>
  </w:num>
  <w:num w:numId="37">
    <w:abstractNumId w:val="36"/>
  </w:num>
  <w:num w:numId="38">
    <w:abstractNumId w:val="53"/>
  </w:num>
  <w:num w:numId="39">
    <w:abstractNumId w:val="8"/>
  </w:num>
  <w:num w:numId="40">
    <w:abstractNumId w:val="29"/>
  </w:num>
  <w:num w:numId="41">
    <w:abstractNumId w:val="21"/>
  </w:num>
  <w:num w:numId="42">
    <w:abstractNumId w:val="12"/>
  </w:num>
  <w:num w:numId="43">
    <w:abstractNumId w:val="41"/>
  </w:num>
  <w:num w:numId="44">
    <w:abstractNumId w:val="55"/>
  </w:num>
  <w:num w:numId="45">
    <w:abstractNumId w:val="31"/>
  </w:num>
  <w:num w:numId="46">
    <w:abstractNumId w:val="46"/>
  </w:num>
  <w:num w:numId="47">
    <w:abstractNumId w:val="14"/>
  </w:num>
  <w:num w:numId="48">
    <w:abstractNumId w:val="5"/>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num>
  <w:num w:numId="54">
    <w:abstractNumId w:val="1"/>
  </w:num>
  <w:num w:numId="55">
    <w:abstractNumId w:val="2"/>
  </w:num>
  <w:num w:numId="56">
    <w:abstractNumId w:val="3"/>
  </w:num>
  <w:num w:numId="57">
    <w:abstractNumId w:val="4"/>
  </w:num>
  <w:num w:numId="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B1"/>
    <w:rsid w:val="00001179"/>
    <w:rsid w:val="00002C33"/>
    <w:rsid w:val="00007914"/>
    <w:rsid w:val="00011863"/>
    <w:rsid w:val="0001247F"/>
    <w:rsid w:val="00012881"/>
    <w:rsid w:val="00012C32"/>
    <w:rsid w:val="0001329A"/>
    <w:rsid w:val="00014B93"/>
    <w:rsid w:val="000155A6"/>
    <w:rsid w:val="00017B0A"/>
    <w:rsid w:val="00022C70"/>
    <w:rsid w:val="00022C83"/>
    <w:rsid w:val="00022F62"/>
    <w:rsid w:val="000240FD"/>
    <w:rsid w:val="00024B0E"/>
    <w:rsid w:val="00024BA3"/>
    <w:rsid w:val="00024D4C"/>
    <w:rsid w:val="000257F4"/>
    <w:rsid w:val="00027797"/>
    <w:rsid w:val="00032AF3"/>
    <w:rsid w:val="00037357"/>
    <w:rsid w:val="000417CA"/>
    <w:rsid w:val="00045FDA"/>
    <w:rsid w:val="0005492F"/>
    <w:rsid w:val="00055B69"/>
    <w:rsid w:val="00055C57"/>
    <w:rsid w:val="00056D16"/>
    <w:rsid w:val="000579AC"/>
    <w:rsid w:val="00057D7D"/>
    <w:rsid w:val="00060360"/>
    <w:rsid w:val="000610FC"/>
    <w:rsid w:val="00061235"/>
    <w:rsid w:val="00061609"/>
    <w:rsid w:val="00062699"/>
    <w:rsid w:val="00064B2A"/>
    <w:rsid w:val="00070CFA"/>
    <w:rsid w:val="000809BD"/>
    <w:rsid w:val="00084C6C"/>
    <w:rsid w:val="00085CB6"/>
    <w:rsid w:val="00086408"/>
    <w:rsid w:val="00093D13"/>
    <w:rsid w:val="000A2A3A"/>
    <w:rsid w:val="000A711A"/>
    <w:rsid w:val="000A78F8"/>
    <w:rsid w:val="000A79E4"/>
    <w:rsid w:val="000B02D8"/>
    <w:rsid w:val="000B0AB6"/>
    <w:rsid w:val="000B278C"/>
    <w:rsid w:val="000B3766"/>
    <w:rsid w:val="000B3A9F"/>
    <w:rsid w:val="000B797C"/>
    <w:rsid w:val="000C01AD"/>
    <w:rsid w:val="000C0B84"/>
    <w:rsid w:val="000C602E"/>
    <w:rsid w:val="000D085C"/>
    <w:rsid w:val="000D2B0E"/>
    <w:rsid w:val="000D399A"/>
    <w:rsid w:val="000D41D7"/>
    <w:rsid w:val="000D4F97"/>
    <w:rsid w:val="000D5DE5"/>
    <w:rsid w:val="000E4B9B"/>
    <w:rsid w:val="000E7142"/>
    <w:rsid w:val="00101CBD"/>
    <w:rsid w:val="00114C38"/>
    <w:rsid w:val="00114EE2"/>
    <w:rsid w:val="0011572E"/>
    <w:rsid w:val="001211CE"/>
    <w:rsid w:val="00130286"/>
    <w:rsid w:val="00134FC9"/>
    <w:rsid w:val="0014270F"/>
    <w:rsid w:val="001479F2"/>
    <w:rsid w:val="0015400D"/>
    <w:rsid w:val="0015565C"/>
    <w:rsid w:val="001601C1"/>
    <w:rsid w:val="001619BF"/>
    <w:rsid w:val="0016357B"/>
    <w:rsid w:val="00164B85"/>
    <w:rsid w:val="001676F0"/>
    <w:rsid w:val="00175D56"/>
    <w:rsid w:val="00183296"/>
    <w:rsid w:val="00187275"/>
    <w:rsid w:val="001873B0"/>
    <w:rsid w:val="001A17AA"/>
    <w:rsid w:val="001B0AAA"/>
    <w:rsid w:val="001B270D"/>
    <w:rsid w:val="001C4072"/>
    <w:rsid w:val="001C4BC6"/>
    <w:rsid w:val="001D105A"/>
    <w:rsid w:val="001D3837"/>
    <w:rsid w:val="001E0A52"/>
    <w:rsid w:val="001E2CF8"/>
    <w:rsid w:val="001E4493"/>
    <w:rsid w:val="001E5143"/>
    <w:rsid w:val="001E62A6"/>
    <w:rsid w:val="001E730B"/>
    <w:rsid w:val="001E765A"/>
    <w:rsid w:val="001F3222"/>
    <w:rsid w:val="001F41A2"/>
    <w:rsid w:val="001F5717"/>
    <w:rsid w:val="001F6FFA"/>
    <w:rsid w:val="001F7353"/>
    <w:rsid w:val="00201018"/>
    <w:rsid w:val="0020147F"/>
    <w:rsid w:val="00202C7A"/>
    <w:rsid w:val="0021585A"/>
    <w:rsid w:val="002228E1"/>
    <w:rsid w:val="00224C69"/>
    <w:rsid w:val="00226EB1"/>
    <w:rsid w:val="00227C32"/>
    <w:rsid w:val="002376A3"/>
    <w:rsid w:val="002407FB"/>
    <w:rsid w:val="00241904"/>
    <w:rsid w:val="002435C9"/>
    <w:rsid w:val="00244566"/>
    <w:rsid w:val="002449FD"/>
    <w:rsid w:val="00246D66"/>
    <w:rsid w:val="00250ED0"/>
    <w:rsid w:val="00252273"/>
    <w:rsid w:val="002574E0"/>
    <w:rsid w:val="00262D02"/>
    <w:rsid w:val="0026649B"/>
    <w:rsid w:val="00266C57"/>
    <w:rsid w:val="002769FB"/>
    <w:rsid w:val="00285AD4"/>
    <w:rsid w:val="00294136"/>
    <w:rsid w:val="0029727C"/>
    <w:rsid w:val="0029727E"/>
    <w:rsid w:val="002A3D1D"/>
    <w:rsid w:val="002A7402"/>
    <w:rsid w:val="002A7F0B"/>
    <w:rsid w:val="002B4970"/>
    <w:rsid w:val="002C409F"/>
    <w:rsid w:val="002C4AA6"/>
    <w:rsid w:val="002C56C1"/>
    <w:rsid w:val="002C58AA"/>
    <w:rsid w:val="002D1A5B"/>
    <w:rsid w:val="002D5EE5"/>
    <w:rsid w:val="002E64B6"/>
    <w:rsid w:val="002F2571"/>
    <w:rsid w:val="002F6145"/>
    <w:rsid w:val="00300369"/>
    <w:rsid w:val="00304893"/>
    <w:rsid w:val="0030591D"/>
    <w:rsid w:val="00307C02"/>
    <w:rsid w:val="00310AB6"/>
    <w:rsid w:val="00311175"/>
    <w:rsid w:val="00321D3F"/>
    <w:rsid w:val="003310E7"/>
    <w:rsid w:val="00333F26"/>
    <w:rsid w:val="00341D34"/>
    <w:rsid w:val="00343DAA"/>
    <w:rsid w:val="00346738"/>
    <w:rsid w:val="003526CE"/>
    <w:rsid w:val="00354259"/>
    <w:rsid w:val="0036511B"/>
    <w:rsid w:val="00371282"/>
    <w:rsid w:val="00372327"/>
    <w:rsid w:val="00376112"/>
    <w:rsid w:val="003775EB"/>
    <w:rsid w:val="00383710"/>
    <w:rsid w:val="0038397A"/>
    <w:rsid w:val="00383EB4"/>
    <w:rsid w:val="00384660"/>
    <w:rsid w:val="00394801"/>
    <w:rsid w:val="003A1510"/>
    <w:rsid w:val="003A2302"/>
    <w:rsid w:val="003A5726"/>
    <w:rsid w:val="003B6366"/>
    <w:rsid w:val="003B65E6"/>
    <w:rsid w:val="003C05C1"/>
    <w:rsid w:val="003C25F3"/>
    <w:rsid w:val="003C6B72"/>
    <w:rsid w:val="003C7A7F"/>
    <w:rsid w:val="003D597B"/>
    <w:rsid w:val="003E17D1"/>
    <w:rsid w:val="003E409C"/>
    <w:rsid w:val="003E5D82"/>
    <w:rsid w:val="003E62F3"/>
    <w:rsid w:val="003E679D"/>
    <w:rsid w:val="003F1C1E"/>
    <w:rsid w:val="003F48A9"/>
    <w:rsid w:val="003F55A5"/>
    <w:rsid w:val="003F6005"/>
    <w:rsid w:val="00403BB6"/>
    <w:rsid w:val="00404585"/>
    <w:rsid w:val="00404C49"/>
    <w:rsid w:val="0040701C"/>
    <w:rsid w:val="0041181E"/>
    <w:rsid w:val="00423CC7"/>
    <w:rsid w:val="00423DE6"/>
    <w:rsid w:val="0043033B"/>
    <w:rsid w:val="00430AF7"/>
    <w:rsid w:val="004365C6"/>
    <w:rsid w:val="00442DBC"/>
    <w:rsid w:val="004438E9"/>
    <w:rsid w:val="0045435F"/>
    <w:rsid w:val="004564D7"/>
    <w:rsid w:val="00461265"/>
    <w:rsid w:val="00461AE2"/>
    <w:rsid w:val="00462BA5"/>
    <w:rsid w:val="00462C13"/>
    <w:rsid w:val="00463047"/>
    <w:rsid w:val="0046337A"/>
    <w:rsid w:val="004637BC"/>
    <w:rsid w:val="0046548B"/>
    <w:rsid w:val="0046680B"/>
    <w:rsid w:val="00476047"/>
    <w:rsid w:val="00480038"/>
    <w:rsid w:val="0048037C"/>
    <w:rsid w:val="00481371"/>
    <w:rsid w:val="00490048"/>
    <w:rsid w:val="00493B23"/>
    <w:rsid w:val="00495490"/>
    <w:rsid w:val="00495C4E"/>
    <w:rsid w:val="00496242"/>
    <w:rsid w:val="004A4911"/>
    <w:rsid w:val="004A4A3D"/>
    <w:rsid w:val="004B12B4"/>
    <w:rsid w:val="004C24BA"/>
    <w:rsid w:val="004C2B67"/>
    <w:rsid w:val="004C42B6"/>
    <w:rsid w:val="004C76D7"/>
    <w:rsid w:val="004D336D"/>
    <w:rsid w:val="004D3B12"/>
    <w:rsid w:val="004E0688"/>
    <w:rsid w:val="004E2C5B"/>
    <w:rsid w:val="004E511B"/>
    <w:rsid w:val="004F1880"/>
    <w:rsid w:val="004F2CD9"/>
    <w:rsid w:val="004F4EA7"/>
    <w:rsid w:val="005014A5"/>
    <w:rsid w:val="00506CF9"/>
    <w:rsid w:val="00513557"/>
    <w:rsid w:val="00514EA2"/>
    <w:rsid w:val="0051548C"/>
    <w:rsid w:val="00516064"/>
    <w:rsid w:val="005202C9"/>
    <w:rsid w:val="00520FB3"/>
    <w:rsid w:val="00521801"/>
    <w:rsid w:val="00522AD8"/>
    <w:rsid w:val="005272D5"/>
    <w:rsid w:val="00527F4B"/>
    <w:rsid w:val="005314CA"/>
    <w:rsid w:val="00535B30"/>
    <w:rsid w:val="005375A4"/>
    <w:rsid w:val="00544D84"/>
    <w:rsid w:val="0054738D"/>
    <w:rsid w:val="0056148F"/>
    <w:rsid w:val="00563091"/>
    <w:rsid w:val="005731B6"/>
    <w:rsid w:val="00573D62"/>
    <w:rsid w:val="00575B43"/>
    <w:rsid w:val="00586C70"/>
    <w:rsid w:val="0059009B"/>
    <w:rsid w:val="00593F87"/>
    <w:rsid w:val="00594057"/>
    <w:rsid w:val="005A01BE"/>
    <w:rsid w:val="005A627B"/>
    <w:rsid w:val="005A7F72"/>
    <w:rsid w:val="005B2676"/>
    <w:rsid w:val="005B372E"/>
    <w:rsid w:val="005B4BAD"/>
    <w:rsid w:val="005C11F1"/>
    <w:rsid w:val="005C33EF"/>
    <w:rsid w:val="005C5D11"/>
    <w:rsid w:val="005D103A"/>
    <w:rsid w:val="005D1354"/>
    <w:rsid w:val="005D26A2"/>
    <w:rsid w:val="005D44EA"/>
    <w:rsid w:val="005D4F60"/>
    <w:rsid w:val="005E248A"/>
    <w:rsid w:val="005E3CA0"/>
    <w:rsid w:val="005E608C"/>
    <w:rsid w:val="005F01EB"/>
    <w:rsid w:val="005F193F"/>
    <w:rsid w:val="005F7D8E"/>
    <w:rsid w:val="00603D37"/>
    <w:rsid w:val="0060449D"/>
    <w:rsid w:val="00604558"/>
    <w:rsid w:val="00605C95"/>
    <w:rsid w:val="006072F4"/>
    <w:rsid w:val="00613330"/>
    <w:rsid w:val="00614A94"/>
    <w:rsid w:val="006260BB"/>
    <w:rsid w:val="006261B7"/>
    <w:rsid w:val="00640994"/>
    <w:rsid w:val="00653753"/>
    <w:rsid w:val="00653D29"/>
    <w:rsid w:val="00653DD4"/>
    <w:rsid w:val="00657BC3"/>
    <w:rsid w:val="0066180F"/>
    <w:rsid w:val="00662C15"/>
    <w:rsid w:val="00665568"/>
    <w:rsid w:val="00665EEA"/>
    <w:rsid w:val="0066670A"/>
    <w:rsid w:val="00666DB4"/>
    <w:rsid w:val="0066733F"/>
    <w:rsid w:val="00674E45"/>
    <w:rsid w:val="00675BF8"/>
    <w:rsid w:val="00676E84"/>
    <w:rsid w:val="006819A3"/>
    <w:rsid w:val="006831FC"/>
    <w:rsid w:val="00683F81"/>
    <w:rsid w:val="00684E98"/>
    <w:rsid w:val="00686F0C"/>
    <w:rsid w:val="00687605"/>
    <w:rsid w:val="00690A62"/>
    <w:rsid w:val="006A2233"/>
    <w:rsid w:val="006A2775"/>
    <w:rsid w:val="006A5F7D"/>
    <w:rsid w:val="006B081F"/>
    <w:rsid w:val="006B17CD"/>
    <w:rsid w:val="006B2384"/>
    <w:rsid w:val="006B4CED"/>
    <w:rsid w:val="006B7DD2"/>
    <w:rsid w:val="006C3009"/>
    <w:rsid w:val="006C3D4C"/>
    <w:rsid w:val="006C4CA7"/>
    <w:rsid w:val="006C6721"/>
    <w:rsid w:val="006D3C43"/>
    <w:rsid w:val="006D4332"/>
    <w:rsid w:val="006D7185"/>
    <w:rsid w:val="006E2882"/>
    <w:rsid w:val="006E2AD6"/>
    <w:rsid w:val="006E2FA2"/>
    <w:rsid w:val="006E3195"/>
    <w:rsid w:val="006E38B1"/>
    <w:rsid w:val="006F7AFB"/>
    <w:rsid w:val="006F7BBE"/>
    <w:rsid w:val="00703D10"/>
    <w:rsid w:val="0071324F"/>
    <w:rsid w:val="00714771"/>
    <w:rsid w:val="007151C8"/>
    <w:rsid w:val="00716188"/>
    <w:rsid w:val="0072015C"/>
    <w:rsid w:val="00720CD2"/>
    <w:rsid w:val="00733602"/>
    <w:rsid w:val="00736267"/>
    <w:rsid w:val="007445CF"/>
    <w:rsid w:val="00747074"/>
    <w:rsid w:val="007500C9"/>
    <w:rsid w:val="0075285A"/>
    <w:rsid w:val="007550FB"/>
    <w:rsid w:val="00756788"/>
    <w:rsid w:val="00774F94"/>
    <w:rsid w:val="00775A15"/>
    <w:rsid w:val="0077670F"/>
    <w:rsid w:val="007767BD"/>
    <w:rsid w:val="00777B46"/>
    <w:rsid w:val="0078022B"/>
    <w:rsid w:val="00783185"/>
    <w:rsid w:val="007933F4"/>
    <w:rsid w:val="007966A5"/>
    <w:rsid w:val="007971FD"/>
    <w:rsid w:val="00797E35"/>
    <w:rsid w:val="007A5FC3"/>
    <w:rsid w:val="007C05C3"/>
    <w:rsid w:val="007C1D34"/>
    <w:rsid w:val="007D08B2"/>
    <w:rsid w:val="007E220C"/>
    <w:rsid w:val="007E4CB8"/>
    <w:rsid w:val="007E4FF1"/>
    <w:rsid w:val="007E54F6"/>
    <w:rsid w:val="007E686F"/>
    <w:rsid w:val="007F0E6E"/>
    <w:rsid w:val="007F52A9"/>
    <w:rsid w:val="007F7A68"/>
    <w:rsid w:val="00800301"/>
    <w:rsid w:val="00802741"/>
    <w:rsid w:val="00802DC5"/>
    <w:rsid w:val="008128F4"/>
    <w:rsid w:val="00821A80"/>
    <w:rsid w:val="00823807"/>
    <w:rsid w:val="00826EB9"/>
    <w:rsid w:val="00827E20"/>
    <w:rsid w:val="0083009F"/>
    <w:rsid w:val="00835928"/>
    <w:rsid w:val="00835DCC"/>
    <w:rsid w:val="008377A1"/>
    <w:rsid w:val="008425B2"/>
    <w:rsid w:val="00843945"/>
    <w:rsid w:val="008450E7"/>
    <w:rsid w:val="00850401"/>
    <w:rsid w:val="00853BDA"/>
    <w:rsid w:val="00855D9B"/>
    <w:rsid w:val="0085710F"/>
    <w:rsid w:val="00857BF8"/>
    <w:rsid w:val="008636CA"/>
    <w:rsid w:val="008639EC"/>
    <w:rsid w:val="00865F38"/>
    <w:rsid w:val="008674AD"/>
    <w:rsid w:val="00883212"/>
    <w:rsid w:val="00885238"/>
    <w:rsid w:val="00885F45"/>
    <w:rsid w:val="00887BA4"/>
    <w:rsid w:val="00892627"/>
    <w:rsid w:val="008A1538"/>
    <w:rsid w:val="008B21FA"/>
    <w:rsid w:val="008B2533"/>
    <w:rsid w:val="008B6507"/>
    <w:rsid w:val="008B6EEB"/>
    <w:rsid w:val="008C072E"/>
    <w:rsid w:val="008C4E01"/>
    <w:rsid w:val="008C6FCE"/>
    <w:rsid w:val="008C795C"/>
    <w:rsid w:val="008D2363"/>
    <w:rsid w:val="008F1F0B"/>
    <w:rsid w:val="008F36EC"/>
    <w:rsid w:val="008F37FD"/>
    <w:rsid w:val="008F38B4"/>
    <w:rsid w:val="008F41B5"/>
    <w:rsid w:val="008F726E"/>
    <w:rsid w:val="00910196"/>
    <w:rsid w:val="00911151"/>
    <w:rsid w:val="009118C9"/>
    <w:rsid w:val="0091770D"/>
    <w:rsid w:val="00917DE9"/>
    <w:rsid w:val="009225E0"/>
    <w:rsid w:val="009241A7"/>
    <w:rsid w:val="00925672"/>
    <w:rsid w:val="0093361D"/>
    <w:rsid w:val="00940F0D"/>
    <w:rsid w:val="009451B8"/>
    <w:rsid w:val="00945E43"/>
    <w:rsid w:val="00946548"/>
    <w:rsid w:val="00953ADC"/>
    <w:rsid w:val="0095636C"/>
    <w:rsid w:val="00960391"/>
    <w:rsid w:val="009606E7"/>
    <w:rsid w:val="00960F58"/>
    <w:rsid w:val="00963783"/>
    <w:rsid w:val="009642AF"/>
    <w:rsid w:val="009655A0"/>
    <w:rsid w:val="00972ADC"/>
    <w:rsid w:val="009733C3"/>
    <w:rsid w:val="009914F0"/>
    <w:rsid w:val="009922E5"/>
    <w:rsid w:val="00995D52"/>
    <w:rsid w:val="00997B90"/>
    <w:rsid w:val="009A0417"/>
    <w:rsid w:val="009A12A2"/>
    <w:rsid w:val="009A227B"/>
    <w:rsid w:val="009A23DB"/>
    <w:rsid w:val="009A2930"/>
    <w:rsid w:val="009A2BB0"/>
    <w:rsid w:val="009B2729"/>
    <w:rsid w:val="009C0556"/>
    <w:rsid w:val="009C1230"/>
    <w:rsid w:val="009C12DD"/>
    <w:rsid w:val="009C3BB3"/>
    <w:rsid w:val="009C7CAE"/>
    <w:rsid w:val="009D3968"/>
    <w:rsid w:val="009D4D24"/>
    <w:rsid w:val="009E1A00"/>
    <w:rsid w:val="009E1D6D"/>
    <w:rsid w:val="009E2568"/>
    <w:rsid w:val="009F2795"/>
    <w:rsid w:val="009F2F9E"/>
    <w:rsid w:val="009F7A4E"/>
    <w:rsid w:val="009F7A60"/>
    <w:rsid w:val="00A0181E"/>
    <w:rsid w:val="00A02670"/>
    <w:rsid w:val="00A0284E"/>
    <w:rsid w:val="00A04F1D"/>
    <w:rsid w:val="00A07DF6"/>
    <w:rsid w:val="00A171DA"/>
    <w:rsid w:val="00A20D4E"/>
    <w:rsid w:val="00A21EA3"/>
    <w:rsid w:val="00A24DD1"/>
    <w:rsid w:val="00A25235"/>
    <w:rsid w:val="00A2611E"/>
    <w:rsid w:val="00A270B5"/>
    <w:rsid w:val="00A30C8A"/>
    <w:rsid w:val="00A313F3"/>
    <w:rsid w:val="00A34D47"/>
    <w:rsid w:val="00A43161"/>
    <w:rsid w:val="00A43FD6"/>
    <w:rsid w:val="00A448DA"/>
    <w:rsid w:val="00A55182"/>
    <w:rsid w:val="00A551BE"/>
    <w:rsid w:val="00A621BC"/>
    <w:rsid w:val="00A63371"/>
    <w:rsid w:val="00A63C7B"/>
    <w:rsid w:val="00A70618"/>
    <w:rsid w:val="00A7087F"/>
    <w:rsid w:val="00A712DE"/>
    <w:rsid w:val="00A7595D"/>
    <w:rsid w:val="00A80FFC"/>
    <w:rsid w:val="00A82893"/>
    <w:rsid w:val="00A82BCA"/>
    <w:rsid w:val="00A940C0"/>
    <w:rsid w:val="00A94735"/>
    <w:rsid w:val="00A94752"/>
    <w:rsid w:val="00A96678"/>
    <w:rsid w:val="00A97A44"/>
    <w:rsid w:val="00AA0694"/>
    <w:rsid w:val="00AA13B7"/>
    <w:rsid w:val="00AA2CCE"/>
    <w:rsid w:val="00AA5335"/>
    <w:rsid w:val="00AB0396"/>
    <w:rsid w:val="00AB5EF2"/>
    <w:rsid w:val="00AB6BFF"/>
    <w:rsid w:val="00AC27A1"/>
    <w:rsid w:val="00AC2B72"/>
    <w:rsid w:val="00AC464A"/>
    <w:rsid w:val="00AC4C97"/>
    <w:rsid w:val="00AE146B"/>
    <w:rsid w:val="00AE37E0"/>
    <w:rsid w:val="00AE505A"/>
    <w:rsid w:val="00AF56AB"/>
    <w:rsid w:val="00AF5D4C"/>
    <w:rsid w:val="00B0000B"/>
    <w:rsid w:val="00B01519"/>
    <w:rsid w:val="00B02CB4"/>
    <w:rsid w:val="00B07747"/>
    <w:rsid w:val="00B10A7F"/>
    <w:rsid w:val="00B1619F"/>
    <w:rsid w:val="00B22672"/>
    <w:rsid w:val="00B23F19"/>
    <w:rsid w:val="00B24E78"/>
    <w:rsid w:val="00B25D72"/>
    <w:rsid w:val="00B3060C"/>
    <w:rsid w:val="00B3125C"/>
    <w:rsid w:val="00B32C0F"/>
    <w:rsid w:val="00B378A2"/>
    <w:rsid w:val="00B37955"/>
    <w:rsid w:val="00B41378"/>
    <w:rsid w:val="00B43427"/>
    <w:rsid w:val="00B51334"/>
    <w:rsid w:val="00B5680D"/>
    <w:rsid w:val="00B56F07"/>
    <w:rsid w:val="00B60A4B"/>
    <w:rsid w:val="00B647BB"/>
    <w:rsid w:val="00B6684A"/>
    <w:rsid w:val="00B70E99"/>
    <w:rsid w:val="00B728AE"/>
    <w:rsid w:val="00B769F6"/>
    <w:rsid w:val="00B831EA"/>
    <w:rsid w:val="00B9248C"/>
    <w:rsid w:val="00B93B15"/>
    <w:rsid w:val="00B93DDD"/>
    <w:rsid w:val="00B97EFB"/>
    <w:rsid w:val="00B97EFF"/>
    <w:rsid w:val="00BA6D49"/>
    <w:rsid w:val="00BB17AC"/>
    <w:rsid w:val="00BB26D2"/>
    <w:rsid w:val="00BB6DDD"/>
    <w:rsid w:val="00BC1258"/>
    <w:rsid w:val="00BC2720"/>
    <w:rsid w:val="00BC4D4B"/>
    <w:rsid w:val="00BD1123"/>
    <w:rsid w:val="00BD3B67"/>
    <w:rsid w:val="00BE0E09"/>
    <w:rsid w:val="00BE0E40"/>
    <w:rsid w:val="00BE3008"/>
    <w:rsid w:val="00BE63A6"/>
    <w:rsid w:val="00BE7FD7"/>
    <w:rsid w:val="00BF073A"/>
    <w:rsid w:val="00BF1BDA"/>
    <w:rsid w:val="00C01D35"/>
    <w:rsid w:val="00C06AF7"/>
    <w:rsid w:val="00C12EF2"/>
    <w:rsid w:val="00C148F9"/>
    <w:rsid w:val="00C16A13"/>
    <w:rsid w:val="00C17153"/>
    <w:rsid w:val="00C171FB"/>
    <w:rsid w:val="00C20338"/>
    <w:rsid w:val="00C22FC4"/>
    <w:rsid w:val="00C24212"/>
    <w:rsid w:val="00C248DC"/>
    <w:rsid w:val="00C27D47"/>
    <w:rsid w:val="00C33AFD"/>
    <w:rsid w:val="00C34723"/>
    <w:rsid w:val="00C349DD"/>
    <w:rsid w:val="00C3714E"/>
    <w:rsid w:val="00C4614D"/>
    <w:rsid w:val="00C52E20"/>
    <w:rsid w:val="00C564C2"/>
    <w:rsid w:val="00C568E5"/>
    <w:rsid w:val="00C578A3"/>
    <w:rsid w:val="00C627F5"/>
    <w:rsid w:val="00C70818"/>
    <w:rsid w:val="00C74806"/>
    <w:rsid w:val="00C75ABC"/>
    <w:rsid w:val="00C76ACB"/>
    <w:rsid w:val="00C813C9"/>
    <w:rsid w:val="00C81B39"/>
    <w:rsid w:val="00C915FE"/>
    <w:rsid w:val="00C920FC"/>
    <w:rsid w:val="00C96789"/>
    <w:rsid w:val="00CA20DF"/>
    <w:rsid w:val="00CA4F9B"/>
    <w:rsid w:val="00CA5BC6"/>
    <w:rsid w:val="00CA6D36"/>
    <w:rsid w:val="00CA6D8A"/>
    <w:rsid w:val="00CA7069"/>
    <w:rsid w:val="00CA7422"/>
    <w:rsid w:val="00CB5042"/>
    <w:rsid w:val="00CB5707"/>
    <w:rsid w:val="00CB6506"/>
    <w:rsid w:val="00CC0C03"/>
    <w:rsid w:val="00CC0F72"/>
    <w:rsid w:val="00CC5697"/>
    <w:rsid w:val="00CC5A3C"/>
    <w:rsid w:val="00CC77B0"/>
    <w:rsid w:val="00CD269A"/>
    <w:rsid w:val="00CD3C02"/>
    <w:rsid w:val="00CE29C1"/>
    <w:rsid w:val="00CE30DF"/>
    <w:rsid w:val="00CE4C2F"/>
    <w:rsid w:val="00CE52ED"/>
    <w:rsid w:val="00CF1171"/>
    <w:rsid w:val="00CF1809"/>
    <w:rsid w:val="00CF7865"/>
    <w:rsid w:val="00D02459"/>
    <w:rsid w:val="00D029F2"/>
    <w:rsid w:val="00D032D1"/>
    <w:rsid w:val="00D033AD"/>
    <w:rsid w:val="00D11015"/>
    <w:rsid w:val="00D12319"/>
    <w:rsid w:val="00D15DE8"/>
    <w:rsid w:val="00D2112B"/>
    <w:rsid w:val="00D26FEB"/>
    <w:rsid w:val="00D3008A"/>
    <w:rsid w:val="00D31537"/>
    <w:rsid w:val="00D347E3"/>
    <w:rsid w:val="00D36412"/>
    <w:rsid w:val="00D42E2A"/>
    <w:rsid w:val="00D43920"/>
    <w:rsid w:val="00D449B1"/>
    <w:rsid w:val="00D479A2"/>
    <w:rsid w:val="00D47B4C"/>
    <w:rsid w:val="00D51B10"/>
    <w:rsid w:val="00D540C1"/>
    <w:rsid w:val="00D547A2"/>
    <w:rsid w:val="00D57CE2"/>
    <w:rsid w:val="00D60A46"/>
    <w:rsid w:val="00D622EF"/>
    <w:rsid w:val="00D63275"/>
    <w:rsid w:val="00D64351"/>
    <w:rsid w:val="00D67D3B"/>
    <w:rsid w:val="00D7143E"/>
    <w:rsid w:val="00D71943"/>
    <w:rsid w:val="00D77FC5"/>
    <w:rsid w:val="00D86B21"/>
    <w:rsid w:val="00D86BA1"/>
    <w:rsid w:val="00D86C2C"/>
    <w:rsid w:val="00D87556"/>
    <w:rsid w:val="00D917C3"/>
    <w:rsid w:val="00DA61B3"/>
    <w:rsid w:val="00DA7AB8"/>
    <w:rsid w:val="00DB3599"/>
    <w:rsid w:val="00DB4B2D"/>
    <w:rsid w:val="00DB51EF"/>
    <w:rsid w:val="00DB6157"/>
    <w:rsid w:val="00DB7500"/>
    <w:rsid w:val="00DB7701"/>
    <w:rsid w:val="00DC12F9"/>
    <w:rsid w:val="00DC2052"/>
    <w:rsid w:val="00DC3C22"/>
    <w:rsid w:val="00DD3193"/>
    <w:rsid w:val="00DD40DB"/>
    <w:rsid w:val="00DD6C7D"/>
    <w:rsid w:val="00DD6DAD"/>
    <w:rsid w:val="00DD721D"/>
    <w:rsid w:val="00DE39D3"/>
    <w:rsid w:val="00DE3E46"/>
    <w:rsid w:val="00DE6482"/>
    <w:rsid w:val="00DF09E0"/>
    <w:rsid w:val="00DF4036"/>
    <w:rsid w:val="00E00F9A"/>
    <w:rsid w:val="00E10955"/>
    <w:rsid w:val="00E1488D"/>
    <w:rsid w:val="00E15C73"/>
    <w:rsid w:val="00E15F96"/>
    <w:rsid w:val="00E20FD2"/>
    <w:rsid w:val="00E22005"/>
    <w:rsid w:val="00E24A08"/>
    <w:rsid w:val="00E36631"/>
    <w:rsid w:val="00E36CAF"/>
    <w:rsid w:val="00E37387"/>
    <w:rsid w:val="00E42B8D"/>
    <w:rsid w:val="00E42BD1"/>
    <w:rsid w:val="00E43EE5"/>
    <w:rsid w:val="00E50391"/>
    <w:rsid w:val="00E53C3E"/>
    <w:rsid w:val="00E5470C"/>
    <w:rsid w:val="00E6168F"/>
    <w:rsid w:val="00E61A54"/>
    <w:rsid w:val="00E72E37"/>
    <w:rsid w:val="00E9228F"/>
    <w:rsid w:val="00E96F91"/>
    <w:rsid w:val="00E97014"/>
    <w:rsid w:val="00EA0C43"/>
    <w:rsid w:val="00EA11E8"/>
    <w:rsid w:val="00EA1560"/>
    <w:rsid w:val="00EA443B"/>
    <w:rsid w:val="00EB1B22"/>
    <w:rsid w:val="00EC6B29"/>
    <w:rsid w:val="00ED266C"/>
    <w:rsid w:val="00ED2985"/>
    <w:rsid w:val="00ED5FF7"/>
    <w:rsid w:val="00ED705C"/>
    <w:rsid w:val="00EE1259"/>
    <w:rsid w:val="00EE5DC2"/>
    <w:rsid w:val="00EF0EE1"/>
    <w:rsid w:val="00EF271D"/>
    <w:rsid w:val="00EF304C"/>
    <w:rsid w:val="00EF7DDD"/>
    <w:rsid w:val="00F0042C"/>
    <w:rsid w:val="00F01728"/>
    <w:rsid w:val="00F03063"/>
    <w:rsid w:val="00F116E5"/>
    <w:rsid w:val="00F125E0"/>
    <w:rsid w:val="00F244BF"/>
    <w:rsid w:val="00F2554F"/>
    <w:rsid w:val="00F25B9E"/>
    <w:rsid w:val="00F30F46"/>
    <w:rsid w:val="00F31F4C"/>
    <w:rsid w:val="00F320FD"/>
    <w:rsid w:val="00F3505A"/>
    <w:rsid w:val="00F36A4B"/>
    <w:rsid w:val="00F40C3B"/>
    <w:rsid w:val="00F4197B"/>
    <w:rsid w:val="00F45145"/>
    <w:rsid w:val="00F470AF"/>
    <w:rsid w:val="00F526FE"/>
    <w:rsid w:val="00F5360A"/>
    <w:rsid w:val="00F56688"/>
    <w:rsid w:val="00F650DE"/>
    <w:rsid w:val="00F65EB4"/>
    <w:rsid w:val="00F667C0"/>
    <w:rsid w:val="00F66E39"/>
    <w:rsid w:val="00F70908"/>
    <w:rsid w:val="00F71279"/>
    <w:rsid w:val="00F71448"/>
    <w:rsid w:val="00F75837"/>
    <w:rsid w:val="00F773E8"/>
    <w:rsid w:val="00F8263C"/>
    <w:rsid w:val="00F82AB6"/>
    <w:rsid w:val="00F8381F"/>
    <w:rsid w:val="00F83EC1"/>
    <w:rsid w:val="00F86255"/>
    <w:rsid w:val="00F92EA5"/>
    <w:rsid w:val="00F96C67"/>
    <w:rsid w:val="00FA7A45"/>
    <w:rsid w:val="00FB0137"/>
    <w:rsid w:val="00FB188F"/>
    <w:rsid w:val="00FB7C15"/>
    <w:rsid w:val="00FC2237"/>
    <w:rsid w:val="00FC3201"/>
    <w:rsid w:val="00FC7073"/>
    <w:rsid w:val="00FD4704"/>
    <w:rsid w:val="00FE24F9"/>
    <w:rsid w:val="00FF44D2"/>
    <w:rsid w:val="00FF5D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7C498A2"/>
  <w15:chartTrackingRefBased/>
  <w15:docId w15:val="{CAAB908E-2BC4-4534-9830-DD173043A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46680B"/>
    <w:pPr>
      <w:spacing w:before="120" w:after="120" w:line="300" w:lineRule="atLeast"/>
    </w:pPr>
    <w:rPr>
      <w:rFonts w:ascii="Arial" w:hAnsi="Arial"/>
      <w:sz w:val="22"/>
      <w:szCs w:val="24"/>
      <w:lang w:eastAsia="en-US"/>
    </w:rPr>
  </w:style>
  <w:style w:type="paragraph" w:styleId="Heading1">
    <w:name w:val="heading 1"/>
    <w:next w:val="Normal"/>
    <w:qFormat/>
    <w:rsid w:val="00674E45"/>
    <w:pPr>
      <w:keepNext/>
      <w:spacing w:before="240" w:after="120" w:line="300" w:lineRule="atLeast"/>
      <w:outlineLvl w:val="0"/>
    </w:pPr>
    <w:rPr>
      <w:rFonts w:ascii="Arial" w:hAnsi="Arial" w:cs="Arial"/>
      <w:b/>
      <w:bCs/>
      <w:color w:val="971A4B"/>
      <w:kern w:val="32"/>
      <w:sz w:val="32"/>
      <w:szCs w:val="32"/>
    </w:rPr>
  </w:style>
  <w:style w:type="paragraph" w:styleId="Heading2">
    <w:name w:val="heading 2"/>
    <w:next w:val="Normal"/>
    <w:link w:val="Heading2Char"/>
    <w:qFormat/>
    <w:rsid w:val="00674E45"/>
    <w:pPr>
      <w:keepNext/>
      <w:spacing w:before="240" w:after="120" w:line="300" w:lineRule="atLeast"/>
      <w:outlineLvl w:val="1"/>
    </w:pPr>
    <w:rPr>
      <w:rFonts w:ascii="Arial" w:hAnsi="Arial" w:cs="Arial"/>
      <w:b/>
      <w:bCs/>
      <w:iCs/>
      <w:color w:val="971A4B"/>
      <w:sz w:val="28"/>
      <w:szCs w:val="28"/>
    </w:rPr>
  </w:style>
  <w:style w:type="paragraph" w:styleId="Heading3">
    <w:name w:val="heading 3"/>
    <w:next w:val="Normal"/>
    <w:qFormat/>
    <w:rsid w:val="002A7F0B"/>
    <w:pPr>
      <w:keepNext/>
      <w:spacing w:before="240" w:after="120" w:line="300" w:lineRule="atLeast"/>
      <w:outlineLvl w:val="2"/>
    </w:pPr>
    <w:rPr>
      <w:rFonts w:ascii="Arial" w:hAnsi="Arial" w:cs="Arial"/>
      <w:b/>
      <w:bCs/>
      <w:sz w:val="26"/>
      <w:szCs w:val="26"/>
    </w:rPr>
  </w:style>
  <w:style w:type="paragraph" w:styleId="Heading4">
    <w:name w:val="heading 4"/>
    <w:basedOn w:val="Heading3"/>
    <w:qFormat/>
    <w:rsid w:val="002A7F0B"/>
    <w:pPr>
      <w:outlineLvl w:val="3"/>
    </w:pPr>
    <w:rPr>
      <w:sz w:val="24"/>
      <w:szCs w:val="24"/>
    </w:rPr>
  </w:style>
  <w:style w:type="paragraph" w:styleId="Heading5">
    <w:name w:val="heading 5"/>
    <w:basedOn w:val="Normal"/>
    <w:qFormat/>
    <w:rsid w:val="002A7F0B"/>
    <w:pPr>
      <w:spacing w:before="240"/>
      <w:outlineLvl w:val="4"/>
    </w:pPr>
    <w:rPr>
      <w:b/>
    </w:rPr>
  </w:style>
  <w:style w:type="paragraph" w:styleId="Heading6">
    <w:name w:val="heading 6"/>
    <w:basedOn w:val="Heading5"/>
    <w:next w:val="Normal"/>
    <w:qFormat/>
    <w:rsid w:val="002A7F0B"/>
    <w:pPr>
      <w:outlineLvl w:val="5"/>
    </w:pPr>
  </w:style>
  <w:style w:type="paragraph" w:styleId="Heading7">
    <w:name w:val="heading 7"/>
    <w:basedOn w:val="Heading6"/>
    <w:next w:val="Normal"/>
    <w:qFormat/>
    <w:rsid w:val="002A7F0B"/>
    <w:pPr>
      <w:outlineLvl w:val="6"/>
    </w:pPr>
  </w:style>
  <w:style w:type="paragraph" w:styleId="Heading8">
    <w:name w:val="heading 8"/>
    <w:basedOn w:val="Heading7"/>
    <w:next w:val="Normal"/>
    <w:qFormat/>
    <w:rsid w:val="002A7F0B"/>
    <w:pPr>
      <w:outlineLvl w:val="7"/>
    </w:pPr>
  </w:style>
  <w:style w:type="paragraph" w:styleId="Heading9">
    <w:name w:val="heading 9"/>
    <w:basedOn w:val="Heading8"/>
    <w:next w:val="Normal"/>
    <w:qFormat/>
    <w:rsid w:val="002A7F0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2A7F0B"/>
    <w:pPr>
      <w:spacing w:after="120" w:line="300" w:lineRule="atLeast"/>
    </w:pPr>
    <w:rPr>
      <w:rFonts w:ascii="Arial" w:hAnsi="Arial"/>
      <w:sz w:val="22"/>
      <w:szCs w:val="24"/>
      <w:lang w:eastAsia="en-US"/>
    </w:rPr>
  </w:style>
  <w:style w:type="paragraph" w:styleId="ListBullet">
    <w:name w:val="List Bullet"/>
    <w:rsid w:val="00535B30"/>
    <w:pPr>
      <w:numPr>
        <w:numId w:val="2"/>
      </w:numPr>
      <w:spacing w:after="120" w:line="300" w:lineRule="atLeast"/>
      <w:ind w:left="794" w:hanging="340"/>
      <w:contextualSpacing/>
    </w:pPr>
    <w:rPr>
      <w:rFonts w:ascii="Arial" w:hAnsi="Arial"/>
      <w:sz w:val="22"/>
      <w:szCs w:val="24"/>
      <w:lang w:eastAsia="en-US"/>
    </w:rPr>
  </w:style>
  <w:style w:type="paragraph" w:styleId="ListBullet2">
    <w:name w:val="List Bullet 2"/>
    <w:rsid w:val="004A4A3D"/>
    <w:pPr>
      <w:numPr>
        <w:ilvl w:val="1"/>
        <w:numId w:val="3"/>
      </w:numPr>
      <w:spacing w:after="120" w:line="300" w:lineRule="atLeast"/>
      <w:ind w:left="1361" w:hanging="510"/>
      <w:contextualSpacing/>
    </w:pPr>
    <w:rPr>
      <w:rFonts w:ascii="Arial" w:hAnsi="Arial"/>
      <w:sz w:val="22"/>
      <w:szCs w:val="24"/>
      <w:lang w:eastAsia="en-US"/>
    </w:rPr>
  </w:style>
  <w:style w:type="paragraph" w:styleId="ListBullet3">
    <w:name w:val="List Bullet 3"/>
    <w:rsid w:val="002A7F0B"/>
    <w:pPr>
      <w:numPr>
        <w:ilvl w:val="2"/>
        <w:numId w:val="3"/>
      </w:numPr>
      <w:spacing w:after="120" w:line="300" w:lineRule="atLeast"/>
    </w:pPr>
    <w:rPr>
      <w:rFonts w:ascii="Arial" w:hAnsi="Arial"/>
      <w:sz w:val="22"/>
      <w:szCs w:val="24"/>
      <w:lang w:eastAsia="en-US"/>
    </w:rPr>
  </w:style>
  <w:style w:type="paragraph" w:customStyle="1" w:styleId="VLA1">
    <w:name w:val="VLA 1."/>
    <w:aliases w:val="2.,3."/>
    <w:rsid w:val="002A7F0B"/>
    <w:pPr>
      <w:numPr>
        <w:numId w:val="4"/>
      </w:numPr>
      <w:spacing w:after="120" w:line="300" w:lineRule="atLeast"/>
    </w:pPr>
    <w:rPr>
      <w:rFonts w:ascii="Arial" w:hAnsi="Arial"/>
      <w:sz w:val="22"/>
      <w:szCs w:val="24"/>
      <w:lang w:eastAsia="en-US"/>
    </w:rPr>
  </w:style>
  <w:style w:type="paragraph" w:customStyle="1" w:styleId="VLAa">
    <w:name w:val="VLA a."/>
    <w:aliases w:val="b.,c."/>
    <w:rsid w:val="002A7F0B"/>
    <w:pPr>
      <w:numPr>
        <w:ilvl w:val="1"/>
        <w:numId w:val="4"/>
      </w:numPr>
      <w:spacing w:after="120" w:line="300" w:lineRule="atLeast"/>
    </w:pPr>
    <w:rPr>
      <w:rFonts w:ascii="Arial" w:hAnsi="Arial"/>
      <w:sz w:val="22"/>
      <w:szCs w:val="24"/>
      <w:lang w:eastAsia="en-US"/>
    </w:rPr>
  </w:style>
  <w:style w:type="paragraph" w:customStyle="1" w:styleId="VLAi">
    <w:name w:val="VLA i."/>
    <w:aliases w:val="ii.,iii."/>
    <w:rsid w:val="002A7F0B"/>
    <w:pPr>
      <w:numPr>
        <w:ilvl w:val="2"/>
        <w:numId w:val="4"/>
      </w:numPr>
      <w:spacing w:after="120" w:line="300" w:lineRule="atLeast"/>
    </w:pPr>
    <w:rPr>
      <w:rFonts w:ascii="Arial" w:hAnsi="Arial"/>
      <w:sz w:val="22"/>
      <w:szCs w:val="24"/>
      <w:lang w:eastAsia="en-US"/>
    </w:rPr>
  </w:style>
  <w:style w:type="paragraph" w:customStyle="1" w:styleId="VLAdate">
    <w:name w:val="VLA date"/>
    <w:basedOn w:val="VLAsubtitle"/>
    <w:qFormat/>
    <w:rsid w:val="002A7F0B"/>
    <w:rPr>
      <w:b w:val="0"/>
      <w:sz w:val="24"/>
    </w:rPr>
  </w:style>
  <w:style w:type="paragraph" w:styleId="FootnoteText">
    <w:name w:val="footnote text"/>
    <w:basedOn w:val="Normal"/>
    <w:link w:val="FootnoteTextChar"/>
    <w:uiPriority w:val="99"/>
    <w:rsid w:val="002A7F0B"/>
    <w:pPr>
      <w:ind w:left="284" w:hanging="284"/>
    </w:pPr>
    <w:rPr>
      <w:sz w:val="18"/>
      <w:szCs w:val="20"/>
    </w:rPr>
  </w:style>
  <w:style w:type="paragraph" w:styleId="Header">
    <w:name w:val="header"/>
    <w:rsid w:val="002A7F0B"/>
    <w:pPr>
      <w:pBdr>
        <w:bottom w:val="single" w:sz="4" w:space="1" w:color="B1005D"/>
      </w:pBdr>
      <w:tabs>
        <w:tab w:val="center" w:pos="4604"/>
        <w:tab w:val="right" w:pos="9214"/>
      </w:tabs>
      <w:spacing w:line="240" w:lineRule="atLeast"/>
    </w:pPr>
    <w:rPr>
      <w:rFonts w:ascii="Arial" w:hAnsi="Arial"/>
      <w:sz w:val="22"/>
      <w:szCs w:val="24"/>
      <w:lang w:eastAsia="en-US"/>
    </w:rPr>
  </w:style>
  <w:style w:type="paragraph" w:customStyle="1" w:styleId="Contents">
    <w:name w:val="Contents"/>
    <w:basedOn w:val="VLAdivision"/>
    <w:next w:val="Normal"/>
    <w:rsid w:val="00674E45"/>
  </w:style>
  <w:style w:type="character" w:styleId="Hyperlink">
    <w:name w:val="Hyperlink"/>
    <w:uiPriority w:val="99"/>
    <w:rsid w:val="002A7F0B"/>
    <w:rPr>
      <w:rFonts w:ascii="Arial" w:hAnsi="Arial"/>
      <w:color w:val="0000FF"/>
      <w:u w:val="single"/>
      <w:lang w:val="en-AU"/>
    </w:rPr>
  </w:style>
  <w:style w:type="paragraph" w:styleId="Title">
    <w:name w:val="Title"/>
    <w:qFormat/>
    <w:rsid w:val="00674E45"/>
    <w:pPr>
      <w:spacing w:before="2000" w:after="240" w:line="400" w:lineRule="exact"/>
      <w:outlineLvl w:val="0"/>
    </w:pPr>
    <w:rPr>
      <w:rFonts w:ascii="Arial Bold" w:hAnsi="Arial Bold" w:cs="Arial"/>
      <w:b/>
      <w:bCs/>
      <w:color w:val="971A4B"/>
      <w:kern w:val="28"/>
      <w:sz w:val="36"/>
      <w:szCs w:val="32"/>
      <w:lang w:eastAsia="en-US"/>
    </w:rPr>
  </w:style>
  <w:style w:type="table" w:styleId="TableGrid">
    <w:name w:val="Table Grid"/>
    <w:basedOn w:val="TableNormal"/>
    <w:rsid w:val="002A7F0B"/>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rsid w:val="002A7F0B"/>
    <w:pPr>
      <w:tabs>
        <w:tab w:val="right" w:leader="dot" w:pos="9790"/>
      </w:tabs>
      <w:spacing w:before="60" w:after="60"/>
      <w:ind w:left="567" w:right="760" w:hanging="567"/>
    </w:pPr>
    <w:rPr>
      <w:rFonts w:ascii="Arial" w:hAnsi="Arial"/>
      <w:b/>
      <w:szCs w:val="24"/>
      <w:lang w:eastAsia="en-US"/>
    </w:rPr>
  </w:style>
  <w:style w:type="paragraph" w:styleId="ListBullet4">
    <w:name w:val="List Bullet 4"/>
    <w:basedOn w:val="Normal"/>
    <w:semiHidden/>
    <w:rsid w:val="002A7F0B"/>
    <w:pPr>
      <w:spacing w:after="80"/>
    </w:pPr>
  </w:style>
  <w:style w:type="character" w:styleId="PageNumber">
    <w:name w:val="page number"/>
    <w:semiHidden/>
    <w:rsid w:val="002A7F0B"/>
    <w:rPr>
      <w:rFonts w:ascii="Arial" w:hAnsi="Arial"/>
      <w:sz w:val="18"/>
    </w:rPr>
  </w:style>
  <w:style w:type="paragraph" w:customStyle="1" w:styleId="Appendix">
    <w:name w:val="Appendix"/>
    <w:next w:val="Normal"/>
    <w:rsid w:val="00674E45"/>
    <w:pPr>
      <w:numPr>
        <w:numId w:val="1"/>
      </w:numPr>
      <w:spacing w:before="240" w:after="240" w:line="280" w:lineRule="exact"/>
    </w:pPr>
    <w:rPr>
      <w:rFonts w:ascii="Arial" w:hAnsi="Arial" w:cs="Arial"/>
      <w:b/>
      <w:bCs/>
      <w:color w:val="971A4B"/>
      <w:kern w:val="32"/>
      <w:sz w:val="28"/>
      <w:szCs w:val="32"/>
    </w:rPr>
  </w:style>
  <w:style w:type="paragraph" w:customStyle="1" w:styleId="VLAtitle">
    <w:name w:val="VLA title"/>
    <w:basedOn w:val="Title"/>
    <w:rsid w:val="00674E45"/>
    <w:rPr>
      <w:rFonts w:ascii="Arial" w:hAnsi="Arial"/>
    </w:rPr>
  </w:style>
  <w:style w:type="paragraph" w:customStyle="1" w:styleId="VLAsubtitle">
    <w:name w:val="VLA subtitle"/>
    <w:basedOn w:val="Normal"/>
    <w:rsid w:val="002A7F0B"/>
    <w:pPr>
      <w:spacing w:before="240" w:after="240" w:line="240" w:lineRule="atLeast"/>
    </w:pPr>
    <w:rPr>
      <w:b/>
      <w:bCs/>
      <w:sz w:val="28"/>
      <w:szCs w:val="28"/>
    </w:rPr>
  </w:style>
  <w:style w:type="paragraph" w:customStyle="1" w:styleId="VLAauthor">
    <w:name w:val="VLA author"/>
    <w:basedOn w:val="Normal"/>
    <w:next w:val="VLAdivision"/>
    <w:rsid w:val="00674E45"/>
    <w:pPr>
      <w:spacing w:before="240" w:after="60"/>
    </w:pPr>
    <w:rPr>
      <w:b/>
      <w:color w:val="971A4B"/>
      <w:sz w:val="28"/>
      <w:szCs w:val="28"/>
      <w:lang w:eastAsia="en-AU"/>
    </w:rPr>
  </w:style>
  <w:style w:type="paragraph" w:customStyle="1" w:styleId="VLAdivision">
    <w:name w:val="VLA division"/>
    <w:basedOn w:val="Normal"/>
    <w:next w:val="VLAauthor"/>
    <w:rsid w:val="00674E45"/>
    <w:pPr>
      <w:spacing w:before="60" w:after="240"/>
    </w:pPr>
    <w:rPr>
      <w:b/>
      <w:color w:val="971A4B"/>
      <w:sz w:val="28"/>
      <w:szCs w:val="28"/>
      <w:lang w:eastAsia="en-AU"/>
    </w:rPr>
  </w:style>
  <w:style w:type="paragraph" w:customStyle="1" w:styleId="VLApublicationdate">
    <w:name w:val="VLA publication date"/>
    <w:basedOn w:val="Normal"/>
    <w:rsid w:val="002A7F0B"/>
    <w:pPr>
      <w:spacing w:before="1000"/>
    </w:pPr>
    <w:rPr>
      <w:b/>
      <w:sz w:val="28"/>
      <w:szCs w:val="20"/>
      <w:lang w:eastAsia="en-AU"/>
    </w:rPr>
  </w:style>
  <w:style w:type="paragraph" w:customStyle="1" w:styleId="VLAcaption">
    <w:name w:val="VLA caption"/>
    <w:basedOn w:val="Normal"/>
    <w:next w:val="Normal"/>
    <w:rsid w:val="002A7F0B"/>
    <w:rPr>
      <w:i/>
      <w:sz w:val="20"/>
    </w:rPr>
  </w:style>
  <w:style w:type="paragraph" w:customStyle="1" w:styleId="Confidentialityclause">
    <w:name w:val="Confidentiality clause"/>
    <w:rsid w:val="002A7F0B"/>
    <w:pPr>
      <w:spacing w:after="120"/>
    </w:pPr>
    <w:rPr>
      <w:rFonts w:ascii="Arial" w:hAnsi="Arial"/>
      <w:bCs/>
      <w:kern w:val="28"/>
      <w:sz w:val="18"/>
      <w:lang w:eastAsia="en-US"/>
    </w:rPr>
  </w:style>
  <w:style w:type="character" w:styleId="FootnoteReference">
    <w:name w:val="footnote reference"/>
    <w:uiPriority w:val="99"/>
    <w:rsid w:val="002A7F0B"/>
    <w:rPr>
      <w:rFonts w:ascii="Arial" w:hAnsi="Arial"/>
      <w:sz w:val="18"/>
      <w:vertAlign w:val="superscript"/>
    </w:rPr>
  </w:style>
  <w:style w:type="paragraph" w:customStyle="1" w:styleId="Filename">
    <w:name w:val="Filename"/>
    <w:basedOn w:val="Normal"/>
    <w:rsid w:val="002A7F0B"/>
    <w:pPr>
      <w:pBdr>
        <w:top w:val="single" w:sz="4" w:space="1" w:color="B1005D"/>
      </w:pBdr>
      <w:tabs>
        <w:tab w:val="right" w:pos="9240"/>
      </w:tabs>
    </w:pPr>
    <w:rPr>
      <w:sz w:val="18"/>
    </w:rPr>
  </w:style>
  <w:style w:type="paragraph" w:styleId="TOC2">
    <w:name w:val="toc 2"/>
    <w:basedOn w:val="Normal"/>
    <w:next w:val="Normal"/>
    <w:uiPriority w:val="39"/>
    <w:rsid w:val="002A7F0B"/>
    <w:pPr>
      <w:tabs>
        <w:tab w:val="right" w:leader="dot" w:pos="9790"/>
      </w:tabs>
      <w:spacing w:before="60" w:after="60"/>
      <w:ind w:left="330" w:right="650"/>
    </w:pPr>
    <w:rPr>
      <w:noProof/>
      <w:sz w:val="20"/>
    </w:rPr>
  </w:style>
  <w:style w:type="paragraph" w:styleId="TOC3">
    <w:name w:val="toc 3"/>
    <w:basedOn w:val="Normal"/>
    <w:next w:val="Normal"/>
    <w:rsid w:val="002A7F0B"/>
    <w:pPr>
      <w:tabs>
        <w:tab w:val="right" w:leader="dot" w:pos="9790"/>
      </w:tabs>
      <w:spacing w:before="60" w:after="60"/>
      <w:ind w:left="550" w:right="760"/>
    </w:pPr>
    <w:rPr>
      <w:noProof/>
      <w:sz w:val="20"/>
    </w:rPr>
  </w:style>
  <w:style w:type="paragraph" w:styleId="Footer">
    <w:name w:val="footer"/>
    <w:basedOn w:val="Normal"/>
    <w:rsid w:val="002A7F0B"/>
    <w:pPr>
      <w:tabs>
        <w:tab w:val="center" w:pos="4153"/>
        <w:tab w:val="right" w:pos="8306"/>
      </w:tabs>
    </w:pPr>
  </w:style>
  <w:style w:type="paragraph" w:customStyle="1" w:styleId="VLAquotation">
    <w:name w:val="VLA quotation"/>
    <w:basedOn w:val="VLApicture"/>
    <w:rsid w:val="002A7F0B"/>
    <w:pPr>
      <w:ind w:left="720"/>
    </w:pPr>
    <w:rPr>
      <w:i/>
    </w:rPr>
  </w:style>
  <w:style w:type="paragraph" w:customStyle="1" w:styleId="VLAdefinition">
    <w:name w:val="VLA definition"/>
    <w:basedOn w:val="Normal"/>
    <w:rsid w:val="002A7F0B"/>
    <w:pPr>
      <w:tabs>
        <w:tab w:val="left" w:pos="2268"/>
      </w:tabs>
      <w:spacing w:before="60"/>
      <w:ind w:left="2268" w:hanging="2268"/>
    </w:pPr>
    <w:rPr>
      <w:szCs w:val="22"/>
    </w:rPr>
  </w:style>
  <w:style w:type="character" w:styleId="Strong">
    <w:name w:val="Strong"/>
    <w:uiPriority w:val="22"/>
    <w:qFormat/>
    <w:rsid w:val="002A7F0B"/>
    <w:rPr>
      <w:b/>
      <w:bCs/>
    </w:rPr>
  </w:style>
  <w:style w:type="paragraph" w:customStyle="1" w:styleId="NormalBold">
    <w:name w:val="Normal Bold"/>
    <w:basedOn w:val="Normal"/>
    <w:next w:val="Normal"/>
    <w:rsid w:val="000B3766"/>
    <w:rPr>
      <w:b/>
      <w:lang w:eastAsia="en-AU"/>
    </w:rPr>
  </w:style>
  <w:style w:type="paragraph" w:customStyle="1" w:styleId="AppendixH1">
    <w:name w:val="Appendix H1"/>
    <w:next w:val="Normal"/>
    <w:rsid w:val="00674E45"/>
    <w:pPr>
      <w:spacing w:before="240" w:after="240" w:line="300" w:lineRule="atLeast"/>
    </w:pPr>
    <w:rPr>
      <w:rFonts w:ascii="Arial" w:hAnsi="Arial" w:cs="Arial"/>
      <w:b/>
      <w:bCs/>
      <w:color w:val="971A4B"/>
      <w:kern w:val="32"/>
      <w:sz w:val="28"/>
      <w:szCs w:val="26"/>
    </w:rPr>
  </w:style>
  <w:style w:type="paragraph" w:customStyle="1" w:styleId="AppendixH2">
    <w:name w:val="Appendix H2"/>
    <w:next w:val="Normal"/>
    <w:rsid w:val="00674E45"/>
    <w:pPr>
      <w:spacing w:before="160" w:after="40" w:line="300" w:lineRule="atLeast"/>
    </w:pPr>
    <w:rPr>
      <w:rFonts w:ascii="Arial" w:hAnsi="Arial" w:cs="Arial"/>
      <w:b/>
      <w:bCs/>
      <w:iCs/>
      <w:color w:val="971A4B"/>
      <w:sz w:val="26"/>
      <w:szCs w:val="28"/>
    </w:rPr>
  </w:style>
  <w:style w:type="paragraph" w:customStyle="1" w:styleId="AppendixH3">
    <w:name w:val="Appendix H3"/>
    <w:next w:val="Normal"/>
    <w:rsid w:val="002A7F0B"/>
    <w:pPr>
      <w:spacing w:before="120" w:after="40" w:line="300" w:lineRule="atLeast"/>
    </w:pPr>
    <w:rPr>
      <w:rFonts w:ascii="Arial" w:hAnsi="Arial" w:cs="Arial"/>
      <w:b/>
      <w:bCs/>
      <w:sz w:val="24"/>
      <w:szCs w:val="26"/>
    </w:rPr>
  </w:style>
  <w:style w:type="paragraph" w:customStyle="1" w:styleId="Normalbold0">
    <w:name w:val="Normal bold"/>
    <w:basedOn w:val="Normal"/>
    <w:next w:val="Normal"/>
    <w:rsid w:val="002A7F0B"/>
    <w:rPr>
      <w:b/>
      <w:lang w:eastAsia="en-AU"/>
    </w:rPr>
  </w:style>
  <w:style w:type="paragraph" w:customStyle="1" w:styleId="Normalwithborder">
    <w:name w:val="Normal with border"/>
    <w:basedOn w:val="Heading5"/>
    <w:qFormat/>
    <w:rsid w:val="002A7F0B"/>
  </w:style>
  <w:style w:type="paragraph" w:customStyle="1" w:styleId="Normalwithgreyhighlightbox">
    <w:name w:val="Normal with grey highlight box"/>
    <w:basedOn w:val="Heading4"/>
    <w:qFormat/>
    <w:rsid w:val="002A7F0B"/>
  </w:style>
  <w:style w:type="paragraph" w:styleId="ListParagraph">
    <w:name w:val="List Paragraph"/>
    <w:basedOn w:val="Normal"/>
    <w:uiPriority w:val="34"/>
    <w:qFormat/>
    <w:rsid w:val="0001247F"/>
    <w:pPr>
      <w:ind w:left="720"/>
      <w:contextualSpacing/>
    </w:pPr>
  </w:style>
  <w:style w:type="character" w:customStyle="1" w:styleId="FootnoteTextChar">
    <w:name w:val="Footnote Text Char"/>
    <w:basedOn w:val="DefaultParagraphFont"/>
    <w:link w:val="FootnoteText"/>
    <w:uiPriority w:val="99"/>
    <w:rsid w:val="00514EA2"/>
    <w:rPr>
      <w:rFonts w:ascii="Arial" w:hAnsi="Arial"/>
      <w:sz w:val="18"/>
      <w:lang w:eastAsia="en-US"/>
    </w:rPr>
  </w:style>
  <w:style w:type="paragraph" w:styleId="BalloonText">
    <w:name w:val="Balloon Text"/>
    <w:basedOn w:val="Normal"/>
    <w:link w:val="BalloonTextChar"/>
    <w:semiHidden/>
    <w:unhideWhenUsed/>
    <w:rsid w:val="00514E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14EA2"/>
    <w:rPr>
      <w:rFonts w:ascii="Segoe UI" w:hAnsi="Segoe UI" w:cs="Segoe UI"/>
      <w:sz w:val="18"/>
      <w:szCs w:val="18"/>
      <w:lang w:eastAsia="en-US"/>
    </w:rPr>
  </w:style>
  <w:style w:type="character" w:styleId="CommentReference">
    <w:name w:val="annotation reference"/>
    <w:basedOn w:val="DefaultParagraphFont"/>
    <w:rsid w:val="00A21EA3"/>
    <w:rPr>
      <w:sz w:val="16"/>
      <w:szCs w:val="16"/>
    </w:rPr>
  </w:style>
  <w:style w:type="paragraph" w:styleId="CommentText">
    <w:name w:val="annotation text"/>
    <w:basedOn w:val="Normal"/>
    <w:link w:val="CommentTextChar"/>
    <w:rsid w:val="00A21EA3"/>
    <w:pPr>
      <w:spacing w:line="240" w:lineRule="auto"/>
    </w:pPr>
    <w:rPr>
      <w:sz w:val="20"/>
      <w:szCs w:val="20"/>
    </w:rPr>
  </w:style>
  <w:style w:type="character" w:customStyle="1" w:styleId="CommentTextChar">
    <w:name w:val="Comment Text Char"/>
    <w:basedOn w:val="DefaultParagraphFont"/>
    <w:link w:val="CommentText"/>
    <w:rsid w:val="00A21EA3"/>
    <w:rPr>
      <w:rFonts w:ascii="Arial" w:hAnsi="Arial"/>
      <w:lang w:eastAsia="en-US"/>
    </w:rPr>
  </w:style>
  <w:style w:type="paragraph" w:styleId="CommentSubject">
    <w:name w:val="annotation subject"/>
    <w:basedOn w:val="CommentText"/>
    <w:next w:val="CommentText"/>
    <w:link w:val="CommentSubjectChar"/>
    <w:rsid w:val="00A21EA3"/>
    <w:rPr>
      <w:b/>
      <w:bCs/>
    </w:rPr>
  </w:style>
  <w:style w:type="character" w:customStyle="1" w:styleId="CommentSubjectChar">
    <w:name w:val="Comment Subject Char"/>
    <w:basedOn w:val="CommentTextChar"/>
    <w:link w:val="CommentSubject"/>
    <w:rsid w:val="00A21EA3"/>
    <w:rPr>
      <w:rFonts w:ascii="Arial" w:hAnsi="Arial"/>
      <w:b/>
      <w:bCs/>
      <w:lang w:eastAsia="en-US"/>
    </w:rPr>
  </w:style>
  <w:style w:type="table" w:customStyle="1" w:styleId="TableGrid2">
    <w:name w:val="Table Grid2"/>
    <w:basedOn w:val="TableNormal"/>
    <w:next w:val="TableGrid"/>
    <w:uiPriority w:val="59"/>
    <w:rsid w:val="00940F0D"/>
    <w:pPr>
      <w:jc w:val="both"/>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972ADC"/>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72ADC"/>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02CB4"/>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02CB4"/>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B02CB4"/>
    <w:rPr>
      <w:i/>
      <w:iCs/>
    </w:rPr>
  </w:style>
  <w:style w:type="table" w:customStyle="1" w:styleId="TableGrid11">
    <w:name w:val="Table Grid11"/>
    <w:basedOn w:val="TableNormal"/>
    <w:next w:val="TableGrid"/>
    <w:uiPriority w:val="39"/>
    <w:rsid w:val="005F01EB"/>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24E78"/>
    <w:pPr>
      <w:spacing w:before="0" w:line="360" w:lineRule="atLeast"/>
    </w:pPr>
    <w:rPr>
      <w:rFonts w:ascii="Times New Roman" w:eastAsiaTheme="minorHAnsi" w:hAnsi="Times New Roman"/>
      <w:sz w:val="24"/>
      <w:lang w:eastAsia="en-AU"/>
    </w:rPr>
  </w:style>
  <w:style w:type="character" w:customStyle="1" w:styleId="st1">
    <w:name w:val="st1"/>
    <w:basedOn w:val="DefaultParagraphFont"/>
    <w:rsid w:val="002D5EE5"/>
  </w:style>
  <w:style w:type="character" w:customStyle="1" w:styleId="Heading2Char">
    <w:name w:val="Heading 2 Char"/>
    <w:basedOn w:val="DefaultParagraphFont"/>
    <w:link w:val="Heading2"/>
    <w:rsid w:val="006072F4"/>
    <w:rPr>
      <w:rFonts w:ascii="Arial" w:hAnsi="Arial" w:cs="Arial"/>
      <w:b/>
      <w:bCs/>
      <w:iCs/>
      <w:color w:val="971A4B"/>
      <w:sz w:val="28"/>
      <w:szCs w:val="28"/>
    </w:rPr>
  </w:style>
  <w:style w:type="paragraph" w:styleId="ListNumber">
    <w:name w:val="List Number"/>
    <w:basedOn w:val="Normal"/>
    <w:rsid w:val="00252273"/>
    <w:pPr>
      <w:numPr>
        <w:numId w:val="48"/>
      </w:numPr>
      <w:ind w:left="850" w:hanging="510"/>
      <w:contextualSpacing/>
    </w:pPr>
  </w:style>
  <w:style w:type="paragraph" w:customStyle="1" w:styleId="Heading1numbered">
    <w:name w:val="Heading 1 numbered"/>
    <w:basedOn w:val="Heading1"/>
    <w:qFormat/>
    <w:rsid w:val="006F7AFB"/>
    <w:pPr>
      <w:numPr>
        <w:numId w:val="42"/>
      </w:numPr>
      <w:spacing w:line="276" w:lineRule="auto"/>
      <w:ind w:left="510" w:hanging="510"/>
    </w:pPr>
  </w:style>
  <w:style w:type="paragraph" w:styleId="Quote">
    <w:name w:val="Quote"/>
    <w:basedOn w:val="Normal"/>
    <w:next w:val="Normal"/>
    <w:link w:val="QuoteChar"/>
    <w:uiPriority w:val="29"/>
    <w:qFormat/>
    <w:rsid w:val="005202C9"/>
    <w:pPr>
      <w:spacing w:before="200" w:after="160"/>
      <w:ind w:left="864" w:right="864"/>
    </w:pPr>
    <w:rPr>
      <w:i/>
      <w:iCs/>
    </w:rPr>
  </w:style>
  <w:style w:type="character" w:customStyle="1" w:styleId="QuoteChar">
    <w:name w:val="Quote Char"/>
    <w:basedOn w:val="DefaultParagraphFont"/>
    <w:link w:val="Quote"/>
    <w:uiPriority w:val="29"/>
    <w:rsid w:val="005202C9"/>
    <w:rPr>
      <w:rFonts w:ascii="Arial" w:hAnsi="Arial"/>
      <w:i/>
      <w:iCs/>
      <w:sz w:val="22"/>
      <w:szCs w:val="24"/>
      <w:lang w:eastAsia="en-US"/>
    </w:rPr>
  </w:style>
  <w:style w:type="paragraph" w:customStyle="1" w:styleId="Figuretableheading">
    <w:name w:val="Figure/table heading"/>
    <w:basedOn w:val="Normal"/>
    <w:qFormat/>
    <w:rsid w:val="00F56688"/>
    <w:pPr>
      <w:spacing w:line="276" w:lineRule="auto"/>
    </w:pPr>
    <w:rPr>
      <w:b/>
      <w:sz w:val="24"/>
    </w:rPr>
  </w:style>
  <w:style w:type="paragraph" w:customStyle="1" w:styleId="Heading2numbered">
    <w:name w:val="Heading 2 numbered"/>
    <w:basedOn w:val="Heading2"/>
    <w:qFormat/>
    <w:rsid w:val="00FF5DCA"/>
    <w:pPr>
      <w:numPr>
        <w:ilvl w:val="2"/>
        <w:numId w:val="5"/>
      </w:numPr>
      <w:spacing w:line="276" w:lineRule="auto"/>
      <w:ind w:left="510" w:hanging="510"/>
    </w:pPr>
  </w:style>
  <w:style w:type="paragraph" w:styleId="Revision">
    <w:name w:val="Revision"/>
    <w:hidden/>
    <w:uiPriority w:val="99"/>
    <w:semiHidden/>
    <w:rsid w:val="00D71943"/>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69206">
      <w:bodyDiv w:val="1"/>
      <w:marLeft w:val="0"/>
      <w:marRight w:val="0"/>
      <w:marTop w:val="0"/>
      <w:marBottom w:val="0"/>
      <w:divBdr>
        <w:top w:val="none" w:sz="0" w:space="0" w:color="auto"/>
        <w:left w:val="none" w:sz="0" w:space="0" w:color="auto"/>
        <w:bottom w:val="none" w:sz="0" w:space="0" w:color="auto"/>
        <w:right w:val="none" w:sz="0" w:space="0" w:color="auto"/>
      </w:divBdr>
    </w:div>
    <w:div w:id="530648718">
      <w:bodyDiv w:val="1"/>
      <w:marLeft w:val="0"/>
      <w:marRight w:val="0"/>
      <w:marTop w:val="0"/>
      <w:marBottom w:val="0"/>
      <w:divBdr>
        <w:top w:val="none" w:sz="0" w:space="0" w:color="auto"/>
        <w:left w:val="none" w:sz="0" w:space="0" w:color="auto"/>
        <w:bottom w:val="none" w:sz="0" w:space="0" w:color="auto"/>
        <w:right w:val="none" w:sz="0" w:space="0" w:color="auto"/>
      </w:divBdr>
    </w:div>
    <w:div w:id="1231423532">
      <w:bodyDiv w:val="1"/>
      <w:marLeft w:val="240"/>
      <w:marRight w:val="240"/>
      <w:marTop w:val="240"/>
      <w:marBottom w:val="240"/>
      <w:divBdr>
        <w:top w:val="none" w:sz="0" w:space="0" w:color="auto"/>
        <w:left w:val="none" w:sz="0" w:space="0" w:color="auto"/>
        <w:bottom w:val="none" w:sz="0" w:space="0" w:color="auto"/>
        <w:right w:val="none" w:sz="0" w:space="0" w:color="auto"/>
      </w:divBdr>
      <w:divsChild>
        <w:div w:id="2088458458">
          <w:marLeft w:val="0"/>
          <w:marRight w:val="0"/>
          <w:marTop w:val="0"/>
          <w:marBottom w:val="0"/>
          <w:divBdr>
            <w:top w:val="none" w:sz="0" w:space="0" w:color="auto"/>
            <w:left w:val="none" w:sz="0" w:space="0" w:color="auto"/>
            <w:bottom w:val="none" w:sz="0" w:space="0" w:color="auto"/>
            <w:right w:val="none" w:sz="0" w:space="0" w:color="auto"/>
          </w:divBdr>
          <w:divsChild>
            <w:div w:id="999041300">
              <w:marLeft w:val="0"/>
              <w:marRight w:val="0"/>
              <w:marTop w:val="0"/>
              <w:marBottom w:val="0"/>
              <w:divBdr>
                <w:top w:val="none" w:sz="0" w:space="0" w:color="auto"/>
                <w:left w:val="none" w:sz="0" w:space="0" w:color="auto"/>
                <w:bottom w:val="none" w:sz="0" w:space="0" w:color="auto"/>
                <w:right w:val="none" w:sz="0" w:space="0" w:color="auto"/>
              </w:divBdr>
              <w:divsChild>
                <w:div w:id="288972761">
                  <w:marLeft w:val="0"/>
                  <w:marRight w:val="0"/>
                  <w:marTop w:val="0"/>
                  <w:marBottom w:val="0"/>
                  <w:divBdr>
                    <w:top w:val="none" w:sz="0" w:space="0" w:color="auto"/>
                    <w:left w:val="none" w:sz="0" w:space="0" w:color="auto"/>
                    <w:bottom w:val="none" w:sz="0" w:space="0" w:color="auto"/>
                    <w:right w:val="none" w:sz="0" w:space="0" w:color="auto"/>
                  </w:divBdr>
                  <w:divsChild>
                    <w:div w:id="1499466877">
                      <w:marLeft w:val="0"/>
                      <w:marRight w:val="0"/>
                      <w:marTop w:val="0"/>
                      <w:marBottom w:val="0"/>
                      <w:divBdr>
                        <w:top w:val="none" w:sz="0" w:space="0" w:color="auto"/>
                        <w:left w:val="none" w:sz="0" w:space="0" w:color="auto"/>
                        <w:bottom w:val="none" w:sz="0" w:space="0" w:color="auto"/>
                        <w:right w:val="none" w:sz="0" w:space="0" w:color="auto"/>
                      </w:divBdr>
                      <w:divsChild>
                        <w:div w:id="891306424">
                          <w:marLeft w:val="0"/>
                          <w:marRight w:val="0"/>
                          <w:marTop w:val="0"/>
                          <w:marBottom w:val="0"/>
                          <w:divBdr>
                            <w:top w:val="none" w:sz="0" w:space="0" w:color="auto"/>
                            <w:left w:val="none" w:sz="0" w:space="0" w:color="auto"/>
                            <w:bottom w:val="none" w:sz="0" w:space="0" w:color="auto"/>
                            <w:right w:val="none" w:sz="0" w:space="0" w:color="auto"/>
                          </w:divBdr>
                          <w:divsChild>
                            <w:div w:id="158734275">
                              <w:marLeft w:val="0"/>
                              <w:marRight w:val="0"/>
                              <w:marTop w:val="0"/>
                              <w:marBottom w:val="0"/>
                              <w:divBdr>
                                <w:top w:val="none" w:sz="0" w:space="0" w:color="auto"/>
                                <w:left w:val="none" w:sz="0" w:space="0" w:color="auto"/>
                                <w:bottom w:val="none" w:sz="0" w:space="0" w:color="auto"/>
                                <w:right w:val="none" w:sz="0" w:space="0" w:color="auto"/>
                              </w:divBdr>
                              <w:divsChild>
                                <w:div w:id="370761758">
                                  <w:marLeft w:val="0"/>
                                  <w:marRight w:val="0"/>
                                  <w:marTop w:val="100"/>
                                  <w:marBottom w:val="100"/>
                                  <w:divBdr>
                                    <w:top w:val="none" w:sz="0" w:space="0" w:color="auto"/>
                                    <w:left w:val="none" w:sz="0" w:space="0" w:color="auto"/>
                                    <w:bottom w:val="none" w:sz="0" w:space="0" w:color="auto"/>
                                    <w:right w:val="none" w:sz="0" w:space="0" w:color="auto"/>
                                  </w:divBdr>
                                  <w:divsChild>
                                    <w:div w:id="1475751766">
                                      <w:marLeft w:val="0"/>
                                      <w:marRight w:val="0"/>
                                      <w:marTop w:val="0"/>
                                      <w:marBottom w:val="0"/>
                                      <w:divBdr>
                                        <w:top w:val="none" w:sz="0" w:space="0" w:color="auto"/>
                                        <w:left w:val="none" w:sz="0" w:space="0" w:color="auto"/>
                                        <w:bottom w:val="none" w:sz="0" w:space="0" w:color="auto"/>
                                        <w:right w:val="none" w:sz="0" w:space="0" w:color="auto"/>
                                      </w:divBdr>
                                      <w:divsChild>
                                        <w:div w:id="1538469266">
                                          <w:marLeft w:val="0"/>
                                          <w:marRight w:val="0"/>
                                          <w:marTop w:val="0"/>
                                          <w:marBottom w:val="0"/>
                                          <w:divBdr>
                                            <w:top w:val="none" w:sz="0" w:space="0" w:color="auto"/>
                                            <w:left w:val="none" w:sz="0" w:space="0" w:color="auto"/>
                                            <w:bottom w:val="none" w:sz="0" w:space="0" w:color="auto"/>
                                            <w:right w:val="none" w:sz="0" w:space="0" w:color="auto"/>
                                          </w:divBdr>
                                          <w:divsChild>
                                            <w:div w:id="1525292623">
                                              <w:marLeft w:val="0"/>
                                              <w:marRight w:val="0"/>
                                              <w:marTop w:val="0"/>
                                              <w:marBottom w:val="0"/>
                                              <w:divBdr>
                                                <w:top w:val="none" w:sz="0" w:space="0" w:color="auto"/>
                                                <w:left w:val="none" w:sz="0" w:space="0" w:color="auto"/>
                                                <w:bottom w:val="none" w:sz="0" w:space="0" w:color="auto"/>
                                                <w:right w:val="none" w:sz="0" w:space="0" w:color="auto"/>
                                              </w:divBdr>
                                              <w:divsChild>
                                                <w:div w:id="1411198041">
                                                  <w:marLeft w:val="0"/>
                                                  <w:marRight w:val="0"/>
                                                  <w:marTop w:val="0"/>
                                                  <w:marBottom w:val="0"/>
                                                  <w:divBdr>
                                                    <w:top w:val="none" w:sz="0" w:space="0" w:color="auto"/>
                                                    <w:left w:val="none" w:sz="0" w:space="0" w:color="auto"/>
                                                    <w:bottom w:val="none" w:sz="0" w:space="0" w:color="auto"/>
                                                    <w:right w:val="none" w:sz="0" w:space="0" w:color="auto"/>
                                                  </w:divBdr>
                                                  <w:divsChild>
                                                    <w:div w:id="126376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643693">
      <w:bodyDiv w:val="1"/>
      <w:marLeft w:val="379"/>
      <w:marRight w:val="120"/>
      <w:marTop w:val="379"/>
      <w:marBottom w:val="379"/>
      <w:divBdr>
        <w:top w:val="none" w:sz="0" w:space="0" w:color="auto"/>
        <w:left w:val="none" w:sz="0" w:space="0" w:color="auto"/>
        <w:bottom w:val="none" w:sz="0" w:space="0" w:color="auto"/>
        <w:right w:val="none" w:sz="0" w:space="0" w:color="auto"/>
      </w:divBdr>
    </w:div>
    <w:div w:id="2146072008">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69177072">
          <w:marLeft w:val="0"/>
          <w:marRight w:val="0"/>
          <w:marTop w:val="0"/>
          <w:marBottom w:val="0"/>
          <w:divBdr>
            <w:top w:val="none" w:sz="0" w:space="0" w:color="auto"/>
            <w:left w:val="none" w:sz="0" w:space="0" w:color="auto"/>
            <w:bottom w:val="none" w:sz="0" w:space="0" w:color="auto"/>
            <w:right w:val="none" w:sz="0" w:space="0" w:color="auto"/>
          </w:divBdr>
          <w:divsChild>
            <w:div w:id="847062185">
              <w:marLeft w:val="0"/>
              <w:marRight w:val="0"/>
              <w:marTop w:val="0"/>
              <w:marBottom w:val="0"/>
              <w:divBdr>
                <w:top w:val="none" w:sz="0" w:space="0" w:color="auto"/>
                <w:left w:val="none" w:sz="0" w:space="0" w:color="auto"/>
                <w:bottom w:val="none" w:sz="0" w:space="0" w:color="auto"/>
                <w:right w:val="none" w:sz="0" w:space="0" w:color="auto"/>
              </w:divBdr>
              <w:divsChild>
                <w:div w:id="1019163449">
                  <w:marLeft w:val="0"/>
                  <w:marRight w:val="0"/>
                  <w:marTop w:val="0"/>
                  <w:marBottom w:val="0"/>
                  <w:divBdr>
                    <w:top w:val="none" w:sz="0" w:space="0" w:color="auto"/>
                    <w:left w:val="none" w:sz="0" w:space="0" w:color="auto"/>
                    <w:bottom w:val="none" w:sz="0" w:space="0" w:color="auto"/>
                    <w:right w:val="none" w:sz="0" w:space="0" w:color="auto"/>
                  </w:divBdr>
                  <w:divsChild>
                    <w:div w:id="1942177862">
                      <w:marLeft w:val="0"/>
                      <w:marRight w:val="0"/>
                      <w:marTop w:val="0"/>
                      <w:marBottom w:val="0"/>
                      <w:divBdr>
                        <w:top w:val="none" w:sz="0" w:space="0" w:color="auto"/>
                        <w:left w:val="none" w:sz="0" w:space="0" w:color="auto"/>
                        <w:bottom w:val="none" w:sz="0" w:space="0" w:color="auto"/>
                        <w:right w:val="none" w:sz="0" w:space="0" w:color="auto"/>
                      </w:divBdr>
                      <w:divsChild>
                        <w:div w:id="1773436376">
                          <w:marLeft w:val="0"/>
                          <w:marRight w:val="0"/>
                          <w:marTop w:val="0"/>
                          <w:marBottom w:val="0"/>
                          <w:divBdr>
                            <w:top w:val="none" w:sz="0" w:space="0" w:color="auto"/>
                            <w:left w:val="none" w:sz="0" w:space="0" w:color="auto"/>
                            <w:bottom w:val="none" w:sz="0" w:space="0" w:color="auto"/>
                            <w:right w:val="none" w:sz="0" w:space="0" w:color="auto"/>
                          </w:divBdr>
                          <w:divsChild>
                            <w:div w:id="1141730628">
                              <w:marLeft w:val="0"/>
                              <w:marRight w:val="0"/>
                              <w:marTop w:val="0"/>
                              <w:marBottom w:val="0"/>
                              <w:divBdr>
                                <w:top w:val="none" w:sz="0" w:space="0" w:color="auto"/>
                                <w:left w:val="none" w:sz="0" w:space="0" w:color="auto"/>
                                <w:bottom w:val="none" w:sz="0" w:space="0" w:color="auto"/>
                                <w:right w:val="none" w:sz="0" w:space="0" w:color="auto"/>
                              </w:divBdr>
                              <w:divsChild>
                                <w:div w:id="1902860069">
                                  <w:marLeft w:val="0"/>
                                  <w:marRight w:val="0"/>
                                  <w:marTop w:val="100"/>
                                  <w:marBottom w:val="100"/>
                                  <w:divBdr>
                                    <w:top w:val="none" w:sz="0" w:space="0" w:color="auto"/>
                                    <w:left w:val="none" w:sz="0" w:space="0" w:color="auto"/>
                                    <w:bottom w:val="none" w:sz="0" w:space="0" w:color="auto"/>
                                    <w:right w:val="none" w:sz="0" w:space="0" w:color="auto"/>
                                  </w:divBdr>
                                  <w:divsChild>
                                    <w:div w:id="1303805327">
                                      <w:marLeft w:val="0"/>
                                      <w:marRight w:val="0"/>
                                      <w:marTop w:val="0"/>
                                      <w:marBottom w:val="0"/>
                                      <w:divBdr>
                                        <w:top w:val="none" w:sz="0" w:space="0" w:color="auto"/>
                                        <w:left w:val="none" w:sz="0" w:space="0" w:color="auto"/>
                                        <w:bottom w:val="none" w:sz="0" w:space="0" w:color="auto"/>
                                        <w:right w:val="none" w:sz="0" w:space="0" w:color="auto"/>
                                      </w:divBdr>
                                      <w:divsChild>
                                        <w:div w:id="906191240">
                                          <w:marLeft w:val="0"/>
                                          <w:marRight w:val="0"/>
                                          <w:marTop w:val="0"/>
                                          <w:marBottom w:val="0"/>
                                          <w:divBdr>
                                            <w:top w:val="none" w:sz="0" w:space="0" w:color="auto"/>
                                            <w:left w:val="none" w:sz="0" w:space="0" w:color="auto"/>
                                            <w:bottom w:val="none" w:sz="0" w:space="0" w:color="auto"/>
                                            <w:right w:val="none" w:sz="0" w:space="0" w:color="auto"/>
                                          </w:divBdr>
                                          <w:divsChild>
                                            <w:div w:id="2046904493">
                                              <w:marLeft w:val="0"/>
                                              <w:marRight w:val="0"/>
                                              <w:marTop w:val="0"/>
                                              <w:marBottom w:val="0"/>
                                              <w:divBdr>
                                                <w:top w:val="none" w:sz="0" w:space="0" w:color="auto"/>
                                                <w:left w:val="none" w:sz="0" w:space="0" w:color="auto"/>
                                                <w:bottom w:val="none" w:sz="0" w:space="0" w:color="auto"/>
                                                <w:right w:val="none" w:sz="0" w:space="0" w:color="auto"/>
                                              </w:divBdr>
                                              <w:divsChild>
                                                <w:div w:id="1622572894">
                                                  <w:marLeft w:val="0"/>
                                                  <w:marRight w:val="0"/>
                                                  <w:marTop w:val="0"/>
                                                  <w:marBottom w:val="0"/>
                                                  <w:divBdr>
                                                    <w:top w:val="none" w:sz="0" w:space="0" w:color="auto"/>
                                                    <w:left w:val="none" w:sz="0" w:space="0" w:color="auto"/>
                                                    <w:bottom w:val="none" w:sz="0" w:space="0" w:color="auto"/>
                                                    <w:right w:val="none" w:sz="0" w:space="0" w:color="auto"/>
                                                  </w:divBdr>
                                                  <w:divsChild>
                                                    <w:div w:id="14592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diagramLayout" Target="diagrams/layout1.xml"/><Relationship Id="rId26" Type="http://schemas.openxmlformats.org/officeDocument/2006/relationships/image" Target="media/image5.png"/><Relationship Id="rId39" Type="http://schemas.openxmlformats.org/officeDocument/2006/relationships/theme" Target="theme/theme1.xml"/><Relationship Id="rId3" Type="http://schemas.openxmlformats.org/officeDocument/2006/relationships/styles" Target="styles.xml"/><Relationship Id="rId21" Type="http://schemas.microsoft.com/office/2007/relationships/diagramDrawing" Target="diagrams/drawing1.xml"/><Relationship Id="rId34"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diagramData" Target="diagrams/data1.xml"/><Relationship Id="rId25" Type="http://schemas.openxmlformats.org/officeDocument/2006/relationships/image" Target="media/image4.png"/><Relationship Id="rId33" Type="http://schemas.openxmlformats.org/officeDocument/2006/relationships/image" Target="media/image9.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egalaid.vic.gov.au/information-for-lawyers/how-we-are-improving-our-services/child-protection-legal-aid-services-review" TargetMode="External"/><Relationship Id="rId20" Type="http://schemas.openxmlformats.org/officeDocument/2006/relationships/diagramColors" Target="diagrams/colors1.xml"/><Relationship Id="rId29"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chart" Target="charts/chart2.xml"/><Relationship Id="rId32" Type="http://schemas.openxmlformats.org/officeDocument/2006/relationships/image" Target="media/image8.png"/><Relationship Id="rId37"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hart" Target="charts/chart1.xml"/><Relationship Id="rId28" Type="http://schemas.openxmlformats.org/officeDocument/2006/relationships/chart" Target="charts/chart4.xml"/><Relationship Id="rId36" Type="http://schemas.openxmlformats.org/officeDocument/2006/relationships/header" Target="header7.xml"/><Relationship Id="rId10" Type="http://schemas.openxmlformats.org/officeDocument/2006/relationships/footer" Target="footer1.xml"/><Relationship Id="rId19" Type="http://schemas.openxmlformats.org/officeDocument/2006/relationships/diagramQuickStyle" Target="diagrams/quickStyle1.xml"/><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image" Target="media/image3.png"/><Relationship Id="rId27" Type="http://schemas.openxmlformats.org/officeDocument/2006/relationships/chart" Target="charts/chart3.xml"/><Relationship Id="rId30" Type="http://schemas.openxmlformats.org/officeDocument/2006/relationships/image" Target="media/image6.png"/><Relationship Id="rId35"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www.dss.gov.au/our-responsibilities/families-and-children/publications-articles/protecting-children-is-everyones-business" TargetMode="External"/><Relationship Id="rId13" Type="http://schemas.openxmlformats.org/officeDocument/2006/relationships/hyperlink" Target="https://handbook.vla.vic.gov.au/handbook/6-state-family-guidelines" TargetMode="External"/><Relationship Id="rId18" Type="http://schemas.openxmlformats.org/officeDocument/2006/relationships/hyperlink" Target="http://www.legalaid.vic.gov.au/about-us/news/family-law-council-submission-encourages-earlier-identification-of-risk-factors-to-families" TargetMode="External"/><Relationship Id="rId26" Type="http://schemas.openxmlformats.org/officeDocument/2006/relationships/hyperlink" Target="http://www.slab.org.uk/providers/mailshots/2013_Jun_to_Dec/newsfeed/Childrens" TargetMode="External"/><Relationship Id="rId3" Type="http://schemas.openxmlformats.org/officeDocument/2006/relationships/hyperlink" Target="https://www.childabuseroyalcommission.gov.au/" TargetMode="External"/><Relationship Id="rId21" Type="http://schemas.openxmlformats.org/officeDocument/2006/relationships/hyperlink" Target="https://www.attorneygeneral.jus.gov.on.ca/english/family/ocl/faq/family_law_and_child_protection.php" TargetMode="External"/><Relationship Id="rId34" Type="http://schemas.openxmlformats.org/officeDocument/2006/relationships/hyperlink" Target="http://www.legalaid.mb.ca/services/child-protection-law-office" TargetMode="External"/><Relationship Id="rId7" Type="http://schemas.openxmlformats.org/officeDocument/2006/relationships/hyperlink" Target="http://www.jennymikakos.com.au/media-releases/keeping-aboriginal-children-connected-with-their-culture/" TargetMode="External"/><Relationship Id="rId12" Type="http://schemas.openxmlformats.org/officeDocument/2006/relationships/hyperlink" Target="http://www.cpmanual.vic.gov.au/policies-and-procedures/case-planning/case-planning-policy" TargetMode="External"/><Relationship Id="rId17" Type="http://schemas.openxmlformats.org/officeDocument/2006/relationships/hyperlink" Target="http://www.cpmanual.vic.gov.au/advice-and-protocols/information-sheets/permanency-children/legistative-changes-overview" TargetMode="External"/><Relationship Id="rId25" Type="http://schemas.openxmlformats.org/officeDocument/2006/relationships/hyperlink" Target="https://www.citizensadvice.org.uk/relationships/children-and-young-people/child-abuse/local-authority-involvement/child-protection-conferences/child-abuse-who-attends-a-child-protection-conference/" TargetMode="External"/><Relationship Id="rId33" Type="http://schemas.openxmlformats.org/officeDocument/2006/relationships/hyperlink" Target="http://www.statcan.gc.ca" TargetMode="External"/><Relationship Id="rId2" Type="http://schemas.openxmlformats.org/officeDocument/2006/relationships/hyperlink" Target="http://www.cpmanual.vic.gov.au/policies-and-procedures/case-planning/case-planning-policy" TargetMode="External"/><Relationship Id="rId16" Type="http://schemas.openxmlformats.org/officeDocument/2006/relationships/hyperlink" Target="http://handbook.vla.vic.gov.au/handbook/12-means-test" TargetMode="External"/><Relationship Id="rId20" Type="http://schemas.openxmlformats.org/officeDocument/2006/relationships/hyperlink" Target="http://www.justice.gc.ca/eng/rp-pr/fl-lf/divorce/vccp-vecp/voi2c.html" TargetMode="External"/><Relationship Id="rId29" Type="http://schemas.openxmlformats.org/officeDocument/2006/relationships/hyperlink" Target="http://www.sivilrett.no/who-can-receive-free-legal-aid.307233.no.html" TargetMode="External"/><Relationship Id="rId1" Type="http://schemas.openxmlformats.org/officeDocument/2006/relationships/hyperlink" Target="http://www.dhs.vic.gov.au/about-the-department/documents-and-resources/research,-data-and-statistics/additional-data-selected-child-protection" TargetMode="External"/><Relationship Id="rId6" Type="http://schemas.openxmlformats.org/officeDocument/2006/relationships/hyperlink" Target="http://www.premier.vic.gov.au/auditor-general-praises-residential-care-reform/" TargetMode="External"/><Relationship Id="rId11" Type="http://schemas.openxmlformats.org/officeDocument/2006/relationships/hyperlink" Target="http://www.dhs.vic.gov.au/about-the-department/documents-and-resources/research,-data-and-statistics/additional-data-selected-child-protection" TargetMode="External"/><Relationship Id="rId24" Type="http://schemas.openxmlformats.org/officeDocument/2006/relationships/hyperlink" Target="https://www.citizensadvice.org.uk/law-and-rights/legal-system/taking-legal-action/help-with-legal-costs-legal-aid/" TargetMode="External"/><Relationship Id="rId32" Type="http://schemas.openxmlformats.org/officeDocument/2006/relationships/hyperlink" Target="http://www.statcan.gc.ca" TargetMode="External"/><Relationship Id="rId5" Type="http://schemas.openxmlformats.org/officeDocument/2006/relationships/hyperlink" Target="http://www.dhs.vic.gov.au/about-the-department/plans,-programs-and-projects/projects-and-initiatives/roadmap-for-reform-strong-families,-safe-children" TargetMode="External"/><Relationship Id="rId15" Type="http://schemas.openxmlformats.org/officeDocument/2006/relationships/hyperlink" Target="http://handbook.vla.vic.gov.au/handbook/6-state-family-guidelines" TargetMode="External"/><Relationship Id="rId23" Type="http://schemas.openxmlformats.org/officeDocument/2006/relationships/hyperlink" Target="http://www.familylaw.co.uk/system/uploads/attachments/0008/5147/PD12A_PLO.pdf" TargetMode="External"/><Relationship Id="rId28" Type="http://schemas.openxmlformats.org/officeDocument/2006/relationships/hyperlink" Target="http://www.rattshjalp.se/Funktioner/English/Legal-assistance/Legal-aid/" TargetMode="External"/><Relationship Id="rId10" Type="http://schemas.openxmlformats.org/officeDocument/2006/relationships/hyperlink" Target="http://annualreport.vla.vic.gov.au/glossary" TargetMode="External"/><Relationship Id="rId19" Type="http://schemas.openxmlformats.org/officeDocument/2006/relationships/hyperlink" Target="http://www.legalaid.vic.gov.au/about-us/strategic-advocacy-and-law-reform/access-to-justice-review" TargetMode="External"/><Relationship Id="rId31" Type="http://schemas.openxmlformats.org/officeDocument/2006/relationships/hyperlink" Target="http://www.thelocal.no/20160415/norway-to-face-world-record-protests-over-child-services" TargetMode="External"/><Relationship Id="rId4" Type="http://schemas.openxmlformats.org/officeDocument/2006/relationships/hyperlink" Target="http://www.ccyp.vic.gov.au/aboutus/news/inquiry-permanency-amendments.htm" TargetMode="External"/><Relationship Id="rId9" Type="http://schemas.openxmlformats.org/officeDocument/2006/relationships/hyperlink" Target="https://www.dss.gov.au/our-responsibilities/women/programs-services/reducing-violence/the-national-plan-to-reduce-violence-against-women-and-their-children-2010-2022" TargetMode="External"/><Relationship Id="rId14" Type="http://schemas.openxmlformats.org/officeDocument/2006/relationships/hyperlink" Target="http://www.dtpli.vic.gov.au/__data/assets/pdf_file/0014/223052/Change_and_disadvantage_in_regional_Victoria_overview.pdf" TargetMode="External"/><Relationship Id="rId22" Type="http://schemas.openxmlformats.org/officeDocument/2006/relationships/hyperlink" Target="http://www.justice.gc.ca/eng/fund-fina/gov-gouv/aid-aide.html" TargetMode="External"/><Relationship Id="rId27" Type="http://schemas.openxmlformats.org/officeDocument/2006/relationships/hyperlink" Target="http://www.rattshjalp.se/Funktioner/English/Legal-assistance/" TargetMode="External"/><Relationship Id="rId30" Type="http://schemas.openxmlformats.org/officeDocument/2006/relationships/hyperlink" Target="http://www.newsinenglish.no/2016/01/11/norway-defends-its-child-welfare-law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Chart 2- Grants of Assistance,</a:t>
            </a:r>
            <a:r>
              <a:rPr lang="en-AU" baseline="0"/>
              <a:t> Substantiations and Initiations</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Sheet1!$D$10</c:f>
              <c:strCache>
                <c:ptCount val="1"/>
                <c:pt idx="0">
                  <c:v>Grants </c:v>
                </c:pt>
              </c:strCache>
            </c:strRef>
          </c:tx>
          <c:spPr>
            <a:ln w="28575" cap="rnd">
              <a:solidFill>
                <a:schemeClr val="accent1"/>
              </a:solidFill>
              <a:round/>
            </a:ln>
            <a:effectLst/>
          </c:spPr>
          <c:marker>
            <c:symbol val="none"/>
          </c:marker>
          <c:cat>
            <c:strRef>
              <c:f>Sheet1!$C$11:$C$21</c:f>
              <c:strCache>
                <c:ptCount val="11"/>
                <c:pt idx="0">
                  <c:v>2005-06</c:v>
                </c:pt>
                <c:pt idx="1">
                  <c:v>2006-07</c:v>
                </c:pt>
                <c:pt idx="2">
                  <c:v>2007-08</c:v>
                </c:pt>
                <c:pt idx="3">
                  <c:v>2008-09</c:v>
                </c:pt>
                <c:pt idx="4">
                  <c:v>2009-10</c:v>
                </c:pt>
                <c:pt idx="5">
                  <c:v>2010-11</c:v>
                </c:pt>
                <c:pt idx="6">
                  <c:v>2011-12</c:v>
                </c:pt>
                <c:pt idx="7">
                  <c:v>2012-13</c:v>
                </c:pt>
                <c:pt idx="8">
                  <c:v>2013-14</c:v>
                </c:pt>
                <c:pt idx="9">
                  <c:v>2014-15</c:v>
                </c:pt>
                <c:pt idx="10">
                  <c:v>2015-16</c:v>
                </c:pt>
              </c:strCache>
            </c:strRef>
          </c:cat>
          <c:val>
            <c:numRef>
              <c:f>Sheet1!$D$11:$D$21</c:f>
              <c:numCache>
                <c:formatCode>General</c:formatCode>
                <c:ptCount val="11"/>
                <c:pt idx="0">
                  <c:v>4130</c:v>
                </c:pt>
                <c:pt idx="1">
                  <c:v>4956</c:v>
                </c:pt>
                <c:pt idx="2">
                  <c:v>5745</c:v>
                </c:pt>
                <c:pt idx="3">
                  <c:v>5684</c:v>
                </c:pt>
                <c:pt idx="4">
                  <c:v>5832</c:v>
                </c:pt>
                <c:pt idx="5">
                  <c:v>6143</c:v>
                </c:pt>
                <c:pt idx="6">
                  <c:v>6900</c:v>
                </c:pt>
                <c:pt idx="7" formatCode="[$-10409]#,##0;\(#,##0\)">
                  <c:v>6293</c:v>
                </c:pt>
                <c:pt idx="8" formatCode="[$-10409]#,##0;\(#,##0\)">
                  <c:v>6176</c:v>
                </c:pt>
                <c:pt idx="9" formatCode="[$-10409]#,##0;\(#,##0\)">
                  <c:v>6692</c:v>
                </c:pt>
                <c:pt idx="10" formatCode="[$-10409]#,##0;\(#,##0\)">
                  <c:v>7712</c:v>
                </c:pt>
              </c:numCache>
            </c:numRef>
          </c:val>
          <c:smooth val="0"/>
          <c:extLst>
            <c:ext xmlns:c16="http://schemas.microsoft.com/office/drawing/2014/chart" uri="{C3380CC4-5D6E-409C-BE32-E72D297353CC}">
              <c16:uniqueId val="{00000000-AFDD-4750-86FE-73FF77C64A91}"/>
            </c:ext>
          </c:extLst>
        </c:ser>
        <c:ser>
          <c:idx val="1"/>
          <c:order val="1"/>
          <c:tx>
            <c:strRef>
              <c:f>Sheet1!$E$10</c:f>
              <c:strCache>
                <c:ptCount val="1"/>
                <c:pt idx="0">
                  <c:v>Substantiations</c:v>
                </c:pt>
              </c:strCache>
            </c:strRef>
          </c:tx>
          <c:spPr>
            <a:ln w="28575" cap="rnd">
              <a:solidFill>
                <a:schemeClr val="accent2"/>
              </a:solidFill>
              <a:round/>
            </a:ln>
            <a:effectLst/>
          </c:spPr>
          <c:marker>
            <c:symbol val="none"/>
          </c:marker>
          <c:cat>
            <c:strRef>
              <c:f>Sheet1!$C$11:$C$21</c:f>
              <c:strCache>
                <c:ptCount val="11"/>
                <c:pt idx="0">
                  <c:v>2005-06</c:v>
                </c:pt>
                <c:pt idx="1">
                  <c:v>2006-07</c:v>
                </c:pt>
                <c:pt idx="2">
                  <c:v>2007-08</c:v>
                </c:pt>
                <c:pt idx="3">
                  <c:v>2008-09</c:v>
                </c:pt>
                <c:pt idx="4">
                  <c:v>2009-10</c:v>
                </c:pt>
                <c:pt idx="5">
                  <c:v>2010-11</c:v>
                </c:pt>
                <c:pt idx="6">
                  <c:v>2011-12</c:v>
                </c:pt>
                <c:pt idx="7">
                  <c:v>2012-13</c:v>
                </c:pt>
                <c:pt idx="8">
                  <c:v>2013-14</c:v>
                </c:pt>
                <c:pt idx="9">
                  <c:v>2014-15</c:v>
                </c:pt>
                <c:pt idx="10">
                  <c:v>2015-16</c:v>
                </c:pt>
              </c:strCache>
            </c:strRef>
          </c:cat>
          <c:val>
            <c:numRef>
              <c:f>Sheet1!$E$11:$E$21</c:f>
              <c:numCache>
                <c:formatCode>General</c:formatCode>
                <c:ptCount val="11"/>
                <c:pt idx="0">
                  <c:v>7563</c:v>
                </c:pt>
                <c:pt idx="1">
                  <c:v>6828</c:v>
                </c:pt>
                <c:pt idx="2">
                  <c:v>6365</c:v>
                </c:pt>
                <c:pt idx="3">
                  <c:v>6344</c:v>
                </c:pt>
                <c:pt idx="4">
                  <c:v>6603</c:v>
                </c:pt>
                <c:pt idx="5">
                  <c:v>7643</c:v>
                </c:pt>
                <c:pt idx="6">
                  <c:v>9075</c:v>
                </c:pt>
                <c:pt idx="7">
                  <c:v>10447</c:v>
                </c:pt>
                <c:pt idx="8">
                  <c:v>11952</c:v>
                </c:pt>
                <c:pt idx="9">
                  <c:v>14115</c:v>
                </c:pt>
                <c:pt idx="10" formatCode="#,##0">
                  <c:v>15000</c:v>
                </c:pt>
              </c:numCache>
            </c:numRef>
          </c:val>
          <c:smooth val="0"/>
          <c:extLst>
            <c:ext xmlns:c16="http://schemas.microsoft.com/office/drawing/2014/chart" uri="{C3380CC4-5D6E-409C-BE32-E72D297353CC}">
              <c16:uniqueId val="{00000001-AFDD-4750-86FE-73FF77C64A91}"/>
            </c:ext>
          </c:extLst>
        </c:ser>
        <c:ser>
          <c:idx val="2"/>
          <c:order val="2"/>
          <c:tx>
            <c:strRef>
              <c:f>Sheet1!$F$10</c:f>
              <c:strCache>
                <c:ptCount val="1"/>
                <c:pt idx="0">
                  <c:v>Initiations</c:v>
                </c:pt>
              </c:strCache>
            </c:strRef>
          </c:tx>
          <c:spPr>
            <a:ln w="28575" cap="rnd">
              <a:solidFill>
                <a:schemeClr val="accent3"/>
              </a:solidFill>
              <a:round/>
            </a:ln>
            <a:effectLst/>
          </c:spPr>
          <c:marker>
            <c:symbol val="none"/>
          </c:marker>
          <c:cat>
            <c:strRef>
              <c:f>Sheet1!$C$11:$C$21</c:f>
              <c:strCache>
                <c:ptCount val="11"/>
                <c:pt idx="0">
                  <c:v>2005-06</c:v>
                </c:pt>
                <c:pt idx="1">
                  <c:v>2006-07</c:v>
                </c:pt>
                <c:pt idx="2">
                  <c:v>2007-08</c:v>
                </c:pt>
                <c:pt idx="3">
                  <c:v>2008-09</c:v>
                </c:pt>
                <c:pt idx="4">
                  <c:v>2009-10</c:v>
                </c:pt>
                <c:pt idx="5">
                  <c:v>2010-11</c:v>
                </c:pt>
                <c:pt idx="6">
                  <c:v>2011-12</c:v>
                </c:pt>
                <c:pt idx="7">
                  <c:v>2012-13</c:v>
                </c:pt>
                <c:pt idx="8">
                  <c:v>2013-14</c:v>
                </c:pt>
                <c:pt idx="9">
                  <c:v>2014-15</c:v>
                </c:pt>
                <c:pt idx="10">
                  <c:v>2015-16</c:v>
                </c:pt>
              </c:strCache>
            </c:strRef>
          </c:cat>
          <c:val>
            <c:numRef>
              <c:f>Sheet1!$F$11:$F$21</c:f>
              <c:numCache>
                <c:formatCode>General</c:formatCode>
                <c:ptCount val="11"/>
                <c:pt idx="0">
                  <c:v>2916</c:v>
                </c:pt>
                <c:pt idx="1">
                  <c:v>3101</c:v>
                </c:pt>
                <c:pt idx="2">
                  <c:v>3353</c:v>
                </c:pt>
                <c:pt idx="3">
                  <c:v>3048</c:v>
                </c:pt>
                <c:pt idx="4">
                  <c:v>3046</c:v>
                </c:pt>
                <c:pt idx="5">
                  <c:v>3317</c:v>
                </c:pt>
                <c:pt idx="6">
                  <c:v>3920</c:v>
                </c:pt>
                <c:pt idx="7">
                  <c:v>3804</c:v>
                </c:pt>
                <c:pt idx="8">
                  <c:v>4390</c:v>
                </c:pt>
                <c:pt idx="9">
                  <c:v>4927</c:v>
                </c:pt>
                <c:pt idx="10">
                  <c:v>5396</c:v>
                </c:pt>
              </c:numCache>
            </c:numRef>
          </c:val>
          <c:smooth val="0"/>
          <c:extLst>
            <c:ext xmlns:c16="http://schemas.microsoft.com/office/drawing/2014/chart" uri="{C3380CC4-5D6E-409C-BE32-E72D297353CC}">
              <c16:uniqueId val="{00000002-AFDD-4750-86FE-73FF77C64A91}"/>
            </c:ext>
          </c:extLst>
        </c:ser>
        <c:dLbls>
          <c:showLegendKey val="0"/>
          <c:showVal val="0"/>
          <c:showCatName val="0"/>
          <c:showSerName val="0"/>
          <c:showPercent val="0"/>
          <c:showBubbleSize val="0"/>
        </c:dLbls>
        <c:smooth val="0"/>
        <c:axId val="248912088"/>
        <c:axId val="248911760"/>
      </c:lineChart>
      <c:catAx>
        <c:axId val="248912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8911760"/>
        <c:crosses val="autoZero"/>
        <c:auto val="1"/>
        <c:lblAlgn val="ctr"/>
        <c:lblOffset val="100"/>
        <c:noMultiLvlLbl val="0"/>
      </c:catAx>
      <c:valAx>
        <c:axId val="248911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8912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Chart</a:t>
            </a:r>
            <a:r>
              <a:rPr lang="en-US" baseline="0"/>
              <a:t> 2.1 - </a:t>
            </a:r>
            <a:r>
              <a:rPr lang="en-US"/>
              <a:t>Primary</a:t>
            </a:r>
            <a:r>
              <a:rPr lang="en-US" baseline="0"/>
              <a:t> grants and initiations - Victoria</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Sheet2!$B$108</c:f>
              <c:strCache>
                <c:ptCount val="1"/>
                <c:pt idx="0">
                  <c:v>Grant</c:v>
                </c:pt>
              </c:strCache>
            </c:strRef>
          </c:tx>
          <c:spPr>
            <a:ln w="28575" cap="rnd">
              <a:solidFill>
                <a:schemeClr val="accent1"/>
              </a:solidFill>
              <a:round/>
            </a:ln>
            <a:effectLst/>
          </c:spPr>
          <c:marker>
            <c:symbol val="none"/>
          </c:marker>
          <c:cat>
            <c:strRef>
              <c:f>Sheet2!$A$109:$A$112</c:f>
              <c:strCache>
                <c:ptCount val="3"/>
                <c:pt idx="0">
                  <c:v>2013/14</c:v>
                </c:pt>
                <c:pt idx="1">
                  <c:v>2014/15</c:v>
                </c:pt>
                <c:pt idx="2">
                  <c:v>2015/16</c:v>
                </c:pt>
              </c:strCache>
            </c:strRef>
          </c:cat>
          <c:val>
            <c:numRef>
              <c:f>Sheet2!$B$109:$B$112</c:f>
              <c:numCache>
                <c:formatCode>General</c:formatCode>
                <c:ptCount val="4"/>
                <c:pt idx="0">
                  <c:v>4069</c:v>
                </c:pt>
                <c:pt idx="1">
                  <c:v>4343</c:v>
                </c:pt>
                <c:pt idx="2">
                  <c:v>4995</c:v>
                </c:pt>
              </c:numCache>
            </c:numRef>
          </c:val>
          <c:smooth val="0"/>
          <c:extLst>
            <c:ext xmlns:c16="http://schemas.microsoft.com/office/drawing/2014/chart" uri="{C3380CC4-5D6E-409C-BE32-E72D297353CC}">
              <c16:uniqueId val="{00000000-762F-478E-A6A6-545E3B757D78}"/>
            </c:ext>
          </c:extLst>
        </c:ser>
        <c:ser>
          <c:idx val="1"/>
          <c:order val="1"/>
          <c:tx>
            <c:strRef>
              <c:f>Sheet2!$C$108</c:f>
              <c:strCache>
                <c:ptCount val="1"/>
                <c:pt idx="0">
                  <c:v>Initiations</c:v>
                </c:pt>
              </c:strCache>
            </c:strRef>
          </c:tx>
          <c:spPr>
            <a:ln w="28575" cap="rnd">
              <a:solidFill>
                <a:schemeClr val="accent2"/>
              </a:solidFill>
              <a:round/>
            </a:ln>
            <a:effectLst/>
          </c:spPr>
          <c:marker>
            <c:symbol val="none"/>
          </c:marker>
          <c:cat>
            <c:strRef>
              <c:f>Sheet2!$A$109:$A$112</c:f>
              <c:strCache>
                <c:ptCount val="3"/>
                <c:pt idx="0">
                  <c:v>2013/14</c:v>
                </c:pt>
                <c:pt idx="1">
                  <c:v>2014/15</c:v>
                </c:pt>
                <c:pt idx="2">
                  <c:v>2015/16</c:v>
                </c:pt>
              </c:strCache>
            </c:strRef>
          </c:cat>
          <c:val>
            <c:numRef>
              <c:f>Sheet2!$C$109:$C$112</c:f>
              <c:numCache>
                <c:formatCode>General</c:formatCode>
                <c:ptCount val="4"/>
                <c:pt idx="0">
                  <c:v>2743</c:v>
                </c:pt>
                <c:pt idx="1">
                  <c:v>3079</c:v>
                </c:pt>
                <c:pt idx="2">
                  <c:v>3371</c:v>
                </c:pt>
              </c:numCache>
            </c:numRef>
          </c:val>
          <c:smooth val="0"/>
          <c:extLst>
            <c:ext xmlns:c16="http://schemas.microsoft.com/office/drawing/2014/chart" uri="{C3380CC4-5D6E-409C-BE32-E72D297353CC}">
              <c16:uniqueId val="{00000001-762F-478E-A6A6-545E3B757D78}"/>
            </c:ext>
          </c:extLst>
        </c:ser>
        <c:dLbls>
          <c:showLegendKey val="0"/>
          <c:showVal val="0"/>
          <c:showCatName val="0"/>
          <c:showSerName val="0"/>
          <c:showPercent val="0"/>
          <c:showBubbleSize val="0"/>
        </c:dLbls>
        <c:smooth val="0"/>
        <c:axId val="244052368"/>
        <c:axId val="244062704"/>
      </c:lineChart>
      <c:catAx>
        <c:axId val="24405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4062704"/>
        <c:crosses val="autoZero"/>
        <c:auto val="1"/>
        <c:lblAlgn val="ctr"/>
        <c:lblOffset val="100"/>
        <c:noMultiLvlLbl val="0"/>
      </c:catAx>
      <c:valAx>
        <c:axId val="244062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405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100"/>
              <a:t>Chart 5 - All</a:t>
            </a:r>
            <a:r>
              <a:rPr lang="en-AU" sz="1100" baseline="0"/>
              <a:t> G</a:t>
            </a:r>
            <a:r>
              <a:rPr lang="en-AU" sz="1100"/>
              <a:t>rants of Assistance</a:t>
            </a:r>
            <a:r>
              <a:rPr lang="en-AU" sz="1100" baseline="0"/>
              <a:t> and Primary Initiations - % of total</a:t>
            </a:r>
          </a:p>
          <a:p>
            <a:pPr>
              <a:defRPr/>
            </a:pPr>
            <a:r>
              <a:rPr lang="en-AU" sz="1100" baseline="0"/>
              <a:t>Metro and Regional </a:t>
            </a:r>
            <a:endParaRPr lang="en-AU" sz="1100"/>
          </a:p>
        </c:rich>
      </c:tx>
      <c:layout>
        <c:manualLayout>
          <c:xMode val="edge"/>
          <c:yMode val="edge"/>
          <c:x val="0.13122870648789564"/>
          <c:y val="2.496359475764510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Sheet5!$O$142</c:f>
              <c:strCache>
                <c:ptCount val="1"/>
                <c:pt idx="0">
                  <c:v>Regional Grants</c:v>
                </c:pt>
              </c:strCache>
            </c:strRef>
          </c:tx>
          <c:spPr>
            <a:ln w="28575" cap="rnd">
              <a:solidFill>
                <a:schemeClr val="accent1"/>
              </a:solidFill>
              <a:round/>
            </a:ln>
            <a:effectLst/>
          </c:spPr>
          <c:marker>
            <c:symbol val="none"/>
          </c:marker>
          <c:cat>
            <c:strRef>
              <c:f>Sheet5!$N$143:$N$149</c:f>
              <c:strCache>
                <c:ptCount val="6"/>
                <c:pt idx="0">
                  <c:v>2010/11</c:v>
                </c:pt>
                <c:pt idx="1">
                  <c:v>2011/12</c:v>
                </c:pt>
                <c:pt idx="2">
                  <c:v>2012/13</c:v>
                </c:pt>
                <c:pt idx="3">
                  <c:v>2013/14</c:v>
                </c:pt>
                <c:pt idx="4">
                  <c:v>2014/15</c:v>
                </c:pt>
                <c:pt idx="5">
                  <c:v>2015/16</c:v>
                </c:pt>
              </c:strCache>
            </c:strRef>
          </c:cat>
          <c:val>
            <c:numRef>
              <c:f>Sheet5!$O$143:$O$149</c:f>
              <c:numCache>
                <c:formatCode>General</c:formatCode>
                <c:ptCount val="7"/>
                <c:pt idx="0">
                  <c:v>36.700000000000003</c:v>
                </c:pt>
                <c:pt idx="1">
                  <c:v>36.1</c:v>
                </c:pt>
                <c:pt idx="2">
                  <c:v>36.799999999999997</c:v>
                </c:pt>
                <c:pt idx="3">
                  <c:v>35.799999999999997</c:v>
                </c:pt>
                <c:pt idx="4">
                  <c:v>36</c:v>
                </c:pt>
                <c:pt idx="5">
                  <c:v>39.5</c:v>
                </c:pt>
              </c:numCache>
            </c:numRef>
          </c:val>
          <c:smooth val="0"/>
          <c:extLst>
            <c:ext xmlns:c16="http://schemas.microsoft.com/office/drawing/2014/chart" uri="{C3380CC4-5D6E-409C-BE32-E72D297353CC}">
              <c16:uniqueId val="{00000000-CC5A-4BDC-BDE8-AB4060749041}"/>
            </c:ext>
          </c:extLst>
        </c:ser>
        <c:ser>
          <c:idx val="1"/>
          <c:order val="1"/>
          <c:tx>
            <c:strRef>
              <c:f>Sheet5!$P$142</c:f>
              <c:strCache>
                <c:ptCount val="1"/>
                <c:pt idx="0">
                  <c:v>Metro Grants </c:v>
                </c:pt>
              </c:strCache>
            </c:strRef>
          </c:tx>
          <c:spPr>
            <a:ln w="28575" cap="rnd">
              <a:solidFill>
                <a:schemeClr val="accent2"/>
              </a:solidFill>
              <a:round/>
            </a:ln>
            <a:effectLst/>
          </c:spPr>
          <c:marker>
            <c:symbol val="none"/>
          </c:marker>
          <c:cat>
            <c:strRef>
              <c:f>Sheet5!$N$143:$N$149</c:f>
              <c:strCache>
                <c:ptCount val="6"/>
                <c:pt idx="0">
                  <c:v>2010/11</c:v>
                </c:pt>
                <c:pt idx="1">
                  <c:v>2011/12</c:v>
                </c:pt>
                <c:pt idx="2">
                  <c:v>2012/13</c:v>
                </c:pt>
                <c:pt idx="3">
                  <c:v>2013/14</c:v>
                </c:pt>
                <c:pt idx="4">
                  <c:v>2014/15</c:v>
                </c:pt>
                <c:pt idx="5">
                  <c:v>2015/16</c:v>
                </c:pt>
              </c:strCache>
            </c:strRef>
          </c:cat>
          <c:val>
            <c:numRef>
              <c:f>Sheet5!$P$143:$P$149</c:f>
              <c:numCache>
                <c:formatCode>General</c:formatCode>
                <c:ptCount val="7"/>
                <c:pt idx="0">
                  <c:v>63.3</c:v>
                </c:pt>
                <c:pt idx="1">
                  <c:v>63.9</c:v>
                </c:pt>
                <c:pt idx="2">
                  <c:v>63.2</c:v>
                </c:pt>
                <c:pt idx="3">
                  <c:v>64.2</c:v>
                </c:pt>
                <c:pt idx="4">
                  <c:v>64</c:v>
                </c:pt>
                <c:pt idx="5">
                  <c:v>60.5</c:v>
                </c:pt>
              </c:numCache>
            </c:numRef>
          </c:val>
          <c:smooth val="0"/>
          <c:extLst>
            <c:ext xmlns:c16="http://schemas.microsoft.com/office/drawing/2014/chart" uri="{C3380CC4-5D6E-409C-BE32-E72D297353CC}">
              <c16:uniqueId val="{00000001-CC5A-4BDC-BDE8-AB4060749041}"/>
            </c:ext>
          </c:extLst>
        </c:ser>
        <c:ser>
          <c:idx val="2"/>
          <c:order val="2"/>
          <c:tx>
            <c:strRef>
              <c:f>Sheet5!$Q$142</c:f>
              <c:strCache>
                <c:ptCount val="1"/>
                <c:pt idx="0">
                  <c:v>Regional Initiations</c:v>
                </c:pt>
              </c:strCache>
            </c:strRef>
          </c:tx>
          <c:spPr>
            <a:ln w="28575" cap="rnd">
              <a:solidFill>
                <a:schemeClr val="accent3"/>
              </a:solidFill>
              <a:round/>
            </a:ln>
            <a:effectLst/>
          </c:spPr>
          <c:marker>
            <c:symbol val="none"/>
          </c:marker>
          <c:cat>
            <c:strRef>
              <c:f>Sheet5!$N$143:$N$149</c:f>
              <c:strCache>
                <c:ptCount val="6"/>
                <c:pt idx="0">
                  <c:v>2010/11</c:v>
                </c:pt>
                <c:pt idx="1">
                  <c:v>2011/12</c:v>
                </c:pt>
                <c:pt idx="2">
                  <c:v>2012/13</c:v>
                </c:pt>
                <c:pt idx="3">
                  <c:v>2013/14</c:v>
                </c:pt>
                <c:pt idx="4">
                  <c:v>2014/15</c:v>
                </c:pt>
                <c:pt idx="5">
                  <c:v>2015/16</c:v>
                </c:pt>
              </c:strCache>
            </c:strRef>
          </c:cat>
          <c:val>
            <c:numRef>
              <c:f>Sheet5!$Q$143:$Q$149</c:f>
              <c:numCache>
                <c:formatCode>General</c:formatCode>
                <c:ptCount val="7"/>
                <c:pt idx="0">
                  <c:v>43.3</c:v>
                </c:pt>
                <c:pt idx="1">
                  <c:v>41</c:v>
                </c:pt>
                <c:pt idx="2">
                  <c:v>44</c:v>
                </c:pt>
                <c:pt idx="3">
                  <c:v>43.7</c:v>
                </c:pt>
                <c:pt idx="4">
                  <c:v>43</c:v>
                </c:pt>
                <c:pt idx="5">
                  <c:v>47.9</c:v>
                </c:pt>
              </c:numCache>
            </c:numRef>
          </c:val>
          <c:smooth val="0"/>
          <c:extLst>
            <c:ext xmlns:c16="http://schemas.microsoft.com/office/drawing/2014/chart" uri="{C3380CC4-5D6E-409C-BE32-E72D297353CC}">
              <c16:uniqueId val="{00000002-CC5A-4BDC-BDE8-AB4060749041}"/>
            </c:ext>
          </c:extLst>
        </c:ser>
        <c:ser>
          <c:idx val="3"/>
          <c:order val="3"/>
          <c:tx>
            <c:strRef>
              <c:f>Sheet5!$R$142</c:f>
              <c:strCache>
                <c:ptCount val="1"/>
                <c:pt idx="0">
                  <c:v>Metro Initiations</c:v>
                </c:pt>
              </c:strCache>
            </c:strRef>
          </c:tx>
          <c:spPr>
            <a:ln w="28575" cap="rnd">
              <a:solidFill>
                <a:schemeClr val="accent4"/>
              </a:solidFill>
              <a:round/>
            </a:ln>
            <a:effectLst/>
          </c:spPr>
          <c:marker>
            <c:symbol val="none"/>
          </c:marker>
          <c:cat>
            <c:strRef>
              <c:f>Sheet5!$N$143:$N$149</c:f>
              <c:strCache>
                <c:ptCount val="6"/>
                <c:pt idx="0">
                  <c:v>2010/11</c:v>
                </c:pt>
                <c:pt idx="1">
                  <c:v>2011/12</c:v>
                </c:pt>
                <c:pt idx="2">
                  <c:v>2012/13</c:v>
                </c:pt>
                <c:pt idx="3">
                  <c:v>2013/14</c:v>
                </c:pt>
                <c:pt idx="4">
                  <c:v>2014/15</c:v>
                </c:pt>
                <c:pt idx="5">
                  <c:v>2015/16</c:v>
                </c:pt>
              </c:strCache>
            </c:strRef>
          </c:cat>
          <c:val>
            <c:numRef>
              <c:f>Sheet5!$R$143:$R$149</c:f>
              <c:numCache>
                <c:formatCode>General</c:formatCode>
                <c:ptCount val="7"/>
                <c:pt idx="0">
                  <c:v>56.7</c:v>
                </c:pt>
                <c:pt idx="1">
                  <c:v>59</c:v>
                </c:pt>
                <c:pt idx="2">
                  <c:v>56</c:v>
                </c:pt>
                <c:pt idx="3">
                  <c:v>56.3</c:v>
                </c:pt>
                <c:pt idx="4">
                  <c:v>57</c:v>
                </c:pt>
                <c:pt idx="5">
                  <c:v>52.1</c:v>
                </c:pt>
              </c:numCache>
            </c:numRef>
          </c:val>
          <c:smooth val="0"/>
          <c:extLst>
            <c:ext xmlns:c16="http://schemas.microsoft.com/office/drawing/2014/chart" uri="{C3380CC4-5D6E-409C-BE32-E72D297353CC}">
              <c16:uniqueId val="{00000003-CC5A-4BDC-BDE8-AB4060749041}"/>
            </c:ext>
          </c:extLst>
        </c:ser>
        <c:dLbls>
          <c:showLegendKey val="0"/>
          <c:showVal val="0"/>
          <c:showCatName val="0"/>
          <c:showSerName val="0"/>
          <c:showPercent val="0"/>
          <c:showBubbleSize val="0"/>
        </c:dLbls>
        <c:smooth val="0"/>
        <c:axId val="244064880"/>
        <c:axId val="244059984"/>
      </c:lineChart>
      <c:catAx>
        <c:axId val="24406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4059984"/>
        <c:crosses val="autoZero"/>
        <c:auto val="1"/>
        <c:lblAlgn val="ctr"/>
        <c:lblOffset val="100"/>
        <c:noMultiLvlLbl val="0"/>
      </c:catAx>
      <c:valAx>
        <c:axId val="244059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4064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 Chart 6 - Metro</a:t>
            </a:r>
            <a:r>
              <a:rPr lang="en-AU" baseline="0"/>
              <a:t> and Regional Initiaitons per family and Primary grants of assistance. </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Sheet2!$J$49</c:f>
              <c:strCache>
                <c:ptCount val="1"/>
                <c:pt idx="0">
                  <c:v>Metro Primary</c:v>
                </c:pt>
              </c:strCache>
            </c:strRef>
          </c:tx>
          <c:spPr>
            <a:ln w="28575" cap="rnd">
              <a:solidFill>
                <a:schemeClr val="accent1"/>
              </a:solidFill>
              <a:round/>
            </a:ln>
            <a:effectLst/>
          </c:spPr>
          <c:marker>
            <c:symbol val="none"/>
          </c:marker>
          <c:cat>
            <c:strRef>
              <c:f>Sheet2!$I$50:$I$52</c:f>
              <c:strCache>
                <c:ptCount val="3"/>
                <c:pt idx="0">
                  <c:v>2013/14</c:v>
                </c:pt>
                <c:pt idx="1">
                  <c:v>2014/15</c:v>
                </c:pt>
                <c:pt idx="2">
                  <c:v>2015/16</c:v>
                </c:pt>
              </c:strCache>
            </c:strRef>
          </c:cat>
          <c:val>
            <c:numRef>
              <c:f>Sheet2!$J$50:$J$52</c:f>
              <c:numCache>
                <c:formatCode>General</c:formatCode>
                <c:ptCount val="3"/>
                <c:pt idx="0">
                  <c:v>2596</c:v>
                </c:pt>
                <c:pt idx="1">
                  <c:v>2784</c:v>
                </c:pt>
                <c:pt idx="2">
                  <c:v>2949</c:v>
                </c:pt>
              </c:numCache>
            </c:numRef>
          </c:val>
          <c:smooth val="0"/>
          <c:extLst>
            <c:ext xmlns:c16="http://schemas.microsoft.com/office/drawing/2014/chart" uri="{C3380CC4-5D6E-409C-BE32-E72D297353CC}">
              <c16:uniqueId val="{00000000-0D2F-4E28-9E5F-A64B6F47AE1E}"/>
            </c:ext>
          </c:extLst>
        </c:ser>
        <c:ser>
          <c:idx val="1"/>
          <c:order val="1"/>
          <c:tx>
            <c:strRef>
              <c:f>Sheet2!$K$49</c:f>
              <c:strCache>
                <c:ptCount val="1"/>
                <c:pt idx="0">
                  <c:v>Regional Primary</c:v>
                </c:pt>
              </c:strCache>
            </c:strRef>
          </c:tx>
          <c:spPr>
            <a:ln w="28575" cap="rnd">
              <a:solidFill>
                <a:schemeClr val="accent2"/>
              </a:solidFill>
              <a:round/>
            </a:ln>
            <a:effectLst/>
          </c:spPr>
          <c:marker>
            <c:symbol val="none"/>
          </c:marker>
          <c:cat>
            <c:strRef>
              <c:f>Sheet2!$I$50:$I$52</c:f>
              <c:strCache>
                <c:ptCount val="3"/>
                <c:pt idx="0">
                  <c:v>2013/14</c:v>
                </c:pt>
                <c:pt idx="1">
                  <c:v>2014/15</c:v>
                </c:pt>
                <c:pt idx="2">
                  <c:v>2015/16</c:v>
                </c:pt>
              </c:strCache>
            </c:strRef>
          </c:cat>
          <c:val>
            <c:numRef>
              <c:f>Sheet2!$K$50:$K$52</c:f>
              <c:numCache>
                <c:formatCode>General</c:formatCode>
                <c:ptCount val="3"/>
                <c:pt idx="0">
                  <c:v>1470</c:v>
                </c:pt>
                <c:pt idx="1">
                  <c:v>1560</c:v>
                </c:pt>
                <c:pt idx="2">
                  <c:v>2047</c:v>
                </c:pt>
              </c:numCache>
            </c:numRef>
          </c:val>
          <c:smooth val="0"/>
          <c:extLst>
            <c:ext xmlns:c16="http://schemas.microsoft.com/office/drawing/2014/chart" uri="{C3380CC4-5D6E-409C-BE32-E72D297353CC}">
              <c16:uniqueId val="{00000001-0D2F-4E28-9E5F-A64B6F47AE1E}"/>
            </c:ext>
          </c:extLst>
        </c:ser>
        <c:ser>
          <c:idx val="2"/>
          <c:order val="2"/>
          <c:tx>
            <c:strRef>
              <c:f>Sheet2!$L$49</c:f>
              <c:strCache>
                <c:ptCount val="1"/>
                <c:pt idx="0">
                  <c:v>Metro initiations per family</c:v>
                </c:pt>
              </c:strCache>
            </c:strRef>
          </c:tx>
          <c:spPr>
            <a:ln w="28575" cap="rnd">
              <a:solidFill>
                <a:schemeClr val="accent3"/>
              </a:solidFill>
              <a:round/>
            </a:ln>
            <a:effectLst/>
          </c:spPr>
          <c:marker>
            <c:symbol val="none"/>
          </c:marker>
          <c:cat>
            <c:strRef>
              <c:f>Sheet2!$I$50:$I$52</c:f>
              <c:strCache>
                <c:ptCount val="3"/>
                <c:pt idx="0">
                  <c:v>2013/14</c:v>
                </c:pt>
                <c:pt idx="1">
                  <c:v>2014/15</c:v>
                </c:pt>
                <c:pt idx="2">
                  <c:v>2015/16</c:v>
                </c:pt>
              </c:strCache>
            </c:strRef>
          </c:cat>
          <c:val>
            <c:numRef>
              <c:f>Sheet2!$L$50:$L$52</c:f>
              <c:numCache>
                <c:formatCode>General</c:formatCode>
                <c:ptCount val="3"/>
                <c:pt idx="0">
                  <c:v>1456</c:v>
                </c:pt>
                <c:pt idx="1">
                  <c:v>1760</c:v>
                </c:pt>
                <c:pt idx="2">
                  <c:v>1756</c:v>
                </c:pt>
              </c:numCache>
            </c:numRef>
          </c:val>
          <c:smooth val="0"/>
          <c:extLst>
            <c:ext xmlns:c16="http://schemas.microsoft.com/office/drawing/2014/chart" uri="{C3380CC4-5D6E-409C-BE32-E72D297353CC}">
              <c16:uniqueId val="{00000002-0D2F-4E28-9E5F-A64B6F47AE1E}"/>
            </c:ext>
          </c:extLst>
        </c:ser>
        <c:ser>
          <c:idx val="3"/>
          <c:order val="3"/>
          <c:tx>
            <c:strRef>
              <c:f>Sheet2!$M$49</c:f>
              <c:strCache>
                <c:ptCount val="1"/>
                <c:pt idx="0">
                  <c:v>Regional Initiaitons per family</c:v>
                </c:pt>
              </c:strCache>
            </c:strRef>
          </c:tx>
          <c:spPr>
            <a:ln w="28575" cap="rnd">
              <a:solidFill>
                <a:schemeClr val="accent4"/>
              </a:solidFill>
              <a:round/>
            </a:ln>
            <a:effectLst/>
          </c:spPr>
          <c:marker>
            <c:symbol val="none"/>
          </c:marker>
          <c:cat>
            <c:strRef>
              <c:f>Sheet2!$I$50:$I$52</c:f>
              <c:strCache>
                <c:ptCount val="3"/>
                <c:pt idx="0">
                  <c:v>2013/14</c:v>
                </c:pt>
                <c:pt idx="1">
                  <c:v>2014/15</c:v>
                </c:pt>
                <c:pt idx="2">
                  <c:v>2015/16</c:v>
                </c:pt>
              </c:strCache>
            </c:strRef>
          </c:cat>
          <c:val>
            <c:numRef>
              <c:f>Sheet2!$M$50:$M$52</c:f>
              <c:numCache>
                <c:formatCode>General</c:formatCode>
                <c:ptCount val="3"/>
                <c:pt idx="0">
                  <c:v>1198</c:v>
                </c:pt>
                <c:pt idx="1">
                  <c:v>1319</c:v>
                </c:pt>
                <c:pt idx="2">
                  <c:v>1554</c:v>
                </c:pt>
              </c:numCache>
            </c:numRef>
          </c:val>
          <c:smooth val="0"/>
          <c:extLst>
            <c:ext xmlns:c16="http://schemas.microsoft.com/office/drawing/2014/chart" uri="{C3380CC4-5D6E-409C-BE32-E72D297353CC}">
              <c16:uniqueId val="{00000003-0D2F-4E28-9E5F-A64B6F47AE1E}"/>
            </c:ext>
          </c:extLst>
        </c:ser>
        <c:dLbls>
          <c:showLegendKey val="0"/>
          <c:showVal val="0"/>
          <c:showCatName val="0"/>
          <c:showSerName val="0"/>
          <c:showPercent val="0"/>
          <c:showBubbleSize val="0"/>
        </c:dLbls>
        <c:smooth val="0"/>
        <c:axId val="520913848"/>
        <c:axId val="520914176"/>
      </c:lineChart>
      <c:catAx>
        <c:axId val="520913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0914176"/>
        <c:crosses val="autoZero"/>
        <c:auto val="1"/>
        <c:lblAlgn val="ctr"/>
        <c:lblOffset val="100"/>
        <c:noMultiLvlLbl val="0"/>
      </c:catAx>
      <c:valAx>
        <c:axId val="520914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0913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Chart 7 - Primary Applications and Primary Grants of Assistance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'[Chart in Microsoft Word]Sheet2'!$B$131</c:f>
              <c:strCache>
                <c:ptCount val="1"/>
                <c:pt idx="0">
                  <c:v>2013/14</c:v>
                </c:pt>
              </c:strCache>
            </c:strRef>
          </c:tx>
          <c:spPr>
            <a:solidFill>
              <a:schemeClr val="accent1"/>
            </a:solidFill>
            <a:ln>
              <a:noFill/>
            </a:ln>
            <a:effectLst/>
          </c:spPr>
          <c:invertIfNegative val="0"/>
          <c:cat>
            <c:strRef>
              <c:f>'[Chart in Microsoft Word]Sheet2'!$C$130:$H$130</c:f>
              <c:strCache>
                <c:ptCount val="6"/>
                <c:pt idx="0">
                  <c:v>Barwon</c:v>
                </c:pt>
                <c:pt idx="1">
                  <c:v>Hume</c:v>
                </c:pt>
                <c:pt idx="2">
                  <c:v>Loddon/Mallee</c:v>
                </c:pt>
                <c:pt idx="3">
                  <c:v>Grampians</c:v>
                </c:pt>
                <c:pt idx="4">
                  <c:v>Gippsland</c:v>
                </c:pt>
                <c:pt idx="5">
                  <c:v>Metro</c:v>
                </c:pt>
              </c:strCache>
            </c:strRef>
          </c:cat>
          <c:val>
            <c:numRef>
              <c:f>'[Chart in Microsoft Word]Sheet2'!$C$131:$H$131</c:f>
              <c:numCache>
                <c:formatCode>General</c:formatCode>
                <c:ptCount val="6"/>
                <c:pt idx="0">
                  <c:v>0.8</c:v>
                </c:pt>
                <c:pt idx="1">
                  <c:v>1.4</c:v>
                </c:pt>
                <c:pt idx="2">
                  <c:v>1.2</c:v>
                </c:pt>
                <c:pt idx="3">
                  <c:v>1.6</c:v>
                </c:pt>
                <c:pt idx="4">
                  <c:v>1.2</c:v>
                </c:pt>
                <c:pt idx="5">
                  <c:v>1.7</c:v>
                </c:pt>
              </c:numCache>
            </c:numRef>
          </c:val>
          <c:extLst>
            <c:ext xmlns:c16="http://schemas.microsoft.com/office/drawing/2014/chart" uri="{C3380CC4-5D6E-409C-BE32-E72D297353CC}">
              <c16:uniqueId val="{00000000-78B4-485A-9E0E-D9E74C775BFC}"/>
            </c:ext>
          </c:extLst>
        </c:ser>
        <c:ser>
          <c:idx val="1"/>
          <c:order val="1"/>
          <c:tx>
            <c:strRef>
              <c:f>'[Chart in Microsoft Word]Sheet2'!$B$132</c:f>
              <c:strCache>
                <c:ptCount val="1"/>
                <c:pt idx="0">
                  <c:v>2014/15</c:v>
                </c:pt>
              </c:strCache>
            </c:strRef>
          </c:tx>
          <c:spPr>
            <a:solidFill>
              <a:schemeClr val="accent2"/>
            </a:solidFill>
            <a:ln>
              <a:noFill/>
            </a:ln>
            <a:effectLst/>
          </c:spPr>
          <c:invertIfNegative val="0"/>
          <c:cat>
            <c:strRef>
              <c:f>'[Chart in Microsoft Word]Sheet2'!$C$130:$H$130</c:f>
              <c:strCache>
                <c:ptCount val="6"/>
                <c:pt idx="0">
                  <c:v>Barwon</c:v>
                </c:pt>
                <c:pt idx="1">
                  <c:v>Hume</c:v>
                </c:pt>
                <c:pt idx="2">
                  <c:v>Loddon/Mallee</c:v>
                </c:pt>
                <c:pt idx="3">
                  <c:v>Grampians</c:v>
                </c:pt>
                <c:pt idx="4">
                  <c:v>Gippsland</c:v>
                </c:pt>
                <c:pt idx="5">
                  <c:v>Metro</c:v>
                </c:pt>
              </c:strCache>
            </c:strRef>
          </c:cat>
          <c:val>
            <c:numRef>
              <c:f>'[Chart in Microsoft Word]Sheet2'!$C$132:$H$132</c:f>
              <c:numCache>
                <c:formatCode>General</c:formatCode>
                <c:ptCount val="6"/>
                <c:pt idx="0">
                  <c:v>0.9</c:v>
                </c:pt>
                <c:pt idx="1">
                  <c:v>1.3</c:v>
                </c:pt>
                <c:pt idx="2">
                  <c:v>1.1000000000000001</c:v>
                </c:pt>
                <c:pt idx="3">
                  <c:v>1.4</c:v>
                </c:pt>
                <c:pt idx="4">
                  <c:v>1.1000000000000001</c:v>
                </c:pt>
                <c:pt idx="5">
                  <c:v>1.6</c:v>
                </c:pt>
              </c:numCache>
            </c:numRef>
          </c:val>
          <c:extLst>
            <c:ext xmlns:c16="http://schemas.microsoft.com/office/drawing/2014/chart" uri="{C3380CC4-5D6E-409C-BE32-E72D297353CC}">
              <c16:uniqueId val="{00000001-78B4-485A-9E0E-D9E74C775BFC}"/>
            </c:ext>
          </c:extLst>
        </c:ser>
        <c:ser>
          <c:idx val="2"/>
          <c:order val="2"/>
          <c:tx>
            <c:strRef>
              <c:f>'[Chart in Microsoft Word]Sheet2'!$B$133</c:f>
              <c:strCache>
                <c:ptCount val="1"/>
                <c:pt idx="0">
                  <c:v>2015/16</c:v>
                </c:pt>
              </c:strCache>
            </c:strRef>
          </c:tx>
          <c:spPr>
            <a:solidFill>
              <a:schemeClr val="accent3"/>
            </a:solidFill>
            <a:ln>
              <a:noFill/>
            </a:ln>
            <a:effectLst/>
          </c:spPr>
          <c:invertIfNegative val="0"/>
          <c:cat>
            <c:strRef>
              <c:f>'[Chart in Microsoft Word]Sheet2'!$C$130:$H$130</c:f>
              <c:strCache>
                <c:ptCount val="6"/>
                <c:pt idx="0">
                  <c:v>Barwon</c:v>
                </c:pt>
                <c:pt idx="1">
                  <c:v>Hume</c:v>
                </c:pt>
                <c:pt idx="2">
                  <c:v>Loddon/Mallee</c:v>
                </c:pt>
                <c:pt idx="3">
                  <c:v>Grampians</c:v>
                </c:pt>
                <c:pt idx="4">
                  <c:v>Gippsland</c:v>
                </c:pt>
                <c:pt idx="5">
                  <c:v>Metro</c:v>
                </c:pt>
              </c:strCache>
            </c:strRef>
          </c:cat>
          <c:val>
            <c:numRef>
              <c:f>'[Chart in Microsoft Word]Sheet2'!$C$133:$H$133</c:f>
              <c:numCache>
                <c:formatCode>General</c:formatCode>
                <c:ptCount val="6"/>
                <c:pt idx="0">
                  <c:v>1.1000000000000001</c:v>
                </c:pt>
                <c:pt idx="1">
                  <c:v>1.5</c:v>
                </c:pt>
                <c:pt idx="2">
                  <c:v>0.9</c:v>
                </c:pt>
                <c:pt idx="3">
                  <c:v>1.6</c:v>
                </c:pt>
                <c:pt idx="4">
                  <c:v>1.3</c:v>
                </c:pt>
                <c:pt idx="5">
                  <c:v>1.7</c:v>
                </c:pt>
              </c:numCache>
            </c:numRef>
          </c:val>
          <c:extLst>
            <c:ext xmlns:c16="http://schemas.microsoft.com/office/drawing/2014/chart" uri="{C3380CC4-5D6E-409C-BE32-E72D297353CC}">
              <c16:uniqueId val="{00000002-78B4-485A-9E0E-D9E74C775BFC}"/>
            </c:ext>
          </c:extLst>
        </c:ser>
        <c:dLbls>
          <c:showLegendKey val="0"/>
          <c:showVal val="0"/>
          <c:showCatName val="0"/>
          <c:showSerName val="0"/>
          <c:showPercent val="0"/>
          <c:showBubbleSize val="0"/>
        </c:dLbls>
        <c:gapWidth val="219"/>
        <c:overlap val="-27"/>
        <c:axId val="588416568"/>
        <c:axId val="588419848"/>
      </c:barChart>
      <c:catAx>
        <c:axId val="588416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419848"/>
        <c:crosses val="autoZero"/>
        <c:auto val="1"/>
        <c:lblAlgn val="ctr"/>
        <c:lblOffset val="100"/>
        <c:noMultiLvlLbl val="0"/>
      </c:catAx>
      <c:valAx>
        <c:axId val="588419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416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D21322-A38F-4A77-805E-BDB0CBA4378A}" type="doc">
      <dgm:prSet loTypeId="urn:microsoft.com/office/officeart/2005/8/layout/hProcess11" loCatId="process" qsTypeId="urn:microsoft.com/office/officeart/2005/8/quickstyle/simple1" qsCatId="simple" csTypeId="urn:microsoft.com/office/officeart/2005/8/colors/accent1_2" csCatId="accent1" phldr="1"/>
      <dgm:spPr/>
    </dgm:pt>
    <dgm:pt modelId="{BE6383A3-54A3-48DE-9E1B-395FF7BFF9BD}">
      <dgm:prSet phldrT="[Text]" custT="1"/>
      <dgm:spPr>
        <a:xfrm>
          <a:off x="1279" y="0"/>
          <a:ext cx="294210" cy="987552"/>
        </a:xfrm>
        <a:prstGeom prst="rect">
          <a:avLst/>
        </a:prstGeom>
        <a:noFill/>
        <a:ln>
          <a:noFill/>
        </a:ln>
        <a:effectLst/>
      </dgm:spPr>
      <dgm:t>
        <a:bodyPr/>
        <a:lstStyle/>
        <a:p>
          <a:pPr>
            <a:buNone/>
          </a:pPr>
          <a:r>
            <a:rPr lang="en-AU" sz="500">
              <a:solidFill>
                <a:sysClr val="windowText" lastClr="000000">
                  <a:hueOff val="0"/>
                  <a:satOff val="0"/>
                  <a:lumOff val="0"/>
                  <a:alphaOff val="0"/>
                </a:sysClr>
              </a:solidFill>
              <a:latin typeface="Calibri"/>
              <a:ea typeface="+mn-ea"/>
              <a:cs typeface="+mn-cs"/>
            </a:rPr>
            <a:t>Carney Inquiry 1984</a:t>
          </a:r>
        </a:p>
      </dgm:t>
    </dgm:pt>
    <dgm:pt modelId="{75846123-46D8-4F1A-9186-E2C25421F71B}" type="parTrans" cxnId="{98BC87DD-BAC2-4564-A697-731CE54391D6}">
      <dgm:prSet/>
      <dgm:spPr/>
      <dgm:t>
        <a:bodyPr/>
        <a:lstStyle/>
        <a:p>
          <a:endParaRPr lang="en-AU"/>
        </a:p>
      </dgm:t>
    </dgm:pt>
    <dgm:pt modelId="{3318DDDC-FD3F-45ED-8F73-41A954B16058}" type="sibTrans" cxnId="{98BC87DD-BAC2-4564-A697-731CE54391D6}">
      <dgm:prSet/>
      <dgm:spPr/>
      <dgm:t>
        <a:bodyPr/>
        <a:lstStyle/>
        <a:p>
          <a:endParaRPr lang="en-AU"/>
        </a:p>
      </dgm:t>
    </dgm:pt>
    <dgm:pt modelId="{0C63F488-20FA-4254-8FF2-BF56B765D03C}">
      <dgm:prSet phldrT="[Text]"/>
      <dgm:spPr>
        <a:xfrm>
          <a:off x="619122" y="0"/>
          <a:ext cx="294210" cy="987552"/>
        </a:xfrm>
        <a:prstGeom prst="rect">
          <a:avLst/>
        </a:prstGeom>
        <a:noFill/>
        <a:ln>
          <a:noFill/>
        </a:ln>
        <a:effectLst/>
      </dgm:spPr>
      <dgm:t>
        <a:bodyPr/>
        <a:lstStyle/>
        <a:p>
          <a:pPr>
            <a:buNone/>
          </a:pPr>
          <a:r>
            <a:rPr lang="en-AU">
              <a:solidFill>
                <a:sysClr val="windowText" lastClr="000000">
                  <a:hueOff val="0"/>
                  <a:satOff val="0"/>
                  <a:lumOff val="0"/>
                  <a:alphaOff val="0"/>
                </a:sysClr>
              </a:solidFill>
              <a:latin typeface="Calibri"/>
              <a:ea typeface="+mn-ea"/>
              <a:cs typeface="+mn-cs"/>
            </a:rPr>
            <a:t>Fogerty and Seargent Reports 1989</a:t>
          </a:r>
        </a:p>
      </dgm:t>
    </dgm:pt>
    <dgm:pt modelId="{3B73DA9D-61AE-42D7-8819-3F5CAAA42D95}" type="parTrans" cxnId="{314633B9-034D-45B8-B4F0-B7B25A87D432}">
      <dgm:prSet/>
      <dgm:spPr/>
      <dgm:t>
        <a:bodyPr/>
        <a:lstStyle/>
        <a:p>
          <a:endParaRPr lang="en-AU"/>
        </a:p>
      </dgm:t>
    </dgm:pt>
    <dgm:pt modelId="{47865FB6-B58E-40B3-8CE6-A19031DD60F6}" type="sibTrans" cxnId="{314633B9-034D-45B8-B4F0-B7B25A87D432}">
      <dgm:prSet/>
      <dgm:spPr/>
      <dgm:t>
        <a:bodyPr/>
        <a:lstStyle/>
        <a:p>
          <a:endParaRPr lang="en-AU"/>
        </a:p>
      </dgm:t>
    </dgm:pt>
    <dgm:pt modelId="{94230026-3E2B-4FC8-AA8C-7B193E913AC3}">
      <dgm:prSet phldrT="[Text]"/>
      <dgm:spPr>
        <a:xfrm>
          <a:off x="2472650" y="0"/>
          <a:ext cx="294210" cy="987552"/>
        </a:xfrm>
        <a:prstGeom prst="rect">
          <a:avLst/>
        </a:prstGeom>
        <a:noFill/>
        <a:ln>
          <a:noFill/>
        </a:ln>
        <a:effectLst/>
      </dgm:spPr>
      <dgm:t>
        <a:bodyPr/>
        <a:lstStyle/>
        <a:p>
          <a:pPr>
            <a:buNone/>
          </a:pPr>
          <a:r>
            <a:rPr lang="en-AU">
              <a:solidFill>
                <a:sysClr val="windowText" lastClr="000000">
                  <a:hueOff val="0"/>
                  <a:satOff val="0"/>
                  <a:lumOff val="0"/>
                  <a:alphaOff val="0"/>
                </a:sysClr>
              </a:solidFill>
              <a:latin typeface="Calibri"/>
              <a:ea typeface="+mn-ea"/>
              <a:cs typeface="+mn-cs"/>
            </a:rPr>
            <a:t>Cummins 2012</a:t>
          </a:r>
        </a:p>
      </dgm:t>
    </dgm:pt>
    <dgm:pt modelId="{D40B44E4-BC22-499F-AE54-113064A07D1E}" type="parTrans" cxnId="{F60A7BB5-B1A8-4161-821B-F4D39074C8AB}">
      <dgm:prSet/>
      <dgm:spPr/>
      <dgm:t>
        <a:bodyPr/>
        <a:lstStyle/>
        <a:p>
          <a:endParaRPr lang="en-AU"/>
        </a:p>
      </dgm:t>
    </dgm:pt>
    <dgm:pt modelId="{3630B725-A1A1-4893-9843-48339926112C}" type="sibTrans" cxnId="{F60A7BB5-B1A8-4161-821B-F4D39074C8AB}">
      <dgm:prSet/>
      <dgm:spPr/>
      <dgm:t>
        <a:bodyPr/>
        <a:lstStyle/>
        <a:p>
          <a:endParaRPr lang="en-AU"/>
        </a:p>
      </dgm:t>
    </dgm:pt>
    <dgm:pt modelId="{28C2F635-3483-4E70-A47E-B1E5382EE31B}">
      <dgm:prSet phldrT="[Text]"/>
      <dgm:spPr>
        <a:xfrm>
          <a:off x="2781571" y="1481327"/>
          <a:ext cx="294210" cy="987552"/>
        </a:xfrm>
        <a:prstGeom prst="rect">
          <a:avLst/>
        </a:prstGeom>
        <a:noFill/>
        <a:ln>
          <a:noFill/>
        </a:ln>
        <a:effectLst/>
      </dgm:spPr>
      <dgm:t>
        <a:bodyPr/>
        <a:lstStyle/>
        <a:p>
          <a:pPr>
            <a:buNone/>
          </a:pPr>
          <a:r>
            <a:rPr lang="en-AU">
              <a:solidFill>
                <a:sysClr val="windowText" lastClr="000000">
                  <a:hueOff val="0"/>
                  <a:satOff val="0"/>
                  <a:lumOff val="0"/>
                  <a:alphaOff val="0"/>
                </a:sysClr>
              </a:solidFill>
              <a:latin typeface="Calibri"/>
              <a:ea typeface="+mn-ea"/>
              <a:cs typeface="+mn-cs"/>
            </a:rPr>
            <a:t>Office of the Public Advocate 2013</a:t>
          </a:r>
        </a:p>
      </dgm:t>
    </dgm:pt>
    <dgm:pt modelId="{25A2F093-533F-494F-9086-45D18A1EE346}" type="parTrans" cxnId="{3DA252FF-733B-4BC8-89F3-1C9BA736CAF3}">
      <dgm:prSet/>
      <dgm:spPr/>
      <dgm:t>
        <a:bodyPr/>
        <a:lstStyle/>
        <a:p>
          <a:endParaRPr lang="en-AU"/>
        </a:p>
      </dgm:t>
    </dgm:pt>
    <dgm:pt modelId="{4A404030-D604-4126-998E-583800D16E1D}" type="sibTrans" cxnId="{3DA252FF-733B-4BC8-89F3-1C9BA736CAF3}">
      <dgm:prSet/>
      <dgm:spPr/>
      <dgm:t>
        <a:bodyPr/>
        <a:lstStyle/>
        <a:p>
          <a:endParaRPr lang="en-AU"/>
        </a:p>
      </dgm:t>
    </dgm:pt>
    <dgm:pt modelId="{054812D3-C160-47E6-8622-C015CE7BB7C8}">
      <dgm:prSet phldrT="[Text]"/>
      <dgm:spPr>
        <a:xfrm>
          <a:off x="928043" y="1481327"/>
          <a:ext cx="294210" cy="987552"/>
        </a:xfrm>
        <a:prstGeom prst="rect">
          <a:avLst/>
        </a:prstGeom>
        <a:noFill/>
        <a:ln>
          <a:noFill/>
        </a:ln>
        <a:effectLst/>
      </dgm:spPr>
      <dgm:t>
        <a:bodyPr/>
        <a:lstStyle/>
        <a:p>
          <a:pPr>
            <a:buNone/>
          </a:pPr>
          <a:r>
            <a:rPr lang="en-AU">
              <a:solidFill>
                <a:sysClr val="windowText" lastClr="000000">
                  <a:hueOff val="0"/>
                  <a:satOff val="0"/>
                  <a:lumOff val="0"/>
                  <a:alphaOff val="0"/>
                </a:sysClr>
              </a:solidFill>
              <a:latin typeface="Calibri"/>
              <a:ea typeface="+mn-ea"/>
              <a:cs typeface="+mn-cs"/>
            </a:rPr>
            <a:t>Child Protection Outcomes Project 2003</a:t>
          </a:r>
        </a:p>
      </dgm:t>
    </dgm:pt>
    <dgm:pt modelId="{985306C5-6EDF-47A4-8EA6-05D5F98F2817}" type="parTrans" cxnId="{4AA8FA8A-0417-49BE-91CD-49400D9DFAC2}">
      <dgm:prSet/>
      <dgm:spPr/>
      <dgm:t>
        <a:bodyPr/>
        <a:lstStyle/>
        <a:p>
          <a:endParaRPr lang="en-AU"/>
        </a:p>
      </dgm:t>
    </dgm:pt>
    <dgm:pt modelId="{21B25C2C-9AD8-4974-9655-A1F063DCACBB}" type="sibTrans" cxnId="{4AA8FA8A-0417-49BE-91CD-49400D9DFAC2}">
      <dgm:prSet/>
      <dgm:spPr/>
      <dgm:t>
        <a:bodyPr/>
        <a:lstStyle/>
        <a:p>
          <a:endParaRPr lang="en-AU"/>
        </a:p>
      </dgm:t>
    </dgm:pt>
    <dgm:pt modelId="{D1196790-09F7-43CC-80E0-7DDA4E2FD193}">
      <dgm:prSet phldrT="[Text]"/>
      <dgm:spPr>
        <a:xfrm>
          <a:off x="310200" y="1481327"/>
          <a:ext cx="294210" cy="987552"/>
        </a:xfrm>
        <a:prstGeom prst="rect">
          <a:avLst/>
        </a:prstGeom>
        <a:noFill/>
        <a:ln>
          <a:noFill/>
        </a:ln>
        <a:effectLst/>
      </dgm:spPr>
      <dgm:t>
        <a:bodyPr/>
        <a:lstStyle/>
        <a:p>
          <a:pPr>
            <a:buNone/>
          </a:pPr>
          <a:r>
            <a:rPr lang="en-AU">
              <a:solidFill>
                <a:sysClr val="windowText" lastClr="000000">
                  <a:hueOff val="0"/>
                  <a:satOff val="0"/>
                  <a:lumOff val="0"/>
                  <a:alphaOff val="0"/>
                </a:sysClr>
              </a:solidFill>
              <a:latin typeface="Calibri"/>
              <a:ea typeface="+mn-ea"/>
              <a:cs typeface="+mn-cs"/>
            </a:rPr>
            <a:t>CYPA 1989</a:t>
          </a:r>
        </a:p>
      </dgm:t>
    </dgm:pt>
    <dgm:pt modelId="{43AFC47C-1DC1-4B80-BE9D-879A280A7D9F}" type="parTrans" cxnId="{A2A63DA5-7DA6-4902-86F9-EB9137C7A194}">
      <dgm:prSet/>
      <dgm:spPr/>
      <dgm:t>
        <a:bodyPr/>
        <a:lstStyle/>
        <a:p>
          <a:endParaRPr lang="en-AU"/>
        </a:p>
      </dgm:t>
    </dgm:pt>
    <dgm:pt modelId="{89D01C41-646A-41D5-9D6A-69B139AA21AA}" type="sibTrans" cxnId="{A2A63DA5-7DA6-4902-86F9-EB9137C7A194}">
      <dgm:prSet/>
      <dgm:spPr/>
      <dgm:t>
        <a:bodyPr/>
        <a:lstStyle/>
        <a:p>
          <a:endParaRPr lang="en-AU"/>
        </a:p>
      </dgm:t>
    </dgm:pt>
    <dgm:pt modelId="{01715E36-956E-42A7-A804-A9DAFBB87D8C}">
      <dgm:prSet phldrT="[Text]"/>
      <dgm:spPr>
        <a:xfrm>
          <a:off x="1236964" y="0"/>
          <a:ext cx="294210" cy="987552"/>
        </a:xfrm>
        <a:prstGeom prst="rect">
          <a:avLst/>
        </a:prstGeom>
        <a:noFill/>
        <a:ln>
          <a:noFill/>
        </a:ln>
        <a:effectLst/>
      </dgm:spPr>
      <dgm:t>
        <a:bodyPr/>
        <a:lstStyle/>
        <a:p>
          <a:pPr>
            <a:buNone/>
          </a:pPr>
          <a:r>
            <a:rPr lang="en-AU">
              <a:solidFill>
                <a:sysClr val="windowText" lastClr="000000">
                  <a:hueOff val="0"/>
                  <a:satOff val="0"/>
                  <a:lumOff val="0"/>
                  <a:alphaOff val="0"/>
                </a:sysClr>
              </a:solidFill>
              <a:latin typeface="Calibri"/>
              <a:ea typeface="+mn-ea"/>
              <a:cs typeface="+mn-cs"/>
            </a:rPr>
            <a:t>CYFA 2005</a:t>
          </a:r>
        </a:p>
      </dgm:t>
    </dgm:pt>
    <dgm:pt modelId="{5BDDD5DA-FD8A-4049-AA5F-BCC4A76D00F0}" type="parTrans" cxnId="{3183CBC7-B500-4AFA-979A-28D0A3D64865}">
      <dgm:prSet/>
      <dgm:spPr/>
      <dgm:t>
        <a:bodyPr/>
        <a:lstStyle/>
        <a:p>
          <a:endParaRPr lang="en-AU"/>
        </a:p>
      </dgm:t>
    </dgm:pt>
    <dgm:pt modelId="{5B6D90E2-0B66-4F68-802B-02A6378BFAEE}" type="sibTrans" cxnId="{3183CBC7-B500-4AFA-979A-28D0A3D64865}">
      <dgm:prSet/>
      <dgm:spPr/>
      <dgm:t>
        <a:bodyPr/>
        <a:lstStyle/>
        <a:p>
          <a:endParaRPr lang="en-AU"/>
        </a:p>
      </dgm:t>
    </dgm:pt>
    <dgm:pt modelId="{FC71BCEB-F009-40FE-A7E6-21203FF0396F}">
      <dgm:prSet phldrT="[Text]"/>
      <dgm:spPr>
        <a:xfrm>
          <a:off x="1545886" y="1481327"/>
          <a:ext cx="294210" cy="987552"/>
        </a:xfrm>
        <a:prstGeom prst="rect">
          <a:avLst/>
        </a:prstGeom>
        <a:noFill/>
        <a:ln>
          <a:noFill/>
        </a:ln>
        <a:effectLst/>
      </dgm:spPr>
      <dgm:t>
        <a:bodyPr/>
        <a:lstStyle/>
        <a:p>
          <a:pPr>
            <a:buNone/>
          </a:pPr>
          <a:r>
            <a:rPr lang="en-AU">
              <a:solidFill>
                <a:sysClr val="windowText" lastClr="000000">
                  <a:hueOff val="0"/>
                  <a:satOff val="0"/>
                  <a:lumOff val="0"/>
                  <a:alphaOff val="0"/>
                </a:sysClr>
              </a:solidFill>
              <a:latin typeface="Calibri"/>
              <a:ea typeface="+mn-ea"/>
              <a:cs typeface="+mn-cs"/>
            </a:rPr>
            <a:t>Victroain Ombudman Report 2009</a:t>
          </a:r>
        </a:p>
      </dgm:t>
    </dgm:pt>
    <dgm:pt modelId="{86B02F48-3D19-47BD-939D-787915D1A26D}" type="parTrans" cxnId="{312FC53F-646F-4048-BBF9-FC9AEC602EAB}">
      <dgm:prSet/>
      <dgm:spPr/>
      <dgm:t>
        <a:bodyPr/>
        <a:lstStyle/>
        <a:p>
          <a:endParaRPr lang="en-AU"/>
        </a:p>
      </dgm:t>
    </dgm:pt>
    <dgm:pt modelId="{7D41E430-8809-4DA4-B210-E99C79F91979}" type="sibTrans" cxnId="{312FC53F-646F-4048-BBF9-FC9AEC602EAB}">
      <dgm:prSet/>
      <dgm:spPr/>
      <dgm:t>
        <a:bodyPr/>
        <a:lstStyle/>
        <a:p>
          <a:endParaRPr lang="en-AU"/>
        </a:p>
      </dgm:t>
    </dgm:pt>
    <dgm:pt modelId="{313CEEF5-C5CE-413B-AAA0-39D8E3B16D1D}">
      <dgm:prSet phldrT="[Text]"/>
      <dgm:spPr>
        <a:xfrm>
          <a:off x="1854807" y="0"/>
          <a:ext cx="294210" cy="987552"/>
        </a:xfrm>
        <a:prstGeom prst="rect">
          <a:avLst/>
        </a:prstGeom>
        <a:noFill/>
        <a:ln>
          <a:noFill/>
        </a:ln>
        <a:effectLst/>
      </dgm:spPr>
      <dgm:t>
        <a:bodyPr/>
        <a:lstStyle/>
        <a:p>
          <a:pPr>
            <a:buNone/>
          </a:pPr>
          <a:r>
            <a:rPr lang="en-AU">
              <a:solidFill>
                <a:sysClr val="windowText" lastClr="000000">
                  <a:hueOff val="0"/>
                  <a:satOff val="0"/>
                  <a:lumOff val="0"/>
                  <a:alphaOff val="0"/>
                </a:sysClr>
              </a:solidFill>
              <a:latin typeface="Calibri"/>
              <a:ea typeface="+mn-ea"/>
              <a:cs typeface="+mn-cs"/>
            </a:rPr>
            <a:t>VLRC Report 2010</a:t>
          </a:r>
        </a:p>
      </dgm:t>
    </dgm:pt>
    <dgm:pt modelId="{BBBEDC3A-6E10-492D-B6F2-0462A6404E54}" type="parTrans" cxnId="{A81038C7-7540-401B-9554-A99CEC971A7D}">
      <dgm:prSet/>
      <dgm:spPr/>
      <dgm:t>
        <a:bodyPr/>
        <a:lstStyle/>
        <a:p>
          <a:endParaRPr lang="en-AU"/>
        </a:p>
      </dgm:t>
    </dgm:pt>
    <dgm:pt modelId="{98A2E1B3-9680-4D63-9E4D-1A619A375E7B}" type="sibTrans" cxnId="{A81038C7-7540-401B-9554-A99CEC971A7D}">
      <dgm:prSet/>
      <dgm:spPr/>
      <dgm:t>
        <a:bodyPr/>
        <a:lstStyle/>
        <a:p>
          <a:endParaRPr lang="en-AU"/>
        </a:p>
      </dgm:t>
    </dgm:pt>
    <dgm:pt modelId="{4C59919C-1115-4999-9991-47F07EADE374}">
      <dgm:prSet phldrT="[Text]"/>
      <dgm:spPr>
        <a:xfrm>
          <a:off x="2163729" y="1481327"/>
          <a:ext cx="294210" cy="987552"/>
        </a:xfrm>
        <a:prstGeom prst="rect">
          <a:avLst/>
        </a:prstGeom>
        <a:noFill/>
        <a:ln>
          <a:noFill/>
        </a:ln>
        <a:effectLst/>
      </dgm:spPr>
      <dgm:t>
        <a:bodyPr/>
        <a:lstStyle/>
        <a:p>
          <a:pPr>
            <a:buNone/>
          </a:pPr>
          <a:r>
            <a:rPr lang="en-AU">
              <a:solidFill>
                <a:sysClr val="windowText" lastClr="000000">
                  <a:hueOff val="0"/>
                  <a:satOff val="0"/>
                  <a:lumOff val="0"/>
                  <a:alphaOff val="0"/>
                </a:sysClr>
              </a:solidFill>
              <a:latin typeface="Calibri"/>
              <a:ea typeface="+mn-ea"/>
              <a:cs typeface="+mn-cs"/>
            </a:rPr>
            <a:t>Victorian Ombudman Report 2010</a:t>
          </a:r>
        </a:p>
      </dgm:t>
    </dgm:pt>
    <dgm:pt modelId="{B106E616-B593-41DE-AE17-EAAE6C169490}" type="parTrans" cxnId="{01970A37-03AF-48CC-92F4-3C1A8D7E7FA8}">
      <dgm:prSet/>
      <dgm:spPr/>
      <dgm:t>
        <a:bodyPr/>
        <a:lstStyle/>
        <a:p>
          <a:endParaRPr lang="en-AU"/>
        </a:p>
      </dgm:t>
    </dgm:pt>
    <dgm:pt modelId="{B6C5472E-7A98-48D9-B774-3B2304AB0B1D}" type="sibTrans" cxnId="{01970A37-03AF-48CC-92F4-3C1A8D7E7FA8}">
      <dgm:prSet/>
      <dgm:spPr/>
      <dgm:t>
        <a:bodyPr/>
        <a:lstStyle/>
        <a:p>
          <a:endParaRPr lang="en-AU"/>
        </a:p>
      </dgm:t>
    </dgm:pt>
    <dgm:pt modelId="{FA290BF1-B541-452E-AE67-DE0D2B11EF24}">
      <dgm:prSet phldrT="[Text]"/>
      <dgm:spPr>
        <a:xfrm>
          <a:off x="3708336" y="0"/>
          <a:ext cx="294210" cy="987552"/>
        </a:xfrm>
        <a:prstGeom prst="rect">
          <a:avLst/>
        </a:prstGeom>
        <a:noFill/>
        <a:ln>
          <a:noFill/>
        </a:ln>
        <a:effectLst/>
      </dgm:spPr>
      <dgm:t>
        <a:bodyPr/>
        <a:lstStyle/>
        <a:p>
          <a:pPr>
            <a:buNone/>
          </a:pPr>
          <a:r>
            <a:rPr lang="en-AU">
              <a:solidFill>
                <a:sysClr val="windowText" lastClr="000000">
                  <a:hueOff val="0"/>
                  <a:satOff val="0"/>
                  <a:lumOff val="0"/>
                  <a:alphaOff val="0"/>
                </a:sysClr>
              </a:solidFill>
              <a:latin typeface="Calibri"/>
              <a:ea typeface="+mn-ea"/>
              <a:cs typeface="+mn-cs"/>
            </a:rPr>
            <a:t>...as a good parent would..., CCYP, 2015</a:t>
          </a:r>
        </a:p>
      </dgm:t>
    </dgm:pt>
    <dgm:pt modelId="{B5E94A25-A22C-4273-8373-3462B7FC7DD1}" type="parTrans" cxnId="{C7774625-FB24-411E-813C-4C7AEEABA9B3}">
      <dgm:prSet/>
      <dgm:spPr/>
      <dgm:t>
        <a:bodyPr/>
        <a:lstStyle/>
        <a:p>
          <a:endParaRPr lang="en-AU"/>
        </a:p>
      </dgm:t>
    </dgm:pt>
    <dgm:pt modelId="{29338656-3639-4B2D-B3E5-655F4CF9714F}" type="sibTrans" cxnId="{C7774625-FB24-411E-813C-4C7AEEABA9B3}">
      <dgm:prSet/>
      <dgm:spPr/>
      <dgm:t>
        <a:bodyPr/>
        <a:lstStyle/>
        <a:p>
          <a:endParaRPr lang="en-AU"/>
        </a:p>
      </dgm:t>
    </dgm:pt>
    <dgm:pt modelId="{BEF55FD1-6F83-4434-B91A-EF7AAB204E83}">
      <dgm:prSet phldrT="[Text]"/>
      <dgm:spPr>
        <a:xfrm>
          <a:off x="4017257" y="1481327"/>
          <a:ext cx="294210" cy="987552"/>
        </a:xfrm>
        <a:prstGeom prst="rect">
          <a:avLst/>
        </a:prstGeom>
        <a:noFill/>
        <a:ln>
          <a:noFill/>
        </a:ln>
        <a:effectLst/>
      </dgm:spPr>
      <dgm:t>
        <a:bodyPr/>
        <a:lstStyle/>
        <a:p>
          <a:pPr>
            <a:buNone/>
          </a:pPr>
          <a:r>
            <a:rPr lang="en-AU">
              <a:solidFill>
                <a:sysClr val="windowText" lastClr="000000">
                  <a:hueOff val="0"/>
                  <a:satOff val="0"/>
                  <a:lumOff val="0"/>
                  <a:alphaOff val="0"/>
                </a:sysClr>
              </a:solidFill>
              <a:latin typeface="Calibri"/>
              <a:ea typeface="+mn-ea"/>
              <a:cs typeface="+mn-cs"/>
            </a:rPr>
            <a:t> Office of the Public Advocate 2015</a:t>
          </a:r>
        </a:p>
      </dgm:t>
    </dgm:pt>
    <dgm:pt modelId="{76931D34-5113-46FC-92AC-2C46AC4689C9}" type="parTrans" cxnId="{415EC8F4-F5B1-4F07-8044-E05C8CF8CA7F}">
      <dgm:prSet/>
      <dgm:spPr/>
      <dgm:t>
        <a:bodyPr/>
        <a:lstStyle/>
        <a:p>
          <a:endParaRPr lang="en-AU"/>
        </a:p>
      </dgm:t>
    </dgm:pt>
    <dgm:pt modelId="{66D953DC-1269-4494-95FC-F0C6490A3ED3}" type="sibTrans" cxnId="{415EC8F4-F5B1-4F07-8044-E05C8CF8CA7F}">
      <dgm:prSet/>
      <dgm:spPr/>
      <dgm:t>
        <a:bodyPr/>
        <a:lstStyle/>
        <a:p>
          <a:endParaRPr lang="en-AU"/>
        </a:p>
      </dgm:t>
    </dgm:pt>
    <dgm:pt modelId="{EA0FB3D4-DF6B-4B72-B77F-24929925404D}">
      <dgm:prSet phldrT="[Text]"/>
      <dgm:spPr>
        <a:xfrm>
          <a:off x="4944021" y="0"/>
          <a:ext cx="294210" cy="987552"/>
        </a:xfrm>
        <a:prstGeom prst="rect">
          <a:avLst/>
        </a:prstGeom>
        <a:noFill/>
        <a:ln>
          <a:noFill/>
        </a:ln>
        <a:effectLst/>
      </dgm:spPr>
      <dgm:t>
        <a:bodyPr/>
        <a:lstStyle/>
        <a:p>
          <a:pPr>
            <a:buNone/>
          </a:pPr>
          <a:r>
            <a:rPr lang="en-AU">
              <a:solidFill>
                <a:sysClr val="windowText" lastClr="000000">
                  <a:hueOff val="0"/>
                  <a:satOff val="0"/>
                  <a:lumOff val="0"/>
                  <a:alphaOff val="0"/>
                </a:sysClr>
              </a:solidFill>
              <a:latin typeface="Calibri"/>
              <a:ea typeface="+mn-ea"/>
              <a:cs typeface="+mn-cs"/>
            </a:rPr>
            <a:t>Roadmap to Reform 2016</a:t>
          </a:r>
        </a:p>
      </dgm:t>
    </dgm:pt>
    <dgm:pt modelId="{F421DD6D-C4BB-4690-972A-AB1A19D01405}" type="parTrans" cxnId="{EE498A45-6490-43A1-870C-A1A7A9416B5F}">
      <dgm:prSet/>
      <dgm:spPr/>
      <dgm:t>
        <a:bodyPr/>
        <a:lstStyle/>
        <a:p>
          <a:endParaRPr lang="en-AU"/>
        </a:p>
      </dgm:t>
    </dgm:pt>
    <dgm:pt modelId="{95B65DFE-E90C-4477-B8CD-4708C75BC51F}" type="sibTrans" cxnId="{EE498A45-6490-43A1-870C-A1A7A9416B5F}">
      <dgm:prSet/>
      <dgm:spPr/>
      <dgm:t>
        <a:bodyPr/>
        <a:lstStyle/>
        <a:p>
          <a:endParaRPr lang="en-AU"/>
        </a:p>
      </dgm:t>
    </dgm:pt>
    <dgm:pt modelId="{46D50501-5E7F-439B-BD01-13CF2DC8AD53}">
      <dgm:prSet phldrT="[Text]"/>
      <dgm:spPr>
        <a:xfrm>
          <a:off x="4635100" y="1481327"/>
          <a:ext cx="294210" cy="987552"/>
        </a:xfrm>
        <a:prstGeom prst="rect">
          <a:avLst/>
        </a:prstGeom>
        <a:noFill/>
        <a:ln>
          <a:noFill/>
        </a:ln>
        <a:effectLst/>
      </dgm:spPr>
      <dgm:t>
        <a:bodyPr/>
        <a:lstStyle/>
        <a:p>
          <a:pPr>
            <a:buNone/>
          </a:pPr>
          <a:r>
            <a:rPr lang="en-AU">
              <a:solidFill>
                <a:sysClr val="windowText" lastClr="000000">
                  <a:hueOff val="0"/>
                  <a:satOff val="0"/>
                  <a:lumOff val="0"/>
                  <a:alphaOff val="0"/>
                </a:sysClr>
              </a:solidFill>
              <a:latin typeface="Calibri"/>
              <a:ea typeface="+mn-ea"/>
              <a:cs typeface="+mn-cs"/>
            </a:rPr>
            <a:t>RCFV 2016</a:t>
          </a:r>
        </a:p>
      </dgm:t>
    </dgm:pt>
    <dgm:pt modelId="{706341F4-9A99-4231-ADE3-9E6653FB096C}" type="parTrans" cxnId="{E98800FE-4BCA-49B8-AB5F-133D980FB7CC}">
      <dgm:prSet/>
      <dgm:spPr/>
      <dgm:t>
        <a:bodyPr/>
        <a:lstStyle/>
        <a:p>
          <a:endParaRPr lang="en-AU"/>
        </a:p>
      </dgm:t>
    </dgm:pt>
    <dgm:pt modelId="{7BA2DDC7-2D3D-41F1-83DE-0EFD737BE8A1}" type="sibTrans" cxnId="{E98800FE-4BCA-49B8-AB5F-133D980FB7CC}">
      <dgm:prSet/>
      <dgm:spPr/>
      <dgm:t>
        <a:bodyPr/>
        <a:lstStyle/>
        <a:p>
          <a:endParaRPr lang="en-AU"/>
        </a:p>
      </dgm:t>
    </dgm:pt>
    <dgm:pt modelId="{54EAECF2-E33E-4D09-B4D0-ED491068C6C0}">
      <dgm:prSet phldrT="[Text]"/>
      <dgm:spPr>
        <a:xfrm>
          <a:off x="4326179" y="0"/>
          <a:ext cx="294210" cy="987552"/>
        </a:xfrm>
        <a:prstGeom prst="rect">
          <a:avLst/>
        </a:prstGeom>
        <a:noFill/>
        <a:ln>
          <a:noFill/>
        </a:ln>
        <a:effectLst/>
      </dgm:spPr>
      <dgm:t>
        <a:bodyPr/>
        <a:lstStyle/>
        <a:p>
          <a:pPr>
            <a:buNone/>
          </a:pPr>
          <a:r>
            <a:rPr lang="en-AU">
              <a:solidFill>
                <a:sysClr val="windowText" lastClr="000000">
                  <a:hueOff val="0"/>
                  <a:satOff val="0"/>
                  <a:lumOff val="0"/>
                  <a:alphaOff val="0"/>
                </a:sysClr>
              </a:solidFill>
              <a:latin typeface="Calibri"/>
              <a:ea typeface="+mn-ea"/>
              <a:cs typeface="+mn-cs"/>
            </a:rPr>
            <a:t>Early Intervention Services 2015 VAGO </a:t>
          </a:r>
        </a:p>
      </dgm:t>
    </dgm:pt>
    <dgm:pt modelId="{5C6CD275-5F19-48CA-9623-C6C76AD944A3}" type="parTrans" cxnId="{749D52AD-6DB9-4DB5-8BFE-334E27A1ED2D}">
      <dgm:prSet/>
      <dgm:spPr/>
      <dgm:t>
        <a:bodyPr/>
        <a:lstStyle/>
        <a:p>
          <a:endParaRPr lang="en-AU"/>
        </a:p>
      </dgm:t>
    </dgm:pt>
    <dgm:pt modelId="{6BD69422-F100-4FAA-A4E7-5270C27AE12F}" type="sibTrans" cxnId="{749D52AD-6DB9-4DB5-8BFE-334E27A1ED2D}">
      <dgm:prSet/>
      <dgm:spPr/>
      <dgm:t>
        <a:bodyPr/>
        <a:lstStyle/>
        <a:p>
          <a:endParaRPr lang="en-AU"/>
        </a:p>
      </dgm:t>
    </dgm:pt>
    <dgm:pt modelId="{CDA004EC-72EA-46C8-BAFE-1E8BBDF3BB24}">
      <dgm:prSet phldrT="[Text]"/>
      <dgm:spPr>
        <a:xfrm>
          <a:off x="3090493" y="0"/>
          <a:ext cx="294210" cy="987552"/>
        </a:xfrm>
        <a:prstGeom prst="rect">
          <a:avLst/>
        </a:prstGeom>
        <a:noFill/>
        <a:ln>
          <a:noFill/>
        </a:ln>
        <a:effectLst/>
      </dgm:spPr>
      <dgm:t>
        <a:bodyPr/>
        <a:lstStyle/>
        <a:p>
          <a:pPr>
            <a:buNone/>
          </a:pPr>
          <a:r>
            <a:rPr lang="en-AU">
              <a:solidFill>
                <a:sysClr val="windowText" lastClr="000000">
                  <a:hueOff val="0"/>
                  <a:satOff val="0"/>
                  <a:lumOff val="0"/>
                  <a:alphaOff val="0"/>
                </a:sysClr>
              </a:solidFill>
              <a:latin typeface="Calibri"/>
              <a:ea typeface="+mn-ea"/>
              <a:cs typeface="+mn-cs"/>
            </a:rPr>
            <a:t>Residential Care Services for Children, VAGO 2014</a:t>
          </a:r>
        </a:p>
      </dgm:t>
    </dgm:pt>
    <dgm:pt modelId="{052D81D0-FE76-43E6-9323-0935486EE8BA}" type="parTrans" cxnId="{EFE9AC34-E7BA-42D1-BD1F-387E5B251C3E}">
      <dgm:prSet/>
      <dgm:spPr/>
      <dgm:t>
        <a:bodyPr/>
        <a:lstStyle/>
        <a:p>
          <a:endParaRPr lang="en-AU"/>
        </a:p>
      </dgm:t>
    </dgm:pt>
    <dgm:pt modelId="{B1B1F1D2-5149-44D0-9BDE-386491F0DEF7}" type="sibTrans" cxnId="{EFE9AC34-E7BA-42D1-BD1F-387E5B251C3E}">
      <dgm:prSet/>
      <dgm:spPr/>
      <dgm:t>
        <a:bodyPr/>
        <a:lstStyle/>
        <a:p>
          <a:endParaRPr lang="en-AU"/>
        </a:p>
      </dgm:t>
    </dgm:pt>
    <dgm:pt modelId="{07150BFA-E6AE-42AE-8379-6644340A3029}">
      <dgm:prSet phldrT="[Text]"/>
      <dgm:spPr>
        <a:xfrm>
          <a:off x="3399414" y="1481327"/>
          <a:ext cx="294210" cy="987552"/>
        </a:xfrm>
        <a:prstGeom prst="rect">
          <a:avLst/>
        </a:prstGeom>
        <a:noFill/>
        <a:ln>
          <a:noFill/>
        </a:ln>
        <a:effectLst/>
      </dgm:spPr>
      <dgm:t>
        <a:bodyPr/>
        <a:lstStyle/>
        <a:p>
          <a:pPr>
            <a:buNone/>
          </a:pPr>
          <a:r>
            <a:rPr lang="en-AU">
              <a:solidFill>
                <a:sysClr val="windowText" lastClr="000000">
                  <a:hueOff val="0"/>
                  <a:satOff val="0"/>
                  <a:lumOff val="0"/>
                  <a:alphaOff val="0"/>
                </a:sysClr>
              </a:solidFill>
              <a:latin typeface="Calibri"/>
              <a:ea typeface="+mn-ea"/>
              <a:cs typeface="+mn-cs"/>
            </a:rPr>
            <a:t>Children, Youth and Families Amendment (Permanent Care and Other Matters) Act 2014</a:t>
          </a:r>
        </a:p>
      </dgm:t>
    </dgm:pt>
    <dgm:pt modelId="{3918004C-43C0-407B-9231-44696333C6C1}" type="parTrans" cxnId="{FBAF114C-8ED5-4F46-9B79-193621AC1120}">
      <dgm:prSet/>
      <dgm:spPr/>
      <dgm:t>
        <a:bodyPr/>
        <a:lstStyle/>
        <a:p>
          <a:endParaRPr lang="en-US"/>
        </a:p>
      </dgm:t>
    </dgm:pt>
    <dgm:pt modelId="{13D141E3-0D7E-440A-86C6-E0CC268F0137}" type="sibTrans" cxnId="{FBAF114C-8ED5-4F46-9B79-193621AC1120}">
      <dgm:prSet/>
      <dgm:spPr/>
      <dgm:t>
        <a:bodyPr/>
        <a:lstStyle/>
        <a:p>
          <a:endParaRPr lang="en-US"/>
        </a:p>
      </dgm:t>
    </dgm:pt>
    <dgm:pt modelId="{81A77006-FB59-4223-8C5D-A11849370ABB}" type="pres">
      <dgm:prSet presAssocID="{FDD21322-A38F-4A77-805E-BDB0CBA4378A}" presName="Name0" presStyleCnt="0">
        <dgm:presLayoutVars>
          <dgm:dir/>
          <dgm:resizeHandles val="exact"/>
        </dgm:presLayoutVars>
      </dgm:prSet>
      <dgm:spPr/>
    </dgm:pt>
    <dgm:pt modelId="{4B305505-A480-4475-BB4A-DDFD79A0B585}" type="pres">
      <dgm:prSet presAssocID="{FDD21322-A38F-4A77-805E-BDB0CBA4378A}" presName="arrow" presStyleLbl="bgShp" presStyleIdx="0" presStyleCnt="1"/>
      <dgm:spPr>
        <a:xfrm>
          <a:off x="0" y="740663"/>
          <a:ext cx="5821680" cy="987552"/>
        </a:xfrm>
        <a:prstGeom prst="notchedRightArrow">
          <a:avLst/>
        </a:prstGeom>
        <a:solidFill>
          <a:srgbClr val="5B9BD5">
            <a:tint val="40000"/>
            <a:hueOff val="0"/>
            <a:satOff val="0"/>
            <a:lumOff val="0"/>
            <a:alphaOff val="0"/>
          </a:srgbClr>
        </a:solidFill>
        <a:ln>
          <a:noFill/>
        </a:ln>
        <a:effectLst/>
      </dgm:spPr>
    </dgm:pt>
    <dgm:pt modelId="{20A7F2DB-7158-4716-AAB7-01148D63C703}" type="pres">
      <dgm:prSet presAssocID="{FDD21322-A38F-4A77-805E-BDB0CBA4378A}" presName="points" presStyleCnt="0"/>
      <dgm:spPr/>
    </dgm:pt>
    <dgm:pt modelId="{4C2CCA9F-F94D-4330-9CCB-B8799454F4B9}" type="pres">
      <dgm:prSet presAssocID="{BE6383A3-54A3-48DE-9E1B-395FF7BFF9BD}" presName="compositeA" presStyleCnt="0"/>
      <dgm:spPr/>
    </dgm:pt>
    <dgm:pt modelId="{4DAFF103-22E5-4D39-89B4-1C6A25E5FE71}" type="pres">
      <dgm:prSet presAssocID="{BE6383A3-54A3-48DE-9E1B-395FF7BFF9BD}" presName="textA" presStyleLbl="revTx" presStyleIdx="0" presStyleCnt="17">
        <dgm:presLayoutVars>
          <dgm:bulletEnabled val="1"/>
        </dgm:presLayoutVars>
      </dgm:prSet>
      <dgm:spPr/>
    </dgm:pt>
    <dgm:pt modelId="{81ECC7E7-5B38-4BE1-B1A3-77E47A8EF9F1}" type="pres">
      <dgm:prSet presAssocID="{BE6383A3-54A3-48DE-9E1B-395FF7BFF9BD}" presName="circleA" presStyleLbl="node1" presStyleIdx="0" presStyleCnt="17"/>
      <dgm:spPr>
        <a:xfrm>
          <a:off x="24940" y="1110995"/>
          <a:ext cx="246888" cy="246888"/>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134D0B8-F0B9-4717-9234-7809400714B6}" type="pres">
      <dgm:prSet presAssocID="{BE6383A3-54A3-48DE-9E1B-395FF7BFF9BD}" presName="spaceA" presStyleCnt="0"/>
      <dgm:spPr/>
    </dgm:pt>
    <dgm:pt modelId="{2DAD5564-8E17-4C89-B396-0C4635461456}" type="pres">
      <dgm:prSet presAssocID="{3318DDDC-FD3F-45ED-8F73-41A954B16058}" presName="space" presStyleCnt="0"/>
      <dgm:spPr/>
    </dgm:pt>
    <dgm:pt modelId="{B9683BEC-2E81-4711-982F-F7E50A106DF9}" type="pres">
      <dgm:prSet presAssocID="{D1196790-09F7-43CC-80E0-7DDA4E2FD193}" presName="compositeB" presStyleCnt="0"/>
      <dgm:spPr/>
    </dgm:pt>
    <dgm:pt modelId="{257ABE29-A5A7-4DD4-84DF-BFB2E7A76324}" type="pres">
      <dgm:prSet presAssocID="{D1196790-09F7-43CC-80E0-7DDA4E2FD193}" presName="textB" presStyleLbl="revTx" presStyleIdx="1" presStyleCnt="17">
        <dgm:presLayoutVars>
          <dgm:bulletEnabled val="1"/>
        </dgm:presLayoutVars>
      </dgm:prSet>
      <dgm:spPr/>
    </dgm:pt>
    <dgm:pt modelId="{96C4D9BA-D913-4069-9246-D697B375D659}" type="pres">
      <dgm:prSet presAssocID="{D1196790-09F7-43CC-80E0-7DDA4E2FD193}" presName="circleB" presStyleLbl="node1" presStyleIdx="1" presStyleCnt="17"/>
      <dgm:spPr>
        <a:xfrm>
          <a:off x="333862" y="1110995"/>
          <a:ext cx="246888" cy="246888"/>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C6940A02-3ADF-48B0-BDEF-3EB1501B8EA6}" type="pres">
      <dgm:prSet presAssocID="{D1196790-09F7-43CC-80E0-7DDA4E2FD193}" presName="spaceB" presStyleCnt="0"/>
      <dgm:spPr/>
    </dgm:pt>
    <dgm:pt modelId="{C5A1FDA7-6D4F-4A9E-BB00-246C29D26FB7}" type="pres">
      <dgm:prSet presAssocID="{89D01C41-646A-41D5-9D6A-69B139AA21AA}" presName="space" presStyleCnt="0"/>
      <dgm:spPr/>
    </dgm:pt>
    <dgm:pt modelId="{35D3E1F9-55EE-4B7B-966A-BE8651694A3B}" type="pres">
      <dgm:prSet presAssocID="{0C63F488-20FA-4254-8FF2-BF56B765D03C}" presName="compositeA" presStyleCnt="0"/>
      <dgm:spPr/>
    </dgm:pt>
    <dgm:pt modelId="{9D59BAAE-D257-484A-9175-B36EFED3C569}" type="pres">
      <dgm:prSet presAssocID="{0C63F488-20FA-4254-8FF2-BF56B765D03C}" presName="textA" presStyleLbl="revTx" presStyleIdx="2" presStyleCnt="17">
        <dgm:presLayoutVars>
          <dgm:bulletEnabled val="1"/>
        </dgm:presLayoutVars>
      </dgm:prSet>
      <dgm:spPr/>
    </dgm:pt>
    <dgm:pt modelId="{57C9BB5B-93A9-42DE-AF8E-B1B27CCEE8A7}" type="pres">
      <dgm:prSet presAssocID="{0C63F488-20FA-4254-8FF2-BF56B765D03C}" presName="circleA" presStyleLbl="node1" presStyleIdx="2" presStyleCnt="17"/>
      <dgm:spPr>
        <a:xfrm>
          <a:off x="642783" y="1110995"/>
          <a:ext cx="246888" cy="246888"/>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7E6C0EA5-0DA2-45EB-979E-F25287D89F0B}" type="pres">
      <dgm:prSet presAssocID="{0C63F488-20FA-4254-8FF2-BF56B765D03C}" presName="spaceA" presStyleCnt="0"/>
      <dgm:spPr/>
    </dgm:pt>
    <dgm:pt modelId="{71FA2EC3-0D97-4DD2-9B17-8C1019C55AEC}" type="pres">
      <dgm:prSet presAssocID="{47865FB6-B58E-40B3-8CE6-A19031DD60F6}" presName="space" presStyleCnt="0"/>
      <dgm:spPr/>
    </dgm:pt>
    <dgm:pt modelId="{286FC378-5846-4B37-8261-B5EE68DBAD8A}" type="pres">
      <dgm:prSet presAssocID="{054812D3-C160-47E6-8622-C015CE7BB7C8}" presName="compositeB" presStyleCnt="0"/>
      <dgm:spPr/>
    </dgm:pt>
    <dgm:pt modelId="{B6D3463E-143F-4012-B3AE-5F56D6F99350}" type="pres">
      <dgm:prSet presAssocID="{054812D3-C160-47E6-8622-C015CE7BB7C8}" presName="textB" presStyleLbl="revTx" presStyleIdx="3" presStyleCnt="17">
        <dgm:presLayoutVars>
          <dgm:bulletEnabled val="1"/>
        </dgm:presLayoutVars>
      </dgm:prSet>
      <dgm:spPr/>
    </dgm:pt>
    <dgm:pt modelId="{BC1A3592-0D1F-4BBC-8B06-23ED88034138}" type="pres">
      <dgm:prSet presAssocID="{054812D3-C160-47E6-8622-C015CE7BB7C8}" presName="circleB" presStyleLbl="node1" presStyleIdx="3" presStyleCnt="17"/>
      <dgm:spPr>
        <a:xfrm>
          <a:off x="951704" y="1110995"/>
          <a:ext cx="246888" cy="246888"/>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2541A6C-244D-4FE1-B4EB-7F442F3F2611}" type="pres">
      <dgm:prSet presAssocID="{054812D3-C160-47E6-8622-C015CE7BB7C8}" presName="spaceB" presStyleCnt="0"/>
      <dgm:spPr/>
    </dgm:pt>
    <dgm:pt modelId="{F364949E-F53E-43E8-9744-23A9A98AB0D1}" type="pres">
      <dgm:prSet presAssocID="{21B25C2C-9AD8-4974-9655-A1F063DCACBB}" presName="space" presStyleCnt="0"/>
      <dgm:spPr/>
    </dgm:pt>
    <dgm:pt modelId="{77F408C8-D433-4F33-8B2E-090BF4FC5F3F}" type="pres">
      <dgm:prSet presAssocID="{01715E36-956E-42A7-A804-A9DAFBB87D8C}" presName="compositeA" presStyleCnt="0"/>
      <dgm:spPr/>
    </dgm:pt>
    <dgm:pt modelId="{68170100-43C6-49DE-B676-3CA5259BADE2}" type="pres">
      <dgm:prSet presAssocID="{01715E36-956E-42A7-A804-A9DAFBB87D8C}" presName="textA" presStyleLbl="revTx" presStyleIdx="4" presStyleCnt="17">
        <dgm:presLayoutVars>
          <dgm:bulletEnabled val="1"/>
        </dgm:presLayoutVars>
      </dgm:prSet>
      <dgm:spPr/>
    </dgm:pt>
    <dgm:pt modelId="{598DA5AF-FDA5-44BF-A9D6-CFAE68D75700}" type="pres">
      <dgm:prSet presAssocID="{01715E36-956E-42A7-A804-A9DAFBB87D8C}" presName="circleA" presStyleLbl="node1" presStyleIdx="4" presStyleCnt="17"/>
      <dgm:spPr>
        <a:xfrm>
          <a:off x="1260626" y="1110995"/>
          <a:ext cx="246888" cy="246888"/>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0DAD92C-6930-4B55-AF10-A7670D689E9B}" type="pres">
      <dgm:prSet presAssocID="{01715E36-956E-42A7-A804-A9DAFBB87D8C}" presName="spaceA" presStyleCnt="0"/>
      <dgm:spPr/>
    </dgm:pt>
    <dgm:pt modelId="{DDEC2504-3FDD-4DD1-B22E-A6FA2CCB327B}" type="pres">
      <dgm:prSet presAssocID="{5B6D90E2-0B66-4F68-802B-02A6378BFAEE}" presName="space" presStyleCnt="0"/>
      <dgm:spPr/>
    </dgm:pt>
    <dgm:pt modelId="{4ACCA9E7-FAF1-4262-B619-80659492033F}" type="pres">
      <dgm:prSet presAssocID="{FC71BCEB-F009-40FE-A7E6-21203FF0396F}" presName="compositeB" presStyleCnt="0"/>
      <dgm:spPr/>
    </dgm:pt>
    <dgm:pt modelId="{8E2D813B-4AD6-4A0C-8C08-D285909FABAF}" type="pres">
      <dgm:prSet presAssocID="{FC71BCEB-F009-40FE-A7E6-21203FF0396F}" presName="textB" presStyleLbl="revTx" presStyleIdx="5" presStyleCnt="17">
        <dgm:presLayoutVars>
          <dgm:bulletEnabled val="1"/>
        </dgm:presLayoutVars>
      </dgm:prSet>
      <dgm:spPr/>
    </dgm:pt>
    <dgm:pt modelId="{DB2961F4-CCB2-44ED-9AB3-67F55B34159E}" type="pres">
      <dgm:prSet presAssocID="{FC71BCEB-F009-40FE-A7E6-21203FF0396F}" presName="circleB" presStyleLbl="node1" presStyleIdx="5" presStyleCnt="17"/>
      <dgm:spPr>
        <a:xfrm>
          <a:off x="1569547" y="1110995"/>
          <a:ext cx="246888" cy="246888"/>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DA4E58B-5A0C-4449-9D0F-CD854BF7F836}" type="pres">
      <dgm:prSet presAssocID="{FC71BCEB-F009-40FE-A7E6-21203FF0396F}" presName="spaceB" presStyleCnt="0"/>
      <dgm:spPr/>
    </dgm:pt>
    <dgm:pt modelId="{2F8E4D4F-8A0C-4974-B290-E47326E6235D}" type="pres">
      <dgm:prSet presAssocID="{7D41E430-8809-4DA4-B210-E99C79F91979}" presName="space" presStyleCnt="0"/>
      <dgm:spPr/>
    </dgm:pt>
    <dgm:pt modelId="{31E0CC18-ED05-4B72-9FFF-FE4121869C48}" type="pres">
      <dgm:prSet presAssocID="{313CEEF5-C5CE-413B-AAA0-39D8E3B16D1D}" presName="compositeA" presStyleCnt="0"/>
      <dgm:spPr/>
    </dgm:pt>
    <dgm:pt modelId="{8064E14B-BF10-4BB4-A559-D6B38F3F89C2}" type="pres">
      <dgm:prSet presAssocID="{313CEEF5-C5CE-413B-AAA0-39D8E3B16D1D}" presName="textA" presStyleLbl="revTx" presStyleIdx="6" presStyleCnt="17">
        <dgm:presLayoutVars>
          <dgm:bulletEnabled val="1"/>
        </dgm:presLayoutVars>
      </dgm:prSet>
      <dgm:spPr/>
    </dgm:pt>
    <dgm:pt modelId="{D01A3982-6302-4484-B121-E1566D1CE2AB}" type="pres">
      <dgm:prSet presAssocID="{313CEEF5-C5CE-413B-AAA0-39D8E3B16D1D}" presName="circleA" presStyleLbl="node1" presStyleIdx="6" presStyleCnt="17"/>
      <dgm:spPr>
        <a:xfrm>
          <a:off x="1878469" y="1110995"/>
          <a:ext cx="246888" cy="246888"/>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0215B3A-CF1C-441E-8919-EE9C193F12D5}" type="pres">
      <dgm:prSet presAssocID="{313CEEF5-C5CE-413B-AAA0-39D8E3B16D1D}" presName="spaceA" presStyleCnt="0"/>
      <dgm:spPr/>
    </dgm:pt>
    <dgm:pt modelId="{39C56086-92BD-4BFD-B3C5-884658A20C92}" type="pres">
      <dgm:prSet presAssocID="{98A2E1B3-9680-4D63-9E4D-1A619A375E7B}" presName="space" presStyleCnt="0"/>
      <dgm:spPr/>
    </dgm:pt>
    <dgm:pt modelId="{88C811C1-260F-41EB-813F-D7DEF2D0C442}" type="pres">
      <dgm:prSet presAssocID="{4C59919C-1115-4999-9991-47F07EADE374}" presName="compositeB" presStyleCnt="0"/>
      <dgm:spPr/>
    </dgm:pt>
    <dgm:pt modelId="{15B45099-D47E-4285-924C-89B74276E52F}" type="pres">
      <dgm:prSet presAssocID="{4C59919C-1115-4999-9991-47F07EADE374}" presName="textB" presStyleLbl="revTx" presStyleIdx="7" presStyleCnt="17">
        <dgm:presLayoutVars>
          <dgm:bulletEnabled val="1"/>
        </dgm:presLayoutVars>
      </dgm:prSet>
      <dgm:spPr/>
    </dgm:pt>
    <dgm:pt modelId="{273EDCB4-5ACC-4945-BBEF-71A29E24A96F}" type="pres">
      <dgm:prSet presAssocID="{4C59919C-1115-4999-9991-47F07EADE374}" presName="circleB" presStyleLbl="node1" presStyleIdx="7" presStyleCnt="17"/>
      <dgm:spPr>
        <a:xfrm>
          <a:off x="2187390" y="1110995"/>
          <a:ext cx="246888" cy="246888"/>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078C7B6-8C9C-4A1C-AAD0-07EF28DD7C6C}" type="pres">
      <dgm:prSet presAssocID="{4C59919C-1115-4999-9991-47F07EADE374}" presName="spaceB" presStyleCnt="0"/>
      <dgm:spPr/>
    </dgm:pt>
    <dgm:pt modelId="{2B88A2C0-7D47-4C38-82AD-930634BBDE7A}" type="pres">
      <dgm:prSet presAssocID="{B6C5472E-7A98-48D9-B774-3B2304AB0B1D}" presName="space" presStyleCnt="0"/>
      <dgm:spPr/>
    </dgm:pt>
    <dgm:pt modelId="{635C8B42-9320-4B6C-9789-7CA1D68456B8}" type="pres">
      <dgm:prSet presAssocID="{94230026-3E2B-4FC8-AA8C-7B193E913AC3}" presName="compositeA" presStyleCnt="0"/>
      <dgm:spPr/>
    </dgm:pt>
    <dgm:pt modelId="{34E7230D-3350-45D8-9CFB-9C90FB451F86}" type="pres">
      <dgm:prSet presAssocID="{94230026-3E2B-4FC8-AA8C-7B193E913AC3}" presName="textA" presStyleLbl="revTx" presStyleIdx="8" presStyleCnt="17">
        <dgm:presLayoutVars>
          <dgm:bulletEnabled val="1"/>
        </dgm:presLayoutVars>
      </dgm:prSet>
      <dgm:spPr/>
    </dgm:pt>
    <dgm:pt modelId="{A9B1FFA0-78BB-4AE8-B548-91B71187E3AA}" type="pres">
      <dgm:prSet presAssocID="{94230026-3E2B-4FC8-AA8C-7B193E913AC3}" presName="circleA" presStyleLbl="node1" presStyleIdx="8" presStyleCnt="17"/>
      <dgm:spPr>
        <a:xfrm>
          <a:off x="2496312" y="1110995"/>
          <a:ext cx="246888" cy="246888"/>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2F549E9F-C1A1-428D-99A0-DA52B153CE70}" type="pres">
      <dgm:prSet presAssocID="{94230026-3E2B-4FC8-AA8C-7B193E913AC3}" presName="spaceA" presStyleCnt="0"/>
      <dgm:spPr/>
    </dgm:pt>
    <dgm:pt modelId="{D550EB52-CAD1-4520-A3A2-81943AFD94C3}" type="pres">
      <dgm:prSet presAssocID="{3630B725-A1A1-4893-9843-48339926112C}" presName="space" presStyleCnt="0"/>
      <dgm:spPr/>
    </dgm:pt>
    <dgm:pt modelId="{F66E624C-9897-48CE-BA16-9FCFF1551824}" type="pres">
      <dgm:prSet presAssocID="{28C2F635-3483-4E70-A47E-B1E5382EE31B}" presName="compositeB" presStyleCnt="0"/>
      <dgm:spPr/>
    </dgm:pt>
    <dgm:pt modelId="{6B74B9B5-FF92-465D-BCED-75AFA4D53C6B}" type="pres">
      <dgm:prSet presAssocID="{28C2F635-3483-4E70-A47E-B1E5382EE31B}" presName="textB" presStyleLbl="revTx" presStyleIdx="9" presStyleCnt="17">
        <dgm:presLayoutVars>
          <dgm:bulletEnabled val="1"/>
        </dgm:presLayoutVars>
      </dgm:prSet>
      <dgm:spPr/>
    </dgm:pt>
    <dgm:pt modelId="{A51F8B4F-DE95-4859-A382-6B93912F3F8A}" type="pres">
      <dgm:prSet presAssocID="{28C2F635-3483-4E70-A47E-B1E5382EE31B}" presName="circleB" presStyleLbl="node1" presStyleIdx="9" presStyleCnt="17"/>
      <dgm:spPr>
        <a:xfrm>
          <a:off x="2805233" y="1110995"/>
          <a:ext cx="246888" cy="246888"/>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71CCF005-1351-4F1A-B2F4-9AD5D7E1A2F4}" type="pres">
      <dgm:prSet presAssocID="{28C2F635-3483-4E70-A47E-B1E5382EE31B}" presName="spaceB" presStyleCnt="0"/>
      <dgm:spPr/>
    </dgm:pt>
    <dgm:pt modelId="{2C50615B-0B8A-459F-BD88-20E06923EDB4}" type="pres">
      <dgm:prSet presAssocID="{4A404030-D604-4126-998E-583800D16E1D}" presName="space" presStyleCnt="0"/>
      <dgm:spPr/>
    </dgm:pt>
    <dgm:pt modelId="{08586219-D164-4D1D-BED0-9327062D8305}" type="pres">
      <dgm:prSet presAssocID="{CDA004EC-72EA-46C8-BAFE-1E8BBDF3BB24}" presName="compositeA" presStyleCnt="0"/>
      <dgm:spPr/>
    </dgm:pt>
    <dgm:pt modelId="{A130E890-752F-4239-84A9-6B5598AC4F60}" type="pres">
      <dgm:prSet presAssocID="{CDA004EC-72EA-46C8-BAFE-1E8BBDF3BB24}" presName="textA" presStyleLbl="revTx" presStyleIdx="10" presStyleCnt="17">
        <dgm:presLayoutVars>
          <dgm:bulletEnabled val="1"/>
        </dgm:presLayoutVars>
      </dgm:prSet>
      <dgm:spPr/>
    </dgm:pt>
    <dgm:pt modelId="{A02F08E2-52FA-4FE6-89FB-86776C4F5E19}" type="pres">
      <dgm:prSet presAssocID="{CDA004EC-72EA-46C8-BAFE-1E8BBDF3BB24}" presName="circleA" presStyleLbl="node1" presStyleIdx="10" presStyleCnt="17"/>
      <dgm:spPr>
        <a:xfrm>
          <a:off x="3114154" y="1110995"/>
          <a:ext cx="246888" cy="246888"/>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C4A54769-9745-47EA-99D3-61CA18DE6FE2}" type="pres">
      <dgm:prSet presAssocID="{CDA004EC-72EA-46C8-BAFE-1E8BBDF3BB24}" presName="spaceA" presStyleCnt="0"/>
      <dgm:spPr/>
    </dgm:pt>
    <dgm:pt modelId="{2293179D-BD02-4E8C-9017-91676126BD9E}" type="pres">
      <dgm:prSet presAssocID="{B1B1F1D2-5149-44D0-9BDE-386491F0DEF7}" presName="space" presStyleCnt="0"/>
      <dgm:spPr/>
    </dgm:pt>
    <dgm:pt modelId="{45EDBA66-6E9B-4A35-BA5C-750010B6B66B}" type="pres">
      <dgm:prSet presAssocID="{07150BFA-E6AE-42AE-8379-6644340A3029}" presName="compositeB" presStyleCnt="0"/>
      <dgm:spPr/>
    </dgm:pt>
    <dgm:pt modelId="{79245DCB-C49E-4714-AFEF-1B8E5C47ABAD}" type="pres">
      <dgm:prSet presAssocID="{07150BFA-E6AE-42AE-8379-6644340A3029}" presName="textB" presStyleLbl="revTx" presStyleIdx="11" presStyleCnt="17">
        <dgm:presLayoutVars>
          <dgm:bulletEnabled val="1"/>
        </dgm:presLayoutVars>
      </dgm:prSet>
      <dgm:spPr>
        <a:prstGeom prst="rect">
          <a:avLst/>
        </a:prstGeom>
      </dgm:spPr>
    </dgm:pt>
    <dgm:pt modelId="{99A3E923-C5C4-4BF8-A536-A645E05520D3}" type="pres">
      <dgm:prSet presAssocID="{07150BFA-E6AE-42AE-8379-6644340A3029}" presName="circleB" presStyleLbl="node1" presStyleIdx="11" presStyleCnt="17"/>
      <dgm:spPr>
        <a:xfrm>
          <a:off x="3423076" y="1110995"/>
          <a:ext cx="246888" cy="246888"/>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3B142D3E-CD93-4CDA-840F-B6DDEA76B636}" type="pres">
      <dgm:prSet presAssocID="{07150BFA-E6AE-42AE-8379-6644340A3029}" presName="spaceB" presStyleCnt="0"/>
      <dgm:spPr/>
    </dgm:pt>
    <dgm:pt modelId="{6A1A0149-BEE8-4CF3-89FA-E55E7929EED7}" type="pres">
      <dgm:prSet presAssocID="{13D141E3-0D7E-440A-86C6-E0CC268F0137}" presName="space" presStyleCnt="0"/>
      <dgm:spPr/>
    </dgm:pt>
    <dgm:pt modelId="{AEA8A964-EC5A-49FA-943D-6FF655A7BCE3}" type="pres">
      <dgm:prSet presAssocID="{FA290BF1-B541-452E-AE67-DE0D2B11EF24}" presName="compositeA" presStyleCnt="0"/>
      <dgm:spPr/>
    </dgm:pt>
    <dgm:pt modelId="{3E090ADC-56EF-4F0F-BA7C-54C8F219346E}" type="pres">
      <dgm:prSet presAssocID="{FA290BF1-B541-452E-AE67-DE0D2B11EF24}" presName="textA" presStyleLbl="revTx" presStyleIdx="12" presStyleCnt="17">
        <dgm:presLayoutVars>
          <dgm:bulletEnabled val="1"/>
        </dgm:presLayoutVars>
      </dgm:prSet>
      <dgm:spPr>
        <a:prstGeom prst="rect">
          <a:avLst/>
        </a:prstGeom>
      </dgm:spPr>
    </dgm:pt>
    <dgm:pt modelId="{5BEAD2C0-FF56-43DC-B1FA-DB8FEFF2A01A}" type="pres">
      <dgm:prSet presAssocID="{FA290BF1-B541-452E-AE67-DE0D2B11EF24}" presName="circleA" presStyleLbl="node1" presStyleIdx="12" presStyleCnt="17"/>
      <dgm:spPr>
        <a:xfrm>
          <a:off x="3731997" y="1110995"/>
          <a:ext cx="246888" cy="246888"/>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3F76112-49DF-41D1-BF92-A68EEEFEA755}" type="pres">
      <dgm:prSet presAssocID="{FA290BF1-B541-452E-AE67-DE0D2B11EF24}" presName="spaceA" presStyleCnt="0"/>
      <dgm:spPr/>
    </dgm:pt>
    <dgm:pt modelId="{6B5EC017-9729-47FE-9ABE-E2E501667EFB}" type="pres">
      <dgm:prSet presAssocID="{29338656-3639-4B2D-B3E5-655F4CF9714F}" presName="space" presStyleCnt="0"/>
      <dgm:spPr/>
    </dgm:pt>
    <dgm:pt modelId="{3ECFF96B-8392-40E2-8F65-8553895CF5CE}" type="pres">
      <dgm:prSet presAssocID="{BEF55FD1-6F83-4434-B91A-EF7AAB204E83}" presName="compositeB" presStyleCnt="0"/>
      <dgm:spPr/>
    </dgm:pt>
    <dgm:pt modelId="{C15E01B0-5B53-428B-B55E-7DC6C927FB0E}" type="pres">
      <dgm:prSet presAssocID="{BEF55FD1-6F83-4434-B91A-EF7AAB204E83}" presName="textB" presStyleLbl="revTx" presStyleIdx="13" presStyleCnt="17">
        <dgm:presLayoutVars>
          <dgm:bulletEnabled val="1"/>
        </dgm:presLayoutVars>
      </dgm:prSet>
      <dgm:spPr>
        <a:prstGeom prst="rect">
          <a:avLst/>
        </a:prstGeom>
      </dgm:spPr>
    </dgm:pt>
    <dgm:pt modelId="{FA928755-7DC7-4AAC-86A0-ECA4B6010153}" type="pres">
      <dgm:prSet presAssocID="{BEF55FD1-6F83-4434-B91A-EF7AAB204E83}" presName="circleB" presStyleLbl="node1" presStyleIdx="13" presStyleCnt="17"/>
      <dgm:spPr>
        <a:xfrm>
          <a:off x="4040919" y="1110995"/>
          <a:ext cx="246888" cy="246888"/>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FDE4D0E-4A10-400C-B637-8B45C5A81C49}" type="pres">
      <dgm:prSet presAssocID="{BEF55FD1-6F83-4434-B91A-EF7AAB204E83}" presName="spaceB" presStyleCnt="0"/>
      <dgm:spPr/>
    </dgm:pt>
    <dgm:pt modelId="{BE8A7A5E-3907-4C1F-B643-5A30FE4367F3}" type="pres">
      <dgm:prSet presAssocID="{66D953DC-1269-4494-95FC-F0C6490A3ED3}" presName="space" presStyleCnt="0"/>
      <dgm:spPr/>
    </dgm:pt>
    <dgm:pt modelId="{E388B8DA-2822-4F8F-972E-7F53AD197D2A}" type="pres">
      <dgm:prSet presAssocID="{54EAECF2-E33E-4D09-B4D0-ED491068C6C0}" presName="compositeA" presStyleCnt="0"/>
      <dgm:spPr/>
    </dgm:pt>
    <dgm:pt modelId="{98072049-FF2E-48C3-8B50-A6CC2D0097AB}" type="pres">
      <dgm:prSet presAssocID="{54EAECF2-E33E-4D09-B4D0-ED491068C6C0}" presName="textA" presStyleLbl="revTx" presStyleIdx="14" presStyleCnt="17">
        <dgm:presLayoutVars>
          <dgm:bulletEnabled val="1"/>
        </dgm:presLayoutVars>
      </dgm:prSet>
      <dgm:spPr>
        <a:prstGeom prst="rect">
          <a:avLst/>
        </a:prstGeom>
      </dgm:spPr>
    </dgm:pt>
    <dgm:pt modelId="{4CDC71E6-B472-4B78-B6A0-1D7DE0E2D492}" type="pres">
      <dgm:prSet presAssocID="{54EAECF2-E33E-4D09-B4D0-ED491068C6C0}" presName="circleA" presStyleLbl="node1" presStyleIdx="14" presStyleCnt="17"/>
      <dgm:spPr>
        <a:xfrm>
          <a:off x="4349840" y="1110995"/>
          <a:ext cx="246888" cy="246888"/>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2C26E106-1101-454B-AEC3-6C4A851C12EA}" type="pres">
      <dgm:prSet presAssocID="{54EAECF2-E33E-4D09-B4D0-ED491068C6C0}" presName="spaceA" presStyleCnt="0"/>
      <dgm:spPr/>
    </dgm:pt>
    <dgm:pt modelId="{A1E279DC-2F05-4CDA-8A1F-7F12602C6CF9}" type="pres">
      <dgm:prSet presAssocID="{6BD69422-F100-4FAA-A4E7-5270C27AE12F}" presName="space" presStyleCnt="0"/>
      <dgm:spPr/>
    </dgm:pt>
    <dgm:pt modelId="{4E52E498-7D3F-41B4-A795-726C6D3F6CA8}" type="pres">
      <dgm:prSet presAssocID="{46D50501-5E7F-439B-BD01-13CF2DC8AD53}" presName="compositeB" presStyleCnt="0"/>
      <dgm:spPr/>
    </dgm:pt>
    <dgm:pt modelId="{1E33BEA8-7E76-4307-B584-AB5BAF3EB751}" type="pres">
      <dgm:prSet presAssocID="{46D50501-5E7F-439B-BD01-13CF2DC8AD53}" presName="textB" presStyleLbl="revTx" presStyleIdx="15" presStyleCnt="17">
        <dgm:presLayoutVars>
          <dgm:bulletEnabled val="1"/>
        </dgm:presLayoutVars>
      </dgm:prSet>
      <dgm:spPr>
        <a:prstGeom prst="rect">
          <a:avLst/>
        </a:prstGeom>
      </dgm:spPr>
    </dgm:pt>
    <dgm:pt modelId="{50998EEE-BFE4-40ED-B658-D1E1ED1EABD1}" type="pres">
      <dgm:prSet presAssocID="{46D50501-5E7F-439B-BD01-13CF2DC8AD53}" presName="circleB" presStyleLbl="node1" presStyleIdx="15" presStyleCnt="17"/>
      <dgm:spPr>
        <a:xfrm>
          <a:off x="4658761" y="1110995"/>
          <a:ext cx="246888" cy="246888"/>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97D5324-CDAF-4212-85CC-6F72104C19D2}" type="pres">
      <dgm:prSet presAssocID="{46D50501-5E7F-439B-BD01-13CF2DC8AD53}" presName="spaceB" presStyleCnt="0"/>
      <dgm:spPr/>
    </dgm:pt>
    <dgm:pt modelId="{8436DEEE-EE2C-487E-9110-CD0CF6F5A619}" type="pres">
      <dgm:prSet presAssocID="{7BA2DDC7-2D3D-41F1-83DE-0EFD737BE8A1}" presName="space" presStyleCnt="0"/>
      <dgm:spPr/>
    </dgm:pt>
    <dgm:pt modelId="{C3B84608-1A71-481F-93EB-8749D4A7EC6E}" type="pres">
      <dgm:prSet presAssocID="{EA0FB3D4-DF6B-4B72-B77F-24929925404D}" presName="compositeA" presStyleCnt="0"/>
      <dgm:spPr/>
    </dgm:pt>
    <dgm:pt modelId="{15A2D7F0-DAA4-42EC-9C28-959009F0B7A3}" type="pres">
      <dgm:prSet presAssocID="{EA0FB3D4-DF6B-4B72-B77F-24929925404D}" presName="textA" presStyleLbl="revTx" presStyleIdx="16" presStyleCnt="17">
        <dgm:presLayoutVars>
          <dgm:bulletEnabled val="1"/>
        </dgm:presLayoutVars>
      </dgm:prSet>
      <dgm:spPr>
        <a:prstGeom prst="rect">
          <a:avLst/>
        </a:prstGeom>
      </dgm:spPr>
    </dgm:pt>
    <dgm:pt modelId="{3255D9F5-6F3F-4381-A298-6251979D6758}" type="pres">
      <dgm:prSet presAssocID="{EA0FB3D4-DF6B-4B72-B77F-24929925404D}" presName="circleA" presStyleLbl="node1" presStyleIdx="16" presStyleCnt="17"/>
      <dgm:spPr>
        <a:xfrm>
          <a:off x="4967683" y="1110995"/>
          <a:ext cx="246888" cy="246888"/>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CDEFFF39-EA42-4B13-80E9-F09A22564BCE}" type="pres">
      <dgm:prSet presAssocID="{EA0FB3D4-DF6B-4B72-B77F-24929925404D}" presName="spaceA" presStyleCnt="0"/>
      <dgm:spPr/>
    </dgm:pt>
  </dgm:ptLst>
  <dgm:cxnLst>
    <dgm:cxn modelId="{B3175F6A-B01E-47B3-B579-348BC078A009}" type="presOf" srcId="{EA0FB3D4-DF6B-4B72-B77F-24929925404D}" destId="{15A2D7F0-DAA4-42EC-9C28-959009F0B7A3}" srcOrd="0" destOrd="0" presId="urn:microsoft.com/office/officeart/2005/8/layout/hProcess11"/>
    <dgm:cxn modelId="{A2A63DA5-7DA6-4902-86F9-EB9137C7A194}" srcId="{FDD21322-A38F-4A77-805E-BDB0CBA4378A}" destId="{D1196790-09F7-43CC-80E0-7DDA4E2FD193}" srcOrd="1" destOrd="0" parTransId="{43AFC47C-1DC1-4B80-BE9D-879A280A7D9F}" sibTransId="{89D01C41-646A-41D5-9D6A-69B139AA21AA}"/>
    <dgm:cxn modelId="{0A8D410C-9266-41F0-B246-5B15F465FAFB}" type="presOf" srcId="{FA290BF1-B541-452E-AE67-DE0D2B11EF24}" destId="{3E090ADC-56EF-4F0F-BA7C-54C8F219346E}" srcOrd="0" destOrd="0" presId="urn:microsoft.com/office/officeart/2005/8/layout/hProcess11"/>
    <dgm:cxn modelId="{8252DAF1-B2FA-48F8-A67C-C1BDFAE1C70A}" type="presOf" srcId="{D1196790-09F7-43CC-80E0-7DDA4E2FD193}" destId="{257ABE29-A5A7-4DD4-84DF-BFB2E7A76324}" srcOrd="0" destOrd="0" presId="urn:microsoft.com/office/officeart/2005/8/layout/hProcess11"/>
    <dgm:cxn modelId="{A81038C7-7540-401B-9554-A99CEC971A7D}" srcId="{FDD21322-A38F-4A77-805E-BDB0CBA4378A}" destId="{313CEEF5-C5CE-413B-AAA0-39D8E3B16D1D}" srcOrd="6" destOrd="0" parTransId="{BBBEDC3A-6E10-492D-B6F2-0462A6404E54}" sibTransId="{98A2E1B3-9680-4D63-9E4D-1A619A375E7B}"/>
    <dgm:cxn modelId="{312FC53F-646F-4048-BBF9-FC9AEC602EAB}" srcId="{FDD21322-A38F-4A77-805E-BDB0CBA4378A}" destId="{FC71BCEB-F009-40FE-A7E6-21203FF0396F}" srcOrd="5" destOrd="0" parTransId="{86B02F48-3D19-47BD-939D-787915D1A26D}" sibTransId="{7D41E430-8809-4DA4-B210-E99C79F91979}"/>
    <dgm:cxn modelId="{B431547D-BDC0-4E5E-AD90-4562180137B0}" type="presOf" srcId="{FC71BCEB-F009-40FE-A7E6-21203FF0396F}" destId="{8E2D813B-4AD6-4A0C-8C08-D285909FABAF}" srcOrd="0" destOrd="0" presId="urn:microsoft.com/office/officeart/2005/8/layout/hProcess11"/>
    <dgm:cxn modelId="{98BC87DD-BAC2-4564-A697-731CE54391D6}" srcId="{FDD21322-A38F-4A77-805E-BDB0CBA4378A}" destId="{BE6383A3-54A3-48DE-9E1B-395FF7BFF9BD}" srcOrd="0" destOrd="0" parTransId="{75846123-46D8-4F1A-9186-E2C25421F71B}" sibTransId="{3318DDDC-FD3F-45ED-8F73-41A954B16058}"/>
    <dgm:cxn modelId="{71D96B78-AF7F-4E85-9B3F-BF3ECDA98146}" type="presOf" srcId="{CDA004EC-72EA-46C8-BAFE-1E8BBDF3BB24}" destId="{A130E890-752F-4239-84A9-6B5598AC4F60}" srcOrd="0" destOrd="0" presId="urn:microsoft.com/office/officeart/2005/8/layout/hProcess11"/>
    <dgm:cxn modelId="{34781A28-5CF2-4CF1-9453-ECF928EA70F6}" type="presOf" srcId="{94230026-3E2B-4FC8-AA8C-7B193E913AC3}" destId="{34E7230D-3350-45D8-9CFB-9C90FB451F86}" srcOrd="0" destOrd="0" presId="urn:microsoft.com/office/officeart/2005/8/layout/hProcess11"/>
    <dgm:cxn modelId="{C7774625-FB24-411E-813C-4C7AEEABA9B3}" srcId="{FDD21322-A38F-4A77-805E-BDB0CBA4378A}" destId="{FA290BF1-B541-452E-AE67-DE0D2B11EF24}" srcOrd="12" destOrd="0" parTransId="{B5E94A25-A22C-4273-8373-3462B7FC7DD1}" sibTransId="{29338656-3639-4B2D-B3E5-655F4CF9714F}"/>
    <dgm:cxn modelId="{693BD40A-F6E9-4C26-A00E-FFEC5EC7E522}" type="presOf" srcId="{BE6383A3-54A3-48DE-9E1B-395FF7BFF9BD}" destId="{4DAFF103-22E5-4D39-89B4-1C6A25E5FE71}" srcOrd="0" destOrd="0" presId="urn:microsoft.com/office/officeart/2005/8/layout/hProcess11"/>
    <dgm:cxn modelId="{BE7F03C3-AB7A-4533-A540-4BAF8C7D7D32}" type="presOf" srcId="{4C59919C-1115-4999-9991-47F07EADE374}" destId="{15B45099-D47E-4285-924C-89B74276E52F}" srcOrd="0" destOrd="0" presId="urn:microsoft.com/office/officeart/2005/8/layout/hProcess11"/>
    <dgm:cxn modelId="{C281E556-8E5C-4E8B-A138-F0E0E01733E6}" type="presOf" srcId="{313CEEF5-C5CE-413B-AAA0-39D8E3B16D1D}" destId="{8064E14B-BF10-4BB4-A559-D6B38F3F89C2}" srcOrd="0" destOrd="0" presId="urn:microsoft.com/office/officeart/2005/8/layout/hProcess11"/>
    <dgm:cxn modelId="{415EC8F4-F5B1-4F07-8044-E05C8CF8CA7F}" srcId="{FDD21322-A38F-4A77-805E-BDB0CBA4378A}" destId="{BEF55FD1-6F83-4434-B91A-EF7AAB204E83}" srcOrd="13" destOrd="0" parTransId="{76931D34-5113-46FC-92AC-2C46AC4689C9}" sibTransId="{66D953DC-1269-4494-95FC-F0C6490A3ED3}"/>
    <dgm:cxn modelId="{3183CBC7-B500-4AFA-979A-28D0A3D64865}" srcId="{FDD21322-A38F-4A77-805E-BDB0CBA4378A}" destId="{01715E36-956E-42A7-A804-A9DAFBB87D8C}" srcOrd="4" destOrd="0" parTransId="{5BDDD5DA-FD8A-4049-AA5F-BCC4A76D00F0}" sibTransId="{5B6D90E2-0B66-4F68-802B-02A6378BFAEE}"/>
    <dgm:cxn modelId="{EE498A45-6490-43A1-870C-A1A7A9416B5F}" srcId="{FDD21322-A38F-4A77-805E-BDB0CBA4378A}" destId="{EA0FB3D4-DF6B-4B72-B77F-24929925404D}" srcOrd="16" destOrd="0" parTransId="{F421DD6D-C4BB-4690-972A-AB1A19D01405}" sibTransId="{95B65DFE-E90C-4477-B8CD-4708C75BC51F}"/>
    <dgm:cxn modelId="{EFE9AC34-E7BA-42D1-BD1F-387E5B251C3E}" srcId="{FDD21322-A38F-4A77-805E-BDB0CBA4378A}" destId="{CDA004EC-72EA-46C8-BAFE-1E8BBDF3BB24}" srcOrd="10" destOrd="0" parTransId="{052D81D0-FE76-43E6-9323-0935486EE8BA}" sibTransId="{B1B1F1D2-5149-44D0-9BDE-386491F0DEF7}"/>
    <dgm:cxn modelId="{8D47594C-59AB-4292-AFF8-A64DF7DE460A}" type="presOf" srcId="{01715E36-956E-42A7-A804-A9DAFBB87D8C}" destId="{68170100-43C6-49DE-B676-3CA5259BADE2}" srcOrd="0" destOrd="0" presId="urn:microsoft.com/office/officeart/2005/8/layout/hProcess11"/>
    <dgm:cxn modelId="{3FE2F2F6-6CFB-4E4D-BC70-DDB50F104EE4}" type="presOf" srcId="{BEF55FD1-6F83-4434-B91A-EF7AAB204E83}" destId="{C15E01B0-5B53-428B-B55E-7DC6C927FB0E}" srcOrd="0" destOrd="0" presId="urn:microsoft.com/office/officeart/2005/8/layout/hProcess11"/>
    <dgm:cxn modelId="{E98800FE-4BCA-49B8-AB5F-133D980FB7CC}" srcId="{FDD21322-A38F-4A77-805E-BDB0CBA4378A}" destId="{46D50501-5E7F-439B-BD01-13CF2DC8AD53}" srcOrd="15" destOrd="0" parTransId="{706341F4-9A99-4231-ADE3-9E6653FB096C}" sibTransId="{7BA2DDC7-2D3D-41F1-83DE-0EFD737BE8A1}"/>
    <dgm:cxn modelId="{749D52AD-6DB9-4DB5-8BFE-334E27A1ED2D}" srcId="{FDD21322-A38F-4A77-805E-BDB0CBA4378A}" destId="{54EAECF2-E33E-4D09-B4D0-ED491068C6C0}" srcOrd="14" destOrd="0" parTransId="{5C6CD275-5F19-48CA-9623-C6C76AD944A3}" sibTransId="{6BD69422-F100-4FAA-A4E7-5270C27AE12F}"/>
    <dgm:cxn modelId="{A3600359-D091-4341-BE6F-CBC068D01EA1}" type="presOf" srcId="{28C2F635-3483-4E70-A47E-B1E5382EE31B}" destId="{6B74B9B5-FF92-465D-BCED-75AFA4D53C6B}" srcOrd="0" destOrd="0" presId="urn:microsoft.com/office/officeart/2005/8/layout/hProcess11"/>
    <dgm:cxn modelId="{3DA252FF-733B-4BC8-89F3-1C9BA736CAF3}" srcId="{FDD21322-A38F-4A77-805E-BDB0CBA4378A}" destId="{28C2F635-3483-4E70-A47E-B1E5382EE31B}" srcOrd="9" destOrd="0" parTransId="{25A2F093-533F-494F-9086-45D18A1EE346}" sibTransId="{4A404030-D604-4126-998E-583800D16E1D}"/>
    <dgm:cxn modelId="{51DDC89D-FEE7-486F-800E-721734D17520}" type="presOf" srcId="{54EAECF2-E33E-4D09-B4D0-ED491068C6C0}" destId="{98072049-FF2E-48C3-8B50-A6CC2D0097AB}" srcOrd="0" destOrd="0" presId="urn:microsoft.com/office/officeart/2005/8/layout/hProcess11"/>
    <dgm:cxn modelId="{01970A37-03AF-48CC-92F4-3C1A8D7E7FA8}" srcId="{FDD21322-A38F-4A77-805E-BDB0CBA4378A}" destId="{4C59919C-1115-4999-9991-47F07EADE374}" srcOrd="7" destOrd="0" parTransId="{B106E616-B593-41DE-AE17-EAAE6C169490}" sibTransId="{B6C5472E-7A98-48D9-B774-3B2304AB0B1D}"/>
    <dgm:cxn modelId="{FBAF114C-8ED5-4F46-9B79-193621AC1120}" srcId="{FDD21322-A38F-4A77-805E-BDB0CBA4378A}" destId="{07150BFA-E6AE-42AE-8379-6644340A3029}" srcOrd="11" destOrd="0" parTransId="{3918004C-43C0-407B-9231-44696333C6C1}" sibTransId="{13D141E3-0D7E-440A-86C6-E0CC268F0137}"/>
    <dgm:cxn modelId="{F2FD135F-0854-40BA-914A-DC2683F89C36}" type="presOf" srcId="{FDD21322-A38F-4A77-805E-BDB0CBA4378A}" destId="{81A77006-FB59-4223-8C5D-A11849370ABB}" srcOrd="0" destOrd="0" presId="urn:microsoft.com/office/officeart/2005/8/layout/hProcess11"/>
    <dgm:cxn modelId="{ED495769-03D3-4045-B643-7ECD95FECA45}" type="presOf" srcId="{07150BFA-E6AE-42AE-8379-6644340A3029}" destId="{79245DCB-C49E-4714-AFEF-1B8E5C47ABAD}" srcOrd="0" destOrd="0" presId="urn:microsoft.com/office/officeart/2005/8/layout/hProcess11"/>
    <dgm:cxn modelId="{314633B9-034D-45B8-B4F0-B7B25A87D432}" srcId="{FDD21322-A38F-4A77-805E-BDB0CBA4378A}" destId="{0C63F488-20FA-4254-8FF2-BF56B765D03C}" srcOrd="2" destOrd="0" parTransId="{3B73DA9D-61AE-42D7-8819-3F5CAAA42D95}" sibTransId="{47865FB6-B58E-40B3-8CE6-A19031DD60F6}"/>
    <dgm:cxn modelId="{70359ED9-95EC-4D7D-B1F5-D8EA5A2457CE}" type="presOf" srcId="{0C63F488-20FA-4254-8FF2-BF56B765D03C}" destId="{9D59BAAE-D257-484A-9175-B36EFED3C569}" srcOrd="0" destOrd="0" presId="urn:microsoft.com/office/officeart/2005/8/layout/hProcess11"/>
    <dgm:cxn modelId="{4AA8FA8A-0417-49BE-91CD-49400D9DFAC2}" srcId="{FDD21322-A38F-4A77-805E-BDB0CBA4378A}" destId="{054812D3-C160-47E6-8622-C015CE7BB7C8}" srcOrd="3" destOrd="0" parTransId="{985306C5-6EDF-47A4-8EA6-05D5F98F2817}" sibTransId="{21B25C2C-9AD8-4974-9655-A1F063DCACBB}"/>
    <dgm:cxn modelId="{109EF817-A279-49CC-A1B7-A69221C36DC1}" type="presOf" srcId="{46D50501-5E7F-439B-BD01-13CF2DC8AD53}" destId="{1E33BEA8-7E76-4307-B584-AB5BAF3EB751}" srcOrd="0" destOrd="0" presId="urn:microsoft.com/office/officeart/2005/8/layout/hProcess11"/>
    <dgm:cxn modelId="{F60A7BB5-B1A8-4161-821B-F4D39074C8AB}" srcId="{FDD21322-A38F-4A77-805E-BDB0CBA4378A}" destId="{94230026-3E2B-4FC8-AA8C-7B193E913AC3}" srcOrd="8" destOrd="0" parTransId="{D40B44E4-BC22-499F-AE54-113064A07D1E}" sibTransId="{3630B725-A1A1-4893-9843-48339926112C}"/>
    <dgm:cxn modelId="{6D3BFFC5-5381-471E-B296-0C1F5B444284}" type="presOf" srcId="{054812D3-C160-47E6-8622-C015CE7BB7C8}" destId="{B6D3463E-143F-4012-B3AE-5F56D6F99350}" srcOrd="0" destOrd="0" presId="urn:microsoft.com/office/officeart/2005/8/layout/hProcess11"/>
    <dgm:cxn modelId="{9FE8965B-503A-420A-9DED-4F1E0B3DCDED}" type="presParOf" srcId="{81A77006-FB59-4223-8C5D-A11849370ABB}" destId="{4B305505-A480-4475-BB4A-DDFD79A0B585}" srcOrd="0" destOrd="0" presId="urn:microsoft.com/office/officeart/2005/8/layout/hProcess11"/>
    <dgm:cxn modelId="{28332483-5603-4A69-85BB-759C9040E819}" type="presParOf" srcId="{81A77006-FB59-4223-8C5D-A11849370ABB}" destId="{20A7F2DB-7158-4716-AAB7-01148D63C703}" srcOrd="1" destOrd="0" presId="urn:microsoft.com/office/officeart/2005/8/layout/hProcess11"/>
    <dgm:cxn modelId="{2558DFB6-F052-44A6-94C1-9DB67DF7C186}" type="presParOf" srcId="{20A7F2DB-7158-4716-AAB7-01148D63C703}" destId="{4C2CCA9F-F94D-4330-9CCB-B8799454F4B9}" srcOrd="0" destOrd="0" presId="urn:microsoft.com/office/officeart/2005/8/layout/hProcess11"/>
    <dgm:cxn modelId="{1A0DE6CD-72E4-456D-B1F9-7E3705336A52}" type="presParOf" srcId="{4C2CCA9F-F94D-4330-9CCB-B8799454F4B9}" destId="{4DAFF103-22E5-4D39-89B4-1C6A25E5FE71}" srcOrd="0" destOrd="0" presId="urn:microsoft.com/office/officeart/2005/8/layout/hProcess11"/>
    <dgm:cxn modelId="{87600257-1A6E-4759-8139-29438191EFE7}" type="presParOf" srcId="{4C2CCA9F-F94D-4330-9CCB-B8799454F4B9}" destId="{81ECC7E7-5B38-4BE1-B1A3-77E47A8EF9F1}" srcOrd="1" destOrd="0" presId="urn:microsoft.com/office/officeart/2005/8/layout/hProcess11"/>
    <dgm:cxn modelId="{51182752-28E2-44E0-91E8-A1AD3E916079}" type="presParOf" srcId="{4C2CCA9F-F94D-4330-9CCB-B8799454F4B9}" destId="{1134D0B8-F0B9-4717-9234-7809400714B6}" srcOrd="2" destOrd="0" presId="urn:microsoft.com/office/officeart/2005/8/layout/hProcess11"/>
    <dgm:cxn modelId="{09431A8B-D466-474B-BF7A-1F8C857470EF}" type="presParOf" srcId="{20A7F2DB-7158-4716-AAB7-01148D63C703}" destId="{2DAD5564-8E17-4C89-B396-0C4635461456}" srcOrd="1" destOrd="0" presId="urn:microsoft.com/office/officeart/2005/8/layout/hProcess11"/>
    <dgm:cxn modelId="{38090C2D-BBED-4089-92A0-D9DD2ACCD1A3}" type="presParOf" srcId="{20A7F2DB-7158-4716-AAB7-01148D63C703}" destId="{B9683BEC-2E81-4711-982F-F7E50A106DF9}" srcOrd="2" destOrd="0" presId="urn:microsoft.com/office/officeart/2005/8/layout/hProcess11"/>
    <dgm:cxn modelId="{18E76789-132E-43BB-81B9-68ED6EDAE6E5}" type="presParOf" srcId="{B9683BEC-2E81-4711-982F-F7E50A106DF9}" destId="{257ABE29-A5A7-4DD4-84DF-BFB2E7A76324}" srcOrd="0" destOrd="0" presId="urn:microsoft.com/office/officeart/2005/8/layout/hProcess11"/>
    <dgm:cxn modelId="{B8017127-E0E5-4AE9-B5C4-4A56A397BCE8}" type="presParOf" srcId="{B9683BEC-2E81-4711-982F-F7E50A106DF9}" destId="{96C4D9BA-D913-4069-9246-D697B375D659}" srcOrd="1" destOrd="0" presId="urn:microsoft.com/office/officeart/2005/8/layout/hProcess11"/>
    <dgm:cxn modelId="{A1331687-4813-4708-AF04-AD9453D04646}" type="presParOf" srcId="{B9683BEC-2E81-4711-982F-F7E50A106DF9}" destId="{C6940A02-3ADF-48B0-BDEF-3EB1501B8EA6}" srcOrd="2" destOrd="0" presId="urn:microsoft.com/office/officeart/2005/8/layout/hProcess11"/>
    <dgm:cxn modelId="{EFE3C2A4-03A5-4630-8425-A6B9DE31EAF6}" type="presParOf" srcId="{20A7F2DB-7158-4716-AAB7-01148D63C703}" destId="{C5A1FDA7-6D4F-4A9E-BB00-246C29D26FB7}" srcOrd="3" destOrd="0" presId="urn:microsoft.com/office/officeart/2005/8/layout/hProcess11"/>
    <dgm:cxn modelId="{8F4DBA5D-F9EB-4B00-B1AE-AF2DF636F7F3}" type="presParOf" srcId="{20A7F2DB-7158-4716-AAB7-01148D63C703}" destId="{35D3E1F9-55EE-4B7B-966A-BE8651694A3B}" srcOrd="4" destOrd="0" presId="urn:microsoft.com/office/officeart/2005/8/layout/hProcess11"/>
    <dgm:cxn modelId="{9D41F727-E97E-4815-8FD8-D058D16465C0}" type="presParOf" srcId="{35D3E1F9-55EE-4B7B-966A-BE8651694A3B}" destId="{9D59BAAE-D257-484A-9175-B36EFED3C569}" srcOrd="0" destOrd="0" presId="urn:microsoft.com/office/officeart/2005/8/layout/hProcess11"/>
    <dgm:cxn modelId="{B70DD08C-2225-4B26-89E5-D553802CABB2}" type="presParOf" srcId="{35D3E1F9-55EE-4B7B-966A-BE8651694A3B}" destId="{57C9BB5B-93A9-42DE-AF8E-B1B27CCEE8A7}" srcOrd="1" destOrd="0" presId="urn:microsoft.com/office/officeart/2005/8/layout/hProcess11"/>
    <dgm:cxn modelId="{8C65BECE-4FEE-48AC-A9B0-7E2A030A6E73}" type="presParOf" srcId="{35D3E1F9-55EE-4B7B-966A-BE8651694A3B}" destId="{7E6C0EA5-0DA2-45EB-979E-F25287D89F0B}" srcOrd="2" destOrd="0" presId="urn:microsoft.com/office/officeart/2005/8/layout/hProcess11"/>
    <dgm:cxn modelId="{C0EB0350-3F63-4BF1-A010-1F5957328F2A}" type="presParOf" srcId="{20A7F2DB-7158-4716-AAB7-01148D63C703}" destId="{71FA2EC3-0D97-4DD2-9B17-8C1019C55AEC}" srcOrd="5" destOrd="0" presId="urn:microsoft.com/office/officeart/2005/8/layout/hProcess11"/>
    <dgm:cxn modelId="{EB4AB180-5C8A-4006-AC5B-0C54070F91D4}" type="presParOf" srcId="{20A7F2DB-7158-4716-AAB7-01148D63C703}" destId="{286FC378-5846-4B37-8261-B5EE68DBAD8A}" srcOrd="6" destOrd="0" presId="urn:microsoft.com/office/officeart/2005/8/layout/hProcess11"/>
    <dgm:cxn modelId="{F2B9A51C-89E0-4103-AC0A-A2BD2E14EE3D}" type="presParOf" srcId="{286FC378-5846-4B37-8261-B5EE68DBAD8A}" destId="{B6D3463E-143F-4012-B3AE-5F56D6F99350}" srcOrd="0" destOrd="0" presId="urn:microsoft.com/office/officeart/2005/8/layout/hProcess11"/>
    <dgm:cxn modelId="{484EB322-F5F7-4A04-8E8B-AB5364655CEB}" type="presParOf" srcId="{286FC378-5846-4B37-8261-B5EE68DBAD8A}" destId="{BC1A3592-0D1F-4BBC-8B06-23ED88034138}" srcOrd="1" destOrd="0" presId="urn:microsoft.com/office/officeart/2005/8/layout/hProcess11"/>
    <dgm:cxn modelId="{0BC27E0F-CF15-4078-9861-F434DB3E1A87}" type="presParOf" srcId="{286FC378-5846-4B37-8261-B5EE68DBAD8A}" destId="{52541A6C-244D-4FE1-B4EB-7F442F3F2611}" srcOrd="2" destOrd="0" presId="urn:microsoft.com/office/officeart/2005/8/layout/hProcess11"/>
    <dgm:cxn modelId="{3BD4D0F3-FCC1-4785-B8D9-DD4BD78F6B0E}" type="presParOf" srcId="{20A7F2DB-7158-4716-AAB7-01148D63C703}" destId="{F364949E-F53E-43E8-9744-23A9A98AB0D1}" srcOrd="7" destOrd="0" presId="urn:microsoft.com/office/officeart/2005/8/layout/hProcess11"/>
    <dgm:cxn modelId="{3EBAF475-3BCD-44BD-9FC9-620FD4CD807A}" type="presParOf" srcId="{20A7F2DB-7158-4716-AAB7-01148D63C703}" destId="{77F408C8-D433-4F33-8B2E-090BF4FC5F3F}" srcOrd="8" destOrd="0" presId="urn:microsoft.com/office/officeart/2005/8/layout/hProcess11"/>
    <dgm:cxn modelId="{1B0512E0-9DA7-4076-9DF7-43E00099D2B6}" type="presParOf" srcId="{77F408C8-D433-4F33-8B2E-090BF4FC5F3F}" destId="{68170100-43C6-49DE-B676-3CA5259BADE2}" srcOrd="0" destOrd="0" presId="urn:microsoft.com/office/officeart/2005/8/layout/hProcess11"/>
    <dgm:cxn modelId="{509C1042-B91C-44D9-B2E6-1725E8EEF1FB}" type="presParOf" srcId="{77F408C8-D433-4F33-8B2E-090BF4FC5F3F}" destId="{598DA5AF-FDA5-44BF-A9D6-CFAE68D75700}" srcOrd="1" destOrd="0" presId="urn:microsoft.com/office/officeart/2005/8/layout/hProcess11"/>
    <dgm:cxn modelId="{1BB5FA1A-47C6-46B7-8092-4A0DF694DF8C}" type="presParOf" srcId="{77F408C8-D433-4F33-8B2E-090BF4FC5F3F}" destId="{00DAD92C-6930-4B55-AF10-A7670D689E9B}" srcOrd="2" destOrd="0" presId="urn:microsoft.com/office/officeart/2005/8/layout/hProcess11"/>
    <dgm:cxn modelId="{8A7A2025-2DD0-4988-ABA1-670EC8BCDE62}" type="presParOf" srcId="{20A7F2DB-7158-4716-AAB7-01148D63C703}" destId="{DDEC2504-3FDD-4DD1-B22E-A6FA2CCB327B}" srcOrd="9" destOrd="0" presId="urn:microsoft.com/office/officeart/2005/8/layout/hProcess11"/>
    <dgm:cxn modelId="{EBE89856-F440-44B3-B43A-8F632AEBB7FC}" type="presParOf" srcId="{20A7F2DB-7158-4716-AAB7-01148D63C703}" destId="{4ACCA9E7-FAF1-4262-B619-80659492033F}" srcOrd="10" destOrd="0" presId="urn:microsoft.com/office/officeart/2005/8/layout/hProcess11"/>
    <dgm:cxn modelId="{BA8267CF-C44F-4922-B924-C155680ACA61}" type="presParOf" srcId="{4ACCA9E7-FAF1-4262-B619-80659492033F}" destId="{8E2D813B-4AD6-4A0C-8C08-D285909FABAF}" srcOrd="0" destOrd="0" presId="urn:microsoft.com/office/officeart/2005/8/layout/hProcess11"/>
    <dgm:cxn modelId="{6906303F-9E02-4E6B-AC0A-E70689EA8292}" type="presParOf" srcId="{4ACCA9E7-FAF1-4262-B619-80659492033F}" destId="{DB2961F4-CCB2-44ED-9AB3-67F55B34159E}" srcOrd="1" destOrd="0" presId="urn:microsoft.com/office/officeart/2005/8/layout/hProcess11"/>
    <dgm:cxn modelId="{CE355D72-2E78-4640-98D7-4D80665BE6E2}" type="presParOf" srcId="{4ACCA9E7-FAF1-4262-B619-80659492033F}" destId="{0DA4E58B-5A0C-4449-9D0F-CD854BF7F836}" srcOrd="2" destOrd="0" presId="urn:microsoft.com/office/officeart/2005/8/layout/hProcess11"/>
    <dgm:cxn modelId="{D0DB028A-A835-43E6-83FC-DE24B6F66C58}" type="presParOf" srcId="{20A7F2DB-7158-4716-AAB7-01148D63C703}" destId="{2F8E4D4F-8A0C-4974-B290-E47326E6235D}" srcOrd="11" destOrd="0" presId="urn:microsoft.com/office/officeart/2005/8/layout/hProcess11"/>
    <dgm:cxn modelId="{A62F9082-CF84-478D-8550-4FB8D28BE322}" type="presParOf" srcId="{20A7F2DB-7158-4716-AAB7-01148D63C703}" destId="{31E0CC18-ED05-4B72-9FFF-FE4121869C48}" srcOrd="12" destOrd="0" presId="urn:microsoft.com/office/officeart/2005/8/layout/hProcess11"/>
    <dgm:cxn modelId="{62395042-8955-4730-8F18-CEC5813BBEAD}" type="presParOf" srcId="{31E0CC18-ED05-4B72-9FFF-FE4121869C48}" destId="{8064E14B-BF10-4BB4-A559-D6B38F3F89C2}" srcOrd="0" destOrd="0" presId="urn:microsoft.com/office/officeart/2005/8/layout/hProcess11"/>
    <dgm:cxn modelId="{66943936-BE3D-4E3B-A4F5-AD7CD3E73E7E}" type="presParOf" srcId="{31E0CC18-ED05-4B72-9FFF-FE4121869C48}" destId="{D01A3982-6302-4484-B121-E1566D1CE2AB}" srcOrd="1" destOrd="0" presId="urn:microsoft.com/office/officeart/2005/8/layout/hProcess11"/>
    <dgm:cxn modelId="{98749ED8-8DFC-4C12-8536-B81ECF2BA227}" type="presParOf" srcId="{31E0CC18-ED05-4B72-9FFF-FE4121869C48}" destId="{D0215B3A-CF1C-441E-8919-EE9C193F12D5}" srcOrd="2" destOrd="0" presId="urn:microsoft.com/office/officeart/2005/8/layout/hProcess11"/>
    <dgm:cxn modelId="{ECD50355-2B1C-4CF7-B7C7-EE9B0E12C77A}" type="presParOf" srcId="{20A7F2DB-7158-4716-AAB7-01148D63C703}" destId="{39C56086-92BD-4BFD-B3C5-884658A20C92}" srcOrd="13" destOrd="0" presId="urn:microsoft.com/office/officeart/2005/8/layout/hProcess11"/>
    <dgm:cxn modelId="{D4F2E6F6-9B60-4435-AF83-D72ADE344DA1}" type="presParOf" srcId="{20A7F2DB-7158-4716-AAB7-01148D63C703}" destId="{88C811C1-260F-41EB-813F-D7DEF2D0C442}" srcOrd="14" destOrd="0" presId="urn:microsoft.com/office/officeart/2005/8/layout/hProcess11"/>
    <dgm:cxn modelId="{C5040446-C488-4C34-99B5-A16B4DF98E23}" type="presParOf" srcId="{88C811C1-260F-41EB-813F-D7DEF2D0C442}" destId="{15B45099-D47E-4285-924C-89B74276E52F}" srcOrd="0" destOrd="0" presId="urn:microsoft.com/office/officeart/2005/8/layout/hProcess11"/>
    <dgm:cxn modelId="{43027576-0E22-4F35-A79C-C966B7C33A2E}" type="presParOf" srcId="{88C811C1-260F-41EB-813F-D7DEF2D0C442}" destId="{273EDCB4-5ACC-4945-BBEF-71A29E24A96F}" srcOrd="1" destOrd="0" presId="urn:microsoft.com/office/officeart/2005/8/layout/hProcess11"/>
    <dgm:cxn modelId="{23ACBE83-AF33-4DEF-8EEB-F865A87370AD}" type="presParOf" srcId="{88C811C1-260F-41EB-813F-D7DEF2D0C442}" destId="{A078C7B6-8C9C-4A1C-AAD0-07EF28DD7C6C}" srcOrd="2" destOrd="0" presId="urn:microsoft.com/office/officeart/2005/8/layout/hProcess11"/>
    <dgm:cxn modelId="{F6F68290-AC48-419A-B126-C42827ED4116}" type="presParOf" srcId="{20A7F2DB-7158-4716-AAB7-01148D63C703}" destId="{2B88A2C0-7D47-4C38-82AD-930634BBDE7A}" srcOrd="15" destOrd="0" presId="urn:microsoft.com/office/officeart/2005/8/layout/hProcess11"/>
    <dgm:cxn modelId="{CCAB3D3A-AEEB-429B-80A4-05A2CB0D6721}" type="presParOf" srcId="{20A7F2DB-7158-4716-AAB7-01148D63C703}" destId="{635C8B42-9320-4B6C-9789-7CA1D68456B8}" srcOrd="16" destOrd="0" presId="urn:microsoft.com/office/officeart/2005/8/layout/hProcess11"/>
    <dgm:cxn modelId="{2932D1D8-7140-41EC-9357-48C1FDF3D97D}" type="presParOf" srcId="{635C8B42-9320-4B6C-9789-7CA1D68456B8}" destId="{34E7230D-3350-45D8-9CFB-9C90FB451F86}" srcOrd="0" destOrd="0" presId="urn:microsoft.com/office/officeart/2005/8/layout/hProcess11"/>
    <dgm:cxn modelId="{5D0E80EE-A4EA-4B1D-93A0-9910119B4463}" type="presParOf" srcId="{635C8B42-9320-4B6C-9789-7CA1D68456B8}" destId="{A9B1FFA0-78BB-4AE8-B548-91B71187E3AA}" srcOrd="1" destOrd="0" presId="urn:microsoft.com/office/officeart/2005/8/layout/hProcess11"/>
    <dgm:cxn modelId="{2681092E-7E6B-4945-8DA0-2165382F3FA0}" type="presParOf" srcId="{635C8B42-9320-4B6C-9789-7CA1D68456B8}" destId="{2F549E9F-C1A1-428D-99A0-DA52B153CE70}" srcOrd="2" destOrd="0" presId="urn:microsoft.com/office/officeart/2005/8/layout/hProcess11"/>
    <dgm:cxn modelId="{89BB3579-1EF9-4298-B443-CF6DB36F4720}" type="presParOf" srcId="{20A7F2DB-7158-4716-AAB7-01148D63C703}" destId="{D550EB52-CAD1-4520-A3A2-81943AFD94C3}" srcOrd="17" destOrd="0" presId="urn:microsoft.com/office/officeart/2005/8/layout/hProcess11"/>
    <dgm:cxn modelId="{8FB5C74F-96C4-4AD4-9175-590F3833D0FE}" type="presParOf" srcId="{20A7F2DB-7158-4716-AAB7-01148D63C703}" destId="{F66E624C-9897-48CE-BA16-9FCFF1551824}" srcOrd="18" destOrd="0" presId="urn:microsoft.com/office/officeart/2005/8/layout/hProcess11"/>
    <dgm:cxn modelId="{01C96D4F-0C2D-4C50-805C-226D027ADD30}" type="presParOf" srcId="{F66E624C-9897-48CE-BA16-9FCFF1551824}" destId="{6B74B9B5-FF92-465D-BCED-75AFA4D53C6B}" srcOrd="0" destOrd="0" presId="urn:microsoft.com/office/officeart/2005/8/layout/hProcess11"/>
    <dgm:cxn modelId="{86BB7D17-D991-4201-9FEA-6ADBFA786A02}" type="presParOf" srcId="{F66E624C-9897-48CE-BA16-9FCFF1551824}" destId="{A51F8B4F-DE95-4859-A382-6B93912F3F8A}" srcOrd="1" destOrd="0" presId="urn:microsoft.com/office/officeart/2005/8/layout/hProcess11"/>
    <dgm:cxn modelId="{116CD1ED-B32E-4770-A92C-64979700A706}" type="presParOf" srcId="{F66E624C-9897-48CE-BA16-9FCFF1551824}" destId="{71CCF005-1351-4F1A-B2F4-9AD5D7E1A2F4}" srcOrd="2" destOrd="0" presId="urn:microsoft.com/office/officeart/2005/8/layout/hProcess11"/>
    <dgm:cxn modelId="{EE8E4B86-2892-495C-9054-CF544052272A}" type="presParOf" srcId="{20A7F2DB-7158-4716-AAB7-01148D63C703}" destId="{2C50615B-0B8A-459F-BD88-20E06923EDB4}" srcOrd="19" destOrd="0" presId="urn:microsoft.com/office/officeart/2005/8/layout/hProcess11"/>
    <dgm:cxn modelId="{CD8F5BBB-0776-4E79-A68B-C043F77D02A4}" type="presParOf" srcId="{20A7F2DB-7158-4716-AAB7-01148D63C703}" destId="{08586219-D164-4D1D-BED0-9327062D8305}" srcOrd="20" destOrd="0" presId="urn:microsoft.com/office/officeart/2005/8/layout/hProcess11"/>
    <dgm:cxn modelId="{7403BF7E-A7A8-4F79-A3CA-10F44C8C5E71}" type="presParOf" srcId="{08586219-D164-4D1D-BED0-9327062D8305}" destId="{A130E890-752F-4239-84A9-6B5598AC4F60}" srcOrd="0" destOrd="0" presId="urn:microsoft.com/office/officeart/2005/8/layout/hProcess11"/>
    <dgm:cxn modelId="{0B6AE9B1-F0AB-47F5-A4FA-D8B12E8966D2}" type="presParOf" srcId="{08586219-D164-4D1D-BED0-9327062D8305}" destId="{A02F08E2-52FA-4FE6-89FB-86776C4F5E19}" srcOrd="1" destOrd="0" presId="urn:microsoft.com/office/officeart/2005/8/layout/hProcess11"/>
    <dgm:cxn modelId="{484A4564-0BD7-40C8-97CA-AF3188943A32}" type="presParOf" srcId="{08586219-D164-4D1D-BED0-9327062D8305}" destId="{C4A54769-9745-47EA-99D3-61CA18DE6FE2}" srcOrd="2" destOrd="0" presId="urn:microsoft.com/office/officeart/2005/8/layout/hProcess11"/>
    <dgm:cxn modelId="{F65285DE-E4F5-46EC-9E8F-80013A5C14C6}" type="presParOf" srcId="{20A7F2DB-7158-4716-AAB7-01148D63C703}" destId="{2293179D-BD02-4E8C-9017-91676126BD9E}" srcOrd="21" destOrd="0" presId="urn:microsoft.com/office/officeart/2005/8/layout/hProcess11"/>
    <dgm:cxn modelId="{849EE022-111F-42B1-A17A-35D673C317E4}" type="presParOf" srcId="{20A7F2DB-7158-4716-AAB7-01148D63C703}" destId="{45EDBA66-6E9B-4A35-BA5C-750010B6B66B}" srcOrd="22" destOrd="0" presId="urn:microsoft.com/office/officeart/2005/8/layout/hProcess11"/>
    <dgm:cxn modelId="{D5A679A0-24F8-46CF-B5D9-6804D52BE8ED}" type="presParOf" srcId="{45EDBA66-6E9B-4A35-BA5C-750010B6B66B}" destId="{79245DCB-C49E-4714-AFEF-1B8E5C47ABAD}" srcOrd="0" destOrd="0" presId="urn:microsoft.com/office/officeart/2005/8/layout/hProcess11"/>
    <dgm:cxn modelId="{5B26FECF-6B07-465F-B2E9-4D9E0D934D17}" type="presParOf" srcId="{45EDBA66-6E9B-4A35-BA5C-750010B6B66B}" destId="{99A3E923-C5C4-4BF8-A536-A645E05520D3}" srcOrd="1" destOrd="0" presId="urn:microsoft.com/office/officeart/2005/8/layout/hProcess11"/>
    <dgm:cxn modelId="{408FF0FC-D009-45D1-B577-DD02883DD8AC}" type="presParOf" srcId="{45EDBA66-6E9B-4A35-BA5C-750010B6B66B}" destId="{3B142D3E-CD93-4CDA-840F-B6DDEA76B636}" srcOrd="2" destOrd="0" presId="urn:microsoft.com/office/officeart/2005/8/layout/hProcess11"/>
    <dgm:cxn modelId="{648A1912-4FEB-4529-A0D2-503603BD4A45}" type="presParOf" srcId="{20A7F2DB-7158-4716-AAB7-01148D63C703}" destId="{6A1A0149-BEE8-4CF3-89FA-E55E7929EED7}" srcOrd="23" destOrd="0" presId="urn:microsoft.com/office/officeart/2005/8/layout/hProcess11"/>
    <dgm:cxn modelId="{074EAC18-EA26-432C-AC24-31D9C2B80C74}" type="presParOf" srcId="{20A7F2DB-7158-4716-AAB7-01148D63C703}" destId="{AEA8A964-EC5A-49FA-943D-6FF655A7BCE3}" srcOrd="24" destOrd="0" presId="urn:microsoft.com/office/officeart/2005/8/layout/hProcess11"/>
    <dgm:cxn modelId="{7AAB934A-367B-457E-A03C-4183CDF589B8}" type="presParOf" srcId="{AEA8A964-EC5A-49FA-943D-6FF655A7BCE3}" destId="{3E090ADC-56EF-4F0F-BA7C-54C8F219346E}" srcOrd="0" destOrd="0" presId="urn:microsoft.com/office/officeart/2005/8/layout/hProcess11"/>
    <dgm:cxn modelId="{DF73397A-7A35-4AD0-B2E4-8E781B899201}" type="presParOf" srcId="{AEA8A964-EC5A-49FA-943D-6FF655A7BCE3}" destId="{5BEAD2C0-FF56-43DC-B1FA-DB8FEFF2A01A}" srcOrd="1" destOrd="0" presId="urn:microsoft.com/office/officeart/2005/8/layout/hProcess11"/>
    <dgm:cxn modelId="{E817845B-5076-49C3-967A-2500AA675DD1}" type="presParOf" srcId="{AEA8A964-EC5A-49FA-943D-6FF655A7BCE3}" destId="{63F76112-49DF-41D1-BF92-A68EEEFEA755}" srcOrd="2" destOrd="0" presId="urn:microsoft.com/office/officeart/2005/8/layout/hProcess11"/>
    <dgm:cxn modelId="{08A50FF1-6876-4D9D-B84F-C5B5F1C1137A}" type="presParOf" srcId="{20A7F2DB-7158-4716-AAB7-01148D63C703}" destId="{6B5EC017-9729-47FE-9ABE-E2E501667EFB}" srcOrd="25" destOrd="0" presId="urn:microsoft.com/office/officeart/2005/8/layout/hProcess11"/>
    <dgm:cxn modelId="{94291B85-2FC4-4D6E-AA37-4EE35B12EE49}" type="presParOf" srcId="{20A7F2DB-7158-4716-AAB7-01148D63C703}" destId="{3ECFF96B-8392-40E2-8F65-8553895CF5CE}" srcOrd="26" destOrd="0" presId="urn:microsoft.com/office/officeart/2005/8/layout/hProcess11"/>
    <dgm:cxn modelId="{587AD833-DD07-44F4-A484-2CE81234CA5B}" type="presParOf" srcId="{3ECFF96B-8392-40E2-8F65-8553895CF5CE}" destId="{C15E01B0-5B53-428B-B55E-7DC6C927FB0E}" srcOrd="0" destOrd="0" presId="urn:microsoft.com/office/officeart/2005/8/layout/hProcess11"/>
    <dgm:cxn modelId="{C414DE57-C080-472C-8202-1DABAE03C433}" type="presParOf" srcId="{3ECFF96B-8392-40E2-8F65-8553895CF5CE}" destId="{FA928755-7DC7-4AAC-86A0-ECA4B6010153}" srcOrd="1" destOrd="0" presId="urn:microsoft.com/office/officeart/2005/8/layout/hProcess11"/>
    <dgm:cxn modelId="{09DC06D9-5C22-4806-BAD4-B84F5559FC97}" type="presParOf" srcId="{3ECFF96B-8392-40E2-8F65-8553895CF5CE}" destId="{DFDE4D0E-4A10-400C-B637-8B45C5A81C49}" srcOrd="2" destOrd="0" presId="urn:microsoft.com/office/officeart/2005/8/layout/hProcess11"/>
    <dgm:cxn modelId="{9F90E688-C703-4315-ADEA-6D45399D2293}" type="presParOf" srcId="{20A7F2DB-7158-4716-AAB7-01148D63C703}" destId="{BE8A7A5E-3907-4C1F-B643-5A30FE4367F3}" srcOrd="27" destOrd="0" presId="urn:microsoft.com/office/officeart/2005/8/layout/hProcess11"/>
    <dgm:cxn modelId="{791A7C7B-3D20-4CA3-A682-BFCE2E04DC10}" type="presParOf" srcId="{20A7F2DB-7158-4716-AAB7-01148D63C703}" destId="{E388B8DA-2822-4F8F-972E-7F53AD197D2A}" srcOrd="28" destOrd="0" presId="urn:microsoft.com/office/officeart/2005/8/layout/hProcess11"/>
    <dgm:cxn modelId="{1128730B-148E-4C1F-810C-58AA9F2E1C20}" type="presParOf" srcId="{E388B8DA-2822-4F8F-972E-7F53AD197D2A}" destId="{98072049-FF2E-48C3-8B50-A6CC2D0097AB}" srcOrd="0" destOrd="0" presId="urn:microsoft.com/office/officeart/2005/8/layout/hProcess11"/>
    <dgm:cxn modelId="{6493D397-86DA-446F-8E00-67F3AF7E1225}" type="presParOf" srcId="{E388B8DA-2822-4F8F-972E-7F53AD197D2A}" destId="{4CDC71E6-B472-4B78-B6A0-1D7DE0E2D492}" srcOrd="1" destOrd="0" presId="urn:microsoft.com/office/officeart/2005/8/layout/hProcess11"/>
    <dgm:cxn modelId="{AB4E829E-EAD4-4957-B6DF-126F51E2733B}" type="presParOf" srcId="{E388B8DA-2822-4F8F-972E-7F53AD197D2A}" destId="{2C26E106-1101-454B-AEC3-6C4A851C12EA}" srcOrd="2" destOrd="0" presId="urn:microsoft.com/office/officeart/2005/8/layout/hProcess11"/>
    <dgm:cxn modelId="{E1FB8A5D-360A-447D-B9E9-C30E8BCC9639}" type="presParOf" srcId="{20A7F2DB-7158-4716-AAB7-01148D63C703}" destId="{A1E279DC-2F05-4CDA-8A1F-7F12602C6CF9}" srcOrd="29" destOrd="0" presId="urn:microsoft.com/office/officeart/2005/8/layout/hProcess11"/>
    <dgm:cxn modelId="{E8DEDE17-63DD-4D90-985C-A84AC07DF49C}" type="presParOf" srcId="{20A7F2DB-7158-4716-AAB7-01148D63C703}" destId="{4E52E498-7D3F-41B4-A795-726C6D3F6CA8}" srcOrd="30" destOrd="0" presId="urn:microsoft.com/office/officeart/2005/8/layout/hProcess11"/>
    <dgm:cxn modelId="{45D5316C-7763-4CCD-AD1E-52339B88D5B8}" type="presParOf" srcId="{4E52E498-7D3F-41B4-A795-726C6D3F6CA8}" destId="{1E33BEA8-7E76-4307-B584-AB5BAF3EB751}" srcOrd="0" destOrd="0" presId="urn:microsoft.com/office/officeart/2005/8/layout/hProcess11"/>
    <dgm:cxn modelId="{EAC4B02D-889D-4D17-96F7-5A7285EEB1B3}" type="presParOf" srcId="{4E52E498-7D3F-41B4-A795-726C6D3F6CA8}" destId="{50998EEE-BFE4-40ED-B658-D1E1ED1EABD1}" srcOrd="1" destOrd="0" presId="urn:microsoft.com/office/officeart/2005/8/layout/hProcess11"/>
    <dgm:cxn modelId="{8A79D3FB-F1A0-42E1-AEFD-00E1BABD6268}" type="presParOf" srcId="{4E52E498-7D3F-41B4-A795-726C6D3F6CA8}" destId="{697D5324-CDAF-4212-85CC-6F72104C19D2}" srcOrd="2" destOrd="0" presId="urn:microsoft.com/office/officeart/2005/8/layout/hProcess11"/>
    <dgm:cxn modelId="{4D8C6ABE-060A-484E-9997-05D0210AA3B2}" type="presParOf" srcId="{20A7F2DB-7158-4716-AAB7-01148D63C703}" destId="{8436DEEE-EE2C-487E-9110-CD0CF6F5A619}" srcOrd="31" destOrd="0" presId="urn:microsoft.com/office/officeart/2005/8/layout/hProcess11"/>
    <dgm:cxn modelId="{FABE3A43-4B3B-4C18-87A1-216D435816A5}" type="presParOf" srcId="{20A7F2DB-7158-4716-AAB7-01148D63C703}" destId="{C3B84608-1A71-481F-93EB-8749D4A7EC6E}" srcOrd="32" destOrd="0" presId="urn:microsoft.com/office/officeart/2005/8/layout/hProcess11"/>
    <dgm:cxn modelId="{59615B19-B3B8-47C6-8737-66AA7FC637DD}" type="presParOf" srcId="{C3B84608-1A71-481F-93EB-8749D4A7EC6E}" destId="{15A2D7F0-DAA4-42EC-9C28-959009F0B7A3}" srcOrd="0" destOrd="0" presId="urn:microsoft.com/office/officeart/2005/8/layout/hProcess11"/>
    <dgm:cxn modelId="{A9C8B56A-B8CC-4BD9-87E4-71BF16D20924}" type="presParOf" srcId="{C3B84608-1A71-481F-93EB-8749D4A7EC6E}" destId="{3255D9F5-6F3F-4381-A298-6251979D6758}" srcOrd="1" destOrd="0" presId="urn:microsoft.com/office/officeart/2005/8/layout/hProcess11"/>
    <dgm:cxn modelId="{4A26A3B8-726F-4CE3-B623-DC41E6F7013B}" type="presParOf" srcId="{C3B84608-1A71-481F-93EB-8749D4A7EC6E}" destId="{CDEFFF39-EA42-4B13-80E9-F09A22564BCE}" srcOrd="2" destOrd="0" presId="urn:microsoft.com/office/officeart/2005/8/layout/hProcess1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305505-A480-4475-BB4A-DDFD79A0B585}">
      <dsp:nvSpPr>
        <dsp:cNvPr id="0" name=""/>
        <dsp:cNvSpPr/>
      </dsp:nvSpPr>
      <dsp:spPr>
        <a:xfrm>
          <a:off x="0" y="628649"/>
          <a:ext cx="6288657" cy="838200"/>
        </a:xfrm>
        <a:prstGeom prst="notchedRightArrow">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4DAFF103-22E5-4D39-89B4-1C6A25E5FE71}">
      <dsp:nvSpPr>
        <dsp:cNvPr id="0" name=""/>
        <dsp:cNvSpPr/>
      </dsp:nvSpPr>
      <dsp:spPr>
        <a:xfrm>
          <a:off x="1381" y="0"/>
          <a:ext cx="317810" cy="838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b" anchorCtr="0">
          <a:noAutofit/>
        </a:bodyPr>
        <a:lstStyle/>
        <a:p>
          <a:pPr marL="0" lvl="0" indent="0" algn="ctr" defTabSz="222250">
            <a:lnSpc>
              <a:spcPct val="90000"/>
            </a:lnSpc>
            <a:spcBef>
              <a:spcPct val="0"/>
            </a:spcBef>
            <a:spcAft>
              <a:spcPct val="35000"/>
            </a:spcAft>
            <a:buNone/>
          </a:pPr>
          <a:r>
            <a:rPr lang="en-AU" sz="500" kern="1200">
              <a:solidFill>
                <a:sysClr val="windowText" lastClr="000000">
                  <a:hueOff val="0"/>
                  <a:satOff val="0"/>
                  <a:lumOff val="0"/>
                  <a:alphaOff val="0"/>
                </a:sysClr>
              </a:solidFill>
              <a:latin typeface="Calibri"/>
              <a:ea typeface="+mn-ea"/>
              <a:cs typeface="+mn-cs"/>
            </a:rPr>
            <a:t>Carney Inquiry 1984</a:t>
          </a:r>
        </a:p>
      </dsp:txBody>
      <dsp:txXfrm>
        <a:off x="1381" y="0"/>
        <a:ext cx="317810" cy="838200"/>
      </dsp:txXfrm>
    </dsp:sp>
    <dsp:sp modelId="{81ECC7E7-5B38-4BE1-B1A3-77E47A8EF9F1}">
      <dsp:nvSpPr>
        <dsp:cNvPr id="0" name=""/>
        <dsp:cNvSpPr/>
      </dsp:nvSpPr>
      <dsp:spPr>
        <a:xfrm>
          <a:off x="55512" y="942975"/>
          <a:ext cx="209550" cy="20955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57ABE29-A5A7-4DD4-84DF-BFB2E7A76324}">
      <dsp:nvSpPr>
        <dsp:cNvPr id="0" name=""/>
        <dsp:cNvSpPr/>
      </dsp:nvSpPr>
      <dsp:spPr>
        <a:xfrm>
          <a:off x="335082" y="1257299"/>
          <a:ext cx="317810" cy="838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t" anchorCtr="0">
          <a:noAutofit/>
        </a:bodyPr>
        <a:lstStyle/>
        <a:p>
          <a:pPr marL="0" lvl="0" indent="0" algn="ctr" defTabSz="222250">
            <a:lnSpc>
              <a:spcPct val="90000"/>
            </a:lnSpc>
            <a:spcBef>
              <a:spcPct val="0"/>
            </a:spcBef>
            <a:spcAft>
              <a:spcPct val="35000"/>
            </a:spcAft>
            <a:buNone/>
          </a:pPr>
          <a:r>
            <a:rPr lang="en-AU" sz="500" kern="1200">
              <a:solidFill>
                <a:sysClr val="windowText" lastClr="000000">
                  <a:hueOff val="0"/>
                  <a:satOff val="0"/>
                  <a:lumOff val="0"/>
                  <a:alphaOff val="0"/>
                </a:sysClr>
              </a:solidFill>
              <a:latin typeface="Calibri"/>
              <a:ea typeface="+mn-ea"/>
              <a:cs typeface="+mn-cs"/>
            </a:rPr>
            <a:t>CYPA 1989</a:t>
          </a:r>
        </a:p>
      </dsp:txBody>
      <dsp:txXfrm>
        <a:off x="335082" y="1257299"/>
        <a:ext cx="317810" cy="838200"/>
      </dsp:txXfrm>
    </dsp:sp>
    <dsp:sp modelId="{96C4D9BA-D913-4069-9246-D697B375D659}">
      <dsp:nvSpPr>
        <dsp:cNvPr id="0" name=""/>
        <dsp:cNvSpPr/>
      </dsp:nvSpPr>
      <dsp:spPr>
        <a:xfrm>
          <a:off x="389213" y="942975"/>
          <a:ext cx="209550" cy="20955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D59BAAE-D257-484A-9175-B36EFED3C569}">
      <dsp:nvSpPr>
        <dsp:cNvPr id="0" name=""/>
        <dsp:cNvSpPr/>
      </dsp:nvSpPr>
      <dsp:spPr>
        <a:xfrm>
          <a:off x="668783" y="0"/>
          <a:ext cx="317810" cy="838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b" anchorCtr="0">
          <a:noAutofit/>
        </a:bodyPr>
        <a:lstStyle/>
        <a:p>
          <a:pPr marL="0" lvl="0" indent="0" algn="ctr" defTabSz="222250">
            <a:lnSpc>
              <a:spcPct val="90000"/>
            </a:lnSpc>
            <a:spcBef>
              <a:spcPct val="0"/>
            </a:spcBef>
            <a:spcAft>
              <a:spcPct val="35000"/>
            </a:spcAft>
            <a:buNone/>
          </a:pPr>
          <a:r>
            <a:rPr lang="en-AU" sz="500" kern="1200">
              <a:solidFill>
                <a:sysClr val="windowText" lastClr="000000">
                  <a:hueOff val="0"/>
                  <a:satOff val="0"/>
                  <a:lumOff val="0"/>
                  <a:alphaOff val="0"/>
                </a:sysClr>
              </a:solidFill>
              <a:latin typeface="Calibri"/>
              <a:ea typeface="+mn-ea"/>
              <a:cs typeface="+mn-cs"/>
            </a:rPr>
            <a:t>Fogerty and Seargent Reports 1989</a:t>
          </a:r>
        </a:p>
      </dsp:txBody>
      <dsp:txXfrm>
        <a:off x="668783" y="0"/>
        <a:ext cx="317810" cy="838200"/>
      </dsp:txXfrm>
    </dsp:sp>
    <dsp:sp modelId="{57C9BB5B-93A9-42DE-AF8E-B1B27CCEE8A7}">
      <dsp:nvSpPr>
        <dsp:cNvPr id="0" name=""/>
        <dsp:cNvSpPr/>
      </dsp:nvSpPr>
      <dsp:spPr>
        <a:xfrm>
          <a:off x="722914" y="942975"/>
          <a:ext cx="209550" cy="20955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D3463E-143F-4012-B3AE-5F56D6F99350}">
      <dsp:nvSpPr>
        <dsp:cNvPr id="0" name=""/>
        <dsp:cNvSpPr/>
      </dsp:nvSpPr>
      <dsp:spPr>
        <a:xfrm>
          <a:off x="1002485" y="1257299"/>
          <a:ext cx="317810" cy="838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t" anchorCtr="0">
          <a:noAutofit/>
        </a:bodyPr>
        <a:lstStyle/>
        <a:p>
          <a:pPr marL="0" lvl="0" indent="0" algn="ctr" defTabSz="222250">
            <a:lnSpc>
              <a:spcPct val="90000"/>
            </a:lnSpc>
            <a:spcBef>
              <a:spcPct val="0"/>
            </a:spcBef>
            <a:spcAft>
              <a:spcPct val="35000"/>
            </a:spcAft>
            <a:buNone/>
          </a:pPr>
          <a:r>
            <a:rPr lang="en-AU" sz="500" kern="1200">
              <a:solidFill>
                <a:sysClr val="windowText" lastClr="000000">
                  <a:hueOff val="0"/>
                  <a:satOff val="0"/>
                  <a:lumOff val="0"/>
                  <a:alphaOff val="0"/>
                </a:sysClr>
              </a:solidFill>
              <a:latin typeface="Calibri"/>
              <a:ea typeface="+mn-ea"/>
              <a:cs typeface="+mn-cs"/>
            </a:rPr>
            <a:t>Child Protection Outcomes Project 2003</a:t>
          </a:r>
        </a:p>
      </dsp:txBody>
      <dsp:txXfrm>
        <a:off x="1002485" y="1257299"/>
        <a:ext cx="317810" cy="838200"/>
      </dsp:txXfrm>
    </dsp:sp>
    <dsp:sp modelId="{BC1A3592-0D1F-4BBC-8B06-23ED88034138}">
      <dsp:nvSpPr>
        <dsp:cNvPr id="0" name=""/>
        <dsp:cNvSpPr/>
      </dsp:nvSpPr>
      <dsp:spPr>
        <a:xfrm>
          <a:off x="1056615" y="942975"/>
          <a:ext cx="209550" cy="20955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8170100-43C6-49DE-B676-3CA5259BADE2}">
      <dsp:nvSpPr>
        <dsp:cNvPr id="0" name=""/>
        <dsp:cNvSpPr/>
      </dsp:nvSpPr>
      <dsp:spPr>
        <a:xfrm>
          <a:off x="1336186" y="0"/>
          <a:ext cx="317810" cy="838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b" anchorCtr="0">
          <a:noAutofit/>
        </a:bodyPr>
        <a:lstStyle/>
        <a:p>
          <a:pPr marL="0" lvl="0" indent="0" algn="ctr" defTabSz="222250">
            <a:lnSpc>
              <a:spcPct val="90000"/>
            </a:lnSpc>
            <a:spcBef>
              <a:spcPct val="0"/>
            </a:spcBef>
            <a:spcAft>
              <a:spcPct val="35000"/>
            </a:spcAft>
            <a:buNone/>
          </a:pPr>
          <a:r>
            <a:rPr lang="en-AU" sz="500" kern="1200">
              <a:solidFill>
                <a:sysClr val="windowText" lastClr="000000">
                  <a:hueOff val="0"/>
                  <a:satOff val="0"/>
                  <a:lumOff val="0"/>
                  <a:alphaOff val="0"/>
                </a:sysClr>
              </a:solidFill>
              <a:latin typeface="Calibri"/>
              <a:ea typeface="+mn-ea"/>
              <a:cs typeface="+mn-cs"/>
            </a:rPr>
            <a:t>CYFA 2005</a:t>
          </a:r>
        </a:p>
      </dsp:txBody>
      <dsp:txXfrm>
        <a:off x="1336186" y="0"/>
        <a:ext cx="317810" cy="838200"/>
      </dsp:txXfrm>
    </dsp:sp>
    <dsp:sp modelId="{598DA5AF-FDA5-44BF-A9D6-CFAE68D75700}">
      <dsp:nvSpPr>
        <dsp:cNvPr id="0" name=""/>
        <dsp:cNvSpPr/>
      </dsp:nvSpPr>
      <dsp:spPr>
        <a:xfrm>
          <a:off x="1390316" y="942975"/>
          <a:ext cx="209550" cy="20955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2D813B-4AD6-4A0C-8C08-D285909FABAF}">
      <dsp:nvSpPr>
        <dsp:cNvPr id="0" name=""/>
        <dsp:cNvSpPr/>
      </dsp:nvSpPr>
      <dsp:spPr>
        <a:xfrm>
          <a:off x="1669887" y="1257299"/>
          <a:ext cx="317810" cy="838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t" anchorCtr="0">
          <a:noAutofit/>
        </a:bodyPr>
        <a:lstStyle/>
        <a:p>
          <a:pPr marL="0" lvl="0" indent="0" algn="ctr" defTabSz="222250">
            <a:lnSpc>
              <a:spcPct val="90000"/>
            </a:lnSpc>
            <a:spcBef>
              <a:spcPct val="0"/>
            </a:spcBef>
            <a:spcAft>
              <a:spcPct val="35000"/>
            </a:spcAft>
            <a:buNone/>
          </a:pPr>
          <a:r>
            <a:rPr lang="en-AU" sz="500" kern="1200">
              <a:solidFill>
                <a:sysClr val="windowText" lastClr="000000">
                  <a:hueOff val="0"/>
                  <a:satOff val="0"/>
                  <a:lumOff val="0"/>
                  <a:alphaOff val="0"/>
                </a:sysClr>
              </a:solidFill>
              <a:latin typeface="Calibri"/>
              <a:ea typeface="+mn-ea"/>
              <a:cs typeface="+mn-cs"/>
            </a:rPr>
            <a:t>Victroain Ombudman Report 2009</a:t>
          </a:r>
        </a:p>
      </dsp:txBody>
      <dsp:txXfrm>
        <a:off x="1669887" y="1257299"/>
        <a:ext cx="317810" cy="838200"/>
      </dsp:txXfrm>
    </dsp:sp>
    <dsp:sp modelId="{DB2961F4-CCB2-44ED-9AB3-67F55B34159E}">
      <dsp:nvSpPr>
        <dsp:cNvPr id="0" name=""/>
        <dsp:cNvSpPr/>
      </dsp:nvSpPr>
      <dsp:spPr>
        <a:xfrm>
          <a:off x="1724017" y="942975"/>
          <a:ext cx="209550" cy="20955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064E14B-BF10-4BB4-A559-D6B38F3F89C2}">
      <dsp:nvSpPr>
        <dsp:cNvPr id="0" name=""/>
        <dsp:cNvSpPr/>
      </dsp:nvSpPr>
      <dsp:spPr>
        <a:xfrm>
          <a:off x="2003588" y="0"/>
          <a:ext cx="317810" cy="838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b" anchorCtr="0">
          <a:noAutofit/>
        </a:bodyPr>
        <a:lstStyle/>
        <a:p>
          <a:pPr marL="0" lvl="0" indent="0" algn="ctr" defTabSz="222250">
            <a:lnSpc>
              <a:spcPct val="90000"/>
            </a:lnSpc>
            <a:spcBef>
              <a:spcPct val="0"/>
            </a:spcBef>
            <a:spcAft>
              <a:spcPct val="35000"/>
            </a:spcAft>
            <a:buNone/>
          </a:pPr>
          <a:r>
            <a:rPr lang="en-AU" sz="500" kern="1200">
              <a:solidFill>
                <a:sysClr val="windowText" lastClr="000000">
                  <a:hueOff val="0"/>
                  <a:satOff val="0"/>
                  <a:lumOff val="0"/>
                  <a:alphaOff val="0"/>
                </a:sysClr>
              </a:solidFill>
              <a:latin typeface="Calibri"/>
              <a:ea typeface="+mn-ea"/>
              <a:cs typeface="+mn-cs"/>
            </a:rPr>
            <a:t>VLRC Report 2010</a:t>
          </a:r>
        </a:p>
      </dsp:txBody>
      <dsp:txXfrm>
        <a:off x="2003588" y="0"/>
        <a:ext cx="317810" cy="838200"/>
      </dsp:txXfrm>
    </dsp:sp>
    <dsp:sp modelId="{D01A3982-6302-4484-B121-E1566D1CE2AB}">
      <dsp:nvSpPr>
        <dsp:cNvPr id="0" name=""/>
        <dsp:cNvSpPr/>
      </dsp:nvSpPr>
      <dsp:spPr>
        <a:xfrm>
          <a:off x="2057718" y="942975"/>
          <a:ext cx="209550" cy="20955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5B45099-D47E-4285-924C-89B74276E52F}">
      <dsp:nvSpPr>
        <dsp:cNvPr id="0" name=""/>
        <dsp:cNvSpPr/>
      </dsp:nvSpPr>
      <dsp:spPr>
        <a:xfrm>
          <a:off x="2337289" y="1257299"/>
          <a:ext cx="317810" cy="838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t" anchorCtr="0">
          <a:noAutofit/>
        </a:bodyPr>
        <a:lstStyle/>
        <a:p>
          <a:pPr marL="0" lvl="0" indent="0" algn="ctr" defTabSz="222250">
            <a:lnSpc>
              <a:spcPct val="90000"/>
            </a:lnSpc>
            <a:spcBef>
              <a:spcPct val="0"/>
            </a:spcBef>
            <a:spcAft>
              <a:spcPct val="35000"/>
            </a:spcAft>
            <a:buNone/>
          </a:pPr>
          <a:r>
            <a:rPr lang="en-AU" sz="500" kern="1200">
              <a:solidFill>
                <a:sysClr val="windowText" lastClr="000000">
                  <a:hueOff val="0"/>
                  <a:satOff val="0"/>
                  <a:lumOff val="0"/>
                  <a:alphaOff val="0"/>
                </a:sysClr>
              </a:solidFill>
              <a:latin typeface="Calibri"/>
              <a:ea typeface="+mn-ea"/>
              <a:cs typeface="+mn-cs"/>
            </a:rPr>
            <a:t>Victorian Ombudman Report 2010</a:t>
          </a:r>
        </a:p>
      </dsp:txBody>
      <dsp:txXfrm>
        <a:off x="2337289" y="1257299"/>
        <a:ext cx="317810" cy="838200"/>
      </dsp:txXfrm>
    </dsp:sp>
    <dsp:sp modelId="{273EDCB4-5ACC-4945-BBEF-71A29E24A96F}">
      <dsp:nvSpPr>
        <dsp:cNvPr id="0" name=""/>
        <dsp:cNvSpPr/>
      </dsp:nvSpPr>
      <dsp:spPr>
        <a:xfrm>
          <a:off x="2391419" y="942975"/>
          <a:ext cx="209550" cy="20955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4E7230D-3350-45D8-9CFB-9C90FB451F86}">
      <dsp:nvSpPr>
        <dsp:cNvPr id="0" name=""/>
        <dsp:cNvSpPr/>
      </dsp:nvSpPr>
      <dsp:spPr>
        <a:xfrm>
          <a:off x="2670990" y="0"/>
          <a:ext cx="317810" cy="838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b" anchorCtr="0">
          <a:noAutofit/>
        </a:bodyPr>
        <a:lstStyle/>
        <a:p>
          <a:pPr marL="0" lvl="0" indent="0" algn="ctr" defTabSz="222250">
            <a:lnSpc>
              <a:spcPct val="90000"/>
            </a:lnSpc>
            <a:spcBef>
              <a:spcPct val="0"/>
            </a:spcBef>
            <a:spcAft>
              <a:spcPct val="35000"/>
            </a:spcAft>
            <a:buNone/>
          </a:pPr>
          <a:r>
            <a:rPr lang="en-AU" sz="500" kern="1200">
              <a:solidFill>
                <a:sysClr val="windowText" lastClr="000000">
                  <a:hueOff val="0"/>
                  <a:satOff val="0"/>
                  <a:lumOff val="0"/>
                  <a:alphaOff val="0"/>
                </a:sysClr>
              </a:solidFill>
              <a:latin typeface="Calibri"/>
              <a:ea typeface="+mn-ea"/>
              <a:cs typeface="+mn-cs"/>
            </a:rPr>
            <a:t>Cummins 2012</a:t>
          </a:r>
        </a:p>
      </dsp:txBody>
      <dsp:txXfrm>
        <a:off x="2670990" y="0"/>
        <a:ext cx="317810" cy="838200"/>
      </dsp:txXfrm>
    </dsp:sp>
    <dsp:sp modelId="{A9B1FFA0-78BB-4AE8-B548-91B71187E3AA}">
      <dsp:nvSpPr>
        <dsp:cNvPr id="0" name=""/>
        <dsp:cNvSpPr/>
      </dsp:nvSpPr>
      <dsp:spPr>
        <a:xfrm>
          <a:off x="2725120" y="942975"/>
          <a:ext cx="209550" cy="20955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B74B9B5-FF92-465D-BCED-75AFA4D53C6B}">
      <dsp:nvSpPr>
        <dsp:cNvPr id="0" name=""/>
        <dsp:cNvSpPr/>
      </dsp:nvSpPr>
      <dsp:spPr>
        <a:xfrm>
          <a:off x="3004691" y="1257299"/>
          <a:ext cx="317810" cy="838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t" anchorCtr="0">
          <a:noAutofit/>
        </a:bodyPr>
        <a:lstStyle/>
        <a:p>
          <a:pPr marL="0" lvl="0" indent="0" algn="ctr" defTabSz="222250">
            <a:lnSpc>
              <a:spcPct val="90000"/>
            </a:lnSpc>
            <a:spcBef>
              <a:spcPct val="0"/>
            </a:spcBef>
            <a:spcAft>
              <a:spcPct val="35000"/>
            </a:spcAft>
            <a:buNone/>
          </a:pPr>
          <a:r>
            <a:rPr lang="en-AU" sz="500" kern="1200">
              <a:solidFill>
                <a:sysClr val="windowText" lastClr="000000">
                  <a:hueOff val="0"/>
                  <a:satOff val="0"/>
                  <a:lumOff val="0"/>
                  <a:alphaOff val="0"/>
                </a:sysClr>
              </a:solidFill>
              <a:latin typeface="Calibri"/>
              <a:ea typeface="+mn-ea"/>
              <a:cs typeface="+mn-cs"/>
            </a:rPr>
            <a:t>Office of the Public Advocate 2013</a:t>
          </a:r>
        </a:p>
      </dsp:txBody>
      <dsp:txXfrm>
        <a:off x="3004691" y="1257299"/>
        <a:ext cx="317810" cy="838200"/>
      </dsp:txXfrm>
    </dsp:sp>
    <dsp:sp modelId="{A51F8B4F-DE95-4859-A382-6B93912F3F8A}">
      <dsp:nvSpPr>
        <dsp:cNvPr id="0" name=""/>
        <dsp:cNvSpPr/>
      </dsp:nvSpPr>
      <dsp:spPr>
        <a:xfrm>
          <a:off x="3058821" y="942975"/>
          <a:ext cx="209550" cy="20955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130E890-752F-4239-84A9-6B5598AC4F60}">
      <dsp:nvSpPr>
        <dsp:cNvPr id="0" name=""/>
        <dsp:cNvSpPr/>
      </dsp:nvSpPr>
      <dsp:spPr>
        <a:xfrm>
          <a:off x="3338392" y="0"/>
          <a:ext cx="317810" cy="838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b" anchorCtr="0">
          <a:noAutofit/>
        </a:bodyPr>
        <a:lstStyle/>
        <a:p>
          <a:pPr marL="0" lvl="0" indent="0" algn="ctr" defTabSz="222250">
            <a:lnSpc>
              <a:spcPct val="90000"/>
            </a:lnSpc>
            <a:spcBef>
              <a:spcPct val="0"/>
            </a:spcBef>
            <a:spcAft>
              <a:spcPct val="35000"/>
            </a:spcAft>
            <a:buNone/>
          </a:pPr>
          <a:r>
            <a:rPr lang="en-AU" sz="500" kern="1200">
              <a:solidFill>
                <a:sysClr val="windowText" lastClr="000000">
                  <a:hueOff val="0"/>
                  <a:satOff val="0"/>
                  <a:lumOff val="0"/>
                  <a:alphaOff val="0"/>
                </a:sysClr>
              </a:solidFill>
              <a:latin typeface="Calibri"/>
              <a:ea typeface="+mn-ea"/>
              <a:cs typeface="+mn-cs"/>
            </a:rPr>
            <a:t>Residential Care Services for Children, VAGO 2014</a:t>
          </a:r>
        </a:p>
      </dsp:txBody>
      <dsp:txXfrm>
        <a:off x="3338392" y="0"/>
        <a:ext cx="317810" cy="838200"/>
      </dsp:txXfrm>
    </dsp:sp>
    <dsp:sp modelId="{A02F08E2-52FA-4FE6-89FB-86776C4F5E19}">
      <dsp:nvSpPr>
        <dsp:cNvPr id="0" name=""/>
        <dsp:cNvSpPr/>
      </dsp:nvSpPr>
      <dsp:spPr>
        <a:xfrm>
          <a:off x="3392522" y="942975"/>
          <a:ext cx="209550" cy="20955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9245DCB-C49E-4714-AFEF-1B8E5C47ABAD}">
      <dsp:nvSpPr>
        <dsp:cNvPr id="0" name=""/>
        <dsp:cNvSpPr/>
      </dsp:nvSpPr>
      <dsp:spPr>
        <a:xfrm>
          <a:off x="3672093" y="1257299"/>
          <a:ext cx="317810" cy="838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t" anchorCtr="0">
          <a:noAutofit/>
        </a:bodyPr>
        <a:lstStyle/>
        <a:p>
          <a:pPr marL="0" lvl="0" indent="0" algn="ctr" defTabSz="222250">
            <a:lnSpc>
              <a:spcPct val="90000"/>
            </a:lnSpc>
            <a:spcBef>
              <a:spcPct val="0"/>
            </a:spcBef>
            <a:spcAft>
              <a:spcPct val="35000"/>
            </a:spcAft>
            <a:buNone/>
          </a:pPr>
          <a:r>
            <a:rPr lang="en-AU" sz="500" kern="1200">
              <a:solidFill>
                <a:sysClr val="windowText" lastClr="000000">
                  <a:hueOff val="0"/>
                  <a:satOff val="0"/>
                  <a:lumOff val="0"/>
                  <a:alphaOff val="0"/>
                </a:sysClr>
              </a:solidFill>
              <a:latin typeface="Calibri"/>
              <a:ea typeface="+mn-ea"/>
              <a:cs typeface="+mn-cs"/>
            </a:rPr>
            <a:t>Children, Youth and Families Amendment (Permanent Care and Other Matters) Act 2014</a:t>
          </a:r>
        </a:p>
      </dsp:txBody>
      <dsp:txXfrm>
        <a:off x="3672093" y="1257299"/>
        <a:ext cx="317810" cy="838200"/>
      </dsp:txXfrm>
    </dsp:sp>
    <dsp:sp modelId="{99A3E923-C5C4-4BF8-A536-A645E05520D3}">
      <dsp:nvSpPr>
        <dsp:cNvPr id="0" name=""/>
        <dsp:cNvSpPr/>
      </dsp:nvSpPr>
      <dsp:spPr>
        <a:xfrm>
          <a:off x="3726223" y="942975"/>
          <a:ext cx="209550" cy="20955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E090ADC-56EF-4F0F-BA7C-54C8F219346E}">
      <dsp:nvSpPr>
        <dsp:cNvPr id="0" name=""/>
        <dsp:cNvSpPr/>
      </dsp:nvSpPr>
      <dsp:spPr>
        <a:xfrm>
          <a:off x="4005794" y="0"/>
          <a:ext cx="317810" cy="838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b" anchorCtr="0">
          <a:noAutofit/>
        </a:bodyPr>
        <a:lstStyle/>
        <a:p>
          <a:pPr marL="0" lvl="0" indent="0" algn="ctr" defTabSz="222250">
            <a:lnSpc>
              <a:spcPct val="90000"/>
            </a:lnSpc>
            <a:spcBef>
              <a:spcPct val="0"/>
            </a:spcBef>
            <a:spcAft>
              <a:spcPct val="35000"/>
            </a:spcAft>
            <a:buNone/>
          </a:pPr>
          <a:r>
            <a:rPr lang="en-AU" sz="500" kern="1200">
              <a:solidFill>
                <a:sysClr val="windowText" lastClr="000000">
                  <a:hueOff val="0"/>
                  <a:satOff val="0"/>
                  <a:lumOff val="0"/>
                  <a:alphaOff val="0"/>
                </a:sysClr>
              </a:solidFill>
              <a:latin typeface="Calibri"/>
              <a:ea typeface="+mn-ea"/>
              <a:cs typeface="+mn-cs"/>
            </a:rPr>
            <a:t>...as a good parent would..., CCYP, 2015</a:t>
          </a:r>
        </a:p>
      </dsp:txBody>
      <dsp:txXfrm>
        <a:off x="4005794" y="0"/>
        <a:ext cx="317810" cy="838200"/>
      </dsp:txXfrm>
    </dsp:sp>
    <dsp:sp modelId="{5BEAD2C0-FF56-43DC-B1FA-DB8FEFF2A01A}">
      <dsp:nvSpPr>
        <dsp:cNvPr id="0" name=""/>
        <dsp:cNvSpPr/>
      </dsp:nvSpPr>
      <dsp:spPr>
        <a:xfrm>
          <a:off x="4059924" y="942975"/>
          <a:ext cx="209550" cy="20955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15E01B0-5B53-428B-B55E-7DC6C927FB0E}">
      <dsp:nvSpPr>
        <dsp:cNvPr id="0" name=""/>
        <dsp:cNvSpPr/>
      </dsp:nvSpPr>
      <dsp:spPr>
        <a:xfrm>
          <a:off x="4339495" y="1257299"/>
          <a:ext cx="317810" cy="838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t" anchorCtr="0">
          <a:noAutofit/>
        </a:bodyPr>
        <a:lstStyle/>
        <a:p>
          <a:pPr marL="0" lvl="0" indent="0" algn="ctr" defTabSz="222250">
            <a:lnSpc>
              <a:spcPct val="90000"/>
            </a:lnSpc>
            <a:spcBef>
              <a:spcPct val="0"/>
            </a:spcBef>
            <a:spcAft>
              <a:spcPct val="35000"/>
            </a:spcAft>
            <a:buNone/>
          </a:pPr>
          <a:r>
            <a:rPr lang="en-AU" sz="500" kern="1200">
              <a:solidFill>
                <a:sysClr val="windowText" lastClr="000000">
                  <a:hueOff val="0"/>
                  <a:satOff val="0"/>
                  <a:lumOff val="0"/>
                  <a:alphaOff val="0"/>
                </a:sysClr>
              </a:solidFill>
              <a:latin typeface="Calibri"/>
              <a:ea typeface="+mn-ea"/>
              <a:cs typeface="+mn-cs"/>
            </a:rPr>
            <a:t> Office of the Public Advocate 2015</a:t>
          </a:r>
        </a:p>
      </dsp:txBody>
      <dsp:txXfrm>
        <a:off x="4339495" y="1257299"/>
        <a:ext cx="317810" cy="838200"/>
      </dsp:txXfrm>
    </dsp:sp>
    <dsp:sp modelId="{FA928755-7DC7-4AAC-86A0-ECA4B6010153}">
      <dsp:nvSpPr>
        <dsp:cNvPr id="0" name=""/>
        <dsp:cNvSpPr/>
      </dsp:nvSpPr>
      <dsp:spPr>
        <a:xfrm>
          <a:off x="4393626" y="942975"/>
          <a:ext cx="209550" cy="20955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8072049-FF2E-48C3-8B50-A6CC2D0097AB}">
      <dsp:nvSpPr>
        <dsp:cNvPr id="0" name=""/>
        <dsp:cNvSpPr/>
      </dsp:nvSpPr>
      <dsp:spPr>
        <a:xfrm>
          <a:off x="4673196" y="0"/>
          <a:ext cx="317810" cy="838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b" anchorCtr="0">
          <a:noAutofit/>
        </a:bodyPr>
        <a:lstStyle/>
        <a:p>
          <a:pPr marL="0" lvl="0" indent="0" algn="ctr" defTabSz="222250">
            <a:lnSpc>
              <a:spcPct val="90000"/>
            </a:lnSpc>
            <a:spcBef>
              <a:spcPct val="0"/>
            </a:spcBef>
            <a:spcAft>
              <a:spcPct val="35000"/>
            </a:spcAft>
            <a:buNone/>
          </a:pPr>
          <a:r>
            <a:rPr lang="en-AU" sz="500" kern="1200">
              <a:solidFill>
                <a:sysClr val="windowText" lastClr="000000">
                  <a:hueOff val="0"/>
                  <a:satOff val="0"/>
                  <a:lumOff val="0"/>
                  <a:alphaOff val="0"/>
                </a:sysClr>
              </a:solidFill>
              <a:latin typeface="Calibri"/>
              <a:ea typeface="+mn-ea"/>
              <a:cs typeface="+mn-cs"/>
            </a:rPr>
            <a:t>Early Intervention Services 2015 VAGO </a:t>
          </a:r>
        </a:p>
      </dsp:txBody>
      <dsp:txXfrm>
        <a:off x="4673196" y="0"/>
        <a:ext cx="317810" cy="838200"/>
      </dsp:txXfrm>
    </dsp:sp>
    <dsp:sp modelId="{4CDC71E6-B472-4B78-B6A0-1D7DE0E2D492}">
      <dsp:nvSpPr>
        <dsp:cNvPr id="0" name=""/>
        <dsp:cNvSpPr/>
      </dsp:nvSpPr>
      <dsp:spPr>
        <a:xfrm>
          <a:off x="4727327" y="942975"/>
          <a:ext cx="209550" cy="20955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E33BEA8-7E76-4307-B584-AB5BAF3EB751}">
      <dsp:nvSpPr>
        <dsp:cNvPr id="0" name=""/>
        <dsp:cNvSpPr/>
      </dsp:nvSpPr>
      <dsp:spPr>
        <a:xfrm>
          <a:off x="5006897" y="1257299"/>
          <a:ext cx="317810" cy="838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t" anchorCtr="0">
          <a:noAutofit/>
        </a:bodyPr>
        <a:lstStyle/>
        <a:p>
          <a:pPr marL="0" lvl="0" indent="0" algn="ctr" defTabSz="222250">
            <a:lnSpc>
              <a:spcPct val="90000"/>
            </a:lnSpc>
            <a:spcBef>
              <a:spcPct val="0"/>
            </a:spcBef>
            <a:spcAft>
              <a:spcPct val="35000"/>
            </a:spcAft>
            <a:buNone/>
          </a:pPr>
          <a:r>
            <a:rPr lang="en-AU" sz="500" kern="1200">
              <a:solidFill>
                <a:sysClr val="windowText" lastClr="000000">
                  <a:hueOff val="0"/>
                  <a:satOff val="0"/>
                  <a:lumOff val="0"/>
                  <a:alphaOff val="0"/>
                </a:sysClr>
              </a:solidFill>
              <a:latin typeface="Calibri"/>
              <a:ea typeface="+mn-ea"/>
              <a:cs typeface="+mn-cs"/>
            </a:rPr>
            <a:t>RCFV 2016</a:t>
          </a:r>
        </a:p>
      </dsp:txBody>
      <dsp:txXfrm>
        <a:off x="5006897" y="1257299"/>
        <a:ext cx="317810" cy="838200"/>
      </dsp:txXfrm>
    </dsp:sp>
    <dsp:sp modelId="{50998EEE-BFE4-40ED-B658-D1E1ED1EABD1}">
      <dsp:nvSpPr>
        <dsp:cNvPr id="0" name=""/>
        <dsp:cNvSpPr/>
      </dsp:nvSpPr>
      <dsp:spPr>
        <a:xfrm>
          <a:off x="5061028" y="942975"/>
          <a:ext cx="209550" cy="20955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5A2D7F0-DAA4-42EC-9C28-959009F0B7A3}">
      <dsp:nvSpPr>
        <dsp:cNvPr id="0" name=""/>
        <dsp:cNvSpPr/>
      </dsp:nvSpPr>
      <dsp:spPr>
        <a:xfrm>
          <a:off x="5340598" y="0"/>
          <a:ext cx="317810" cy="838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5560" tIns="35560" rIns="35560" bIns="35560" numCol="1" spcCol="1270" anchor="b" anchorCtr="0">
          <a:noAutofit/>
        </a:bodyPr>
        <a:lstStyle/>
        <a:p>
          <a:pPr marL="0" lvl="0" indent="0" algn="ctr" defTabSz="222250">
            <a:lnSpc>
              <a:spcPct val="90000"/>
            </a:lnSpc>
            <a:spcBef>
              <a:spcPct val="0"/>
            </a:spcBef>
            <a:spcAft>
              <a:spcPct val="35000"/>
            </a:spcAft>
            <a:buNone/>
          </a:pPr>
          <a:r>
            <a:rPr lang="en-AU" sz="500" kern="1200">
              <a:solidFill>
                <a:sysClr val="windowText" lastClr="000000">
                  <a:hueOff val="0"/>
                  <a:satOff val="0"/>
                  <a:lumOff val="0"/>
                  <a:alphaOff val="0"/>
                </a:sysClr>
              </a:solidFill>
              <a:latin typeface="Calibri"/>
              <a:ea typeface="+mn-ea"/>
              <a:cs typeface="+mn-cs"/>
            </a:rPr>
            <a:t>Roadmap to Reform 2016</a:t>
          </a:r>
        </a:p>
      </dsp:txBody>
      <dsp:txXfrm>
        <a:off x="5340598" y="0"/>
        <a:ext cx="317810" cy="838200"/>
      </dsp:txXfrm>
    </dsp:sp>
    <dsp:sp modelId="{3255D9F5-6F3F-4381-A298-6251979D6758}">
      <dsp:nvSpPr>
        <dsp:cNvPr id="0" name=""/>
        <dsp:cNvSpPr/>
      </dsp:nvSpPr>
      <dsp:spPr>
        <a:xfrm>
          <a:off x="5394729" y="942975"/>
          <a:ext cx="209550" cy="209550"/>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292CF-49CD-4950-B2AB-136BBC751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21858</Words>
  <Characters>126746</Characters>
  <Application>Microsoft Office Word</Application>
  <DocSecurity>0</DocSecurity>
  <Lines>1056</Lines>
  <Paragraphs>296</Paragraphs>
  <ScaleCrop>false</ScaleCrop>
  <HeadingPairs>
    <vt:vector size="2" baseType="variant">
      <vt:variant>
        <vt:lpstr>Title</vt:lpstr>
      </vt:variant>
      <vt:variant>
        <vt:i4>1</vt:i4>
      </vt:variant>
    </vt:vector>
  </HeadingPairs>
  <TitlesOfParts>
    <vt:vector size="1" baseType="lpstr">
      <vt:lpstr>Child Protection Review – Environmental scan</vt:lpstr>
    </vt:vector>
  </TitlesOfParts>
  <Company>Victoria Legal Aid</Company>
  <LinksUpToDate>false</LinksUpToDate>
  <CharactersWithSpaces>148308</CharactersWithSpaces>
  <SharedDoc>false</SharedDoc>
  <HLinks>
    <vt:vector size="18" baseType="variant">
      <vt:variant>
        <vt:i4>1179659</vt:i4>
      </vt:variant>
      <vt:variant>
        <vt:i4>20</vt:i4>
      </vt:variant>
      <vt:variant>
        <vt:i4>0</vt:i4>
      </vt:variant>
      <vt:variant>
        <vt:i4>5</vt:i4>
      </vt:variant>
      <vt:variant>
        <vt:lpwstr/>
      </vt:variant>
      <vt:variant>
        <vt:lpwstr>_Toc348615726</vt:lpwstr>
      </vt:variant>
      <vt:variant>
        <vt:i4>3342364</vt:i4>
      </vt:variant>
      <vt:variant>
        <vt:i4>3156</vt:i4>
      </vt:variant>
      <vt:variant>
        <vt:i4>1026</vt:i4>
      </vt:variant>
      <vt:variant>
        <vt:i4>1</vt:i4>
      </vt:variant>
      <vt:variant>
        <vt:lpwstr>vla_logo</vt:lpwstr>
      </vt:variant>
      <vt:variant>
        <vt:lpwstr/>
      </vt:variant>
      <vt:variant>
        <vt:i4>2687020</vt:i4>
      </vt:variant>
      <vt:variant>
        <vt:i4>3161</vt:i4>
      </vt:variant>
      <vt:variant>
        <vt:i4>1025</vt:i4>
      </vt:variant>
      <vt:variant>
        <vt:i4>1</vt:i4>
      </vt:variant>
      <vt:variant>
        <vt:lpwstr>vla_logo_hor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Review – Environmental scan</dc:title>
  <dc:subject/>
  <dc:creator>Victoria Legal Aid</dc:creator>
  <cp:keywords/>
  <dc:description/>
  <cp:lastModifiedBy/>
  <cp:revision>1</cp:revision>
  <dcterms:created xsi:type="dcterms:W3CDTF">2021-04-29T23:23:00Z</dcterms:created>
  <dcterms:modified xsi:type="dcterms:W3CDTF">2021-04-29T23:23:00Z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