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6d819edb9be415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9CE" w:rsidRPr="000D39CE" w:rsidRDefault="000D39CE" w:rsidP="00403B5D">
      <w:pPr>
        <w:pStyle w:val="Heading1"/>
      </w:pPr>
      <w:r>
        <w:t>Transforming the Community Legal Services Program</w:t>
      </w:r>
      <w:r w:rsidR="00403B5D">
        <w:t xml:space="preserve">: </w:t>
      </w:r>
      <w:r w:rsidRPr="000D39CE">
        <w:t>Table of actions by theme</w:t>
      </w:r>
    </w:p>
    <w:p w:rsidR="000D39CE" w:rsidRPr="003C357D" w:rsidRDefault="000D39CE" w:rsidP="000D39CE">
      <w:pPr>
        <w:rPr>
          <w:rFonts w:cs="Arial"/>
        </w:rPr>
      </w:pPr>
      <w:r w:rsidRPr="003C357D">
        <w:rPr>
          <w:rFonts w:cs="Arial"/>
        </w:rPr>
        <w:t xml:space="preserve">This table </w:t>
      </w:r>
      <w:r>
        <w:rPr>
          <w:rFonts w:cs="Arial"/>
        </w:rPr>
        <w:t>groups</w:t>
      </w:r>
      <w:r w:rsidRPr="003C357D">
        <w:rPr>
          <w:rFonts w:cs="Arial"/>
        </w:rPr>
        <w:t xml:space="preserve"> the </w:t>
      </w:r>
      <w:r w:rsidR="00403B5D">
        <w:rPr>
          <w:rFonts w:cs="Arial"/>
        </w:rPr>
        <w:t>actions</w:t>
      </w:r>
      <w:r w:rsidR="00403B5D">
        <w:rPr>
          <w:rStyle w:val="FootnoteReference"/>
          <w:rFonts w:cs="Arial"/>
        </w:rPr>
        <w:footnoteReference w:id="1"/>
      </w:r>
      <w:r w:rsidRPr="003C357D">
        <w:rPr>
          <w:rFonts w:cs="Arial"/>
        </w:rPr>
        <w:t xml:space="preserve"> developed in Phase 1 of the </w:t>
      </w:r>
      <w:r w:rsidR="005D5645">
        <w:rPr>
          <w:rFonts w:cs="Arial"/>
        </w:rPr>
        <w:t>CLSP Reform P</w:t>
      </w:r>
      <w:r w:rsidRPr="003C357D">
        <w:rPr>
          <w:rFonts w:cs="Arial"/>
        </w:rPr>
        <w:t xml:space="preserve">roject into the following thematic streams of work: </w:t>
      </w:r>
    </w:p>
    <w:p w:rsidR="000D39CE" w:rsidRPr="003C357D" w:rsidRDefault="000D39CE" w:rsidP="000D39CE">
      <w:pPr>
        <w:pStyle w:val="ListParagraph"/>
        <w:numPr>
          <w:ilvl w:val="0"/>
          <w:numId w:val="6"/>
        </w:numPr>
        <w:spacing w:after="120"/>
        <w:rPr>
          <w:rFonts w:cs="Arial"/>
        </w:rPr>
      </w:pPr>
      <w:r w:rsidRPr="003C357D">
        <w:rPr>
          <w:rFonts w:cs="Arial"/>
        </w:rPr>
        <w:t>Funding – Transparency, certainty and V</w:t>
      </w:r>
      <w:r>
        <w:rPr>
          <w:rFonts w:cs="Arial"/>
        </w:rPr>
        <w:t xml:space="preserve">ictoria </w:t>
      </w:r>
      <w:r w:rsidRPr="003C357D">
        <w:rPr>
          <w:rFonts w:cs="Arial"/>
        </w:rPr>
        <w:t>L</w:t>
      </w:r>
      <w:r>
        <w:rPr>
          <w:rFonts w:cs="Arial"/>
        </w:rPr>
        <w:t xml:space="preserve">egal </w:t>
      </w:r>
      <w:r w:rsidRPr="003C357D">
        <w:rPr>
          <w:rFonts w:cs="Arial"/>
        </w:rPr>
        <w:t>A</w:t>
      </w:r>
      <w:r>
        <w:rPr>
          <w:rFonts w:cs="Arial"/>
        </w:rPr>
        <w:t>id</w:t>
      </w:r>
      <w:r w:rsidRPr="003C357D">
        <w:rPr>
          <w:rFonts w:cs="Arial"/>
        </w:rPr>
        <w:t xml:space="preserve">’s </w:t>
      </w:r>
      <w:r>
        <w:rPr>
          <w:rFonts w:cs="Arial"/>
        </w:rPr>
        <w:t xml:space="preserve">(VLA) </w:t>
      </w:r>
      <w:r w:rsidRPr="003C357D">
        <w:rPr>
          <w:rFonts w:cs="Arial"/>
        </w:rPr>
        <w:t>role as a funder</w:t>
      </w:r>
    </w:p>
    <w:p w:rsidR="000D39CE" w:rsidRPr="003C357D" w:rsidRDefault="000D39CE" w:rsidP="000D39CE">
      <w:pPr>
        <w:pStyle w:val="ListParagraph"/>
        <w:numPr>
          <w:ilvl w:val="0"/>
          <w:numId w:val="6"/>
        </w:numPr>
        <w:spacing w:after="120"/>
        <w:rPr>
          <w:rFonts w:cs="Arial"/>
        </w:rPr>
      </w:pPr>
      <w:r w:rsidRPr="003C357D">
        <w:rPr>
          <w:rFonts w:cs="Arial"/>
        </w:rPr>
        <w:t xml:space="preserve">VLA’s relationship with specialist Aboriginal </w:t>
      </w:r>
      <w:r>
        <w:rPr>
          <w:rFonts w:cs="Arial"/>
        </w:rPr>
        <w:t xml:space="preserve">legal </w:t>
      </w:r>
      <w:r w:rsidRPr="003C357D">
        <w:rPr>
          <w:rFonts w:cs="Arial"/>
        </w:rPr>
        <w:t xml:space="preserve">services </w:t>
      </w:r>
    </w:p>
    <w:p w:rsidR="000D39CE" w:rsidRPr="003C357D" w:rsidRDefault="000D39CE" w:rsidP="000D39CE">
      <w:pPr>
        <w:pStyle w:val="ListParagraph"/>
        <w:numPr>
          <w:ilvl w:val="0"/>
          <w:numId w:val="6"/>
        </w:numPr>
        <w:spacing w:after="120"/>
        <w:rPr>
          <w:rFonts w:cs="Arial"/>
        </w:rPr>
      </w:pPr>
      <w:r w:rsidRPr="003C357D">
        <w:rPr>
          <w:rFonts w:cs="Arial"/>
        </w:rPr>
        <w:t xml:space="preserve">Improved administration of funding </w:t>
      </w:r>
    </w:p>
    <w:p w:rsidR="00403B5D" w:rsidRPr="003C357D" w:rsidRDefault="000D39CE" w:rsidP="000D39CE">
      <w:pPr>
        <w:pStyle w:val="ListParagraph"/>
        <w:numPr>
          <w:ilvl w:val="0"/>
          <w:numId w:val="6"/>
        </w:numPr>
        <w:spacing w:after="120"/>
        <w:rPr>
          <w:rFonts w:cs="Arial"/>
        </w:rPr>
      </w:pPr>
      <w:r w:rsidRPr="003C357D">
        <w:rPr>
          <w:rFonts w:cs="Arial"/>
        </w:rPr>
        <w:t>Capacity building and technology</w:t>
      </w:r>
    </w:p>
    <w:p w:rsidR="000D39CE" w:rsidRPr="00403B5D" w:rsidRDefault="000D39CE" w:rsidP="00403B5D">
      <w:pPr>
        <w:rPr>
          <w:rFonts w:cs="Arial"/>
        </w:rPr>
      </w:pPr>
      <w:bookmarkStart w:id="0" w:name="_Hlk536093955"/>
    </w:p>
    <w:tbl>
      <w:tblPr>
        <w:tblStyle w:val="TableGrid"/>
        <w:tblW w:w="8926" w:type="dxa"/>
        <w:tblLayout w:type="fixed"/>
        <w:tblLook w:val="04A0" w:firstRow="1" w:lastRow="0" w:firstColumn="1" w:lastColumn="0" w:noHBand="0" w:noVBand="1"/>
      </w:tblPr>
      <w:tblGrid>
        <w:gridCol w:w="8926"/>
      </w:tblGrid>
      <w:tr w:rsidR="000D39CE" w:rsidRPr="003C357D" w:rsidTr="000D39CE">
        <w:tc>
          <w:tcPr>
            <w:tcW w:w="8926" w:type="dxa"/>
            <w:shd w:val="clear" w:color="auto" w:fill="B4C6E7" w:themeFill="accent1" w:themeFillTint="66"/>
          </w:tcPr>
          <w:bookmarkEnd w:id="0"/>
          <w:p w:rsidR="000D39CE" w:rsidRPr="000B5B71" w:rsidRDefault="000D39CE" w:rsidP="000D39CE">
            <w:pPr>
              <w:pStyle w:val="ListParagraph"/>
              <w:numPr>
                <w:ilvl w:val="0"/>
                <w:numId w:val="3"/>
              </w:numPr>
              <w:spacing w:after="120"/>
              <w:rPr>
                <w:rFonts w:cs="Arial"/>
                <w:b/>
                <w:lang w:val="en-US"/>
              </w:rPr>
            </w:pPr>
            <w:r w:rsidRPr="000B5B71">
              <w:rPr>
                <w:rFonts w:cs="Arial"/>
                <w:b/>
                <w:lang w:val="en-US"/>
              </w:rPr>
              <w:t>Funding:  Transparency, certainty and VLA’s role as a funder</w:t>
            </w:r>
          </w:p>
        </w:tc>
      </w:tr>
      <w:tr w:rsidR="000D39CE" w:rsidRPr="003C357D" w:rsidTr="000D39CE">
        <w:tc>
          <w:tcPr>
            <w:tcW w:w="8926" w:type="dxa"/>
            <w:shd w:val="clear" w:color="auto" w:fill="D9E2F3" w:themeFill="accent1" w:themeFillTint="33"/>
          </w:tcPr>
          <w:p w:rsidR="000D39CE" w:rsidRPr="000B5B71" w:rsidRDefault="000D39CE" w:rsidP="000D39CE">
            <w:pPr>
              <w:pStyle w:val="CommentText"/>
              <w:numPr>
                <w:ilvl w:val="0"/>
                <w:numId w:val="4"/>
              </w:numPr>
              <w:rPr>
                <w:rFonts w:cs="Arial"/>
                <w:b/>
                <w:spacing w:val="-2"/>
                <w:kern w:val="22"/>
                <w:lang w:val="en-GB"/>
              </w:rPr>
            </w:pPr>
            <w:r w:rsidRPr="000B5B71">
              <w:rPr>
                <w:rFonts w:cs="Arial"/>
                <w:b/>
                <w:spacing w:val="-2"/>
                <w:kern w:val="22"/>
                <w:lang w:val="en-GB"/>
              </w:rPr>
              <w:t>General principles</w:t>
            </w:r>
          </w:p>
        </w:tc>
      </w:tr>
      <w:tr w:rsidR="000D39CE" w:rsidRPr="003C357D" w:rsidTr="000D39CE">
        <w:tc>
          <w:tcPr>
            <w:tcW w:w="8926" w:type="dxa"/>
          </w:tcPr>
          <w:p w:rsidR="000D39CE" w:rsidRPr="000B5B71" w:rsidRDefault="000D39CE" w:rsidP="003C357D">
            <w:pPr>
              <w:rPr>
                <w:rFonts w:cs="Arial"/>
                <w:b/>
                <w:i/>
                <w:spacing w:val="-2"/>
                <w:kern w:val="22"/>
                <w:lang w:val="en-GB"/>
              </w:rPr>
            </w:pPr>
            <w:bookmarkStart w:id="1" w:name="action1"/>
            <w:r w:rsidRPr="000B5B71">
              <w:rPr>
                <w:rFonts w:cs="Arial"/>
                <w:b/>
                <w:i/>
                <w:spacing w:val="-2"/>
                <w:kern w:val="22"/>
                <w:lang w:val="en-GB"/>
              </w:rPr>
              <w:t xml:space="preserve">Action 1 </w:t>
            </w:r>
            <w:r w:rsidRPr="000B5B71">
              <w:rPr>
                <w:rFonts w:cs="Arial"/>
                <w:i/>
                <w:spacing w:val="-2"/>
                <w:kern w:val="22"/>
                <w:lang w:val="en-GB"/>
              </w:rPr>
              <w:t>As a major funder of CLCs, with a commitment to increasing the size of the CLC sector, VLA will take up a stronger and more decisive role in relation to funding decisions and ongoing monitoring of funded services</w:t>
            </w:r>
            <w:bookmarkEnd w:id="1"/>
          </w:p>
        </w:tc>
      </w:tr>
      <w:tr w:rsidR="000D39CE" w:rsidRPr="003C357D" w:rsidTr="000D39CE">
        <w:tc>
          <w:tcPr>
            <w:tcW w:w="8926" w:type="dxa"/>
            <w:tcBorders>
              <w:top w:val="single" w:sz="4" w:space="0" w:color="auto"/>
            </w:tcBorders>
          </w:tcPr>
          <w:p w:rsidR="000D39CE" w:rsidRPr="000B5B71" w:rsidRDefault="000D39CE" w:rsidP="003C357D">
            <w:pPr>
              <w:rPr>
                <w:rFonts w:cs="Arial"/>
                <w:i/>
                <w:spacing w:val="-2"/>
                <w:kern w:val="22"/>
                <w:lang w:val="en-GB"/>
              </w:rPr>
            </w:pPr>
            <w:bookmarkStart w:id="2" w:name="action5"/>
            <w:r w:rsidRPr="000B5B71">
              <w:rPr>
                <w:rFonts w:cs="Arial"/>
                <w:b/>
                <w:i/>
                <w:spacing w:val="-2"/>
                <w:kern w:val="22"/>
                <w:lang w:val="en-GB"/>
              </w:rPr>
              <w:t xml:space="preserve">Action 5 </w:t>
            </w:r>
            <w:r w:rsidRPr="000B5B71">
              <w:rPr>
                <w:rFonts w:cs="Arial"/>
                <w:i/>
                <w:spacing w:val="-2"/>
                <w:kern w:val="22"/>
                <w:lang w:val="en-GB"/>
              </w:rPr>
              <w:t>VLA will continue to support CLCs to operate using a mixed service approach, including by encouraging CLCs to advocate on behalf of their clients and communities. This will be noted in the New Agreement</w:t>
            </w:r>
            <w:bookmarkStart w:id="3" w:name="action13"/>
            <w:bookmarkEnd w:id="2"/>
          </w:p>
          <w:p w:rsidR="000D39CE" w:rsidRPr="003C357D" w:rsidRDefault="000D39CE" w:rsidP="003C357D">
            <w:pPr>
              <w:rPr>
                <w:rFonts w:cs="Arial"/>
                <w:i/>
                <w:spacing w:val="-2"/>
                <w:kern w:val="22"/>
                <w:lang w:val="en-GB"/>
              </w:rPr>
            </w:pPr>
            <w:r w:rsidRPr="003C357D">
              <w:rPr>
                <w:rFonts w:cs="Arial"/>
                <w:b/>
                <w:i/>
                <w:spacing w:val="-2"/>
                <w:kern w:val="22"/>
                <w:lang w:val="en-GB"/>
              </w:rPr>
              <w:t xml:space="preserve">Action 13 </w:t>
            </w:r>
            <w:r w:rsidRPr="003C357D">
              <w:rPr>
                <w:rFonts w:cs="Arial"/>
                <w:i/>
                <w:spacing w:val="-2"/>
                <w:kern w:val="22"/>
                <w:lang w:val="en-GB"/>
              </w:rPr>
              <w:t>VLA will not seek to inhibit early intervention or systemic advocacy activities in CLCs</w:t>
            </w:r>
            <w:bookmarkEnd w:id="3"/>
            <w:r w:rsidRPr="003C357D">
              <w:rPr>
                <w:rFonts w:cs="Arial"/>
                <w:i/>
                <w:spacing w:val="-2"/>
                <w:kern w:val="22"/>
                <w:lang w:val="en-GB"/>
              </w:rPr>
              <w:t>.</w:t>
            </w:r>
          </w:p>
        </w:tc>
      </w:tr>
      <w:tr w:rsidR="000D39CE" w:rsidRPr="003C357D" w:rsidTr="000D39CE">
        <w:tc>
          <w:tcPr>
            <w:tcW w:w="8926" w:type="dxa"/>
          </w:tcPr>
          <w:p w:rsidR="000D39CE" w:rsidRPr="000B5B71" w:rsidRDefault="000D39CE" w:rsidP="003C357D">
            <w:pPr>
              <w:rPr>
                <w:rFonts w:cs="Arial"/>
                <w:b/>
                <w:i/>
                <w:lang w:val="en-GB"/>
              </w:rPr>
            </w:pPr>
            <w:bookmarkStart w:id="4" w:name="action046"/>
            <w:r w:rsidRPr="000B5B71">
              <w:rPr>
                <w:rFonts w:cs="Arial"/>
                <w:b/>
                <w:i/>
                <w:lang w:val="en-GB"/>
              </w:rPr>
              <w:t xml:space="preserve">Action 44 </w:t>
            </w:r>
            <w:r w:rsidRPr="000B5B71">
              <w:rPr>
                <w:rFonts w:cs="Arial"/>
                <w:i/>
                <w:lang w:val="en-GB"/>
              </w:rPr>
              <w:t>VLA will consider its role as system coordinator and will support CLCs to continue to have direct relationships with multiple funders and different areas of government, as appropriate</w:t>
            </w:r>
            <w:bookmarkEnd w:id="4"/>
            <w:r w:rsidRPr="000B5B71">
              <w:rPr>
                <w:rFonts w:cs="Arial"/>
                <w:i/>
                <w:lang w:val="en-GB"/>
              </w:rPr>
              <w:t>.</w:t>
            </w:r>
          </w:p>
        </w:tc>
      </w:tr>
      <w:tr w:rsidR="000D39CE" w:rsidRPr="003C357D" w:rsidTr="000D39CE">
        <w:tc>
          <w:tcPr>
            <w:tcW w:w="8926" w:type="dxa"/>
            <w:shd w:val="clear" w:color="auto" w:fill="D9E2F3" w:themeFill="accent1" w:themeFillTint="33"/>
          </w:tcPr>
          <w:p w:rsidR="000D39CE" w:rsidRPr="000B5B71" w:rsidRDefault="000D39CE" w:rsidP="000D39CE">
            <w:pPr>
              <w:pStyle w:val="ListParagraph"/>
              <w:numPr>
                <w:ilvl w:val="0"/>
                <w:numId w:val="4"/>
              </w:numPr>
              <w:spacing w:after="120"/>
              <w:rPr>
                <w:rFonts w:cs="Arial"/>
                <w:b/>
                <w:spacing w:val="-2"/>
                <w:kern w:val="22"/>
                <w:lang w:val="en-GB"/>
              </w:rPr>
            </w:pPr>
            <w:r w:rsidRPr="000B5B71">
              <w:rPr>
                <w:rFonts w:cs="Arial"/>
                <w:b/>
                <w:spacing w:val="-2"/>
                <w:kern w:val="22"/>
                <w:lang w:val="en-GB"/>
              </w:rPr>
              <w:t xml:space="preserve">Targeted funding – </w:t>
            </w:r>
            <w:r>
              <w:rPr>
                <w:rFonts w:cs="Arial"/>
                <w:b/>
                <w:spacing w:val="-2"/>
                <w:kern w:val="22"/>
                <w:lang w:val="en-GB"/>
              </w:rPr>
              <w:t>Q</w:t>
            </w:r>
            <w:r w:rsidRPr="000B5B71">
              <w:rPr>
                <w:rFonts w:cs="Arial"/>
                <w:b/>
                <w:spacing w:val="-2"/>
                <w:kern w:val="22"/>
                <w:lang w:val="en-GB"/>
              </w:rPr>
              <w:t>uality and meeting legal need</w:t>
            </w:r>
          </w:p>
        </w:tc>
      </w:tr>
      <w:tr w:rsidR="000D39CE" w:rsidRPr="003C357D" w:rsidTr="000D39CE">
        <w:trPr>
          <w:trHeight w:val="1638"/>
        </w:trPr>
        <w:tc>
          <w:tcPr>
            <w:tcW w:w="8926" w:type="dxa"/>
            <w:tcBorders>
              <w:top w:val="single" w:sz="4" w:space="0" w:color="auto"/>
              <w:left w:val="single" w:sz="4" w:space="0" w:color="auto"/>
              <w:right w:val="single" w:sz="4" w:space="0" w:color="auto"/>
            </w:tcBorders>
          </w:tcPr>
          <w:p w:rsidR="000D39CE" w:rsidRPr="000B5B71" w:rsidRDefault="000D39CE" w:rsidP="003C357D">
            <w:pPr>
              <w:rPr>
                <w:rFonts w:cs="Arial"/>
                <w:i/>
                <w:spacing w:val="-2"/>
                <w:kern w:val="22"/>
                <w:lang w:val="en-GB"/>
              </w:rPr>
            </w:pPr>
            <w:r w:rsidRPr="000B5B71">
              <w:rPr>
                <w:rFonts w:cs="Arial"/>
                <w:b/>
                <w:i/>
                <w:spacing w:val="-2"/>
                <w:kern w:val="22"/>
                <w:lang w:val="en-GB"/>
              </w:rPr>
              <w:t xml:space="preserve">Action 2 </w:t>
            </w:r>
            <w:r w:rsidRPr="000B5B71">
              <w:rPr>
                <w:rFonts w:cs="Arial"/>
                <w:i/>
                <w:spacing w:val="-2"/>
                <w:kern w:val="22"/>
                <w:lang w:val="en-GB"/>
              </w:rPr>
              <w:t xml:space="preserve">VLA will allocate all future funding to services that can demonstrate capacity and capability to address legal need through providing a range of high-quality legal services </w:t>
            </w:r>
          </w:p>
          <w:p w:rsidR="000D39CE" w:rsidRPr="003C357D" w:rsidRDefault="000D39CE" w:rsidP="003C357D">
            <w:pPr>
              <w:rPr>
                <w:rFonts w:cs="Arial"/>
                <w:i/>
                <w:spacing w:val="-2"/>
                <w:kern w:val="22"/>
                <w:lang w:val="en-GB"/>
              </w:rPr>
            </w:pPr>
            <w:r w:rsidRPr="003C357D">
              <w:rPr>
                <w:rFonts w:cs="Arial"/>
                <w:b/>
                <w:i/>
                <w:spacing w:val="-2"/>
                <w:kern w:val="22"/>
                <w:lang w:val="en-GB"/>
              </w:rPr>
              <w:t xml:space="preserve">Action 3 </w:t>
            </w:r>
            <w:r w:rsidRPr="003C357D">
              <w:rPr>
                <w:rFonts w:cs="Arial"/>
                <w:i/>
                <w:spacing w:val="-2"/>
                <w:kern w:val="22"/>
                <w:lang w:val="en-GB"/>
              </w:rPr>
              <w:t>develop more transparent criteria and elig</w:t>
            </w:r>
            <w:bookmarkStart w:id="5" w:name="_GoBack"/>
            <w:bookmarkEnd w:id="5"/>
            <w:r w:rsidRPr="003C357D">
              <w:rPr>
                <w:rFonts w:cs="Arial"/>
                <w:i/>
                <w:spacing w:val="-2"/>
                <w:kern w:val="22"/>
                <w:lang w:val="en-GB"/>
              </w:rPr>
              <w:t>ibility for funding which is targeted to address legal need</w:t>
            </w:r>
          </w:p>
          <w:p w:rsidR="000D39CE" w:rsidRPr="003C357D" w:rsidRDefault="000D39CE" w:rsidP="003C357D">
            <w:pPr>
              <w:rPr>
                <w:rFonts w:cs="Arial"/>
                <w:b/>
                <w:i/>
                <w:spacing w:val="-2"/>
                <w:kern w:val="22"/>
                <w:lang w:val="en-GB"/>
              </w:rPr>
            </w:pPr>
            <w:r w:rsidRPr="003C357D">
              <w:rPr>
                <w:rFonts w:cs="Arial"/>
                <w:b/>
                <w:i/>
                <w:spacing w:val="-2"/>
                <w:kern w:val="22"/>
                <w:lang w:val="en-GB"/>
              </w:rPr>
              <w:t xml:space="preserve">Action 12 </w:t>
            </w:r>
            <w:r w:rsidRPr="003C357D">
              <w:rPr>
                <w:rFonts w:cs="Arial"/>
                <w:i/>
                <w:spacing w:val="-2"/>
                <w:kern w:val="22"/>
                <w:lang w:val="en-GB"/>
              </w:rPr>
              <w:t>set clear funding guidelines that avoid over-prescription of CLC activities and remain relatively stable over time</w:t>
            </w:r>
          </w:p>
        </w:tc>
      </w:tr>
      <w:tr w:rsidR="000D39CE" w:rsidRPr="003C357D" w:rsidTr="000D39CE">
        <w:tc>
          <w:tcPr>
            <w:tcW w:w="8926" w:type="dxa"/>
            <w:tcBorders>
              <w:bottom w:val="single" w:sz="4" w:space="0" w:color="auto"/>
            </w:tcBorders>
          </w:tcPr>
          <w:p w:rsidR="000D39CE" w:rsidRPr="000B5B71" w:rsidRDefault="000D39CE" w:rsidP="003C357D">
            <w:pPr>
              <w:rPr>
                <w:rFonts w:cs="Arial"/>
                <w:b/>
                <w:i/>
                <w:spacing w:val="-2"/>
                <w:kern w:val="22"/>
                <w:lang w:val="en-GB"/>
              </w:rPr>
            </w:pPr>
            <w:bookmarkStart w:id="6" w:name="action7"/>
            <w:r w:rsidRPr="000B5B71">
              <w:rPr>
                <w:rFonts w:cs="Arial"/>
                <w:b/>
                <w:i/>
                <w:spacing w:val="-2"/>
                <w:kern w:val="22"/>
                <w:lang w:val="en-GB"/>
              </w:rPr>
              <w:t xml:space="preserve">Action 7 </w:t>
            </w:r>
            <w:r w:rsidRPr="000B5B71">
              <w:rPr>
                <w:rFonts w:cs="Arial"/>
                <w:i/>
                <w:spacing w:val="-2"/>
                <w:kern w:val="22"/>
                <w:lang w:val="en-GB"/>
              </w:rPr>
              <w:t>set new minimum standards for CLC board and management capability</w:t>
            </w:r>
            <w:bookmarkEnd w:id="6"/>
          </w:p>
        </w:tc>
      </w:tr>
      <w:tr w:rsidR="000D39CE" w:rsidRPr="003C357D" w:rsidTr="000D39CE">
        <w:tc>
          <w:tcPr>
            <w:tcW w:w="8926" w:type="dxa"/>
            <w:tcBorders>
              <w:bottom w:val="single" w:sz="4" w:space="0" w:color="auto"/>
            </w:tcBorders>
          </w:tcPr>
          <w:p w:rsidR="000D39CE" w:rsidRPr="000B5B71" w:rsidRDefault="000D39CE" w:rsidP="003C357D">
            <w:pPr>
              <w:rPr>
                <w:rFonts w:cs="Arial"/>
                <w:b/>
                <w:i/>
                <w:spacing w:val="-2"/>
                <w:kern w:val="22"/>
                <w:lang w:val="en-GB"/>
              </w:rPr>
            </w:pPr>
            <w:r w:rsidRPr="000B5B71">
              <w:rPr>
                <w:rFonts w:cs="Arial"/>
                <w:b/>
                <w:i/>
                <w:spacing w:val="-2"/>
                <w:kern w:val="22"/>
                <w:lang w:val="en-GB"/>
              </w:rPr>
              <w:t xml:space="preserve">Action 8 </w:t>
            </w:r>
            <w:r w:rsidRPr="000B5B71">
              <w:rPr>
                <w:rFonts w:cs="Arial"/>
                <w:i/>
                <w:spacing w:val="-2"/>
                <w:kern w:val="22"/>
                <w:lang w:val="en-GB"/>
              </w:rPr>
              <w:t xml:space="preserve">ensure that all future funding is allocated to services that comply with existing and/or new risk management frameworks and continuous learning and quality improvement; for example, the </w:t>
            </w:r>
            <w:r w:rsidRPr="000B5B71">
              <w:rPr>
                <w:rFonts w:cs="Arial"/>
                <w:i/>
                <w:spacing w:val="-2"/>
                <w:kern w:val="22"/>
                <w:lang w:val="en-GB"/>
              </w:rPr>
              <w:lastRenderedPageBreak/>
              <w:t>CLC National Accreditation Scheme (NAS) and the PII Risk Management Guide, and/or other frameworks to be developed and agreed with the sector.</w:t>
            </w:r>
          </w:p>
        </w:tc>
      </w:tr>
      <w:tr w:rsidR="000D39CE" w:rsidRPr="003C357D" w:rsidTr="000D39CE">
        <w:tc>
          <w:tcPr>
            <w:tcW w:w="8926" w:type="dxa"/>
            <w:tcBorders>
              <w:bottom w:val="single" w:sz="4" w:space="0" w:color="auto"/>
              <w:right w:val="single" w:sz="4" w:space="0" w:color="auto"/>
            </w:tcBorders>
          </w:tcPr>
          <w:p w:rsidR="000D39CE" w:rsidRPr="003C357D" w:rsidRDefault="000D39CE" w:rsidP="003C357D">
            <w:pPr>
              <w:rPr>
                <w:rFonts w:cs="Arial"/>
                <w:i/>
              </w:rPr>
            </w:pPr>
            <w:r w:rsidRPr="000B5B71">
              <w:rPr>
                <w:rFonts w:cs="Arial"/>
                <w:b/>
                <w:i/>
                <w:spacing w:val="-2"/>
                <w:kern w:val="22"/>
                <w:lang w:val="en-GB"/>
              </w:rPr>
              <w:lastRenderedPageBreak/>
              <w:t xml:space="preserve">Action 9 </w:t>
            </w:r>
            <w:r w:rsidRPr="000B5B71">
              <w:rPr>
                <w:rFonts w:cs="Arial"/>
                <w:i/>
                <w:spacing w:val="-2"/>
                <w:kern w:val="22"/>
                <w:lang w:val="en-GB"/>
              </w:rPr>
              <w:t>ensure that all funded CLCs meet agreed attributes and competencies (acknowledging differences between CLCs) and with due consideration of the unique needs of rural, regional and remote (RRR) services, CLC specialisations and centres receiving multi-source funding, particularly where VLA is not the major funder. These attributes will be regularly reviewed</w:t>
            </w:r>
          </w:p>
        </w:tc>
      </w:tr>
      <w:tr w:rsidR="000D39CE" w:rsidRPr="003C357D" w:rsidTr="000D39CE">
        <w:tc>
          <w:tcPr>
            <w:tcW w:w="8926" w:type="dxa"/>
            <w:tcBorders>
              <w:top w:val="single" w:sz="4" w:space="0" w:color="auto"/>
            </w:tcBorders>
            <w:shd w:val="clear" w:color="auto" w:fill="D9E2F3" w:themeFill="accent1" w:themeFillTint="33"/>
          </w:tcPr>
          <w:p w:rsidR="000D39CE" w:rsidRPr="000B5B71" w:rsidRDefault="000D39CE" w:rsidP="000D39CE">
            <w:pPr>
              <w:pStyle w:val="ListParagraph"/>
              <w:numPr>
                <w:ilvl w:val="0"/>
                <w:numId w:val="4"/>
              </w:numPr>
              <w:spacing w:after="120"/>
              <w:rPr>
                <w:rFonts w:cs="Arial"/>
                <w:b/>
                <w:spacing w:val="-2"/>
                <w:kern w:val="22"/>
                <w:lang w:val="en-GB"/>
              </w:rPr>
            </w:pPr>
            <w:r w:rsidRPr="000B5B71">
              <w:rPr>
                <w:rFonts w:cs="Arial"/>
                <w:b/>
                <w:spacing w:val="-2"/>
                <w:kern w:val="22"/>
                <w:lang w:val="en-GB"/>
              </w:rPr>
              <w:t>Co-ordination and collaboration</w:t>
            </w:r>
          </w:p>
        </w:tc>
      </w:tr>
      <w:tr w:rsidR="000D39CE" w:rsidRPr="003C357D" w:rsidTr="000D39CE">
        <w:trPr>
          <w:trHeight w:val="538"/>
        </w:trPr>
        <w:tc>
          <w:tcPr>
            <w:tcW w:w="8926" w:type="dxa"/>
          </w:tcPr>
          <w:p w:rsidR="000D39CE" w:rsidRPr="000B5B71" w:rsidRDefault="000D39CE" w:rsidP="003C357D">
            <w:pPr>
              <w:rPr>
                <w:rFonts w:cs="Arial"/>
                <w:b/>
                <w:i/>
                <w:spacing w:val="-2"/>
                <w:kern w:val="22"/>
                <w:lang w:val="en-GB"/>
              </w:rPr>
            </w:pPr>
            <w:bookmarkStart w:id="7" w:name="action16"/>
            <w:r w:rsidRPr="000B5B71">
              <w:rPr>
                <w:rFonts w:cs="Arial"/>
                <w:b/>
                <w:i/>
                <w:spacing w:val="-2"/>
                <w:kern w:val="22"/>
                <w:lang w:val="en-GB"/>
              </w:rPr>
              <w:t xml:space="preserve">Action 16 </w:t>
            </w:r>
            <w:r w:rsidRPr="000B5B71">
              <w:rPr>
                <w:rFonts w:cs="Arial"/>
                <w:i/>
                <w:spacing w:val="-2"/>
                <w:kern w:val="22"/>
                <w:lang w:val="en-GB"/>
              </w:rPr>
              <w:t>ensure that co-ordination of legal assistance service delivery is a cornerstone of future funding agreements</w:t>
            </w:r>
            <w:bookmarkEnd w:id="7"/>
          </w:p>
        </w:tc>
      </w:tr>
      <w:tr w:rsidR="000D39CE" w:rsidRPr="003C357D" w:rsidTr="000D39CE">
        <w:tc>
          <w:tcPr>
            <w:tcW w:w="8926" w:type="dxa"/>
            <w:shd w:val="clear" w:color="auto" w:fill="D9E2F3" w:themeFill="accent1" w:themeFillTint="33"/>
          </w:tcPr>
          <w:p w:rsidR="000D39CE" w:rsidRPr="000B5B71" w:rsidRDefault="000D39CE" w:rsidP="000D39CE">
            <w:pPr>
              <w:pStyle w:val="ListParagraph"/>
              <w:numPr>
                <w:ilvl w:val="0"/>
                <w:numId w:val="4"/>
              </w:numPr>
              <w:spacing w:after="120"/>
              <w:rPr>
                <w:rFonts w:cs="Arial"/>
                <w:b/>
                <w:spacing w:val="-2"/>
                <w:kern w:val="22"/>
                <w:lang w:val="en-GB"/>
              </w:rPr>
            </w:pPr>
            <w:r w:rsidRPr="000B5B71">
              <w:rPr>
                <w:rFonts w:cs="Arial"/>
                <w:b/>
                <w:spacing w:val="-2"/>
                <w:kern w:val="22"/>
                <w:lang w:val="en-GB"/>
              </w:rPr>
              <w:t>Transparency</w:t>
            </w:r>
          </w:p>
        </w:tc>
      </w:tr>
      <w:tr w:rsidR="000D39CE" w:rsidRPr="003C357D" w:rsidTr="000D39CE">
        <w:trPr>
          <w:trHeight w:val="1603"/>
        </w:trPr>
        <w:tc>
          <w:tcPr>
            <w:tcW w:w="8926" w:type="dxa"/>
          </w:tcPr>
          <w:p w:rsidR="000D39CE" w:rsidRPr="000B5B71" w:rsidRDefault="000D39CE" w:rsidP="003C357D">
            <w:pPr>
              <w:rPr>
                <w:rFonts w:cs="Arial"/>
                <w:i/>
                <w:spacing w:val="-2"/>
                <w:kern w:val="22"/>
                <w:lang w:val="en-GB"/>
              </w:rPr>
            </w:pPr>
            <w:r w:rsidRPr="000B5B71">
              <w:rPr>
                <w:rFonts w:cs="Arial"/>
                <w:b/>
                <w:i/>
                <w:spacing w:val="-2"/>
                <w:kern w:val="22"/>
                <w:lang w:val="en-GB"/>
              </w:rPr>
              <w:t xml:space="preserve">Action 17 </w:t>
            </w:r>
            <w:r w:rsidRPr="000B5B71">
              <w:rPr>
                <w:rFonts w:cs="Arial"/>
                <w:i/>
                <w:spacing w:val="-2"/>
                <w:kern w:val="22"/>
                <w:lang w:val="en-GB"/>
              </w:rPr>
              <w:t>ensure that there is</w:t>
            </w:r>
          </w:p>
          <w:p w:rsidR="000D39CE" w:rsidRPr="000B5B71" w:rsidRDefault="000D39CE" w:rsidP="003C357D">
            <w:pPr>
              <w:rPr>
                <w:rFonts w:cs="Arial"/>
                <w:i/>
                <w:spacing w:val="-2"/>
                <w:kern w:val="22"/>
                <w:lang w:val="en-GB"/>
              </w:rPr>
            </w:pPr>
            <w:r w:rsidRPr="000B5B71">
              <w:rPr>
                <w:rFonts w:cs="Arial"/>
                <w:i/>
                <w:spacing w:val="-2"/>
                <w:kern w:val="22"/>
                <w:lang w:val="en-GB"/>
              </w:rPr>
              <w:t xml:space="preserve"> (a) greater transparency around funding arrangements and </w:t>
            </w:r>
          </w:p>
          <w:p w:rsidR="000D39CE" w:rsidRPr="003C357D" w:rsidRDefault="000D39CE" w:rsidP="003C357D">
            <w:pPr>
              <w:rPr>
                <w:rFonts w:cs="Arial"/>
                <w:i/>
                <w:spacing w:val="-2"/>
                <w:kern w:val="22"/>
                <w:lang w:val="en-GB"/>
              </w:rPr>
            </w:pPr>
            <w:r w:rsidRPr="003C357D">
              <w:rPr>
                <w:rFonts w:cs="Arial"/>
                <w:i/>
                <w:spacing w:val="-2"/>
                <w:kern w:val="22"/>
                <w:lang w:val="en-GB"/>
              </w:rPr>
              <w:t xml:space="preserve">(b) better public access to service data. </w:t>
            </w:r>
          </w:p>
          <w:p w:rsidR="000D39CE" w:rsidRPr="003C357D" w:rsidRDefault="000D39CE" w:rsidP="003C357D">
            <w:pPr>
              <w:rPr>
                <w:rFonts w:cs="Arial"/>
                <w:b/>
                <w:i/>
                <w:spacing w:val="-2"/>
                <w:kern w:val="22"/>
                <w:lang w:val="en-GB"/>
              </w:rPr>
            </w:pPr>
            <w:r w:rsidRPr="003C357D">
              <w:rPr>
                <w:rFonts w:cs="Arial"/>
                <w:i/>
                <w:spacing w:val="-2"/>
                <w:kern w:val="22"/>
                <w:lang w:val="en-GB"/>
              </w:rPr>
              <w:t>This will include establishing reasonable limits on shared information to uphold privacy and confidentiality of client and service information</w:t>
            </w:r>
          </w:p>
        </w:tc>
      </w:tr>
      <w:tr w:rsidR="000D39CE" w:rsidRPr="003C357D" w:rsidTr="000D39CE">
        <w:tc>
          <w:tcPr>
            <w:tcW w:w="8926" w:type="dxa"/>
            <w:shd w:val="clear" w:color="auto" w:fill="D9E2F3" w:themeFill="accent1" w:themeFillTint="33"/>
          </w:tcPr>
          <w:p w:rsidR="000D39CE" w:rsidRPr="000B5B71" w:rsidRDefault="000D39CE" w:rsidP="000D39CE">
            <w:pPr>
              <w:pStyle w:val="ListParagraph"/>
              <w:numPr>
                <w:ilvl w:val="0"/>
                <w:numId w:val="4"/>
              </w:numPr>
              <w:spacing w:after="120"/>
              <w:rPr>
                <w:rFonts w:cs="Arial"/>
                <w:b/>
                <w:spacing w:val="-2"/>
                <w:kern w:val="22"/>
                <w:lang w:val="en-GB"/>
              </w:rPr>
            </w:pPr>
            <w:r w:rsidRPr="000B5B71">
              <w:rPr>
                <w:rFonts w:cs="Arial"/>
                <w:b/>
                <w:spacing w:val="-2"/>
                <w:kern w:val="22"/>
                <w:lang w:val="en-GB"/>
              </w:rPr>
              <w:t>Certainty</w:t>
            </w:r>
          </w:p>
        </w:tc>
      </w:tr>
      <w:tr w:rsidR="000D39CE" w:rsidRPr="003C357D" w:rsidTr="000D39CE">
        <w:tc>
          <w:tcPr>
            <w:tcW w:w="8926" w:type="dxa"/>
          </w:tcPr>
          <w:p w:rsidR="000D39CE" w:rsidRPr="000B5B71" w:rsidRDefault="000D39CE" w:rsidP="003C357D">
            <w:pPr>
              <w:rPr>
                <w:rFonts w:cs="Arial"/>
                <w:b/>
                <w:i/>
                <w:lang w:val="en-GB"/>
              </w:rPr>
            </w:pPr>
            <w:bookmarkStart w:id="8" w:name="action042"/>
            <w:r w:rsidRPr="000B5B71">
              <w:rPr>
                <w:rFonts w:cs="Arial"/>
                <w:b/>
                <w:i/>
                <w:spacing w:val="-2"/>
                <w:kern w:val="22"/>
                <w:lang w:val="en-GB"/>
              </w:rPr>
              <w:t xml:space="preserve">Action 11 </w:t>
            </w:r>
            <w:r w:rsidRPr="000B5B71">
              <w:rPr>
                <w:rFonts w:cs="Arial"/>
                <w:i/>
                <w:spacing w:val="-2"/>
                <w:kern w:val="22"/>
                <w:lang w:val="en-GB"/>
              </w:rPr>
              <w:t>VLA will work within its role, power and authority to ensure timely notification and disbursement of funding to CLCs</w:t>
            </w:r>
            <w:r w:rsidRPr="000B5B71">
              <w:rPr>
                <w:rFonts w:cs="Arial"/>
                <w:b/>
                <w:i/>
                <w:lang w:val="en-GB"/>
              </w:rPr>
              <w:t xml:space="preserve"> </w:t>
            </w:r>
          </w:p>
          <w:p w:rsidR="000D39CE" w:rsidRPr="003C357D" w:rsidRDefault="000D39CE" w:rsidP="003C357D">
            <w:pPr>
              <w:rPr>
                <w:rFonts w:cs="Arial"/>
                <w:i/>
                <w:lang w:val="en-GB"/>
              </w:rPr>
            </w:pPr>
            <w:bookmarkStart w:id="9" w:name="action041"/>
            <w:r w:rsidRPr="003C357D">
              <w:rPr>
                <w:rFonts w:cs="Arial"/>
                <w:b/>
                <w:i/>
                <w:lang w:val="en-GB"/>
              </w:rPr>
              <w:t xml:space="preserve">Action 39 </w:t>
            </w:r>
            <w:r w:rsidRPr="003C357D">
              <w:rPr>
                <w:rFonts w:cs="Arial"/>
                <w:i/>
                <w:lang w:val="en-GB"/>
              </w:rPr>
              <w:t>develop options to improve funding certainty for CLCs, with full consideration of the significant potential implications for VLA’s prudential financial management</w:t>
            </w:r>
            <w:bookmarkEnd w:id="9"/>
          </w:p>
          <w:p w:rsidR="000D39CE" w:rsidRPr="003C357D" w:rsidRDefault="000D39CE" w:rsidP="003C357D">
            <w:pPr>
              <w:rPr>
                <w:rFonts w:cs="Arial"/>
                <w:b/>
                <w:i/>
                <w:spacing w:val="-2"/>
                <w:kern w:val="22"/>
                <w:lang w:val="en-GB"/>
              </w:rPr>
            </w:pPr>
            <w:r w:rsidRPr="003C357D">
              <w:rPr>
                <w:rFonts w:cs="Arial"/>
                <w:b/>
                <w:i/>
                <w:lang w:val="en-GB"/>
              </w:rPr>
              <w:t xml:space="preserve">Action 40 </w:t>
            </w:r>
            <w:r w:rsidRPr="003C357D">
              <w:rPr>
                <w:rFonts w:cs="Arial"/>
                <w:i/>
                <w:lang w:val="en-GB"/>
              </w:rPr>
              <w:t>VLA will act within its role and authority to enter into longer term agreements with CLCs, where appropriate</w:t>
            </w:r>
            <w:bookmarkEnd w:id="8"/>
          </w:p>
        </w:tc>
      </w:tr>
    </w:tbl>
    <w:p w:rsidR="000D39CE" w:rsidRPr="003C357D" w:rsidRDefault="000D39CE" w:rsidP="000D39CE">
      <w:pPr>
        <w:rPr>
          <w:rFonts w:cs="Arial"/>
        </w:rPr>
      </w:pPr>
    </w:p>
    <w:tbl>
      <w:tblPr>
        <w:tblStyle w:val="TableGrid"/>
        <w:tblW w:w="8926" w:type="dxa"/>
        <w:tblLayout w:type="fixed"/>
        <w:tblLook w:val="04A0" w:firstRow="1" w:lastRow="0" w:firstColumn="1" w:lastColumn="0" w:noHBand="0" w:noVBand="1"/>
      </w:tblPr>
      <w:tblGrid>
        <w:gridCol w:w="8926"/>
      </w:tblGrid>
      <w:tr w:rsidR="000D39CE" w:rsidRPr="003C357D" w:rsidTr="00BD55F5">
        <w:tc>
          <w:tcPr>
            <w:tcW w:w="8926" w:type="dxa"/>
            <w:shd w:val="clear" w:color="auto" w:fill="B4C6E7" w:themeFill="accent1" w:themeFillTint="66"/>
          </w:tcPr>
          <w:p w:rsidR="000D39CE" w:rsidRPr="003C357D" w:rsidRDefault="000D39CE" w:rsidP="000D39CE">
            <w:pPr>
              <w:pStyle w:val="ListParagraph"/>
              <w:numPr>
                <w:ilvl w:val="0"/>
                <w:numId w:val="3"/>
              </w:numPr>
              <w:spacing w:after="120"/>
              <w:rPr>
                <w:rFonts w:cs="Arial"/>
                <w:b/>
                <w:lang w:val="en-US"/>
              </w:rPr>
            </w:pPr>
            <w:r w:rsidRPr="000B5B71">
              <w:rPr>
                <w:rFonts w:cs="Arial"/>
                <w:b/>
                <w:lang w:val="en-US"/>
              </w:rPr>
              <w:t xml:space="preserve">VLA’s relationship with specialist Aboriginal legal services </w:t>
            </w:r>
          </w:p>
        </w:tc>
      </w:tr>
      <w:tr w:rsidR="000D39CE" w:rsidRPr="003C357D" w:rsidTr="00BD55F5">
        <w:tc>
          <w:tcPr>
            <w:tcW w:w="8926" w:type="dxa"/>
          </w:tcPr>
          <w:p w:rsidR="000D39CE" w:rsidRPr="003C357D" w:rsidRDefault="000D39CE" w:rsidP="003C357D">
            <w:pPr>
              <w:rPr>
                <w:rFonts w:cs="Arial"/>
                <w:i/>
                <w:spacing w:val="-2"/>
                <w:kern w:val="22"/>
                <w:lang w:val="en-GB"/>
              </w:rPr>
            </w:pPr>
            <w:r w:rsidRPr="000B5B71">
              <w:rPr>
                <w:rFonts w:cs="Arial"/>
                <w:b/>
                <w:i/>
                <w:spacing w:val="-2"/>
                <w:kern w:val="22"/>
                <w:lang w:val="en-GB"/>
              </w:rPr>
              <w:t xml:space="preserve">Action 15 </w:t>
            </w:r>
            <w:r w:rsidRPr="000B5B71">
              <w:rPr>
                <w:rFonts w:cs="Arial"/>
                <w:i/>
                <w:spacing w:val="-2"/>
                <w:kern w:val="22"/>
                <w:lang w:val="en-GB"/>
              </w:rPr>
              <w:t>ensure that all CLSP reforms respect the right of self-determination for Aboriginal people, including the right of Aboriginal organisations to be community led and controlled. Competencies will be adopted to ensure that non-Aboriginal controlled CLCs can provide culturally competent and safe legal services to Aboriginal people</w:t>
            </w:r>
          </w:p>
          <w:p w:rsidR="000D39CE" w:rsidRPr="003C357D" w:rsidRDefault="000D39CE" w:rsidP="003C357D">
            <w:pPr>
              <w:rPr>
                <w:rFonts w:cs="Arial"/>
                <w:i/>
                <w:spacing w:val="-2"/>
                <w:kern w:val="22"/>
                <w:lang w:val="en-GB"/>
              </w:rPr>
            </w:pPr>
            <w:r w:rsidRPr="003C357D">
              <w:rPr>
                <w:rFonts w:cs="Arial"/>
                <w:b/>
                <w:i/>
                <w:lang w:val="en-GB"/>
              </w:rPr>
              <w:t xml:space="preserve">Action 46 </w:t>
            </w:r>
            <w:r w:rsidRPr="003C357D">
              <w:rPr>
                <w:rFonts w:cs="Arial"/>
                <w:i/>
                <w:lang w:val="en-GB"/>
              </w:rPr>
              <w:t>VLA will ensure that any streamlining of funding arrangements occurs in consultation with affected Aboriginal Community Controlled Organisations (ACCOs) and does not undermine their self-determination and autonomy. We will continue to acknowledge and respect the importance of both of those characteristics of ACCOs</w:t>
            </w:r>
          </w:p>
        </w:tc>
      </w:tr>
    </w:tbl>
    <w:p w:rsidR="000D39CE" w:rsidRPr="003C357D" w:rsidRDefault="000D39CE" w:rsidP="000D39CE">
      <w:pPr>
        <w:rPr>
          <w:rFonts w:cs="Arial"/>
        </w:rPr>
      </w:pPr>
    </w:p>
    <w:tbl>
      <w:tblPr>
        <w:tblStyle w:val="TableGrid"/>
        <w:tblW w:w="8926" w:type="dxa"/>
        <w:tblLayout w:type="fixed"/>
        <w:tblLook w:val="04A0" w:firstRow="1" w:lastRow="0" w:firstColumn="1" w:lastColumn="0" w:noHBand="0" w:noVBand="1"/>
      </w:tblPr>
      <w:tblGrid>
        <w:gridCol w:w="8926"/>
      </w:tblGrid>
      <w:tr w:rsidR="000D39CE" w:rsidRPr="003C357D" w:rsidTr="00BD55F5">
        <w:tc>
          <w:tcPr>
            <w:tcW w:w="8926" w:type="dxa"/>
            <w:shd w:val="clear" w:color="auto" w:fill="B4C6E7" w:themeFill="accent1" w:themeFillTint="66"/>
          </w:tcPr>
          <w:p w:rsidR="000D39CE" w:rsidRPr="000B5B71" w:rsidRDefault="000D39CE" w:rsidP="000D39CE">
            <w:pPr>
              <w:pStyle w:val="ListParagraph"/>
              <w:numPr>
                <w:ilvl w:val="0"/>
                <w:numId w:val="3"/>
              </w:numPr>
              <w:spacing w:after="120"/>
              <w:rPr>
                <w:rFonts w:cs="Arial"/>
                <w:b/>
              </w:rPr>
            </w:pPr>
            <w:r w:rsidRPr="000B5B71">
              <w:rPr>
                <w:rFonts w:cs="Arial"/>
                <w:b/>
              </w:rPr>
              <w:lastRenderedPageBreak/>
              <w:t>Improved administration of funding</w:t>
            </w:r>
          </w:p>
        </w:tc>
      </w:tr>
      <w:tr w:rsidR="000D39CE" w:rsidRPr="003C357D" w:rsidTr="00BD55F5">
        <w:tc>
          <w:tcPr>
            <w:tcW w:w="8926" w:type="dxa"/>
            <w:shd w:val="clear" w:color="auto" w:fill="D9E2F3" w:themeFill="accent1" w:themeFillTint="33"/>
          </w:tcPr>
          <w:p w:rsidR="000D39CE" w:rsidRPr="000B5B71" w:rsidRDefault="000D39CE" w:rsidP="000D39CE">
            <w:pPr>
              <w:pStyle w:val="CommentText"/>
              <w:numPr>
                <w:ilvl w:val="0"/>
                <w:numId w:val="5"/>
              </w:numPr>
              <w:rPr>
                <w:rFonts w:cs="Arial"/>
                <w:b/>
                <w:spacing w:val="-2"/>
                <w:kern w:val="22"/>
                <w:lang w:val="en-GB"/>
              </w:rPr>
            </w:pPr>
            <w:r w:rsidRPr="000B5B71">
              <w:rPr>
                <w:rFonts w:cs="Arial"/>
                <w:b/>
                <w:spacing w:val="-2"/>
                <w:kern w:val="22"/>
                <w:lang w:val="en-GB"/>
              </w:rPr>
              <w:t>Reformed service agreement</w:t>
            </w:r>
          </w:p>
        </w:tc>
      </w:tr>
      <w:tr w:rsidR="000D39CE" w:rsidRPr="003C357D" w:rsidTr="00BD55F5">
        <w:tc>
          <w:tcPr>
            <w:tcW w:w="8926" w:type="dxa"/>
          </w:tcPr>
          <w:p w:rsidR="000D39CE" w:rsidRPr="003C357D" w:rsidRDefault="000D39CE" w:rsidP="003C357D">
            <w:pPr>
              <w:rPr>
                <w:rFonts w:cs="Arial"/>
                <w:b/>
                <w:i/>
                <w:spacing w:val="-2"/>
                <w:kern w:val="22"/>
                <w:lang w:val="en-GB"/>
              </w:rPr>
            </w:pPr>
            <w:r w:rsidRPr="000B5B71">
              <w:rPr>
                <w:rFonts w:cs="Arial"/>
                <w:b/>
                <w:i/>
                <w:lang w:val="en-GB"/>
              </w:rPr>
              <w:t xml:space="preserve">Action </w:t>
            </w:r>
            <w:r w:rsidRPr="000B5B71">
              <w:rPr>
                <w:rFonts w:cs="Arial"/>
                <w:b/>
                <w:i/>
                <w:lang w:val="en-GB"/>
              </w:rPr>
              <w:fldChar w:fldCharType="begin"/>
            </w:r>
            <w:r w:rsidRPr="003C357D">
              <w:rPr>
                <w:rFonts w:cs="Arial"/>
                <w:b/>
                <w:i/>
                <w:lang w:val="en-GB"/>
              </w:rPr>
              <w:instrText xml:space="preserve"> SEQ NumList \* MERGEFORMAT </w:instrText>
            </w:r>
            <w:r w:rsidRPr="000B5B71">
              <w:rPr>
                <w:rFonts w:cs="Arial"/>
                <w:b/>
                <w:i/>
                <w:lang w:val="en-GB"/>
              </w:rPr>
              <w:fldChar w:fldCharType="separate"/>
            </w:r>
            <w:r w:rsidRPr="000B5B71">
              <w:rPr>
                <w:rFonts w:cs="Arial"/>
                <w:b/>
                <w:i/>
                <w:noProof/>
                <w:lang w:val="en-GB"/>
              </w:rPr>
              <w:t>1</w:t>
            </w:r>
            <w:r w:rsidRPr="000B5B71">
              <w:rPr>
                <w:rFonts w:cs="Arial"/>
                <w:b/>
                <w:i/>
                <w:lang w:val="en-GB"/>
              </w:rPr>
              <w:fldChar w:fldCharType="end"/>
            </w:r>
            <w:r w:rsidRPr="000B5B71">
              <w:rPr>
                <w:rFonts w:cs="Arial"/>
                <w:b/>
                <w:i/>
                <w:lang w:val="en-GB"/>
              </w:rPr>
              <w:t xml:space="preserve">8 </w:t>
            </w:r>
            <w:r w:rsidRPr="000B5B71">
              <w:rPr>
                <w:rFonts w:cs="Arial"/>
                <w:i/>
                <w:lang w:val="en-GB"/>
              </w:rPr>
              <w:t>design a new, shorter and clearer Agreement that is connected to service quality and includes detailed and transparent policies and procedures that will clarify expectations, mutual responsibilities and complaints mechanisms.</w:t>
            </w:r>
          </w:p>
        </w:tc>
      </w:tr>
      <w:tr w:rsidR="000D39CE" w:rsidRPr="003C357D" w:rsidTr="00BD55F5">
        <w:tc>
          <w:tcPr>
            <w:tcW w:w="8926" w:type="dxa"/>
          </w:tcPr>
          <w:p w:rsidR="000D39CE" w:rsidRPr="000B5B71" w:rsidRDefault="000D39CE" w:rsidP="003C357D">
            <w:pPr>
              <w:rPr>
                <w:rFonts w:cs="Arial"/>
                <w:i/>
                <w:lang w:val="en-GB"/>
              </w:rPr>
            </w:pPr>
            <w:r w:rsidRPr="000B5B71">
              <w:rPr>
                <w:rFonts w:cs="Arial"/>
                <w:b/>
                <w:i/>
                <w:lang w:val="en-GB"/>
              </w:rPr>
              <w:t xml:space="preserve">Action 19 </w:t>
            </w:r>
            <w:r w:rsidRPr="000B5B71">
              <w:rPr>
                <w:rFonts w:cs="Arial"/>
                <w:i/>
                <w:lang w:val="en-GB"/>
              </w:rPr>
              <w:t>ensure that the new funding and service agreement clarify individual service guidelines</w:t>
            </w:r>
          </w:p>
          <w:p w:rsidR="000D39CE" w:rsidRPr="003C357D" w:rsidRDefault="000D39CE" w:rsidP="003C357D">
            <w:pPr>
              <w:rPr>
                <w:rFonts w:cs="Arial"/>
                <w:i/>
                <w:lang w:val="en-GB"/>
              </w:rPr>
            </w:pPr>
            <w:r w:rsidRPr="000B5B71">
              <w:rPr>
                <w:rFonts w:cs="Arial"/>
                <w:b/>
                <w:i/>
                <w:lang w:val="en-GB"/>
              </w:rPr>
              <w:t xml:space="preserve">Action 21 </w:t>
            </w:r>
            <w:r w:rsidRPr="000B5B71">
              <w:rPr>
                <w:rFonts w:cs="Arial"/>
                <w:i/>
                <w:lang w:val="en-GB"/>
              </w:rPr>
              <w:t>ensure that funded CLCs are responsible for maintaining information a</w:t>
            </w:r>
            <w:r w:rsidRPr="003C357D">
              <w:rPr>
                <w:rFonts w:cs="Arial"/>
                <w:i/>
                <w:lang w:val="en-GB"/>
              </w:rPr>
              <w:t>bout their service provision on the most effective shared platform</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20 </w:t>
            </w:r>
            <w:r w:rsidRPr="000B5B71">
              <w:rPr>
                <w:rFonts w:cs="Arial"/>
                <w:i/>
                <w:lang w:val="en-GB"/>
              </w:rPr>
              <w:t>incorporate minimum service standards into the New Agreement</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26 </w:t>
            </w:r>
            <w:r w:rsidRPr="000B5B71">
              <w:rPr>
                <w:rFonts w:cs="Arial"/>
                <w:i/>
                <w:lang w:val="en-GB"/>
              </w:rPr>
              <w:t>identify new and existing quality frameworks that will enhance the funding and service agreement and CLC standards and quality</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34 </w:t>
            </w:r>
            <w:r w:rsidRPr="000B5B71">
              <w:rPr>
                <w:rFonts w:cs="Arial"/>
                <w:i/>
                <w:lang w:val="en-GB"/>
              </w:rPr>
              <w:t>include a clear complaints mechanism in the New Agreement that is for all parties and mutually binding</w:t>
            </w:r>
          </w:p>
        </w:tc>
      </w:tr>
      <w:tr w:rsidR="000D39CE" w:rsidRPr="003C357D" w:rsidTr="00BD55F5">
        <w:tc>
          <w:tcPr>
            <w:tcW w:w="8926" w:type="dxa"/>
            <w:shd w:val="clear" w:color="auto" w:fill="D9E2F3" w:themeFill="accent1" w:themeFillTint="33"/>
          </w:tcPr>
          <w:p w:rsidR="000D39CE" w:rsidRPr="000B5B71" w:rsidRDefault="000D39CE" w:rsidP="000D39CE">
            <w:pPr>
              <w:pStyle w:val="CommentText"/>
              <w:numPr>
                <w:ilvl w:val="0"/>
                <w:numId w:val="5"/>
              </w:numPr>
              <w:rPr>
                <w:rFonts w:cs="Arial"/>
                <w:b/>
                <w:spacing w:val="-2"/>
                <w:kern w:val="22"/>
                <w:lang w:val="en-GB"/>
              </w:rPr>
            </w:pPr>
            <w:r w:rsidRPr="000B5B71">
              <w:rPr>
                <w:rFonts w:cs="Arial"/>
                <w:b/>
                <w:spacing w:val="-2"/>
                <w:kern w:val="22"/>
                <w:lang w:val="en-GB"/>
              </w:rPr>
              <w:t>Modernised workplan</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spacing w:val="-2"/>
                <w:kern w:val="22"/>
                <w:lang w:val="en-GB"/>
              </w:rPr>
              <w:t xml:space="preserve">Action 14 </w:t>
            </w:r>
            <w:r w:rsidRPr="000B5B71">
              <w:rPr>
                <w:rFonts w:cs="Arial"/>
                <w:i/>
                <w:spacing w:val="-2"/>
                <w:kern w:val="22"/>
                <w:lang w:val="en-GB"/>
              </w:rPr>
              <w:t>ensure there is stronger alignment/integration of all legal assistance sector reforms, including CLSP Reform</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25 </w:t>
            </w:r>
            <w:r w:rsidRPr="000B5B71">
              <w:rPr>
                <w:rFonts w:cs="Arial"/>
                <w:i/>
                <w:lang w:val="en-GB"/>
              </w:rPr>
              <w:t>replace the existing CLSP Workplan with a newly developed, fit for purpose CLSP Service Plan</w:t>
            </w:r>
          </w:p>
        </w:tc>
      </w:tr>
      <w:tr w:rsidR="000D39CE" w:rsidRPr="003C357D" w:rsidTr="00BD55F5">
        <w:tc>
          <w:tcPr>
            <w:tcW w:w="8926" w:type="dxa"/>
            <w:shd w:val="clear" w:color="auto" w:fill="D9E2F3" w:themeFill="accent1" w:themeFillTint="33"/>
          </w:tcPr>
          <w:p w:rsidR="000D39CE" w:rsidRPr="000B5B71" w:rsidRDefault="000D39CE" w:rsidP="000D39CE">
            <w:pPr>
              <w:pStyle w:val="CommentText"/>
              <w:numPr>
                <w:ilvl w:val="0"/>
                <w:numId w:val="5"/>
              </w:numPr>
              <w:rPr>
                <w:rFonts w:cs="Arial"/>
                <w:b/>
                <w:spacing w:val="-2"/>
                <w:kern w:val="22"/>
                <w:lang w:val="en-GB"/>
              </w:rPr>
            </w:pPr>
            <w:r w:rsidRPr="000B5B71">
              <w:rPr>
                <w:rFonts w:cs="Arial"/>
                <w:b/>
                <w:spacing w:val="-2"/>
                <w:kern w:val="22"/>
                <w:lang w:val="en-GB"/>
              </w:rPr>
              <w:t>Reporting and performance accountability</w:t>
            </w:r>
          </w:p>
        </w:tc>
      </w:tr>
      <w:tr w:rsidR="000D39CE" w:rsidRPr="003C357D" w:rsidTr="00BD55F5">
        <w:tc>
          <w:tcPr>
            <w:tcW w:w="8926" w:type="dxa"/>
            <w:shd w:val="clear" w:color="auto" w:fill="F2F2F2" w:themeFill="background1" w:themeFillShade="F2"/>
          </w:tcPr>
          <w:p w:rsidR="000D39CE" w:rsidRPr="000B5B71" w:rsidRDefault="000D39CE" w:rsidP="003C357D">
            <w:pPr>
              <w:rPr>
                <w:rFonts w:cs="Arial"/>
                <w:b/>
                <w:i/>
                <w:spacing w:val="-2"/>
                <w:kern w:val="22"/>
                <w:lang w:val="en-GB"/>
              </w:rPr>
            </w:pPr>
            <w:r w:rsidRPr="000B5B71">
              <w:rPr>
                <w:rFonts w:cs="Arial"/>
                <w:spacing w:val="-2"/>
                <w:kern w:val="22"/>
                <w:u w:val="single"/>
                <w:lang w:val="en-GB"/>
              </w:rPr>
              <w:t>Minimise reporting and compliance burden</w:t>
            </w:r>
          </w:p>
        </w:tc>
      </w:tr>
      <w:tr w:rsidR="000D39CE" w:rsidRPr="003C357D" w:rsidTr="00BD55F5">
        <w:tc>
          <w:tcPr>
            <w:tcW w:w="8926" w:type="dxa"/>
          </w:tcPr>
          <w:p w:rsidR="000D39CE" w:rsidRPr="003C357D" w:rsidRDefault="000D39CE" w:rsidP="003C357D">
            <w:pPr>
              <w:rPr>
                <w:rFonts w:cs="Arial"/>
                <w:i/>
                <w:spacing w:val="-2"/>
                <w:kern w:val="22"/>
                <w:lang w:val="en-GB"/>
              </w:rPr>
            </w:pPr>
            <w:r w:rsidRPr="000B5B71">
              <w:rPr>
                <w:rFonts w:cs="Arial"/>
                <w:b/>
                <w:i/>
                <w:spacing w:val="-2"/>
                <w:kern w:val="22"/>
                <w:lang w:val="en-GB"/>
              </w:rPr>
              <w:t xml:space="preserve">Action 6 </w:t>
            </w:r>
            <w:r w:rsidRPr="000B5B71">
              <w:rPr>
                <w:rFonts w:cs="Arial"/>
                <w:i/>
                <w:spacing w:val="-2"/>
                <w:kern w:val="22"/>
                <w:lang w:val="en-GB"/>
              </w:rPr>
              <w:t>refine and align reporting and compliance to improve overall efficiency and reduce any unnecessary burden on VLA and CLCs</w:t>
            </w:r>
          </w:p>
          <w:p w:rsidR="000D39CE" w:rsidRPr="003C357D" w:rsidRDefault="000D39CE" w:rsidP="003C357D">
            <w:pPr>
              <w:rPr>
                <w:rFonts w:cs="Arial"/>
                <w:i/>
                <w:lang w:val="en-GB"/>
              </w:rPr>
            </w:pPr>
            <w:r w:rsidRPr="003C357D">
              <w:rPr>
                <w:rFonts w:cs="Arial"/>
                <w:b/>
                <w:i/>
                <w:lang w:val="en-GB"/>
              </w:rPr>
              <w:t xml:space="preserve">Action 24 </w:t>
            </w:r>
            <w:r w:rsidRPr="003C357D">
              <w:rPr>
                <w:rFonts w:cs="Arial"/>
                <w:i/>
                <w:lang w:val="en-GB"/>
              </w:rPr>
              <w:t>ensure that any changes to performance accountability are fit for purpose and not unreasonably burdensome</w:t>
            </w:r>
          </w:p>
          <w:p w:rsidR="000D39CE" w:rsidRPr="003C357D" w:rsidRDefault="000D39CE" w:rsidP="003C357D">
            <w:pPr>
              <w:rPr>
                <w:rFonts w:cs="Arial"/>
                <w:i/>
                <w:lang w:val="en-GB"/>
              </w:rPr>
            </w:pPr>
            <w:r w:rsidRPr="003C357D">
              <w:rPr>
                <w:rFonts w:cs="Arial"/>
                <w:b/>
                <w:i/>
                <w:lang w:val="en-GB"/>
              </w:rPr>
              <w:t xml:space="preserve">Action 27 </w:t>
            </w:r>
            <w:r w:rsidRPr="003C357D">
              <w:rPr>
                <w:rFonts w:cs="Arial"/>
                <w:i/>
                <w:lang w:val="en-GB"/>
              </w:rPr>
              <w:t>research and consider the application of templates and tools that will reduce the compliance burden on CLCs and enhance the quality of reporting</w:t>
            </w:r>
          </w:p>
          <w:p w:rsidR="000D39CE" w:rsidRPr="003C357D" w:rsidRDefault="000D39CE" w:rsidP="003C357D">
            <w:pPr>
              <w:rPr>
                <w:rFonts w:cs="Arial"/>
                <w:i/>
                <w:lang w:val="en-GB"/>
              </w:rPr>
            </w:pPr>
            <w:r w:rsidRPr="003C357D">
              <w:rPr>
                <w:rFonts w:cs="Arial"/>
                <w:b/>
                <w:i/>
                <w:lang w:val="en-GB"/>
              </w:rPr>
              <w:t xml:space="preserve">Action 45 </w:t>
            </w:r>
            <w:r w:rsidRPr="003C357D">
              <w:rPr>
                <w:rFonts w:cs="Arial"/>
                <w:i/>
                <w:lang w:val="en-GB"/>
              </w:rPr>
              <w:t>consider opportunities for improving and reducing multiple reporting requirements</w:t>
            </w:r>
          </w:p>
        </w:tc>
      </w:tr>
      <w:tr w:rsidR="000D39CE" w:rsidRPr="003C357D" w:rsidTr="00BD55F5">
        <w:tc>
          <w:tcPr>
            <w:tcW w:w="8926" w:type="dxa"/>
            <w:shd w:val="clear" w:color="auto" w:fill="F2F2F2" w:themeFill="background1" w:themeFillShade="F2"/>
          </w:tcPr>
          <w:p w:rsidR="000D39CE" w:rsidRPr="000B5B71" w:rsidRDefault="000D39CE" w:rsidP="003C357D">
            <w:pPr>
              <w:rPr>
                <w:rFonts w:cs="Arial"/>
                <w:b/>
                <w:i/>
                <w:spacing w:val="-2"/>
                <w:kern w:val="22"/>
                <w:lang w:val="en-GB"/>
              </w:rPr>
            </w:pPr>
            <w:r w:rsidRPr="000B5B71">
              <w:rPr>
                <w:rFonts w:cs="Arial"/>
                <w:spacing w:val="-2"/>
                <w:kern w:val="22"/>
                <w:u w:val="single"/>
                <w:lang w:val="en-GB"/>
              </w:rPr>
              <w:t>Focus on outcomes</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w:t>
            </w:r>
            <w:r w:rsidRPr="000B5B71">
              <w:rPr>
                <w:rFonts w:cs="Arial"/>
                <w:b/>
                <w:i/>
                <w:lang w:val="en-GB"/>
              </w:rPr>
              <w:fldChar w:fldCharType="begin"/>
            </w:r>
            <w:r w:rsidRPr="003C357D">
              <w:rPr>
                <w:rFonts w:cs="Arial"/>
                <w:b/>
                <w:i/>
                <w:lang w:val="en-GB"/>
              </w:rPr>
              <w:instrText xml:space="preserve"> SEQ NumList \* MERGEFORMAT </w:instrText>
            </w:r>
            <w:r w:rsidRPr="000B5B71">
              <w:rPr>
                <w:rFonts w:cs="Arial"/>
                <w:b/>
                <w:i/>
                <w:lang w:val="en-GB"/>
              </w:rPr>
              <w:fldChar w:fldCharType="separate"/>
            </w:r>
            <w:r w:rsidRPr="000B5B71">
              <w:rPr>
                <w:rFonts w:cs="Arial"/>
                <w:b/>
                <w:i/>
                <w:noProof/>
                <w:lang w:val="en-GB"/>
              </w:rPr>
              <w:t>2</w:t>
            </w:r>
            <w:r w:rsidRPr="000B5B71">
              <w:rPr>
                <w:rFonts w:cs="Arial"/>
                <w:b/>
                <w:i/>
                <w:lang w:val="en-GB"/>
              </w:rPr>
              <w:fldChar w:fldCharType="end"/>
            </w:r>
            <w:r w:rsidRPr="000B5B71">
              <w:rPr>
                <w:rFonts w:cs="Arial"/>
                <w:b/>
                <w:i/>
                <w:lang w:val="en-GB"/>
              </w:rPr>
              <w:t xml:space="preserve">2 </w:t>
            </w:r>
            <w:r w:rsidRPr="000B5B71">
              <w:rPr>
                <w:rFonts w:cs="Arial"/>
                <w:i/>
                <w:lang w:val="en-GB"/>
              </w:rPr>
              <w:t>ensure the reporting mechanism and associated accountability has stronger focus on appropriate identification of legal need, service designed to meet that need and assessment of outcomes and impact</w:t>
            </w:r>
          </w:p>
        </w:tc>
      </w:tr>
      <w:tr w:rsidR="000D39CE" w:rsidRPr="003C357D" w:rsidTr="00BD55F5">
        <w:tc>
          <w:tcPr>
            <w:tcW w:w="8926" w:type="dxa"/>
            <w:shd w:val="clear" w:color="auto" w:fill="F2F2F2" w:themeFill="background1" w:themeFillShade="F2"/>
          </w:tcPr>
          <w:p w:rsidR="000D39CE" w:rsidRPr="000B5B71" w:rsidRDefault="000D39CE" w:rsidP="003C357D">
            <w:pPr>
              <w:rPr>
                <w:rFonts w:cs="Arial"/>
                <w:b/>
                <w:i/>
                <w:spacing w:val="-2"/>
                <w:kern w:val="22"/>
                <w:lang w:val="en-GB"/>
              </w:rPr>
            </w:pPr>
            <w:r w:rsidRPr="000B5B71">
              <w:rPr>
                <w:rFonts w:cs="Arial"/>
                <w:u w:val="single"/>
                <w:lang w:val="en-GB"/>
              </w:rPr>
              <w:t>Financial reporting</w:t>
            </w:r>
          </w:p>
        </w:tc>
      </w:tr>
      <w:tr w:rsidR="000D39CE" w:rsidRPr="003C357D" w:rsidTr="00BD55F5">
        <w:tc>
          <w:tcPr>
            <w:tcW w:w="8926" w:type="dxa"/>
          </w:tcPr>
          <w:p w:rsidR="000D39CE" w:rsidRPr="003C357D" w:rsidRDefault="000D39CE" w:rsidP="003C357D">
            <w:pPr>
              <w:rPr>
                <w:rFonts w:cs="Arial"/>
                <w:b/>
                <w:i/>
                <w:spacing w:val="-2"/>
                <w:kern w:val="22"/>
                <w:lang w:val="en-GB"/>
              </w:rPr>
            </w:pPr>
            <w:r w:rsidRPr="000B5B71">
              <w:rPr>
                <w:rFonts w:cs="Arial"/>
                <w:b/>
                <w:i/>
                <w:lang w:val="en-GB"/>
              </w:rPr>
              <w:t xml:space="preserve">Action 28 </w:t>
            </w:r>
            <w:r w:rsidRPr="000B5B71">
              <w:rPr>
                <w:rFonts w:cs="Arial"/>
                <w:i/>
                <w:lang w:val="en-GB"/>
              </w:rPr>
              <w:t>rationalise financial reporting in line with the Australian Accounting Standards.</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30 </w:t>
            </w:r>
            <w:r w:rsidRPr="000B5B71">
              <w:rPr>
                <w:rFonts w:cs="Arial"/>
                <w:i/>
                <w:lang w:val="en-GB"/>
              </w:rPr>
              <w:t>define criteria for selecting financial auditors to assist CLCs</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31 </w:t>
            </w:r>
            <w:r w:rsidRPr="000B5B71">
              <w:rPr>
                <w:rFonts w:cs="Arial"/>
                <w:i/>
                <w:lang w:val="en-GB"/>
              </w:rPr>
              <w:t xml:space="preserve">provide clearer guidance to funded services about standardised costings in budgets, </w:t>
            </w:r>
            <w:proofErr w:type="gramStart"/>
            <w:r w:rsidRPr="000B5B71">
              <w:rPr>
                <w:rFonts w:cs="Arial"/>
                <w:i/>
                <w:lang w:val="en-GB"/>
              </w:rPr>
              <w:t>in light of</w:t>
            </w:r>
            <w:proofErr w:type="gramEnd"/>
            <w:r w:rsidRPr="000B5B71">
              <w:rPr>
                <w:rFonts w:cs="Arial"/>
                <w:i/>
                <w:lang w:val="en-GB"/>
              </w:rPr>
              <w:t xml:space="preserve"> CLC independence and the considerable differences between CLCs</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32 </w:t>
            </w:r>
            <w:r w:rsidRPr="000B5B71">
              <w:rPr>
                <w:rFonts w:cs="Arial"/>
                <w:i/>
                <w:lang w:val="en-GB"/>
              </w:rPr>
              <w:t>undertake consultation on an optimal financial reporting method that is not through CLASS</w:t>
            </w:r>
          </w:p>
        </w:tc>
      </w:tr>
      <w:tr w:rsidR="00046870" w:rsidRPr="003C357D" w:rsidTr="007043AB">
        <w:tc>
          <w:tcPr>
            <w:tcW w:w="8926" w:type="dxa"/>
          </w:tcPr>
          <w:p w:rsidR="00046870" w:rsidRPr="003C357D" w:rsidRDefault="00046870" w:rsidP="007043AB">
            <w:pPr>
              <w:rPr>
                <w:rFonts w:cs="Arial"/>
                <w:b/>
                <w:i/>
                <w:spacing w:val="-2"/>
                <w:kern w:val="22"/>
                <w:lang w:val="en-GB"/>
              </w:rPr>
            </w:pPr>
            <w:bookmarkStart w:id="10" w:name="_Hlk4492034"/>
            <w:r w:rsidRPr="000B5B71">
              <w:rPr>
                <w:rFonts w:cs="Arial"/>
                <w:b/>
                <w:i/>
                <w:lang w:val="en-GB"/>
              </w:rPr>
              <w:t xml:space="preserve">Action 29 </w:t>
            </w:r>
            <w:r w:rsidRPr="000B5B71">
              <w:rPr>
                <w:rFonts w:cs="Arial"/>
                <w:i/>
                <w:lang w:val="en-GB"/>
              </w:rPr>
              <w:t>work with financial experts to design a model set of indicators for setting and reviewing funded services’ organisational health</w:t>
            </w:r>
            <w:bookmarkEnd w:id="10"/>
          </w:p>
        </w:tc>
      </w:tr>
      <w:tr w:rsidR="000D39CE" w:rsidRPr="003C357D" w:rsidTr="00BD55F5">
        <w:tc>
          <w:tcPr>
            <w:tcW w:w="8926" w:type="dxa"/>
            <w:shd w:val="clear" w:color="auto" w:fill="F2F2F2" w:themeFill="background1" w:themeFillShade="F2"/>
          </w:tcPr>
          <w:p w:rsidR="000D39CE" w:rsidRPr="000B5B71" w:rsidRDefault="000D39CE" w:rsidP="003C357D">
            <w:pPr>
              <w:rPr>
                <w:rFonts w:cs="Arial"/>
                <w:b/>
                <w:i/>
                <w:spacing w:val="-2"/>
                <w:kern w:val="22"/>
                <w:lang w:val="en-GB"/>
              </w:rPr>
            </w:pPr>
            <w:r w:rsidRPr="000B5B71">
              <w:rPr>
                <w:rFonts w:cs="Arial"/>
                <w:u w:val="single"/>
                <w:lang w:val="en-GB"/>
              </w:rPr>
              <w:t>Identify and respond to performance concerns</w:t>
            </w:r>
          </w:p>
        </w:tc>
      </w:tr>
      <w:tr w:rsidR="000D39CE" w:rsidRPr="003C357D" w:rsidTr="00BD55F5">
        <w:tc>
          <w:tcPr>
            <w:tcW w:w="8926" w:type="dxa"/>
          </w:tcPr>
          <w:p w:rsidR="000D39CE" w:rsidRPr="003C357D" w:rsidRDefault="000D39CE" w:rsidP="00BD55F5">
            <w:r w:rsidRPr="000B5B71">
              <w:rPr>
                <w:rFonts w:cs="Arial"/>
                <w:b/>
                <w:i/>
                <w:lang w:val="en-GB"/>
              </w:rPr>
              <w:t xml:space="preserve">Action 33 </w:t>
            </w:r>
            <w:r w:rsidRPr="000B5B71">
              <w:rPr>
                <w:rFonts w:cs="Arial"/>
                <w:i/>
                <w:lang w:val="en-GB"/>
              </w:rPr>
              <w:t>develop new policies and procedures for dealing with centres where there are performance concerns.</w:t>
            </w:r>
          </w:p>
        </w:tc>
      </w:tr>
      <w:tr w:rsidR="000D39CE" w:rsidRPr="003C357D" w:rsidTr="00BD55F5">
        <w:tc>
          <w:tcPr>
            <w:tcW w:w="8926" w:type="dxa"/>
            <w:shd w:val="clear" w:color="auto" w:fill="D9E2F3" w:themeFill="accent1" w:themeFillTint="33"/>
          </w:tcPr>
          <w:p w:rsidR="000D39CE" w:rsidRPr="000B5B71" w:rsidRDefault="000D39CE" w:rsidP="000D39CE">
            <w:pPr>
              <w:pStyle w:val="CommentText"/>
              <w:numPr>
                <w:ilvl w:val="0"/>
                <w:numId w:val="5"/>
              </w:numPr>
              <w:rPr>
                <w:rFonts w:cs="Arial"/>
                <w:b/>
                <w:spacing w:val="-2"/>
                <w:kern w:val="22"/>
                <w:lang w:val="en-GB"/>
              </w:rPr>
            </w:pPr>
            <w:r w:rsidRPr="000B5B71">
              <w:rPr>
                <w:rFonts w:cs="Arial"/>
                <w:b/>
                <w:spacing w:val="-2"/>
                <w:kern w:val="22"/>
                <w:lang w:val="en-GB"/>
              </w:rPr>
              <w:t>Short term and project funding opportunities</w:t>
            </w:r>
          </w:p>
        </w:tc>
      </w:tr>
      <w:tr w:rsidR="000D39CE" w:rsidRPr="003C357D" w:rsidTr="00BD55F5">
        <w:tc>
          <w:tcPr>
            <w:tcW w:w="8926" w:type="dxa"/>
          </w:tcPr>
          <w:p w:rsidR="000D39CE" w:rsidRPr="003C357D" w:rsidRDefault="000D39CE" w:rsidP="003C357D">
            <w:pPr>
              <w:rPr>
                <w:rFonts w:cs="Arial"/>
                <w:i/>
                <w:lang w:val="en-GB"/>
              </w:rPr>
            </w:pPr>
            <w:r w:rsidRPr="000B5B71">
              <w:rPr>
                <w:rFonts w:cs="Arial"/>
                <w:b/>
                <w:i/>
                <w:lang w:val="en-GB"/>
              </w:rPr>
              <w:t xml:space="preserve">Action 35 </w:t>
            </w:r>
            <w:r w:rsidRPr="000B5B71">
              <w:rPr>
                <w:rFonts w:cs="Arial"/>
                <w:i/>
                <w:lang w:val="en-GB"/>
              </w:rPr>
              <w:t>develop a new framework (linked to the New Agreement) for short-term grants that improves notification, funding criteria, allocations and monitoring and reporting</w:t>
            </w:r>
          </w:p>
          <w:p w:rsidR="000D39CE" w:rsidRPr="003C357D" w:rsidRDefault="000D39CE" w:rsidP="003C357D">
            <w:pPr>
              <w:rPr>
                <w:rFonts w:cs="Arial"/>
                <w:i/>
                <w:lang w:val="en-GB"/>
              </w:rPr>
            </w:pPr>
            <w:r w:rsidRPr="003C357D">
              <w:rPr>
                <w:rFonts w:cs="Arial"/>
                <w:b/>
                <w:i/>
                <w:lang w:val="en-GB"/>
              </w:rPr>
              <w:t xml:space="preserve">Action 36 </w:t>
            </w:r>
            <w:r w:rsidRPr="003C357D">
              <w:rPr>
                <w:rFonts w:cs="Arial"/>
                <w:i/>
                <w:lang w:val="en-GB"/>
              </w:rPr>
              <w:t>consider and promote opportunities for CLCs and VLA to collaborate through short-term funding opportunities</w:t>
            </w:r>
          </w:p>
          <w:p w:rsidR="000D39CE" w:rsidRPr="003C357D" w:rsidRDefault="000D39CE" w:rsidP="003C357D">
            <w:pPr>
              <w:rPr>
                <w:rFonts w:cs="Arial"/>
                <w:i/>
              </w:rPr>
            </w:pPr>
            <w:r w:rsidRPr="003C357D">
              <w:rPr>
                <w:rFonts w:cs="Arial"/>
                <w:b/>
                <w:i/>
              </w:rPr>
              <w:t>Action 37</w:t>
            </w:r>
            <w:r w:rsidRPr="003C357D">
              <w:rPr>
                <w:rFonts w:cs="Arial"/>
                <w:i/>
              </w:rPr>
              <w:t xml:space="preserve"> VLA and CLCs will consult with each other at the start of funding cycles to ensure joint planning and the development of joint bids, where appropriate</w:t>
            </w:r>
          </w:p>
          <w:p w:rsidR="000D39CE" w:rsidRPr="003C357D" w:rsidRDefault="000D39CE" w:rsidP="003C357D">
            <w:pPr>
              <w:rPr>
                <w:rFonts w:cs="Arial"/>
                <w:b/>
                <w:i/>
                <w:spacing w:val="-2"/>
                <w:kern w:val="22"/>
                <w:lang w:val="en-GB"/>
              </w:rPr>
            </w:pPr>
            <w:r w:rsidRPr="003C357D">
              <w:rPr>
                <w:rFonts w:cs="Arial"/>
                <w:b/>
                <w:i/>
                <w:lang w:val="en-GB"/>
              </w:rPr>
              <w:t xml:space="preserve">Action 38 </w:t>
            </w:r>
            <w:r w:rsidRPr="003C357D">
              <w:rPr>
                <w:rFonts w:cs="Arial"/>
                <w:i/>
                <w:lang w:val="en-GB"/>
              </w:rPr>
              <w:t>VLA will consider the additional costs that might need to be factored in for RRR centres and other centres with special needs and expenses</w:t>
            </w:r>
          </w:p>
        </w:tc>
      </w:tr>
    </w:tbl>
    <w:p w:rsidR="000D39CE" w:rsidRPr="003C357D" w:rsidRDefault="000D39CE" w:rsidP="000D39CE">
      <w:pPr>
        <w:rPr>
          <w:rFonts w:cs="Arial"/>
        </w:rPr>
      </w:pPr>
    </w:p>
    <w:tbl>
      <w:tblPr>
        <w:tblStyle w:val="TableGrid"/>
        <w:tblW w:w="8926" w:type="dxa"/>
        <w:tblLayout w:type="fixed"/>
        <w:tblLook w:val="04A0" w:firstRow="1" w:lastRow="0" w:firstColumn="1" w:lastColumn="0" w:noHBand="0" w:noVBand="1"/>
      </w:tblPr>
      <w:tblGrid>
        <w:gridCol w:w="8926"/>
      </w:tblGrid>
      <w:tr w:rsidR="000D39CE" w:rsidRPr="003C357D" w:rsidTr="00BD55F5">
        <w:tc>
          <w:tcPr>
            <w:tcW w:w="8926" w:type="dxa"/>
            <w:shd w:val="clear" w:color="auto" w:fill="B4C6E7" w:themeFill="accent1" w:themeFillTint="66"/>
          </w:tcPr>
          <w:p w:rsidR="000D39CE" w:rsidRPr="000B5B71" w:rsidRDefault="000D39CE" w:rsidP="000D39CE">
            <w:pPr>
              <w:pStyle w:val="ListParagraph"/>
              <w:numPr>
                <w:ilvl w:val="0"/>
                <w:numId w:val="3"/>
              </w:numPr>
              <w:spacing w:after="120"/>
              <w:rPr>
                <w:rFonts w:cs="Arial"/>
                <w:b/>
                <w:lang w:val="en-US"/>
              </w:rPr>
            </w:pPr>
            <w:r w:rsidRPr="000B5B71">
              <w:rPr>
                <w:rFonts w:cs="Arial"/>
                <w:b/>
                <w:lang w:val="en-US"/>
              </w:rPr>
              <w:t xml:space="preserve">Capacity building and technology </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spacing w:val="-2"/>
                <w:kern w:val="22"/>
                <w:lang w:val="en-GB"/>
              </w:rPr>
              <w:t xml:space="preserve">Action 4 </w:t>
            </w:r>
            <w:r w:rsidRPr="000B5B71">
              <w:rPr>
                <w:rFonts w:cs="Arial"/>
                <w:i/>
                <w:spacing w:val="-2"/>
                <w:kern w:val="22"/>
                <w:lang w:val="en-GB"/>
              </w:rPr>
              <w:t>support workforce skill and knowledge development in evidence-based planning</w:t>
            </w:r>
          </w:p>
        </w:tc>
      </w:tr>
      <w:tr w:rsidR="000D39CE" w:rsidRPr="003C357D" w:rsidTr="00BD55F5">
        <w:tc>
          <w:tcPr>
            <w:tcW w:w="8926" w:type="dxa"/>
          </w:tcPr>
          <w:p w:rsidR="000D39CE" w:rsidRPr="000B5B71" w:rsidRDefault="000D39CE" w:rsidP="003C357D">
            <w:pPr>
              <w:rPr>
                <w:rFonts w:cs="Arial"/>
                <w:i/>
                <w:spacing w:val="-2"/>
                <w:kern w:val="22"/>
                <w:lang w:val="en-GB"/>
              </w:rPr>
            </w:pPr>
            <w:r w:rsidRPr="000B5B71">
              <w:rPr>
                <w:rFonts w:cs="Arial"/>
                <w:b/>
                <w:i/>
                <w:spacing w:val="-2"/>
                <w:kern w:val="22"/>
                <w:lang w:val="en-GB"/>
              </w:rPr>
              <w:t xml:space="preserve">Action 10 </w:t>
            </w:r>
            <w:r w:rsidRPr="000B5B71">
              <w:rPr>
                <w:rFonts w:cs="Arial"/>
                <w:i/>
                <w:spacing w:val="-2"/>
                <w:kern w:val="22"/>
                <w:lang w:val="en-GB"/>
              </w:rPr>
              <w:t>ensure that CLCs have the same access as VLA does to professional tools and development opportunities.</w:t>
            </w:r>
          </w:p>
          <w:p w:rsidR="000D39CE" w:rsidRPr="003C357D" w:rsidRDefault="000D39CE" w:rsidP="003C357D">
            <w:pPr>
              <w:rPr>
                <w:rFonts w:cs="Arial"/>
                <w:b/>
                <w:i/>
                <w:spacing w:val="-2"/>
                <w:kern w:val="22"/>
                <w:lang w:val="en-GB"/>
              </w:rPr>
            </w:pPr>
            <w:r w:rsidRPr="003C357D">
              <w:rPr>
                <w:rFonts w:cs="Arial"/>
                <w:b/>
                <w:i/>
                <w:lang w:val="en-GB"/>
              </w:rPr>
              <w:t xml:space="preserve">Action 41 </w:t>
            </w:r>
            <w:r w:rsidRPr="003C357D">
              <w:rPr>
                <w:rFonts w:cs="Arial"/>
                <w:i/>
                <w:lang w:val="en-GB"/>
              </w:rPr>
              <w:t>VLA will take immediate action to support CLCs to get better access to professional learning and practice development tools.</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23 </w:t>
            </w:r>
            <w:r w:rsidRPr="000B5B71">
              <w:rPr>
                <w:rFonts w:cs="Arial"/>
                <w:i/>
                <w:lang w:val="en-GB"/>
              </w:rPr>
              <w:t>prioritise the development of skills and aptitude in client outcomes measurement</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42 </w:t>
            </w:r>
            <w:r w:rsidRPr="000B5B71">
              <w:rPr>
                <w:rFonts w:cs="Arial"/>
                <w:i/>
                <w:lang w:val="en-GB"/>
              </w:rPr>
              <w:t>consider an appropriate dashboard and/or online portal for the CLC Funding and Development Program</w:t>
            </w:r>
          </w:p>
        </w:tc>
      </w:tr>
      <w:tr w:rsidR="000D39CE" w:rsidRPr="003C357D" w:rsidTr="00BD55F5">
        <w:tc>
          <w:tcPr>
            <w:tcW w:w="8926" w:type="dxa"/>
          </w:tcPr>
          <w:p w:rsidR="000D39CE" w:rsidRPr="000B5B71" w:rsidRDefault="000D39CE" w:rsidP="003C357D">
            <w:pPr>
              <w:rPr>
                <w:rFonts w:cs="Arial"/>
                <w:b/>
                <w:i/>
                <w:spacing w:val="-2"/>
                <w:kern w:val="22"/>
                <w:lang w:val="en-GB"/>
              </w:rPr>
            </w:pPr>
            <w:r w:rsidRPr="000B5B71">
              <w:rPr>
                <w:rFonts w:cs="Arial"/>
                <w:b/>
                <w:i/>
                <w:lang w:val="en-GB"/>
              </w:rPr>
              <w:t xml:space="preserve">Action 43 </w:t>
            </w:r>
            <w:r w:rsidRPr="000B5B71">
              <w:rPr>
                <w:rFonts w:cs="Arial"/>
                <w:i/>
                <w:lang w:val="en-GB"/>
              </w:rPr>
              <w:t>explore opportunities for the effective use of technology in the delivery of legal services</w:t>
            </w:r>
          </w:p>
        </w:tc>
      </w:tr>
    </w:tbl>
    <w:p w:rsidR="000D39CE" w:rsidRPr="003C357D" w:rsidRDefault="000D39CE" w:rsidP="000D39CE">
      <w:pPr>
        <w:rPr>
          <w:rFonts w:cs="Arial"/>
        </w:rPr>
      </w:pPr>
    </w:p>
    <w:p w:rsidR="000D39CE" w:rsidRPr="003C357D" w:rsidRDefault="000D39CE" w:rsidP="000D39CE">
      <w:pPr>
        <w:rPr>
          <w:rFonts w:cs="Arial"/>
        </w:rPr>
      </w:pPr>
    </w:p>
    <w:p w:rsidR="000D39CE" w:rsidRPr="003C357D" w:rsidRDefault="000D39CE" w:rsidP="000D39CE">
      <w:pPr>
        <w:rPr>
          <w:rFonts w:cs="Arial"/>
        </w:rPr>
      </w:pPr>
    </w:p>
    <w:p w:rsidR="00355FA2" w:rsidRDefault="00355FA2"/>
    <w:sectPr w:rsidR="00355FA2" w:rsidSect="006C661F">
      <w:headerReference w:type="default" r:id="rId8"/>
      <w:footerReference w:type="default" r:id="rId9"/>
      <w:headerReference w:type="first" r:id="rId10"/>
      <w:footerReference w:type="first" r:id="rId11"/>
      <w:pgSz w:w="11900" w:h="16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9CE" w:rsidRDefault="000D39CE" w:rsidP="000D39CE">
      <w:pPr>
        <w:spacing w:after="0" w:line="240" w:lineRule="auto"/>
      </w:pPr>
      <w:r>
        <w:separator/>
      </w:r>
    </w:p>
  </w:endnote>
  <w:endnote w:type="continuationSeparator" w:id="0">
    <w:p w:rsidR="000D39CE" w:rsidRDefault="000D39CE" w:rsidP="000D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EC3" w:rsidRDefault="005D5645" w:rsidP="007D5EC3">
    <w:pPr>
      <w:pStyle w:val="Footer"/>
      <w:ind w:right="20"/>
      <w:jc w:val="center"/>
    </w:pPr>
    <w:r>
      <w:rPr>
        <w:noProof/>
        <w:lang w:eastAsia="en-AU"/>
      </w:rPr>
      <mc:AlternateContent>
        <mc:Choice Requires="wps">
          <w:drawing>
            <wp:anchor distT="0" distB="0" distL="114300" distR="114300" simplePos="0" relativeHeight="251661312" behindDoc="0" locked="1" layoutInCell="1" allowOverlap="1" wp14:anchorId="095FE35F" wp14:editId="3EA26950">
              <wp:simplePos x="0" y="0"/>
              <wp:positionH relativeFrom="page">
                <wp:posOffset>180340</wp:posOffset>
              </wp:positionH>
              <wp:positionV relativeFrom="page">
                <wp:posOffset>10235565</wp:posOffset>
              </wp:positionV>
              <wp:extent cx="7200265" cy="0"/>
              <wp:effectExtent l="0" t="0" r="13335" b="25400"/>
              <wp:wrapNone/>
              <wp:docPr id="4"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1E009C"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" strokecolor="#00c4b3" strokeweight=".5pt">
              <v:stroke endcap="round"/>
              <w10:wrap anchorx="page" anchory="page"/>
              <w10:anchorlock/>
            </v:line>
          </w:pict>
        </mc:Fallback>
      </mc:AlternateContent>
    </w:r>
  </w:p>
  <w:p w:rsidR="007D5EC3" w:rsidRDefault="00403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1F" w:rsidRPr="008636E1" w:rsidRDefault="005D5645" w:rsidP="006C661F">
    <w:pPr>
      <w:pStyle w:val="Footer"/>
      <w:ind w:right="20"/>
      <w:jc w:val="center"/>
    </w:pPr>
    <w:r>
      <w:rPr>
        <w:noProof/>
        <w:lang w:eastAsia="en-AU"/>
      </w:rPr>
      <mc:AlternateContent>
        <mc:Choice Requires="wps">
          <w:drawing>
            <wp:anchor distT="0" distB="0" distL="114300" distR="114300" simplePos="0" relativeHeight="251659264" behindDoc="0" locked="1" layoutInCell="1" allowOverlap="1" wp14:anchorId="14939CD5" wp14:editId="7DF442AF">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2D79C"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" strokecolor="#00c4b3" strokeweight=".5pt">
              <v:stroke endcap="round"/>
              <w10:wrap anchorx="page" anchory="page"/>
              <w10:anchorlock/>
            </v:line>
          </w:pict>
        </mc:Fallback>
      </mc:AlternateContent>
    </w:r>
  </w:p>
  <w:p w:rsidR="006C661F" w:rsidRDefault="00403B5D" w:rsidP="006C661F">
    <w:pPr>
      <w:pStyle w:val="Foote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9CE" w:rsidRDefault="000D39CE" w:rsidP="000D39CE">
      <w:pPr>
        <w:spacing w:after="0" w:line="240" w:lineRule="auto"/>
      </w:pPr>
      <w:r>
        <w:separator/>
      </w:r>
    </w:p>
  </w:footnote>
  <w:footnote w:type="continuationSeparator" w:id="0">
    <w:p w:rsidR="000D39CE" w:rsidRDefault="000D39CE" w:rsidP="000D39CE">
      <w:pPr>
        <w:spacing w:after="0" w:line="240" w:lineRule="auto"/>
      </w:pPr>
      <w:r>
        <w:continuationSeparator/>
      </w:r>
    </w:p>
  </w:footnote>
  <w:footnote w:id="1">
    <w:p w:rsidR="00403B5D" w:rsidRPr="00403B5D" w:rsidRDefault="00403B5D">
      <w:pPr>
        <w:pStyle w:val="FootnoteText"/>
        <w:rPr>
          <w:lang w:val="en-US"/>
        </w:rPr>
      </w:pPr>
      <w:r>
        <w:rPr>
          <w:rStyle w:val="FootnoteReference"/>
        </w:rPr>
        <w:footnoteRef/>
      </w:r>
      <w:r>
        <w:t xml:space="preserve"> </w:t>
      </w:r>
      <w:r w:rsidRPr="00403B5D">
        <w:rPr>
          <w:rFonts w:cs="Arial"/>
          <w:vertAlign w:val="subscript"/>
        </w:rPr>
        <w:t>Actions that contribute to the same objective have been grouped together.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764" w:rsidRDefault="00403B5D" w:rsidP="00391764">
    <w:pPr>
      <w:tabs>
        <w:tab w:val="left" w:pos="6893"/>
      </w:tabs>
      <w:spacing w:after="80" w:line="240" w:lineRule="auto"/>
      <w:ind w:left="-330"/>
      <w:rPr>
        <w:rFonts w:cs="Arial"/>
        <w:color w:val="00C4B3"/>
        <w:sz w:val="18"/>
        <w:szCs w:val="18"/>
      </w:rPr>
    </w:pPr>
  </w:p>
  <w:p w:rsidR="00391764" w:rsidRPr="00BE344F" w:rsidRDefault="005D5645" w:rsidP="00391764">
    <w:pPr>
      <w:tabs>
        <w:tab w:val="left" w:pos="6893"/>
      </w:tabs>
      <w:spacing w:after="80" w:line="240" w:lineRule="auto"/>
      <w:ind w:left="-142"/>
      <w:rPr>
        <w:rFonts w:cs="Arial"/>
        <w:color w:val="00C4B3"/>
        <w:sz w:val="18"/>
        <w:szCs w:val="18"/>
      </w:rPr>
    </w:pPr>
    <w:r w:rsidRPr="00BE344F">
      <w:rPr>
        <w:rFonts w:cs="Arial"/>
        <w:color w:val="00C4B3"/>
        <w:sz w:val="18"/>
        <w:szCs w:val="18"/>
      </w:rPr>
      <w:t>Victoria Legal Aid</w:t>
    </w:r>
  </w:p>
  <w:p w:rsidR="00391764" w:rsidRPr="00D448AF" w:rsidRDefault="005D5645" w:rsidP="00391764">
    <w:pPr>
      <w:spacing w:line="240" w:lineRule="auto"/>
      <w:ind w:left="-142"/>
      <w:rPr>
        <w:rFonts w:ascii="Arial Bold" w:hAnsi="Arial Bold" w:cs="Arial"/>
        <w:b/>
        <w:color w:val="00C4B3"/>
        <w:sz w:val="18"/>
        <w:szCs w:val="18"/>
      </w:rPr>
    </w:pPr>
    <w:r>
      <w:rPr>
        <w:rFonts w:ascii="Arial Bold" w:hAnsi="Arial Bold" w:cs="Arial"/>
        <w:b/>
        <w:color w:val="00C4B3"/>
        <w:sz w:val="18"/>
        <w:szCs w:val="18"/>
      </w:rPr>
      <w:t>CLSP Reform– March 2019</w:t>
    </w:r>
    <w:r w:rsidRPr="00D448AF">
      <w:rPr>
        <w:rFonts w:ascii="Arial Bold" w:hAnsi="Arial Bold" w:cs="Arial"/>
        <w:b/>
        <w:noProof/>
        <w:color w:val="00C4B3"/>
        <w:sz w:val="18"/>
        <w:szCs w:val="18"/>
        <w:lang w:eastAsia="en-AU"/>
      </w:rPr>
      <mc:AlternateContent>
        <mc:Choice Requires="wps">
          <w:drawing>
            <wp:anchor distT="0" distB="0" distL="114300" distR="114300" simplePos="0" relativeHeight="251660288" behindDoc="1" locked="1" layoutInCell="1" allowOverlap="1" wp14:anchorId="7D64EF97" wp14:editId="24486BE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91CF" id="Straight Connector 3" o:spid="_x0000_s1026" alt=" "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ZgAw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" strokecolor="#00c4b3" strokeweight=".5pt">
              <w10:wrap anchorx="page" anchory="page"/>
              <w10:anchorlock/>
            </v:line>
          </w:pict>
        </mc:Fallback>
      </mc:AlternateContent>
    </w:r>
  </w:p>
  <w:p w:rsidR="006C661F" w:rsidRDefault="00403B5D" w:rsidP="00391764">
    <w:pPr>
      <w:pStyle w:val="Header"/>
    </w:pPr>
  </w:p>
  <w:p w:rsidR="00391764" w:rsidRDefault="00403B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1F" w:rsidRDefault="005D5645" w:rsidP="006C661F">
    <w:pPr>
      <w:pStyle w:val="Header"/>
      <w:ind w:left="-1418"/>
    </w:pPr>
    <w:r>
      <w:rPr>
        <w:noProof/>
      </w:rPr>
      <w:drawing>
        <wp:inline distT="0" distB="0" distL="0" distR="0" wp14:anchorId="77AEE592" wp14:editId="0BAA0522">
          <wp:extent cx="7560000" cy="15270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S Word header bann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2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37133"/>
    <w:multiLevelType w:val="hybridMultilevel"/>
    <w:tmpl w:val="92F42E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92C131A"/>
    <w:multiLevelType w:val="hybridMultilevel"/>
    <w:tmpl w:val="6338F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9F5CB4"/>
    <w:multiLevelType w:val="hybridMultilevel"/>
    <w:tmpl w:val="4254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937634"/>
    <w:multiLevelType w:val="hybridMultilevel"/>
    <w:tmpl w:val="F9327B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1368A0"/>
    <w:multiLevelType w:val="hybridMultilevel"/>
    <w:tmpl w:val="192040C0"/>
    <w:lvl w:ilvl="0" w:tplc="8A3802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5BC7B12"/>
    <w:multiLevelType w:val="hybridMultilevel"/>
    <w:tmpl w:val="D1984B30"/>
    <w:lvl w:ilvl="0" w:tplc="7DEA11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CE"/>
    <w:rsid w:val="00046870"/>
    <w:rsid w:val="000A15CA"/>
    <w:rsid w:val="000D39CE"/>
    <w:rsid w:val="00355FA2"/>
    <w:rsid w:val="00403B5D"/>
    <w:rsid w:val="005D5645"/>
    <w:rsid w:val="00811E73"/>
    <w:rsid w:val="00BD5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B3469"/>
  <w15:chartTrackingRefBased/>
  <w15:docId w15:val="{F1D603F9-5A44-444A-9E46-6145455B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9CE"/>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0D39CE"/>
    <w:pPr>
      <w:keepNext/>
      <w:spacing w:before="240" w:after="120" w:line="300" w:lineRule="atLeast"/>
      <w:outlineLvl w:val="0"/>
    </w:pPr>
    <w:rPr>
      <w:rFonts w:ascii="Arial" w:eastAsia="Times New Roman" w:hAnsi="Arial" w:cs="Arial"/>
      <w:b/>
      <w:bCs/>
      <w:color w:val="00C4B3"/>
      <w:kern w:val="32"/>
      <w:sz w:val="32"/>
      <w:szCs w:val="32"/>
      <w:lang w:eastAsia="en-AU"/>
    </w:rPr>
  </w:style>
  <w:style w:type="paragraph" w:styleId="Heading2">
    <w:name w:val="heading 2"/>
    <w:next w:val="Normal"/>
    <w:link w:val="Heading2Char"/>
    <w:qFormat/>
    <w:rsid w:val="000D39CE"/>
    <w:pPr>
      <w:keepNext/>
      <w:spacing w:before="240" w:after="120" w:line="300" w:lineRule="atLeast"/>
      <w:outlineLvl w:val="1"/>
    </w:pPr>
    <w:rPr>
      <w:rFonts w:ascii="Arial" w:eastAsia="Times New Roman" w:hAnsi="Arial" w:cs="Arial"/>
      <w:b/>
      <w:bCs/>
      <w:iCs/>
      <w:color w:val="00C4B3"/>
      <w:sz w:val="28"/>
      <w:szCs w:val="28"/>
      <w:lang w:eastAsia="en-AU"/>
    </w:rPr>
  </w:style>
  <w:style w:type="paragraph" w:styleId="Heading3">
    <w:name w:val="heading 3"/>
    <w:next w:val="Normal"/>
    <w:link w:val="Heading3Char"/>
    <w:qFormat/>
    <w:rsid w:val="000D39CE"/>
    <w:pPr>
      <w:keepNext/>
      <w:spacing w:before="240" w:after="120" w:line="300" w:lineRule="atLeast"/>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9CE"/>
    <w:rPr>
      <w:rFonts w:ascii="Arial" w:eastAsia="Times New Roman" w:hAnsi="Arial" w:cs="Arial"/>
      <w:b/>
      <w:bCs/>
      <w:color w:val="00C4B3"/>
      <w:kern w:val="32"/>
      <w:sz w:val="32"/>
      <w:szCs w:val="32"/>
      <w:lang w:eastAsia="en-AU"/>
    </w:rPr>
  </w:style>
  <w:style w:type="character" w:customStyle="1" w:styleId="Heading2Char">
    <w:name w:val="Heading 2 Char"/>
    <w:basedOn w:val="DefaultParagraphFont"/>
    <w:link w:val="Heading2"/>
    <w:rsid w:val="000D39CE"/>
    <w:rPr>
      <w:rFonts w:ascii="Arial" w:eastAsia="Times New Roman" w:hAnsi="Arial" w:cs="Arial"/>
      <w:b/>
      <w:bCs/>
      <w:iCs/>
      <w:color w:val="00C4B3"/>
      <w:sz w:val="28"/>
      <w:szCs w:val="28"/>
      <w:lang w:eastAsia="en-AU"/>
    </w:rPr>
  </w:style>
  <w:style w:type="character" w:customStyle="1" w:styleId="Heading3Char">
    <w:name w:val="Heading 3 Char"/>
    <w:basedOn w:val="DefaultParagraphFont"/>
    <w:link w:val="Heading3"/>
    <w:rsid w:val="000D39CE"/>
    <w:rPr>
      <w:rFonts w:ascii="Arial" w:eastAsia="Times New Roman" w:hAnsi="Arial" w:cs="Arial"/>
      <w:b/>
      <w:bCs/>
      <w:sz w:val="26"/>
      <w:szCs w:val="26"/>
      <w:lang w:eastAsia="en-AU"/>
    </w:rPr>
  </w:style>
  <w:style w:type="paragraph" w:styleId="Header">
    <w:name w:val="header"/>
    <w:basedOn w:val="Normal"/>
    <w:link w:val="HeaderChar"/>
    <w:uiPriority w:val="99"/>
    <w:unhideWhenUsed/>
    <w:rsid w:val="000D39CE"/>
    <w:pPr>
      <w:tabs>
        <w:tab w:val="center" w:pos="4680"/>
        <w:tab w:val="right" w:pos="9360"/>
      </w:tabs>
    </w:pPr>
  </w:style>
  <w:style w:type="character" w:customStyle="1" w:styleId="HeaderChar">
    <w:name w:val="Header Char"/>
    <w:basedOn w:val="DefaultParagraphFont"/>
    <w:link w:val="Header"/>
    <w:uiPriority w:val="99"/>
    <w:rsid w:val="000D39CE"/>
    <w:rPr>
      <w:rFonts w:ascii="Arial" w:eastAsia="Times New Roman" w:hAnsi="Arial" w:cs="Times New Roman"/>
      <w:szCs w:val="24"/>
    </w:rPr>
  </w:style>
  <w:style w:type="paragraph" w:styleId="Footer">
    <w:name w:val="footer"/>
    <w:basedOn w:val="Normal"/>
    <w:link w:val="FooterChar"/>
    <w:uiPriority w:val="99"/>
    <w:unhideWhenUsed/>
    <w:rsid w:val="000D39CE"/>
    <w:pPr>
      <w:tabs>
        <w:tab w:val="center" w:pos="4680"/>
        <w:tab w:val="right" w:pos="9360"/>
      </w:tabs>
    </w:pPr>
  </w:style>
  <w:style w:type="character" w:customStyle="1" w:styleId="FooterChar">
    <w:name w:val="Footer Char"/>
    <w:basedOn w:val="DefaultParagraphFont"/>
    <w:link w:val="Footer"/>
    <w:uiPriority w:val="99"/>
    <w:rsid w:val="000D39CE"/>
    <w:rPr>
      <w:rFonts w:ascii="Arial" w:eastAsia="Times New Roman" w:hAnsi="Arial" w:cs="Times New Roman"/>
      <w:szCs w:val="24"/>
    </w:rPr>
  </w:style>
  <w:style w:type="character" w:styleId="FootnoteReference">
    <w:name w:val="footnote reference"/>
    <w:uiPriority w:val="99"/>
    <w:rsid w:val="000D39CE"/>
    <w:rPr>
      <w:rFonts w:ascii="Arial" w:hAnsi="Arial"/>
      <w:sz w:val="18"/>
      <w:vertAlign w:val="superscript"/>
    </w:rPr>
  </w:style>
  <w:style w:type="paragraph" w:styleId="FootnoteText">
    <w:name w:val="footnote text"/>
    <w:basedOn w:val="Normal"/>
    <w:link w:val="FootnoteTextChar"/>
    <w:rsid w:val="000D39CE"/>
    <w:pPr>
      <w:ind w:left="284" w:hanging="284"/>
    </w:pPr>
    <w:rPr>
      <w:sz w:val="18"/>
      <w:szCs w:val="20"/>
    </w:rPr>
  </w:style>
  <w:style w:type="character" w:customStyle="1" w:styleId="FootnoteTextChar">
    <w:name w:val="Footnote Text Char"/>
    <w:basedOn w:val="DefaultParagraphFont"/>
    <w:link w:val="FootnoteText"/>
    <w:rsid w:val="000D39CE"/>
    <w:rPr>
      <w:rFonts w:ascii="Arial" w:eastAsia="Times New Roman" w:hAnsi="Arial" w:cs="Times New Roman"/>
      <w:sz w:val="18"/>
      <w:szCs w:val="20"/>
    </w:rPr>
  </w:style>
  <w:style w:type="character" w:styleId="Hyperlink">
    <w:name w:val="Hyperlink"/>
    <w:rsid w:val="000D39CE"/>
    <w:rPr>
      <w:rFonts w:ascii="Arial" w:hAnsi="Arial"/>
      <w:color w:val="0000FF"/>
      <w:u w:val="single"/>
      <w:lang w:val="en-AU"/>
    </w:rPr>
  </w:style>
  <w:style w:type="paragraph" w:styleId="ListParagraph">
    <w:name w:val="List Paragraph"/>
    <w:basedOn w:val="Normal"/>
    <w:uiPriority w:val="34"/>
    <w:qFormat/>
    <w:rsid w:val="000D39CE"/>
    <w:pPr>
      <w:spacing w:after="0"/>
      <w:ind w:left="720"/>
      <w:contextualSpacing/>
    </w:pPr>
  </w:style>
  <w:style w:type="character" w:styleId="CommentReference">
    <w:name w:val="annotation reference"/>
    <w:basedOn w:val="DefaultParagraphFont"/>
    <w:uiPriority w:val="99"/>
    <w:semiHidden/>
    <w:unhideWhenUsed/>
    <w:rsid w:val="000D39CE"/>
    <w:rPr>
      <w:sz w:val="16"/>
      <w:szCs w:val="16"/>
    </w:rPr>
  </w:style>
  <w:style w:type="paragraph" w:styleId="CommentText">
    <w:name w:val="annotation text"/>
    <w:basedOn w:val="Normal"/>
    <w:link w:val="CommentTextChar"/>
    <w:uiPriority w:val="99"/>
    <w:unhideWhenUsed/>
    <w:rsid w:val="000D39CE"/>
    <w:pPr>
      <w:spacing w:line="240" w:lineRule="auto"/>
    </w:pPr>
    <w:rPr>
      <w:sz w:val="20"/>
      <w:szCs w:val="20"/>
    </w:rPr>
  </w:style>
  <w:style w:type="character" w:customStyle="1" w:styleId="CommentTextChar">
    <w:name w:val="Comment Text Char"/>
    <w:basedOn w:val="DefaultParagraphFont"/>
    <w:link w:val="CommentText"/>
    <w:uiPriority w:val="99"/>
    <w:rsid w:val="000D39CE"/>
    <w:rPr>
      <w:rFonts w:ascii="Arial" w:eastAsia="Times New Roman" w:hAnsi="Arial" w:cs="Times New Roman"/>
      <w:sz w:val="20"/>
      <w:szCs w:val="20"/>
    </w:rPr>
  </w:style>
  <w:style w:type="paragraph" w:styleId="BodyTextIndent">
    <w:name w:val="Body Text Indent"/>
    <w:basedOn w:val="BodyText"/>
    <w:link w:val="BodyTextIndentChar"/>
    <w:qFormat/>
    <w:rsid w:val="000D39CE"/>
    <w:pPr>
      <w:spacing w:before="130" w:after="130" w:line="260" w:lineRule="atLeast"/>
      <w:ind w:left="340"/>
    </w:pPr>
    <w:rPr>
      <w:rFonts w:ascii="Times New Roman" w:eastAsia="Batang" w:hAnsi="Times New Roman"/>
      <w:sz w:val="20"/>
      <w:szCs w:val="20"/>
      <w:lang w:val="x-none" w:eastAsia="ko-KR"/>
    </w:rPr>
  </w:style>
  <w:style w:type="character" w:customStyle="1" w:styleId="BodyTextIndentChar">
    <w:name w:val="Body Text Indent Char"/>
    <w:basedOn w:val="DefaultParagraphFont"/>
    <w:link w:val="BodyTextIndent"/>
    <w:rsid w:val="000D39CE"/>
    <w:rPr>
      <w:rFonts w:ascii="Times New Roman" w:eastAsia="Batang" w:hAnsi="Times New Roman" w:cs="Times New Roman"/>
      <w:sz w:val="20"/>
      <w:szCs w:val="20"/>
      <w:lang w:val="x-none" w:eastAsia="ko-KR"/>
    </w:rPr>
  </w:style>
  <w:style w:type="paragraph" w:styleId="BodyText">
    <w:name w:val="Body Text"/>
    <w:basedOn w:val="Normal"/>
    <w:link w:val="BodyTextChar"/>
    <w:rsid w:val="000D39CE"/>
    <w:pPr>
      <w:spacing w:after="0" w:line="240" w:lineRule="auto"/>
    </w:pPr>
  </w:style>
  <w:style w:type="character" w:customStyle="1" w:styleId="BodyTextChar">
    <w:name w:val="Body Text Char"/>
    <w:basedOn w:val="DefaultParagraphFont"/>
    <w:link w:val="BodyText"/>
    <w:rsid w:val="000D39CE"/>
    <w:rPr>
      <w:rFonts w:ascii="Arial" w:eastAsia="Times New Roman" w:hAnsi="Arial" w:cs="Times New Roman"/>
      <w:szCs w:val="24"/>
    </w:rPr>
  </w:style>
  <w:style w:type="paragraph" w:styleId="BalloonText">
    <w:name w:val="Balloon Text"/>
    <w:basedOn w:val="Normal"/>
    <w:link w:val="BalloonTextChar"/>
    <w:uiPriority w:val="99"/>
    <w:semiHidden/>
    <w:unhideWhenUsed/>
    <w:rsid w:val="000D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CE"/>
    <w:rPr>
      <w:rFonts w:ascii="Segoe UI" w:eastAsia="Times New Roman" w:hAnsi="Segoe UI" w:cs="Segoe UI"/>
      <w:sz w:val="18"/>
      <w:szCs w:val="18"/>
    </w:rPr>
  </w:style>
  <w:style w:type="table" w:styleId="TableGrid">
    <w:name w:val="Table Grid"/>
    <w:basedOn w:val="TableNormal"/>
    <w:uiPriority w:val="39"/>
    <w:rsid w:val="000D39CE"/>
    <w:pPr>
      <w:spacing w:after="120" w:line="30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Revision">
    <w:name w:val="Revision"/>
    <w:hidden/>
    <w:uiPriority w:val="99"/>
    <w:semiHidden/>
    <w:rsid w:val="00046870"/>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9D56-D709-41E2-A74B-BCC5794F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6878</Characters>
  <Application>Microsoft Office Word</Application>
  <DocSecurity>0</DocSecurity>
  <Lines>129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Schwebel</dc:creator>
  <cp:keywords/>
  <dc:description/>
  <cp:lastModifiedBy/>
  <cp:revision>1</cp:revision>
  <dcterms:created xsi:type="dcterms:W3CDTF">2021-04-29T23:27:00Z</dcterms:created>
  <dcterms:modified xsi:type="dcterms:W3CDTF">2021-04-29T23:27:00Z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