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29B6E" w14:textId="77777777" w:rsidR="00B378A2" w:rsidRDefault="006B2E39" w:rsidP="00B378A2">
      <w:pPr>
        <w:pStyle w:val="VLAtitle"/>
      </w:pPr>
      <w:bookmarkStart w:id="0" w:name="_Toc477340761"/>
      <w:bookmarkStart w:id="1" w:name="_Toc477351905"/>
      <w:bookmarkStart w:id="2" w:name="_Toc477510112"/>
      <w:bookmarkStart w:id="3" w:name="_Toc477510700"/>
      <w:bookmarkStart w:id="4" w:name="_Toc477530690"/>
      <w:bookmarkStart w:id="5" w:name="_Toc477530755"/>
      <w:bookmarkStart w:id="6" w:name="_Toc477874451"/>
      <w:bookmarkStart w:id="7" w:name="_Toc477891086"/>
      <w:bookmarkStart w:id="8" w:name="_Toc477891443"/>
      <w:bookmarkStart w:id="9" w:name="_Toc477892072"/>
      <w:bookmarkStart w:id="10" w:name="_Toc478462347"/>
      <w:bookmarkStart w:id="11" w:name="_Toc478479026"/>
      <w:bookmarkStart w:id="12" w:name="_Toc478480266"/>
      <w:bookmarkStart w:id="13" w:name="_Toc478558317"/>
      <w:bookmarkStart w:id="14" w:name="_Toc478560656"/>
      <w:bookmarkStart w:id="15" w:name="_Toc478566060"/>
      <w:r w:rsidRPr="00ED0F9A">
        <w:rPr>
          <w:kern w:val="32"/>
          <w:sz w:val="32"/>
          <w:lang w:eastAsia="en-AU"/>
        </w:rPr>
        <w:t>Community Legal Services Program Reform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C31A7CB" w14:textId="77777777" w:rsidR="00C67A13" w:rsidRDefault="00C67A13" w:rsidP="00B378A2">
      <w:pPr>
        <w:pStyle w:val="VLAsubtitle"/>
      </w:pPr>
    </w:p>
    <w:p w14:paraId="17FF18F9" w14:textId="77777777" w:rsidR="00C67A13" w:rsidRPr="00687244" w:rsidRDefault="00687244" w:rsidP="00B378A2">
      <w:pPr>
        <w:pStyle w:val="VLAsubtitle"/>
      </w:pPr>
      <w:r w:rsidRPr="00687244">
        <w:t xml:space="preserve">Modernising and improving </w:t>
      </w:r>
      <w:r w:rsidR="00C67A13" w:rsidRPr="00687244">
        <w:t xml:space="preserve">accountability </w:t>
      </w:r>
      <w:r w:rsidR="00821512">
        <w:t>and</w:t>
      </w:r>
      <w:r w:rsidR="00C67A13" w:rsidRPr="00687244">
        <w:t xml:space="preserve"> administration of CLC funding</w:t>
      </w:r>
    </w:p>
    <w:p w14:paraId="306DD69C" w14:textId="77777777" w:rsidR="00C67A13" w:rsidRDefault="00C67A13" w:rsidP="00B378A2">
      <w:pPr>
        <w:pStyle w:val="VLAsubtitle"/>
      </w:pPr>
    </w:p>
    <w:p w14:paraId="00CEE376" w14:textId="77777777" w:rsidR="00B378A2" w:rsidRDefault="006B2E39" w:rsidP="00B378A2">
      <w:pPr>
        <w:pStyle w:val="VLAsubtitle"/>
      </w:pPr>
      <w:r>
        <w:t>Options paper</w:t>
      </w:r>
    </w:p>
    <w:p w14:paraId="1BF8CF9B" w14:textId="77777777" w:rsidR="00B378A2" w:rsidRPr="00687244" w:rsidRDefault="006B2E39" w:rsidP="00B378A2">
      <w:pPr>
        <w:pStyle w:val="VLAdate"/>
        <w:rPr>
          <w:b/>
        </w:rPr>
      </w:pPr>
      <w:r w:rsidRPr="00687244">
        <w:rPr>
          <w:b/>
        </w:rPr>
        <w:t>August 2017</w:t>
      </w:r>
    </w:p>
    <w:p w14:paraId="33412775" w14:textId="77777777" w:rsidR="006B2E39" w:rsidRDefault="006B2E39" w:rsidP="00B378A2">
      <w:pPr>
        <w:pStyle w:val="VLAdate"/>
      </w:pPr>
    </w:p>
    <w:p w14:paraId="659370AE" w14:textId="77777777" w:rsidR="00FB2929" w:rsidRDefault="00FB2929" w:rsidP="00B378A2">
      <w:pPr>
        <w:pStyle w:val="VLAdate"/>
      </w:pPr>
    </w:p>
    <w:p w14:paraId="6456BC1B" w14:textId="77777777" w:rsidR="00CC0C03" w:rsidRDefault="00CC0C03" w:rsidP="00CC0C03"/>
    <w:p w14:paraId="6E7B47C0" w14:textId="77777777" w:rsidR="00853BDA" w:rsidRDefault="00853BDA" w:rsidP="00946548">
      <w:pPr>
        <w:sectPr w:rsidR="00853BDA" w:rsidSect="007C05C3">
          <w:headerReference w:type="even" r:id="rId8"/>
          <w:headerReference w:type="default" r:id="rId9"/>
          <w:footerReference w:type="default" r:id="rId10"/>
          <w:headerReference w:type="first" r:id="rId11"/>
          <w:footerReference w:type="first" r:id="rId12"/>
          <w:type w:val="oddPage"/>
          <w:pgSz w:w="11906" w:h="16838" w:code="9"/>
          <w:pgMar w:top="1418" w:right="992" w:bottom="1134" w:left="1134" w:header="851" w:footer="2835" w:gutter="0"/>
          <w:paperSrc w:first="7" w:other="7"/>
          <w:cols w:space="720"/>
          <w:titlePg/>
          <w:docGrid w:linePitch="299"/>
        </w:sectPr>
      </w:pPr>
    </w:p>
    <w:p w14:paraId="0A7C78D4" w14:textId="0099968D" w:rsidR="00022C83" w:rsidRPr="006E2882" w:rsidRDefault="002A7402" w:rsidP="00B378A2">
      <w:pPr>
        <w:pStyle w:val="Confidentialityclause"/>
        <w:spacing w:before="12300"/>
        <w:rPr>
          <w:bCs w:val="0"/>
        </w:rPr>
      </w:pPr>
      <w:r w:rsidRPr="00674E45">
        <w:rPr>
          <w:rFonts w:cs="Arial"/>
          <w:color w:val="971A4B"/>
        </w:rPr>
        <w:lastRenderedPageBreak/>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7173AB">
        <w:rPr>
          <w:noProof/>
          <w:color w:val="971A4B"/>
        </w:rPr>
        <w:t>2017</w:t>
      </w:r>
      <w:r w:rsidRPr="00674E45">
        <w:rPr>
          <w:color w:val="971A4B"/>
        </w:rPr>
        <w:fldChar w:fldCharType="end"/>
      </w:r>
      <w:r w:rsidRPr="00674E45">
        <w:rPr>
          <w:color w:val="971A4B"/>
        </w:rPr>
        <w:t xml:space="preserve"> Victoria Legal Aid.</w:t>
      </w:r>
      <w:r>
        <w:t xml:space="preserve"> </w:t>
      </w:r>
      <w:r w:rsidR="006E2882" w:rsidRPr="006E2882">
        <w:rPr>
          <w:bCs w:val="0"/>
        </w:rPr>
        <w:t xml:space="preserve">Reproduction without express written permission is prohibited. Written requests should be directed to Victoria Legal Aid, </w:t>
      </w:r>
      <w:r w:rsidR="00E42BD1">
        <w:rPr>
          <w:bCs w:val="0"/>
        </w:rPr>
        <w:t xml:space="preserve">Corporate </w:t>
      </w:r>
      <w:r w:rsidR="00E42BD1" w:rsidRPr="0091712D">
        <w:rPr>
          <w:bCs w:val="0"/>
          <w:szCs w:val="18"/>
        </w:rPr>
        <w:t>Affairs</w:t>
      </w:r>
      <w:r w:rsidR="006E2882" w:rsidRPr="0091712D">
        <w:rPr>
          <w:bCs w:val="0"/>
          <w:szCs w:val="18"/>
        </w:rPr>
        <w:t xml:space="preserve">, </w:t>
      </w:r>
      <w:r w:rsidR="0091712D" w:rsidRPr="0091712D">
        <w:rPr>
          <w:rFonts w:cs="Arial"/>
          <w:szCs w:val="18"/>
        </w:rPr>
        <w:t xml:space="preserve">Level 9, 570 Bourke </w:t>
      </w:r>
      <w:r w:rsidR="006E2882" w:rsidRPr="0091712D">
        <w:rPr>
          <w:bCs w:val="0"/>
          <w:szCs w:val="18"/>
        </w:rPr>
        <w:t>Street</w:t>
      </w:r>
      <w:r w:rsidR="006E2882" w:rsidRPr="006E2882">
        <w:rPr>
          <w:bCs w:val="0"/>
        </w:rPr>
        <w:t>, Melbourne Vic</w:t>
      </w:r>
      <w:r w:rsidR="006E2882">
        <w:rPr>
          <w:bCs w:val="0"/>
        </w:rPr>
        <w:t> </w:t>
      </w:r>
      <w:r w:rsidR="006E2882" w:rsidRPr="006E2882">
        <w:rPr>
          <w:bCs w:val="0"/>
        </w:rPr>
        <w:t>3000.</w:t>
      </w:r>
    </w:p>
    <w:p w14:paraId="64341C07" w14:textId="77777777" w:rsidR="00CC0C03" w:rsidRPr="00E24A08" w:rsidRDefault="00022C83" w:rsidP="002A7402">
      <w:pPr>
        <w:pStyle w:val="Confidentialityclause"/>
        <w:rPr>
          <w:bCs w:val="0"/>
        </w:rPr>
      </w:pPr>
      <w:r w:rsidRPr="002A7402">
        <w:rPr>
          <w:color w:val="B1005D"/>
        </w:rPr>
        <w:t>Disclaimer.</w:t>
      </w:r>
      <w:r>
        <w:t xml:space="preserve"> </w:t>
      </w:r>
      <w:r w:rsidRPr="00022C83">
        <w:rPr>
          <w:bCs w:val="0"/>
        </w:rPr>
        <w:t xml:space="preserve">The material in this publication </w:t>
      </w:r>
      <w:bookmarkStart w:id="16" w:name="Text12"/>
      <w:r>
        <w:rPr>
          <w:bCs w:val="0"/>
        </w:rPr>
        <w:fldChar w:fldCharType="begin">
          <w:ffData>
            <w:name w:val="Text12"/>
            <w:enabled/>
            <w:calcOnExit w:val="0"/>
            <w:textInput>
              <w:default w:val="is intended as a general guide only"/>
            </w:textInput>
          </w:ffData>
        </w:fldChar>
      </w:r>
      <w:r>
        <w:rPr>
          <w:bCs w:val="0"/>
        </w:rPr>
        <w:instrText xml:space="preserve"> FORMTEXT </w:instrText>
      </w:r>
      <w:r>
        <w:rPr>
          <w:bCs w:val="0"/>
        </w:rPr>
      </w:r>
      <w:r>
        <w:rPr>
          <w:bCs w:val="0"/>
        </w:rPr>
        <w:fldChar w:fldCharType="separate"/>
      </w:r>
      <w:r w:rsidR="00DD6DAD">
        <w:rPr>
          <w:bCs w:val="0"/>
          <w:noProof/>
        </w:rPr>
        <w:t>is intended as a general guide only</w:t>
      </w:r>
      <w:r>
        <w:rPr>
          <w:bCs w:val="0"/>
        </w:rPr>
        <w:fldChar w:fldCharType="end"/>
      </w:r>
      <w:bookmarkEnd w:id="16"/>
      <w:r w:rsidRPr="00022C83">
        <w:rPr>
          <w:bCs w:val="0"/>
        </w:rPr>
        <w:t>. The information contained 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14:paraId="3E242F88" w14:textId="77777777" w:rsidR="00CE4C2F" w:rsidRPr="00CC0C03" w:rsidRDefault="00CE4C2F" w:rsidP="00CC0C03">
      <w:pPr>
        <w:sectPr w:rsidR="00CE4C2F" w:rsidRPr="00CC0C03" w:rsidSect="007C05C3">
          <w:headerReference w:type="default" r:id="rId13"/>
          <w:footerReference w:type="default" r:id="rId14"/>
          <w:type w:val="evenPage"/>
          <w:pgSz w:w="11906" w:h="16838" w:code="9"/>
          <w:pgMar w:top="1418" w:right="992" w:bottom="1134" w:left="1134" w:header="851" w:footer="284" w:gutter="0"/>
          <w:paperSrc w:first="7" w:other="7"/>
          <w:pgNumType w:start="1"/>
          <w:cols w:space="720"/>
          <w:docGrid w:linePitch="299"/>
        </w:sectPr>
      </w:pPr>
    </w:p>
    <w:p w14:paraId="0D4038F8" w14:textId="77777777" w:rsidR="002B4970" w:rsidRPr="00B673FA" w:rsidRDefault="002B4970" w:rsidP="00B378A2">
      <w:pPr>
        <w:pStyle w:val="Contents"/>
      </w:pPr>
      <w:r>
        <w:lastRenderedPageBreak/>
        <w:t>Contents</w:t>
      </w:r>
    </w:p>
    <w:p w14:paraId="73D63D49" w14:textId="77777777" w:rsidR="00F62267" w:rsidRDefault="004E0688">
      <w:pPr>
        <w:pStyle w:val="TOC1"/>
        <w:rPr>
          <w:rFonts w:asciiTheme="minorHAnsi" w:eastAsiaTheme="minorEastAsia" w:hAnsiTheme="minorHAnsi" w:cstheme="minorBidi"/>
          <w:b w:val="0"/>
          <w:noProof/>
          <w:sz w:val="22"/>
          <w:szCs w:val="22"/>
          <w:lang w:val="en-GB" w:eastAsia="en-GB"/>
        </w:rPr>
      </w:pPr>
      <w:r w:rsidRPr="00037357">
        <w:fldChar w:fldCharType="begin"/>
      </w:r>
      <w:r w:rsidRPr="00037357">
        <w:instrText xml:space="preserve"> TOC \h \z \t "Heading 1,1,Heading 2,2,Heading 3,3,Appendix,1" </w:instrText>
      </w:r>
      <w:r w:rsidRPr="00037357">
        <w:fldChar w:fldCharType="separate"/>
      </w:r>
      <w:hyperlink w:anchor="_Toc490159260" w:history="1">
        <w:r w:rsidR="00F62267" w:rsidRPr="00A55BE2">
          <w:rPr>
            <w:rStyle w:val="Hyperlink"/>
            <w:noProof/>
          </w:rPr>
          <w:t>Glossary</w:t>
        </w:r>
        <w:r w:rsidR="00F62267">
          <w:rPr>
            <w:noProof/>
            <w:webHidden/>
          </w:rPr>
          <w:tab/>
        </w:r>
        <w:r w:rsidR="00F62267">
          <w:rPr>
            <w:noProof/>
            <w:webHidden/>
          </w:rPr>
          <w:fldChar w:fldCharType="begin"/>
        </w:r>
        <w:r w:rsidR="00F62267">
          <w:rPr>
            <w:noProof/>
            <w:webHidden/>
          </w:rPr>
          <w:instrText xml:space="preserve"> PAGEREF _Toc490159260 \h </w:instrText>
        </w:r>
        <w:r w:rsidR="00F62267">
          <w:rPr>
            <w:noProof/>
            <w:webHidden/>
          </w:rPr>
        </w:r>
        <w:r w:rsidR="00F62267">
          <w:rPr>
            <w:noProof/>
            <w:webHidden/>
          </w:rPr>
          <w:fldChar w:fldCharType="separate"/>
        </w:r>
        <w:r w:rsidR="00F62267">
          <w:rPr>
            <w:noProof/>
            <w:webHidden/>
          </w:rPr>
          <w:t>ii</w:t>
        </w:r>
        <w:r w:rsidR="00F62267">
          <w:rPr>
            <w:noProof/>
            <w:webHidden/>
          </w:rPr>
          <w:fldChar w:fldCharType="end"/>
        </w:r>
      </w:hyperlink>
    </w:p>
    <w:p w14:paraId="7CFA0663"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61" w:history="1">
        <w:r w:rsidR="00F62267" w:rsidRPr="00A55BE2">
          <w:rPr>
            <w:rStyle w:val="Hyperlink"/>
            <w:noProof/>
          </w:rPr>
          <w:t>About this Options Paper</w:t>
        </w:r>
        <w:r w:rsidR="00F62267">
          <w:rPr>
            <w:noProof/>
            <w:webHidden/>
          </w:rPr>
          <w:tab/>
        </w:r>
        <w:r w:rsidR="00F62267">
          <w:rPr>
            <w:noProof/>
            <w:webHidden/>
          </w:rPr>
          <w:fldChar w:fldCharType="begin"/>
        </w:r>
        <w:r w:rsidR="00F62267">
          <w:rPr>
            <w:noProof/>
            <w:webHidden/>
          </w:rPr>
          <w:instrText xml:space="preserve"> PAGEREF _Toc490159261 \h </w:instrText>
        </w:r>
        <w:r w:rsidR="00F62267">
          <w:rPr>
            <w:noProof/>
            <w:webHidden/>
          </w:rPr>
        </w:r>
        <w:r w:rsidR="00F62267">
          <w:rPr>
            <w:noProof/>
            <w:webHidden/>
          </w:rPr>
          <w:fldChar w:fldCharType="separate"/>
        </w:r>
        <w:r w:rsidR="00F62267">
          <w:rPr>
            <w:noProof/>
            <w:webHidden/>
          </w:rPr>
          <w:t>1</w:t>
        </w:r>
        <w:r w:rsidR="00F62267">
          <w:rPr>
            <w:noProof/>
            <w:webHidden/>
          </w:rPr>
          <w:fldChar w:fldCharType="end"/>
        </w:r>
      </w:hyperlink>
    </w:p>
    <w:p w14:paraId="1ED40152" w14:textId="77777777" w:rsidR="00F62267" w:rsidRDefault="00965F09">
      <w:pPr>
        <w:pStyle w:val="TOC2"/>
        <w:rPr>
          <w:rFonts w:asciiTheme="minorHAnsi" w:eastAsiaTheme="minorEastAsia" w:hAnsiTheme="minorHAnsi" w:cstheme="minorBidi"/>
          <w:sz w:val="22"/>
          <w:szCs w:val="22"/>
          <w:lang w:val="en-GB" w:eastAsia="en-GB"/>
        </w:rPr>
      </w:pPr>
      <w:hyperlink w:anchor="_Toc490159262" w:history="1">
        <w:r w:rsidR="00F62267" w:rsidRPr="00A55BE2">
          <w:rPr>
            <w:rStyle w:val="Hyperlink"/>
          </w:rPr>
          <w:t>Consultation questions</w:t>
        </w:r>
        <w:r w:rsidR="00F62267">
          <w:rPr>
            <w:webHidden/>
          </w:rPr>
          <w:tab/>
        </w:r>
        <w:r w:rsidR="00F62267">
          <w:rPr>
            <w:webHidden/>
          </w:rPr>
          <w:fldChar w:fldCharType="begin"/>
        </w:r>
        <w:r w:rsidR="00F62267">
          <w:rPr>
            <w:webHidden/>
          </w:rPr>
          <w:instrText xml:space="preserve"> PAGEREF _Toc490159262 \h </w:instrText>
        </w:r>
        <w:r w:rsidR="00F62267">
          <w:rPr>
            <w:webHidden/>
          </w:rPr>
        </w:r>
        <w:r w:rsidR="00F62267">
          <w:rPr>
            <w:webHidden/>
          </w:rPr>
          <w:fldChar w:fldCharType="separate"/>
        </w:r>
        <w:r w:rsidR="00F62267">
          <w:rPr>
            <w:webHidden/>
          </w:rPr>
          <w:t>1</w:t>
        </w:r>
        <w:r w:rsidR="00F62267">
          <w:rPr>
            <w:webHidden/>
          </w:rPr>
          <w:fldChar w:fldCharType="end"/>
        </w:r>
      </w:hyperlink>
    </w:p>
    <w:p w14:paraId="46437C48"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63" w:history="1">
        <w:r w:rsidR="00F62267" w:rsidRPr="00A55BE2">
          <w:rPr>
            <w:rStyle w:val="Hyperlink"/>
            <w:noProof/>
          </w:rPr>
          <w:t>Opportunities to provide feedback</w:t>
        </w:r>
        <w:r w:rsidR="00F62267">
          <w:rPr>
            <w:noProof/>
            <w:webHidden/>
          </w:rPr>
          <w:tab/>
        </w:r>
        <w:r w:rsidR="00F62267">
          <w:rPr>
            <w:noProof/>
            <w:webHidden/>
          </w:rPr>
          <w:fldChar w:fldCharType="begin"/>
        </w:r>
        <w:r w:rsidR="00F62267">
          <w:rPr>
            <w:noProof/>
            <w:webHidden/>
          </w:rPr>
          <w:instrText xml:space="preserve"> PAGEREF _Toc490159263 \h </w:instrText>
        </w:r>
        <w:r w:rsidR="00F62267">
          <w:rPr>
            <w:noProof/>
            <w:webHidden/>
          </w:rPr>
        </w:r>
        <w:r w:rsidR="00F62267">
          <w:rPr>
            <w:noProof/>
            <w:webHidden/>
          </w:rPr>
          <w:fldChar w:fldCharType="separate"/>
        </w:r>
        <w:r w:rsidR="00F62267">
          <w:rPr>
            <w:noProof/>
            <w:webHidden/>
          </w:rPr>
          <w:t>1</w:t>
        </w:r>
        <w:r w:rsidR="00F62267">
          <w:rPr>
            <w:noProof/>
            <w:webHidden/>
          </w:rPr>
          <w:fldChar w:fldCharType="end"/>
        </w:r>
      </w:hyperlink>
    </w:p>
    <w:p w14:paraId="2603B9AA" w14:textId="77777777" w:rsidR="00F62267" w:rsidRDefault="00965F09">
      <w:pPr>
        <w:pStyle w:val="TOC3"/>
        <w:rPr>
          <w:rFonts w:asciiTheme="minorHAnsi" w:eastAsiaTheme="minorEastAsia" w:hAnsiTheme="minorHAnsi" w:cstheme="minorBidi"/>
          <w:sz w:val="22"/>
          <w:szCs w:val="22"/>
          <w:lang w:val="en-GB" w:eastAsia="en-GB"/>
        </w:rPr>
      </w:pPr>
      <w:hyperlink w:anchor="_Toc490159264" w:history="1">
        <w:r w:rsidR="00F62267" w:rsidRPr="00A55BE2">
          <w:rPr>
            <w:rStyle w:val="Hyperlink"/>
          </w:rPr>
          <w:t>Email</w:t>
        </w:r>
        <w:r w:rsidR="00F62267">
          <w:rPr>
            <w:webHidden/>
          </w:rPr>
          <w:tab/>
        </w:r>
        <w:r w:rsidR="00F62267">
          <w:rPr>
            <w:webHidden/>
          </w:rPr>
          <w:fldChar w:fldCharType="begin"/>
        </w:r>
        <w:r w:rsidR="00F62267">
          <w:rPr>
            <w:webHidden/>
          </w:rPr>
          <w:instrText xml:space="preserve"> PAGEREF _Toc490159264 \h </w:instrText>
        </w:r>
        <w:r w:rsidR="00F62267">
          <w:rPr>
            <w:webHidden/>
          </w:rPr>
        </w:r>
        <w:r w:rsidR="00F62267">
          <w:rPr>
            <w:webHidden/>
          </w:rPr>
          <w:fldChar w:fldCharType="separate"/>
        </w:r>
        <w:r w:rsidR="00F62267">
          <w:rPr>
            <w:webHidden/>
          </w:rPr>
          <w:t>2</w:t>
        </w:r>
        <w:r w:rsidR="00F62267">
          <w:rPr>
            <w:webHidden/>
          </w:rPr>
          <w:fldChar w:fldCharType="end"/>
        </w:r>
      </w:hyperlink>
    </w:p>
    <w:p w14:paraId="77F66A9F" w14:textId="77777777" w:rsidR="00F62267" w:rsidRDefault="00965F09">
      <w:pPr>
        <w:pStyle w:val="TOC3"/>
        <w:rPr>
          <w:rFonts w:asciiTheme="minorHAnsi" w:eastAsiaTheme="minorEastAsia" w:hAnsiTheme="minorHAnsi" w:cstheme="minorBidi"/>
          <w:sz w:val="22"/>
          <w:szCs w:val="22"/>
          <w:lang w:val="en-GB" w:eastAsia="en-GB"/>
        </w:rPr>
      </w:pPr>
      <w:hyperlink w:anchor="_Toc490159265" w:history="1">
        <w:r w:rsidR="00F62267" w:rsidRPr="00A55BE2">
          <w:rPr>
            <w:rStyle w:val="Hyperlink"/>
          </w:rPr>
          <w:t>Workshops or in person</w:t>
        </w:r>
        <w:r w:rsidR="00F62267">
          <w:rPr>
            <w:webHidden/>
          </w:rPr>
          <w:tab/>
        </w:r>
        <w:r w:rsidR="00F62267">
          <w:rPr>
            <w:webHidden/>
          </w:rPr>
          <w:fldChar w:fldCharType="begin"/>
        </w:r>
        <w:r w:rsidR="00F62267">
          <w:rPr>
            <w:webHidden/>
          </w:rPr>
          <w:instrText xml:space="preserve"> PAGEREF _Toc490159265 \h </w:instrText>
        </w:r>
        <w:r w:rsidR="00F62267">
          <w:rPr>
            <w:webHidden/>
          </w:rPr>
        </w:r>
        <w:r w:rsidR="00F62267">
          <w:rPr>
            <w:webHidden/>
          </w:rPr>
          <w:fldChar w:fldCharType="separate"/>
        </w:r>
        <w:r w:rsidR="00F62267">
          <w:rPr>
            <w:webHidden/>
          </w:rPr>
          <w:t>2</w:t>
        </w:r>
        <w:r w:rsidR="00F62267">
          <w:rPr>
            <w:webHidden/>
          </w:rPr>
          <w:fldChar w:fldCharType="end"/>
        </w:r>
      </w:hyperlink>
    </w:p>
    <w:p w14:paraId="43655AFC" w14:textId="77777777" w:rsidR="00F62267" w:rsidRDefault="00965F09">
      <w:pPr>
        <w:pStyle w:val="TOC3"/>
        <w:rPr>
          <w:rFonts w:asciiTheme="minorHAnsi" w:eastAsiaTheme="minorEastAsia" w:hAnsiTheme="minorHAnsi" w:cstheme="minorBidi"/>
          <w:sz w:val="22"/>
          <w:szCs w:val="22"/>
          <w:lang w:val="en-GB" w:eastAsia="en-GB"/>
        </w:rPr>
      </w:pPr>
      <w:hyperlink w:anchor="_Toc490159266" w:history="1">
        <w:r w:rsidR="00F62267" w:rsidRPr="00A55BE2">
          <w:rPr>
            <w:rStyle w:val="Hyperlink"/>
          </w:rPr>
          <w:t>Online</w:t>
        </w:r>
        <w:r w:rsidR="00F62267">
          <w:rPr>
            <w:webHidden/>
          </w:rPr>
          <w:tab/>
        </w:r>
        <w:r w:rsidR="00F62267">
          <w:rPr>
            <w:webHidden/>
          </w:rPr>
          <w:fldChar w:fldCharType="begin"/>
        </w:r>
        <w:r w:rsidR="00F62267">
          <w:rPr>
            <w:webHidden/>
          </w:rPr>
          <w:instrText xml:space="preserve"> PAGEREF _Toc490159266 \h </w:instrText>
        </w:r>
        <w:r w:rsidR="00F62267">
          <w:rPr>
            <w:webHidden/>
          </w:rPr>
        </w:r>
        <w:r w:rsidR="00F62267">
          <w:rPr>
            <w:webHidden/>
          </w:rPr>
          <w:fldChar w:fldCharType="separate"/>
        </w:r>
        <w:r w:rsidR="00F62267">
          <w:rPr>
            <w:webHidden/>
          </w:rPr>
          <w:t>2</w:t>
        </w:r>
        <w:r w:rsidR="00F62267">
          <w:rPr>
            <w:webHidden/>
          </w:rPr>
          <w:fldChar w:fldCharType="end"/>
        </w:r>
      </w:hyperlink>
    </w:p>
    <w:p w14:paraId="22604DE4"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67" w:history="1">
        <w:r w:rsidR="00F62267" w:rsidRPr="00A55BE2">
          <w:rPr>
            <w:rStyle w:val="Hyperlink"/>
            <w:noProof/>
          </w:rPr>
          <w:t>About the CLSP Reform Project</w:t>
        </w:r>
        <w:r w:rsidR="00F62267">
          <w:rPr>
            <w:noProof/>
            <w:webHidden/>
          </w:rPr>
          <w:tab/>
        </w:r>
        <w:r w:rsidR="00F62267">
          <w:rPr>
            <w:noProof/>
            <w:webHidden/>
          </w:rPr>
          <w:fldChar w:fldCharType="begin"/>
        </w:r>
        <w:r w:rsidR="00F62267">
          <w:rPr>
            <w:noProof/>
            <w:webHidden/>
          </w:rPr>
          <w:instrText xml:space="preserve"> PAGEREF _Toc490159267 \h </w:instrText>
        </w:r>
        <w:r w:rsidR="00F62267">
          <w:rPr>
            <w:noProof/>
            <w:webHidden/>
          </w:rPr>
        </w:r>
        <w:r w:rsidR="00F62267">
          <w:rPr>
            <w:noProof/>
            <w:webHidden/>
          </w:rPr>
          <w:fldChar w:fldCharType="separate"/>
        </w:r>
        <w:r w:rsidR="00F62267">
          <w:rPr>
            <w:noProof/>
            <w:webHidden/>
          </w:rPr>
          <w:t>3</w:t>
        </w:r>
        <w:r w:rsidR="00F62267">
          <w:rPr>
            <w:noProof/>
            <w:webHidden/>
          </w:rPr>
          <w:fldChar w:fldCharType="end"/>
        </w:r>
      </w:hyperlink>
    </w:p>
    <w:p w14:paraId="6398DD39" w14:textId="77777777" w:rsidR="00F62267" w:rsidRDefault="00965F09">
      <w:pPr>
        <w:pStyle w:val="TOC2"/>
        <w:rPr>
          <w:rFonts w:asciiTheme="minorHAnsi" w:eastAsiaTheme="minorEastAsia" w:hAnsiTheme="minorHAnsi" w:cstheme="minorBidi"/>
          <w:sz w:val="22"/>
          <w:szCs w:val="22"/>
          <w:lang w:val="en-GB" w:eastAsia="en-GB"/>
        </w:rPr>
      </w:pPr>
      <w:hyperlink w:anchor="_Toc490159268" w:history="1">
        <w:r w:rsidR="00F62267" w:rsidRPr="00A55BE2">
          <w:rPr>
            <w:rStyle w:val="Hyperlink"/>
          </w:rPr>
          <w:t>CLSP reform objectives</w:t>
        </w:r>
        <w:r w:rsidR="00F62267">
          <w:rPr>
            <w:webHidden/>
          </w:rPr>
          <w:tab/>
        </w:r>
        <w:r w:rsidR="00F62267">
          <w:rPr>
            <w:webHidden/>
          </w:rPr>
          <w:fldChar w:fldCharType="begin"/>
        </w:r>
        <w:r w:rsidR="00F62267">
          <w:rPr>
            <w:webHidden/>
          </w:rPr>
          <w:instrText xml:space="preserve"> PAGEREF _Toc490159268 \h </w:instrText>
        </w:r>
        <w:r w:rsidR="00F62267">
          <w:rPr>
            <w:webHidden/>
          </w:rPr>
        </w:r>
        <w:r w:rsidR="00F62267">
          <w:rPr>
            <w:webHidden/>
          </w:rPr>
          <w:fldChar w:fldCharType="separate"/>
        </w:r>
        <w:r w:rsidR="00F62267">
          <w:rPr>
            <w:webHidden/>
          </w:rPr>
          <w:t>3</w:t>
        </w:r>
        <w:r w:rsidR="00F62267">
          <w:rPr>
            <w:webHidden/>
          </w:rPr>
          <w:fldChar w:fldCharType="end"/>
        </w:r>
      </w:hyperlink>
    </w:p>
    <w:p w14:paraId="7A6BB2CA" w14:textId="77777777" w:rsidR="00F62267" w:rsidRDefault="00965F09">
      <w:pPr>
        <w:pStyle w:val="TOC2"/>
        <w:rPr>
          <w:rFonts w:asciiTheme="minorHAnsi" w:eastAsiaTheme="minorEastAsia" w:hAnsiTheme="minorHAnsi" w:cstheme="minorBidi"/>
          <w:sz w:val="22"/>
          <w:szCs w:val="22"/>
          <w:lang w:val="en-GB" w:eastAsia="en-GB"/>
        </w:rPr>
      </w:pPr>
      <w:hyperlink w:anchor="_Toc490159269" w:history="1">
        <w:r w:rsidR="00F62267" w:rsidRPr="00A55BE2">
          <w:rPr>
            <w:rStyle w:val="Hyperlink"/>
          </w:rPr>
          <w:t>The process leading to reform</w:t>
        </w:r>
        <w:r w:rsidR="00F62267">
          <w:rPr>
            <w:webHidden/>
          </w:rPr>
          <w:tab/>
        </w:r>
        <w:r w:rsidR="00F62267">
          <w:rPr>
            <w:webHidden/>
          </w:rPr>
          <w:fldChar w:fldCharType="begin"/>
        </w:r>
        <w:r w:rsidR="00F62267">
          <w:rPr>
            <w:webHidden/>
          </w:rPr>
          <w:instrText xml:space="preserve"> PAGEREF _Toc490159269 \h </w:instrText>
        </w:r>
        <w:r w:rsidR="00F62267">
          <w:rPr>
            <w:webHidden/>
          </w:rPr>
        </w:r>
        <w:r w:rsidR="00F62267">
          <w:rPr>
            <w:webHidden/>
          </w:rPr>
          <w:fldChar w:fldCharType="separate"/>
        </w:r>
        <w:r w:rsidR="00F62267">
          <w:rPr>
            <w:webHidden/>
          </w:rPr>
          <w:t>3</w:t>
        </w:r>
        <w:r w:rsidR="00F62267">
          <w:rPr>
            <w:webHidden/>
          </w:rPr>
          <w:fldChar w:fldCharType="end"/>
        </w:r>
      </w:hyperlink>
    </w:p>
    <w:p w14:paraId="10B6DC7B"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70" w:history="1">
        <w:r w:rsidR="00F62267" w:rsidRPr="00A55BE2">
          <w:rPr>
            <w:rStyle w:val="Hyperlink"/>
            <w:noProof/>
          </w:rPr>
          <w:t>The CLSP Reform Project stakeholder engagement process</w:t>
        </w:r>
        <w:r w:rsidR="00F62267">
          <w:rPr>
            <w:noProof/>
            <w:webHidden/>
          </w:rPr>
          <w:tab/>
        </w:r>
        <w:r w:rsidR="00F62267">
          <w:rPr>
            <w:noProof/>
            <w:webHidden/>
          </w:rPr>
          <w:fldChar w:fldCharType="begin"/>
        </w:r>
        <w:r w:rsidR="00F62267">
          <w:rPr>
            <w:noProof/>
            <w:webHidden/>
          </w:rPr>
          <w:instrText xml:space="preserve"> PAGEREF _Toc490159270 \h </w:instrText>
        </w:r>
        <w:r w:rsidR="00F62267">
          <w:rPr>
            <w:noProof/>
            <w:webHidden/>
          </w:rPr>
        </w:r>
        <w:r w:rsidR="00F62267">
          <w:rPr>
            <w:noProof/>
            <w:webHidden/>
          </w:rPr>
          <w:fldChar w:fldCharType="separate"/>
        </w:r>
        <w:r w:rsidR="00F62267">
          <w:rPr>
            <w:noProof/>
            <w:webHidden/>
          </w:rPr>
          <w:t>4</w:t>
        </w:r>
        <w:r w:rsidR="00F62267">
          <w:rPr>
            <w:noProof/>
            <w:webHidden/>
          </w:rPr>
          <w:fldChar w:fldCharType="end"/>
        </w:r>
      </w:hyperlink>
    </w:p>
    <w:p w14:paraId="52352024" w14:textId="77777777" w:rsidR="00F62267" w:rsidRDefault="00965F09">
      <w:pPr>
        <w:pStyle w:val="TOC2"/>
        <w:rPr>
          <w:rFonts w:asciiTheme="minorHAnsi" w:eastAsiaTheme="minorEastAsia" w:hAnsiTheme="minorHAnsi" w:cstheme="minorBidi"/>
          <w:sz w:val="22"/>
          <w:szCs w:val="22"/>
          <w:lang w:val="en-GB" w:eastAsia="en-GB"/>
        </w:rPr>
      </w:pPr>
      <w:hyperlink w:anchor="_Toc490159271" w:history="1">
        <w:r w:rsidR="00F62267" w:rsidRPr="00A55BE2">
          <w:rPr>
            <w:rStyle w:val="Hyperlink"/>
          </w:rPr>
          <w:t>Methods used to gather stakeholder feedback in phase 1</w:t>
        </w:r>
        <w:r w:rsidR="00F62267">
          <w:rPr>
            <w:webHidden/>
          </w:rPr>
          <w:tab/>
        </w:r>
        <w:r w:rsidR="00F62267">
          <w:rPr>
            <w:webHidden/>
          </w:rPr>
          <w:fldChar w:fldCharType="begin"/>
        </w:r>
        <w:r w:rsidR="00F62267">
          <w:rPr>
            <w:webHidden/>
          </w:rPr>
          <w:instrText xml:space="preserve"> PAGEREF _Toc490159271 \h </w:instrText>
        </w:r>
        <w:r w:rsidR="00F62267">
          <w:rPr>
            <w:webHidden/>
          </w:rPr>
        </w:r>
        <w:r w:rsidR="00F62267">
          <w:rPr>
            <w:webHidden/>
          </w:rPr>
          <w:fldChar w:fldCharType="separate"/>
        </w:r>
        <w:r w:rsidR="00F62267">
          <w:rPr>
            <w:webHidden/>
          </w:rPr>
          <w:t>4</w:t>
        </w:r>
        <w:r w:rsidR="00F62267">
          <w:rPr>
            <w:webHidden/>
          </w:rPr>
          <w:fldChar w:fldCharType="end"/>
        </w:r>
      </w:hyperlink>
    </w:p>
    <w:p w14:paraId="5B1EED87"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72" w:history="1">
        <w:r w:rsidR="00F62267" w:rsidRPr="00A55BE2">
          <w:rPr>
            <w:rStyle w:val="Hyperlink"/>
            <w:noProof/>
          </w:rPr>
          <w:t>The 16 key questions that underpin reform</w:t>
        </w:r>
        <w:r w:rsidR="00F62267">
          <w:rPr>
            <w:noProof/>
            <w:webHidden/>
          </w:rPr>
          <w:tab/>
        </w:r>
        <w:r w:rsidR="00F62267">
          <w:rPr>
            <w:noProof/>
            <w:webHidden/>
          </w:rPr>
          <w:fldChar w:fldCharType="begin"/>
        </w:r>
        <w:r w:rsidR="00F62267">
          <w:rPr>
            <w:noProof/>
            <w:webHidden/>
          </w:rPr>
          <w:instrText xml:space="preserve"> PAGEREF _Toc490159272 \h </w:instrText>
        </w:r>
        <w:r w:rsidR="00F62267">
          <w:rPr>
            <w:noProof/>
            <w:webHidden/>
          </w:rPr>
        </w:r>
        <w:r w:rsidR="00F62267">
          <w:rPr>
            <w:noProof/>
            <w:webHidden/>
          </w:rPr>
          <w:fldChar w:fldCharType="separate"/>
        </w:r>
        <w:r w:rsidR="00F62267">
          <w:rPr>
            <w:noProof/>
            <w:webHidden/>
          </w:rPr>
          <w:t>5</w:t>
        </w:r>
        <w:r w:rsidR="00F62267">
          <w:rPr>
            <w:noProof/>
            <w:webHidden/>
          </w:rPr>
          <w:fldChar w:fldCharType="end"/>
        </w:r>
      </w:hyperlink>
    </w:p>
    <w:p w14:paraId="4C8B35D3"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73" w:history="1">
        <w:r w:rsidR="00F62267" w:rsidRPr="00A55BE2">
          <w:rPr>
            <w:rStyle w:val="Hyperlink"/>
            <w:noProof/>
          </w:rPr>
          <w:t>Design principles underpinning this reform</w:t>
        </w:r>
        <w:r w:rsidR="00F62267">
          <w:rPr>
            <w:noProof/>
            <w:webHidden/>
          </w:rPr>
          <w:tab/>
        </w:r>
        <w:r w:rsidR="00F62267">
          <w:rPr>
            <w:noProof/>
            <w:webHidden/>
          </w:rPr>
          <w:fldChar w:fldCharType="begin"/>
        </w:r>
        <w:r w:rsidR="00F62267">
          <w:rPr>
            <w:noProof/>
            <w:webHidden/>
          </w:rPr>
          <w:instrText xml:space="preserve"> PAGEREF _Toc490159273 \h </w:instrText>
        </w:r>
        <w:r w:rsidR="00F62267">
          <w:rPr>
            <w:noProof/>
            <w:webHidden/>
          </w:rPr>
        </w:r>
        <w:r w:rsidR="00F62267">
          <w:rPr>
            <w:noProof/>
            <w:webHidden/>
          </w:rPr>
          <w:fldChar w:fldCharType="separate"/>
        </w:r>
        <w:r w:rsidR="00F62267">
          <w:rPr>
            <w:noProof/>
            <w:webHidden/>
          </w:rPr>
          <w:t>6</w:t>
        </w:r>
        <w:r w:rsidR="00F62267">
          <w:rPr>
            <w:noProof/>
            <w:webHidden/>
          </w:rPr>
          <w:fldChar w:fldCharType="end"/>
        </w:r>
      </w:hyperlink>
    </w:p>
    <w:p w14:paraId="139CBB11"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74" w:history="1">
        <w:r w:rsidR="00F62267" w:rsidRPr="00A55BE2">
          <w:rPr>
            <w:rStyle w:val="Hyperlink"/>
            <w:noProof/>
          </w:rPr>
          <w:t>Ten key reforms</w:t>
        </w:r>
        <w:r w:rsidR="00F62267">
          <w:rPr>
            <w:noProof/>
            <w:webHidden/>
          </w:rPr>
          <w:tab/>
        </w:r>
        <w:r w:rsidR="00F62267">
          <w:rPr>
            <w:noProof/>
            <w:webHidden/>
          </w:rPr>
          <w:fldChar w:fldCharType="begin"/>
        </w:r>
        <w:r w:rsidR="00F62267">
          <w:rPr>
            <w:noProof/>
            <w:webHidden/>
          </w:rPr>
          <w:instrText xml:space="preserve"> PAGEREF _Toc490159274 \h </w:instrText>
        </w:r>
        <w:r w:rsidR="00F62267">
          <w:rPr>
            <w:noProof/>
            <w:webHidden/>
          </w:rPr>
        </w:r>
        <w:r w:rsidR="00F62267">
          <w:rPr>
            <w:noProof/>
            <w:webHidden/>
          </w:rPr>
          <w:fldChar w:fldCharType="separate"/>
        </w:r>
        <w:r w:rsidR="00F62267">
          <w:rPr>
            <w:noProof/>
            <w:webHidden/>
          </w:rPr>
          <w:t>6</w:t>
        </w:r>
        <w:r w:rsidR="00F62267">
          <w:rPr>
            <w:noProof/>
            <w:webHidden/>
          </w:rPr>
          <w:fldChar w:fldCharType="end"/>
        </w:r>
      </w:hyperlink>
    </w:p>
    <w:p w14:paraId="7EC145BA"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75" w:history="1">
        <w:r w:rsidR="00F62267" w:rsidRPr="00A55BE2">
          <w:rPr>
            <w:rStyle w:val="Hyperlink"/>
            <w:noProof/>
          </w:rPr>
          <w:t>Reform 1: Transparent criteria and eligibility for funding</w:t>
        </w:r>
        <w:r w:rsidR="00F62267">
          <w:rPr>
            <w:noProof/>
            <w:webHidden/>
          </w:rPr>
          <w:tab/>
        </w:r>
        <w:r w:rsidR="00F62267">
          <w:rPr>
            <w:noProof/>
            <w:webHidden/>
          </w:rPr>
          <w:fldChar w:fldCharType="begin"/>
        </w:r>
        <w:r w:rsidR="00F62267">
          <w:rPr>
            <w:noProof/>
            <w:webHidden/>
          </w:rPr>
          <w:instrText xml:space="preserve"> PAGEREF _Toc490159275 \h </w:instrText>
        </w:r>
        <w:r w:rsidR="00F62267">
          <w:rPr>
            <w:noProof/>
            <w:webHidden/>
          </w:rPr>
        </w:r>
        <w:r w:rsidR="00F62267">
          <w:rPr>
            <w:noProof/>
            <w:webHidden/>
          </w:rPr>
          <w:fldChar w:fldCharType="separate"/>
        </w:r>
        <w:r w:rsidR="00F62267">
          <w:rPr>
            <w:noProof/>
            <w:webHidden/>
          </w:rPr>
          <w:t>7</w:t>
        </w:r>
        <w:r w:rsidR="00F62267">
          <w:rPr>
            <w:noProof/>
            <w:webHidden/>
          </w:rPr>
          <w:fldChar w:fldCharType="end"/>
        </w:r>
      </w:hyperlink>
    </w:p>
    <w:p w14:paraId="579CE682" w14:textId="77777777" w:rsidR="00F62267" w:rsidRDefault="00965F09">
      <w:pPr>
        <w:pStyle w:val="TOC2"/>
        <w:rPr>
          <w:rFonts w:asciiTheme="minorHAnsi" w:eastAsiaTheme="minorEastAsia" w:hAnsiTheme="minorHAnsi" w:cstheme="minorBidi"/>
          <w:sz w:val="22"/>
          <w:szCs w:val="22"/>
          <w:lang w:val="en-GB" w:eastAsia="en-GB"/>
        </w:rPr>
      </w:pPr>
      <w:hyperlink w:anchor="_Toc490159276" w:history="1">
        <w:r w:rsidR="00F62267" w:rsidRPr="00A55BE2">
          <w:rPr>
            <w:rStyle w:val="Hyperlink"/>
            <w:lang w:val="en-US"/>
          </w:rPr>
          <w:t>New and improved VLA systems and processes to manage funding to CLCs</w:t>
        </w:r>
        <w:r w:rsidR="00F62267">
          <w:rPr>
            <w:webHidden/>
          </w:rPr>
          <w:tab/>
        </w:r>
        <w:r w:rsidR="00F62267">
          <w:rPr>
            <w:webHidden/>
          </w:rPr>
          <w:fldChar w:fldCharType="begin"/>
        </w:r>
        <w:r w:rsidR="00F62267">
          <w:rPr>
            <w:webHidden/>
          </w:rPr>
          <w:instrText xml:space="preserve"> PAGEREF _Toc490159276 \h </w:instrText>
        </w:r>
        <w:r w:rsidR="00F62267">
          <w:rPr>
            <w:webHidden/>
          </w:rPr>
        </w:r>
        <w:r w:rsidR="00F62267">
          <w:rPr>
            <w:webHidden/>
          </w:rPr>
          <w:fldChar w:fldCharType="separate"/>
        </w:r>
        <w:r w:rsidR="00F62267">
          <w:rPr>
            <w:webHidden/>
          </w:rPr>
          <w:t>7</w:t>
        </w:r>
        <w:r w:rsidR="00F62267">
          <w:rPr>
            <w:webHidden/>
          </w:rPr>
          <w:fldChar w:fldCharType="end"/>
        </w:r>
      </w:hyperlink>
    </w:p>
    <w:p w14:paraId="3943DF78" w14:textId="77777777" w:rsidR="00F62267" w:rsidRDefault="00965F09">
      <w:pPr>
        <w:pStyle w:val="TOC3"/>
        <w:rPr>
          <w:rFonts w:asciiTheme="minorHAnsi" w:eastAsiaTheme="minorEastAsia" w:hAnsiTheme="minorHAnsi" w:cstheme="minorBidi"/>
          <w:sz w:val="22"/>
          <w:szCs w:val="22"/>
          <w:lang w:val="en-GB" w:eastAsia="en-GB"/>
        </w:rPr>
      </w:pPr>
      <w:hyperlink w:anchor="_Toc490159277" w:history="1">
        <w:r w:rsidR="00F62267" w:rsidRPr="00A55BE2">
          <w:rPr>
            <w:rStyle w:val="Hyperlink"/>
          </w:rPr>
          <w:t>Eligibility for funding</w:t>
        </w:r>
        <w:r w:rsidR="00F62267">
          <w:rPr>
            <w:webHidden/>
          </w:rPr>
          <w:tab/>
        </w:r>
        <w:r w:rsidR="00F62267">
          <w:rPr>
            <w:webHidden/>
          </w:rPr>
          <w:fldChar w:fldCharType="begin"/>
        </w:r>
        <w:r w:rsidR="00F62267">
          <w:rPr>
            <w:webHidden/>
          </w:rPr>
          <w:instrText xml:space="preserve"> PAGEREF _Toc490159277 \h </w:instrText>
        </w:r>
        <w:r w:rsidR="00F62267">
          <w:rPr>
            <w:webHidden/>
          </w:rPr>
        </w:r>
        <w:r w:rsidR="00F62267">
          <w:rPr>
            <w:webHidden/>
          </w:rPr>
          <w:fldChar w:fldCharType="separate"/>
        </w:r>
        <w:r w:rsidR="00F62267">
          <w:rPr>
            <w:webHidden/>
          </w:rPr>
          <w:t>7</w:t>
        </w:r>
        <w:r w:rsidR="00F62267">
          <w:rPr>
            <w:webHidden/>
          </w:rPr>
          <w:fldChar w:fldCharType="end"/>
        </w:r>
      </w:hyperlink>
    </w:p>
    <w:p w14:paraId="7BE0DB0D"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78" w:history="1">
        <w:r w:rsidR="00F62267" w:rsidRPr="00A55BE2">
          <w:rPr>
            <w:rStyle w:val="Hyperlink"/>
            <w:noProof/>
          </w:rPr>
          <w:t>Reform 2: Reform the service agreement</w:t>
        </w:r>
        <w:r w:rsidR="00F62267">
          <w:rPr>
            <w:noProof/>
            <w:webHidden/>
          </w:rPr>
          <w:tab/>
        </w:r>
        <w:r w:rsidR="00F62267">
          <w:rPr>
            <w:noProof/>
            <w:webHidden/>
          </w:rPr>
          <w:fldChar w:fldCharType="begin"/>
        </w:r>
        <w:r w:rsidR="00F62267">
          <w:rPr>
            <w:noProof/>
            <w:webHidden/>
          </w:rPr>
          <w:instrText xml:space="preserve"> PAGEREF _Toc490159278 \h </w:instrText>
        </w:r>
        <w:r w:rsidR="00F62267">
          <w:rPr>
            <w:noProof/>
            <w:webHidden/>
          </w:rPr>
        </w:r>
        <w:r w:rsidR="00F62267">
          <w:rPr>
            <w:noProof/>
            <w:webHidden/>
          </w:rPr>
          <w:fldChar w:fldCharType="separate"/>
        </w:r>
        <w:r w:rsidR="00F62267">
          <w:rPr>
            <w:noProof/>
            <w:webHidden/>
          </w:rPr>
          <w:t>9</w:t>
        </w:r>
        <w:r w:rsidR="00F62267">
          <w:rPr>
            <w:noProof/>
            <w:webHidden/>
          </w:rPr>
          <w:fldChar w:fldCharType="end"/>
        </w:r>
      </w:hyperlink>
    </w:p>
    <w:p w14:paraId="7C408777" w14:textId="77777777" w:rsidR="00F62267" w:rsidRDefault="00965F09">
      <w:pPr>
        <w:pStyle w:val="TOC2"/>
        <w:rPr>
          <w:rFonts w:asciiTheme="minorHAnsi" w:eastAsiaTheme="minorEastAsia" w:hAnsiTheme="minorHAnsi" w:cstheme="minorBidi"/>
          <w:sz w:val="22"/>
          <w:szCs w:val="22"/>
          <w:lang w:val="en-GB" w:eastAsia="en-GB"/>
        </w:rPr>
      </w:pPr>
      <w:hyperlink w:anchor="_Toc490159279" w:history="1">
        <w:r w:rsidR="00F62267" w:rsidRPr="00A55BE2">
          <w:rPr>
            <w:rStyle w:val="Hyperlink"/>
          </w:rPr>
          <w:t>Key elements of a new agreement</w:t>
        </w:r>
        <w:r w:rsidR="00F62267">
          <w:rPr>
            <w:webHidden/>
          </w:rPr>
          <w:tab/>
        </w:r>
        <w:r w:rsidR="00F62267">
          <w:rPr>
            <w:webHidden/>
          </w:rPr>
          <w:fldChar w:fldCharType="begin"/>
        </w:r>
        <w:r w:rsidR="00F62267">
          <w:rPr>
            <w:webHidden/>
          </w:rPr>
          <w:instrText xml:space="preserve"> PAGEREF _Toc490159279 \h </w:instrText>
        </w:r>
        <w:r w:rsidR="00F62267">
          <w:rPr>
            <w:webHidden/>
          </w:rPr>
        </w:r>
        <w:r w:rsidR="00F62267">
          <w:rPr>
            <w:webHidden/>
          </w:rPr>
          <w:fldChar w:fldCharType="separate"/>
        </w:r>
        <w:r w:rsidR="00F62267">
          <w:rPr>
            <w:webHidden/>
          </w:rPr>
          <w:t>9</w:t>
        </w:r>
        <w:r w:rsidR="00F62267">
          <w:rPr>
            <w:webHidden/>
          </w:rPr>
          <w:fldChar w:fldCharType="end"/>
        </w:r>
      </w:hyperlink>
    </w:p>
    <w:p w14:paraId="5299E946"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80" w:history="1">
        <w:r w:rsidR="00F62267" w:rsidRPr="00A55BE2">
          <w:rPr>
            <w:rStyle w:val="Hyperlink"/>
            <w:noProof/>
            <w:lang w:val="en-US"/>
          </w:rPr>
          <w:t>Reform 3: Performance accountability – the elements and the process</w:t>
        </w:r>
        <w:r w:rsidR="00F62267">
          <w:rPr>
            <w:noProof/>
            <w:webHidden/>
          </w:rPr>
          <w:tab/>
        </w:r>
        <w:r w:rsidR="00F62267">
          <w:rPr>
            <w:noProof/>
            <w:webHidden/>
          </w:rPr>
          <w:fldChar w:fldCharType="begin"/>
        </w:r>
        <w:r w:rsidR="00F62267">
          <w:rPr>
            <w:noProof/>
            <w:webHidden/>
          </w:rPr>
          <w:instrText xml:space="preserve"> PAGEREF _Toc490159280 \h </w:instrText>
        </w:r>
        <w:r w:rsidR="00F62267">
          <w:rPr>
            <w:noProof/>
            <w:webHidden/>
          </w:rPr>
        </w:r>
        <w:r w:rsidR="00F62267">
          <w:rPr>
            <w:noProof/>
            <w:webHidden/>
          </w:rPr>
          <w:fldChar w:fldCharType="separate"/>
        </w:r>
        <w:r w:rsidR="00F62267">
          <w:rPr>
            <w:noProof/>
            <w:webHidden/>
          </w:rPr>
          <w:t>10</w:t>
        </w:r>
        <w:r w:rsidR="00F62267">
          <w:rPr>
            <w:noProof/>
            <w:webHidden/>
          </w:rPr>
          <w:fldChar w:fldCharType="end"/>
        </w:r>
      </w:hyperlink>
    </w:p>
    <w:p w14:paraId="759704CF" w14:textId="77777777" w:rsidR="00F62267" w:rsidRDefault="00965F09">
      <w:pPr>
        <w:pStyle w:val="TOC2"/>
        <w:rPr>
          <w:rFonts w:asciiTheme="minorHAnsi" w:eastAsiaTheme="minorEastAsia" w:hAnsiTheme="minorHAnsi" w:cstheme="minorBidi"/>
          <w:sz w:val="22"/>
          <w:szCs w:val="22"/>
          <w:lang w:val="en-GB" w:eastAsia="en-GB"/>
        </w:rPr>
      </w:pPr>
      <w:hyperlink w:anchor="_Toc490159281" w:history="1">
        <w:r w:rsidR="00F62267" w:rsidRPr="00A55BE2">
          <w:rPr>
            <w:rStyle w:val="Hyperlink"/>
          </w:rPr>
          <w:t>Key elements of the current state</w:t>
        </w:r>
        <w:r w:rsidR="00F62267">
          <w:rPr>
            <w:webHidden/>
          </w:rPr>
          <w:tab/>
        </w:r>
        <w:r w:rsidR="00F62267">
          <w:rPr>
            <w:webHidden/>
          </w:rPr>
          <w:fldChar w:fldCharType="begin"/>
        </w:r>
        <w:r w:rsidR="00F62267">
          <w:rPr>
            <w:webHidden/>
          </w:rPr>
          <w:instrText xml:space="preserve"> PAGEREF _Toc490159281 \h </w:instrText>
        </w:r>
        <w:r w:rsidR="00F62267">
          <w:rPr>
            <w:webHidden/>
          </w:rPr>
        </w:r>
        <w:r w:rsidR="00F62267">
          <w:rPr>
            <w:webHidden/>
          </w:rPr>
          <w:fldChar w:fldCharType="separate"/>
        </w:r>
        <w:r w:rsidR="00F62267">
          <w:rPr>
            <w:webHidden/>
          </w:rPr>
          <w:t>10</w:t>
        </w:r>
        <w:r w:rsidR="00F62267">
          <w:rPr>
            <w:webHidden/>
          </w:rPr>
          <w:fldChar w:fldCharType="end"/>
        </w:r>
      </w:hyperlink>
    </w:p>
    <w:p w14:paraId="3DA065FF" w14:textId="77777777" w:rsidR="00F62267" w:rsidRDefault="00965F09">
      <w:pPr>
        <w:pStyle w:val="TOC2"/>
        <w:rPr>
          <w:rFonts w:asciiTheme="minorHAnsi" w:eastAsiaTheme="minorEastAsia" w:hAnsiTheme="minorHAnsi" w:cstheme="minorBidi"/>
          <w:sz w:val="22"/>
          <w:szCs w:val="22"/>
          <w:lang w:val="en-GB" w:eastAsia="en-GB"/>
        </w:rPr>
      </w:pPr>
      <w:hyperlink w:anchor="_Toc490159282" w:history="1">
        <w:r w:rsidR="00F62267" w:rsidRPr="00A55BE2">
          <w:rPr>
            <w:rStyle w:val="Hyperlink"/>
            <w:lang w:val="en-US"/>
          </w:rPr>
          <w:t>Key elements of a future state</w:t>
        </w:r>
        <w:r w:rsidR="00F62267">
          <w:rPr>
            <w:webHidden/>
          </w:rPr>
          <w:tab/>
        </w:r>
        <w:r w:rsidR="00F62267">
          <w:rPr>
            <w:webHidden/>
          </w:rPr>
          <w:fldChar w:fldCharType="begin"/>
        </w:r>
        <w:r w:rsidR="00F62267">
          <w:rPr>
            <w:webHidden/>
          </w:rPr>
          <w:instrText xml:space="preserve"> PAGEREF _Toc490159282 \h </w:instrText>
        </w:r>
        <w:r w:rsidR="00F62267">
          <w:rPr>
            <w:webHidden/>
          </w:rPr>
        </w:r>
        <w:r w:rsidR="00F62267">
          <w:rPr>
            <w:webHidden/>
          </w:rPr>
          <w:fldChar w:fldCharType="separate"/>
        </w:r>
        <w:r w:rsidR="00F62267">
          <w:rPr>
            <w:webHidden/>
          </w:rPr>
          <w:t>10</w:t>
        </w:r>
        <w:r w:rsidR="00F62267">
          <w:rPr>
            <w:webHidden/>
          </w:rPr>
          <w:fldChar w:fldCharType="end"/>
        </w:r>
      </w:hyperlink>
    </w:p>
    <w:p w14:paraId="4D75B796"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83" w:history="1">
        <w:r w:rsidR="00F62267" w:rsidRPr="00A55BE2">
          <w:rPr>
            <w:rStyle w:val="Hyperlink"/>
            <w:noProof/>
            <w:lang w:val="en-US"/>
          </w:rPr>
          <w:t>Reform 4: Modernising the CLSP Workplan</w:t>
        </w:r>
        <w:r w:rsidR="00F62267">
          <w:rPr>
            <w:noProof/>
            <w:webHidden/>
          </w:rPr>
          <w:tab/>
        </w:r>
        <w:r w:rsidR="00F62267">
          <w:rPr>
            <w:noProof/>
            <w:webHidden/>
          </w:rPr>
          <w:fldChar w:fldCharType="begin"/>
        </w:r>
        <w:r w:rsidR="00F62267">
          <w:rPr>
            <w:noProof/>
            <w:webHidden/>
          </w:rPr>
          <w:instrText xml:space="preserve"> PAGEREF _Toc490159283 \h </w:instrText>
        </w:r>
        <w:r w:rsidR="00F62267">
          <w:rPr>
            <w:noProof/>
            <w:webHidden/>
          </w:rPr>
        </w:r>
        <w:r w:rsidR="00F62267">
          <w:rPr>
            <w:noProof/>
            <w:webHidden/>
          </w:rPr>
          <w:fldChar w:fldCharType="separate"/>
        </w:r>
        <w:r w:rsidR="00F62267">
          <w:rPr>
            <w:noProof/>
            <w:webHidden/>
          </w:rPr>
          <w:t>11</w:t>
        </w:r>
        <w:r w:rsidR="00F62267">
          <w:rPr>
            <w:noProof/>
            <w:webHidden/>
          </w:rPr>
          <w:fldChar w:fldCharType="end"/>
        </w:r>
      </w:hyperlink>
    </w:p>
    <w:p w14:paraId="3810C810" w14:textId="77777777" w:rsidR="00F62267" w:rsidRDefault="00965F09">
      <w:pPr>
        <w:pStyle w:val="TOC2"/>
        <w:rPr>
          <w:rFonts w:asciiTheme="minorHAnsi" w:eastAsiaTheme="minorEastAsia" w:hAnsiTheme="minorHAnsi" w:cstheme="minorBidi"/>
          <w:sz w:val="22"/>
          <w:szCs w:val="22"/>
          <w:lang w:val="en-GB" w:eastAsia="en-GB"/>
        </w:rPr>
      </w:pPr>
      <w:hyperlink w:anchor="_Toc490159284" w:history="1">
        <w:r w:rsidR="00F62267" w:rsidRPr="00A55BE2">
          <w:rPr>
            <w:rStyle w:val="Hyperlink"/>
            <w:lang w:val="en-US"/>
          </w:rPr>
          <w:t>The current CLSP Workplan</w:t>
        </w:r>
        <w:r w:rsidR="00F62267">
          <w:rPr>
            <w:webHidden/>
          </w:rPr>
          <w:tab/>
        </w:r>
        <w:r w:rsidR="00F62267">
          <w:rPr>
            <w:webHidden/>
          </w:rPr>
          <w:fldChar w:fldCharType="begin"/>
        </w:r>
        <w:r w:rsidR="00F62267">
          <w:rPr>
            <w:webHidden/>
          </w:rPr>
          <w:instrText xml:space="preserve"> PAGEREF _Toc490159284 \h </w:instrText>
        </w:r>
        <w:r w:rsidR="00F62267">
          <w:rPr>
            <w:webHidden/>
          </w:rPr>
        </w:r>
        <w:r w:rsidR="00F62267">
          <w:rPr>
            <w:webHidden/>
          </w:rPr>
          <w:fldChar w:fldCharType="separate"/>
        </w:r>
        <w:r w:rsidR="00F62267">
          <w:rPr>
            <w:webHidden/>
          </w:rPr>
          <w:t>11</w:t>
        </w:r>
        <w:r w:rsidR="00F62267">
          <w:rPr>
            <w:webHidden/>
          </w:rPr>
          <w:fldChar w:fldCharType="end"/>
        </w:r>
      </w:hyperlink>
    </w:p>
    <w:p w14:paraId="76D7EE18" w14:textId="77777777" w:rsidR="00F62267" w:rsidRDefault="00965F09">
      <w:pPr>
        <w:pStyle w:val="TOC2"/>
        <w:rPr>
          <w:rFonts w:asciiTheme="minorHAnsi" w:eastAsiaTheme="minorEastAsia" w:hAnsiTheme="minorHAnsi" w:cstheme="minorBidi"/>
          <w:sz w:val="22"/>
          <w:szCs w:val="22"/>
          <w:lang w:val="en-GB" w:eastAsia="en-GB"/>
        </w:rPr>
      </w:pPr>
      <w:hyperlink w:anchor="_Toc490159285" w:history="1">
        <w:r w:rsidR="00F62267" w:rsidRPr="00A55BE2">
          <w:rPr>
            <w:rStyle w:val="Hyperlink"/>
          </w:rPr>
          <w:t>Options to create a new and improved CLSP Service Plan</w:t>
        </w:r>
        <w:r w:rsidR="00F62267">
          <w:rPr>
            <w:webHidden/>
          </w:rPr>
          <w:tab/>
        </w:r>
        <w:r w:rsidR="00F62267">
          <w:rPr>
            <w:webHidden/>
          </w:rPr>
          <w:fldChar w:fldCharType="begin"/>
        </w:r>
        <w:r w:rsidR="00F62267">
          <w:rPr>
            <w:webHidden/>
          </w:rPr>
          <w:instrText xml:space="preserve"> PAGEREF _Toc490159285 \h </w:instrText>
        </w:r>
        <w:r w:rsidR="00F62267">
          <w:rPr>
            <w:webHidden/>
          </w:rPr>
        </w:r>
        <w:r w:rsidR="00F62267">
          <w:rPr>
            <w:webHidden/>
          </w:rPr>
          <w:fldChar w:fldCharType="separate"/>
        </w:r>
        <w:r w:rsidR="00F62267">
          <w:rPr>
            <w:webHidden/>
          </w:rPr>
          <w:t>11</w:t>
        </w:r>
        <w:r w:rsidR="00F62267">
          <w:rPr>
            <w:webHidden/>
          </w:rPr>
          <w:fldChar w:fldCharType="end"/>
        </w:r>
      </w:hyperlink>
    </w:p>
    <w:p w14:paraId="54D5F838"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86" w:history="1">
        <w:r w:rsidR="00F62267" w:rsidRPr="00A55BE2">
          <w:rPr>
            <w:rStyle w:val="Hyperlink"/>
            <w:noProof/>
          </w:rPr>
          <w:t>Reform 5: Reforming financial accountability – the elements and the process</w:t>
        </w:r>
        <w:r w:rsidR="00F62267">
          <w:rPr>
            <w:noProof/>
            <w:webHidden/>
          </w:rPr>
          <w:tab/>
        </w:r>
        <w:r w:rsidR="00F62267">
          <w:rPr>
            <w:noProof/>
            <w:webHidden/>
          </w:rPr>
          <w:fldChar w:fldCharType="begin"/>
        </w:r>
        <w:r w:rsidR="00F62267">
          <w:rPr>
            <w:noProof/>
            <w:webHidden/>
          </w:rPr>
          <w:instrText xml:space="preserve"> PAGEREF _Toc490159286 \h </w:instrText>
        </w:r>
        <w:r w:rsidR="00F62267">
          <w:rPr>
            <w:noProof/>
            <w:webHidden/>
          </w:rPr>
        </w:r>
        <w:r w:rsidR="00F62267">
          <w:rPr>
            <w:noProof/>
            <w:webHidden/>
          </w:rPr>
          <w:fldChar w:fldCharType="separate"/>
        </w:r>
        <w:r w:rsidR="00F62267">
          <w:rPr>
            <w:noProof/>
            <w:webHidden/>
          </w:rPr>
          <w:t>13</w:t>
        </w:r>
        <w:r w:rsidR="00F62267">
          <w:rPr>
            <w:noProof/>
            <w:webHidden/>
          </w:rPr>
          <w:fldChar w:fldCharType="end"/>
        </w:r>
      </w:hyperlink>
    </w:p>
    <w:p w14:paraId="2FA04C98" w14:textId="77777777" w:rsidR="00F62267" w:rsidRDefault="00965F09">
      <w:pPr>
        <w:pStyle w:val="TOC2"/>
        <w:rPr>
          <w:rFonts w:asciiTheme="minorHAnsi" w:eastAsiaTheme="minorEastAsia" w:hAnsiTheme="minorHAnsi" w:cstheme="minorBidi"/>
          <w:sz w:val="22"/>
          <w:szCs w:val="22"/>
          <w:lang w:val="en-GB" w:eastAsia="en-GB"/>
        </w:rPr>
      </w:pPr>
      <w:hyperlink w:anchor="_Toc490159287" w:history="1">
        <w:r w:rsidR="00F62267" w:rsidRPr="00A55BE2">
          <w:rPr>
            <w:rStyle w:val="Hyperlink"/>
          </w:rPr>
          <w:t>Key elements for consideration</w:t>
        </w:r>
        <w:r w:rsidR="00F62267">
          <w:rPr>
            <w:webHidden/>
          </w:rPr>
          <w:tab/>
        </w:r>
        <w:r w:rsidR="00F62267">
          <w:rPr>
            <w:webHidden/>
          </w:rPr>
          <w:fldChar w:fldCharType="begin"/>
        </w:r>
        <w:r w:rsidR="00F62267">
          <w:rPr>
            <w:webHidden/>
          </w:rPr>
          <w:instrText xml:space="preserve"> PAGEREF _Toc490159287 \h </w:instrText>
        </w:r>
        <w:r w:rsidR="00F62267">
          <w:rPr>
            <w:webHidden/>
          </w:rPr>
        </w:r>
        <w:r w:rsidR="00F62267">
          <w:rPr>
            <w:webHidden/>
          </w:rPr>
          <w:fldChar w:fldCharType="separate"/>
        </w:r>
        <w:r w:rsidR="00F62267">
          <w:rPr>
            <w:webHidden/>
          </w:rPr>
          <w:t>13</w:t>
        </w:r>
        <w:r w:rsidR="00F62267">
          <w:rPr>
            <w:webHidden/>
          </w:rPr>
          <w:fldChar w:fldCharType="end"/>
        </w:r>
      </w:hyperlink>
    </w:p>
    <w:p w14:paraId="33A72B4D"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88" w:history="1">
        <w:r w:rsidR="00F62267" w:rsidRPr="00A55BE2">
          <w:rPr>
            <w:rStyle w:val="Hyperlink"/>
            <w:noProof/>
          </w:rPr>
          <w:t>Reform 6: Elevated reporting and compliance</w:t>
        </w:r>
        <w:r w:rsidR="00F62267">
          <w:rPr>
            <w:noProof/>
            <w:webHidden/>
          </w:rPr>
          <w:tab/>
        </w:r>
        <w:r w:rsidR="00F62267">
          <w:rPr>
            <w:noProof/>
            <w:webHidden/>
          </w:rPr>
          <w:fldChar w:fldCharType="begin"/>
        </w:r>
        <w:r w:rsidR="00F62267">
          <w:rPr>
            <w:noProof/>
            <w:webHidden/>
          </w:rPr>
          <w:instrText xml:space="preserve"> PAGEREF _Toc490159288 \h </w:instrText>
        </w:r>
        <w:r w:rsidR="00F62267">
          <w:rPr>
            <w:noProof/>
            <w:webHidden/>
          </w:rPr>
        </w:r>
        <w:r w:rsidR="00F62267">
          <w:rPr>
            <w:noProof/>
            <w:webHidden/>
          </w:rPr>
          <w:fldChar w:fldCharType="separate"/>
        </w:r>
        <w:r w:rsidR="00F62267">
          <w:rPr>
            <w:noProof/>
            <w:webHidden/>
          </w:rPr>
          <w:t>13</w:t>
        </w:r>
        <w:r w:rsidR="00F62267">
          <w:rPr>
            <w:noProof/>
            <w:webHidden/>
          </w:rPr>
          <w:fldChar w:fldCharType="end"/>
        </w:r>
      </w:hyperlink>
    </w:p>
    <w:p w14:paraId="2F34F8C6" w14:textId="77777777" w:rsidR="00F62267" w:rsidRDefault="00965F09">
      <w:pPr>
        <w:pStyle w:val="TOC2"/>
        <w:rPr>
          <w:rFonts w:asciiTheme="minorHAnsi" w:eastAsiaTheme="minorEastAsia" w:hAnsiTheme="minorHAnsi" w:cstheme="minorBidi"/>
          <w:sz w:val="22"/>
          <w:szCs w:val="22"/>
          <w:lang w:val="en-GB" w:eastAsia="en-GB"/>
        </w:rPr>
      </w:pPr>
      <w:hyperlink w:anchor="_Toc490159289" w:history="1">
        <w:r w:rsidR="00F62267" w:rsidRPr="00A55BE2">
          <w:rPr>
            <w:rStyle w:val="Hyperlink"/>
          </w:rPr>
          <w:t>Key elements for consideration</w:t>
        </w:r>
        <w:r w:rsidR="00F62267">
          <w:rPr>
            <w:webHidden/>
          </w:rPr>
          <w:tab/>
        </w:r>
        <w:r w:rsidR="00F62267">
          <w:rPr>
            <w:webHidden/>
          </w:rPr>
          <w:fldChar w:fldCharType="begin"/>
        </w:r>
        <w:r w:rsidR="00F62267">
          <w:rPr>
            <w:webHidden/>
          </w:rPr>
          <w:instrText xml:space="preserve"> PAGEREF _Toc490159289 \h </w:instrText>
        </w:r>
        <w:r w:rsidR="00F62267">
          <w:rPr>
            <w:webHidden/>
          </w:rPr>
        </w:r>
        <w:r w:rsidR="00F62267">
          <w:rPr>
            <w:webHidden/>
          </w:rPr>
          <w:fldChar w:fldCharType="separate"/>
        </w:r>
        <w:r w:rsidR="00F62267">
          <w:rPr>
            <w:webHidden/>
          </w:rPr>
          <w:t>13</w:t>
        </w:r>
        <w:r w:rsidR="00F62267">
          <w:rPr>
            <w:webHidden/>
          </w:rPr>
          <w:fldChar w:fldCharType="end"/>
        </w:r>
      </w:hyperlink>
    </w:p>
    <w:p w14:paraId="1E388891"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90" w:history="1">
        <w:r w:rsidR="00F62267" w:rsidRPr="00A55BE2">
          <w:rPr>
            <w:rStyle w:val="Hyperlink"/>
            <w:noProof/>
          </w:rPr>
          <w:t>Reform 7: A second funding stream for specific purpose and short-term projects</w:t>
        </w:r>
        <w:r w:rsidR="00F62267">
          <w:rPr>
            <w:noProof/>
            <w:webHidden/>
          </w:rPr>
          <w:tab/>
        </w:r>
        <w:r w:rsidR="00F62267">
          <w:rPr>
            <w:noProof/>
            <w:webHidden/>
          </w:rPr>
          <w:fldChar w:fldCharType="begin"/>
        </w:r>
        <w:r w:rsidR="00F62267">
          <w:rPr>
            <w:noProof/>
            <w:webHidden/>
          </w:rPr>
          <w:instrText xml:space="preserve"> PAGEREF _Toc490159290 \h </w:instrText>
        </w:r>
        <w:r w:rsidR="00F62267">
          <w:rPr>
            <w:noProof/>
            <w:webHidden/>
          </w:rPr>
        </w:r>
        <w:r w:rsidR="00F62267">
          <w:rPr>
            <w:noProof/>
            <w:webHidden/>
          </w:rPr>
          <w:fldChar w:fldCharType="separate"/>
        </w:r>
        <w:r w:rsidR="00F62267">
          <w:rPr>
            <w:noProof/>
            <w:webHidden/>
          </w:rPr>
          <w:t>14</w:t>
        </w:r>
        <w:r w:rsidR="00F62267">
          <w:rPr>
            <w:noProof/>
            <w:webHidden/>
          </w:rPr>
          <w:fldChar w:fldCharType="end"/>
        </w:r>
      </w:hyperlink>
    </w:p>
    <w:p w14:paraId="79DBE4D6" w14:textId="77777777" w:rsidR="00F62267" w:rsidRDefault="00965F09">
      <w:pPr>
        <w:pStyle w:val="TOC2"/>
        <w:rPr>
          <w:rFonts w:asciiTheme="minorHAnsi" w:eastAsiaTheme="minorEastAsia" w:hAnsiTheme="minorHAnsi" w:cstheme="minorBidi"/>
          <w:sz w:val="22"/>
          <w:szCs w:val="22"/>
          <w:lang w:val="en-GB" w:eastAsia="en-GB"/>
        </w:rPr>
      </w:pPr>
      <w:hyperlink w:anchor="_Toc490159291" w:history="1">
        <w:r w:rsidR="00F62267" w:rsidRPr="00A55BE2">
          <w:rPr>
            <w:rStyle w:val="Hyperlink"/>
            <w:lang w:val="en-US"/>
          </w:rPr>
          <w:t>Key elements for consideration</w:t>
        </w:r>
        <w:r w:rsidR="00F62267">
          <w:rPr>
            <w:webHidden/>
          </w:rPr>
          <w:tab/>
        </w:r>
        <w:r w:rsidR="00F62267">
          <w:rPr>
            <w:webHidden/>
          </w:rPr>
          <w:fldChar w:fldCharType="begin"/>
        </w:r>
        <w:r w:rsidR="00F62267">
          <w:rPr>
            <w:webHidden/>
          </w:rPr>
          <w:instrText xml:space="preserve"> PAGEREF _Toc490159291 \h </w:instrText>
        </w:r>
        <w:r w:rsidR="00F62267">
          <w:rPr>
            <w:webHidden/>
          </w:rPr>
        </w:r>
        <w:r w:rsidR="00F62267">
          <w:rPr>
            <w:webHidden/>
          </w:rPr>
          <w:fldChar w:fldCharType="separate"/>
        </w:r>
        <w:r w:rsidR="00F62267">
          <w:rPr>
            <w:webHidden/>
          </w:rPr>
          <w:t>14</w:t>
        </w:r>
        <w:r w:rsidR="00F62267">
          <w:rPr>
            <w:webHidden/>
          </w:rPr>
          <w:fldChar w:fldCharType="end"/>
        </w:r>
      </w:hyperlink>
    </w:p>
    <w:p w14:paraId="03E6CE7F"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92" w:history="1">
        <w:r w:rsidR="00F62267" w:rsidRPr="00A55BE2">
          <w:rPr>
            <w:rStyle w:val="Hyperlink"/>
            <w:noProof/>
          </w:rPr>
          <w:t>Reform 8: Funding certainty</w:t>
        </w:r>
        <w:r w:rsidR="00F62267">
          <w:rPr>
            <w:noProof/>
            <w:webHidden/>
          </w:rPr>
          <w:tab/>
        </w:r>
        <w:r w:rsidR="00F62267">
          <w:rPr>
            <w:noProof/>
            <w:webHidden/>
          </w:rPr>
          <w:fldChar w:fldCharType="begin"/>
        </w:r>
        <w:r w:rsidR="00F62267">
          <w:rPr>
            <w:noProof/>
            <w:webHidden/>
          </w:rPr>
          <w:instrText xml:space="preserve"> PAGEREF _Toc490159292 \h </w:instrText>
        </w:r>
        <w:r w:rsidR="00F62267">
          <w:rPr>
            <w:noProof/>
            <w:webHidden/>
          </w:rPr>
        </w:r>
        <w:r w:rsidR="00F62267">
          <w:rPr>
            <w:noProof/>
            <w:webHidden/>
          </w:rPr>
          <w:fldChar w:fldCharType="separate"/>
        </w:r>
        <w:r w:rsidR="00F62267">
          <w:rPr>
            <w:noProof/>
            <w:webHidden/>
          </w:rPr>
          <w:t>15</w:t>
        </w:r>
        <w:r w:rsidR="00F62267">
          <w:rPr>
            <w:noProof/>
            <w:webHidden/>
          </w:rPr>
          <w:fldChar w:fldCharType="end"/>
        </w:r>
      </w:hyperlink>
    </w:p>
    <w:p w14:paraId="488C8F37" w14:textId="77777777" w:rsidR="00F62267" w:rsidRDefault="00965F09">
      <w:pPr>
        <w:pStyle w:val="TOC2"/>
        <w:rPr>
          <w:rFonts w:asciiTheme="minorHAnsi" w:eastAsiaTheme="minorEastAsia" w:hAnsiTheme="minorHAnsi" w:cstheme="minorBidi"/>
          <w:sz w:val="22"/>
          <w:szCs w:val="22"/>
          <w:lang w:val="en-GB" w:eastAsia="en-GB"/>
        </w:rPr>
      </w:pPr>
      <w:hyperlink w:anchor="_Toc490159293" w:history="1">
        <w:r w:rsidR="00F62267" w:rsidRPr="00A55BE2">
          <w:rPr>
            <w:rStyle w:val="Hyperlink"/>
          </w:rPr>
          <w:t>Key elements for consideration</w:t>
        </w:r>
        <w:r w:rsidR="00F62267">
          <w:rPr>
            <w:webHidden/>
          </w:rPr>
          <w:tab/>
        </w:r>
        <w:r w:rsidR="00F62267">
          <w:rPr>
            <w:webHidden/>
          </w:rPr>
          <w:fldChar w:fldCharType="begin"/>
        </w:r>
        <w:r w:rsidR="00F62267">
          <w:rPr>
            <w:webHidden/>
          </w:rPr>
          <w:instrText xml:space="preserve"> PAGEREF _Toc490159293 \h </w:instrText>
        </w:r>
        <w:r w:rsidR="00F62267">
          <w:rPr>
            <w:webHidden/>
          </w:rPr>
        </w:r>
        <w:r w:rsidR="00F62267">
          <w:rPr>
            <w:webHidden/>
          </w:rPr>
          <w:fldChar w:fldCharType="separate"/>
        </w:r>
        <w:r w:rsidR="00F62267">
          <w:rPr>
            <w:webHidden/>
          </w:rPr>
          <w:t>15</w:t>
        </w:r>
        <w:r w:rsidR="00F62267">
          <w:rPr>
            <w:webHidden/>
          </w:rPr>
          <w:fldChar w:fldCharType="end"/>
        </w:r>
      </w:hyperlink>
    </w:p>
    <w:p w14:paraId="535F09D8"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94" w:history="1">
        <w:r w:rsidR="00F62267" w:rsidRPr="00A55BE2">
          <w:rPr>
            <w:rStyle w:val="Hyperlink"/>
            <w:noProof/>
          </w:rPr>
          <w:t>Reform 9: Greater use of technology to share information and support CLCs</w:t>
        </w:r>
        <w:r w:rsidR="00F62267">
          <w:rPr>
            <w:noProof/>
            <w:webHidden/>
          </w:rPr>
          <w:tab/>
        </w:r>
        <w:r w:rsidR="00F62267">
          <w:rPr>
            <w:noProof/>
            <w:webHidden/>
          </w:rPr>
          <w:fldChar w:fldCharType="begin"/>
        </w:r>
        <w:r w:rsidR="00F62267">
          <w:rPr>
            <w:noProof/>
            <w:webHidden/>
          </w:rPr>
          <w:instrText xml:space="preserve"> PAGEREF _Toc490159294 \h </w:instrText>
        </w:r>
        <w:r w:rsidR="00F62267">
          <w:rPr>
            <w:noProof/>
            <w:webHidden/>
          </w:rPr>
        </w:r>
        <w:r w:rsidR="00F62267">
          <w:rPr>
            <w:noProof/>
            <w:webHidden/>
          </w:rPr>
          <w:fldChar w:fldCharType="separate"/>
        </w:r>
        <w:r w:rsidR="00F62267">
          <w:rPr>
            <w:noProof/>
            <w:webHidden/>
          </w:rPr>
          <w:t>15</w:t>
        </w:r>
        <w:r w:rsidR="00F62267">
          <w:rPr>
            <w:noProof/>
            <w:webHidden/>
          </w:rPr>
          <w:fldChar w:fldCharType="end"/>
        </w:r>
      </w:hyperlink>
    </w:p>
    <w:p w14:paraId="00098DA5" w14:textId="77777777" w:rsidR="00F62267" w:rsidRDefault="00965F09">
      <w:pPr>
        <w:pStyle w:val="TOC2"/>
        <w:rPr>
          <w:rFonts w:asciiTheme="minorHAnsi" w:eastAsiaTheme="minorEastAsia" w:hAnsiTheme="minorHAnsi" w:cstheme="minorBidi"/>
          <w:sz w:val="22"/>
          <w:szCs w:val="22"/>
          <w:lang w:val="en-GB" w:eastAsia="en-GB"/>
        </w:rPr>
      </w:pPr>
      <w:hyperlink w:anchor="_Toc490159295" w:history="1">
        <w:r w:rsidR="00F62267" w:rsidRPr="00A55BE2">
          <w:rPr>
            <w:rStyle w:val="Hyperlink"/>
          </w:rPr>
          <w:t>Key elements for consideration</w:t>
        </w:r>
        <w:r w:rsidR="00F62267">
          <w:rPr>
            <w:webHidden/>
          </w:rPr>
          <w:tab/>
        </w:r>
        <w:r w:rsidR="00F62267">
          <w:rPr>
            <w:webHidden/>
          </w:rPr>
          <w:fldChar w:fldCharType="begin"/>
        </w:r>
        <w:r w:rsidR="00F62267">
          <w:rPr>
            <w:webHidden/>
          </w:rPr>
          <w:instrText xml:space="preserve"> PAGEREF _Toc490159295 \h </w:instrText>
        </w:r>
        <w:r w:rsidR="00F62267">
          <w:rPr>
            <w:webHidden/>
          </w:rPr>
        </w:r>
        <w:r w:rsidR="00F62267">
          <w:rPr>
            <w:webHidden/>
          </w:rPr>
          <w:fldChar w:fldCharType="separate"/>
        </w:r>
        <w:r w:rsidR="00F62267">
          <w:rPr>
            <w:webHidden/>
          </w:rPr>
          <w:t>15</w:t>
        </w:r>
        <w:r w:rsidR="00F62267">
          <w:rPr>
            <w:webHidden/>
          </w:rPr>
          <w:fldChar w:fldCharType="end"/>
        </w:r>
      </w:hyperlink>
    </w:p>
    <w:p w14:paraId="098BB52F"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96" w:history="1">
        <w:r w:rsidR="00F62267" w:rsidRPr="00A55BE2">
          <w:rPr>
            <w:rStyle w:val="Hyperlink"/>
            <w:noProof/>
          </w:rPr>
          <w:t>Reform 10: Rationalising multiple-source funding and/or accountability</w:t>
        </w:r>
        <w:r w:rsidR="00F62267">
          <w:rPr>
            <w:noProof/>
            <w:webHidden/>
          </w:rPr>
          <w:tab/>
        </w:r>
        <w:r w:rsidR="00F62267">
          <w:rPr>
            <w:noProof/>
            <w:webHidden/>
          </w:rPr>
          <w:fldChar w:fldCharType="begin"/>
        </w:r>
        <w:r w:rsidR="00F62267">
          <w:rPr>
            <w:noProof/>
            <w:webHidden/>
          </w:rPr>
          <w:instrText xml:space="preserve"> PAGEREF _Toc490159296 \h </w:instrText>
        </w:r>
        <w:r w:rsidR="00F62267">
          <w:rPr>
            <w:noProof/>
            <w:webHidden/>
          </w:rPr>
        </w:r>
        <w:r w:rsidR="00F62267">
          <w:rPr>
            <w:noProof/>
            <w:webHidden/>
          </w:rPr>
          <w:fldChar w:fldCharType="separate"/>
        </w:r>
        <w:r w:rsidR="00F62267">
          <w:rPr>
            <w:noProof/>
            <w:webHidden/>
          </w:rPr>
          <w:t>16</w:t>
        </w:r>
        <w:r w:rsidR="00F62267">
          <w:rPr>
            <w:noProof/>
            <w:webHidden/>
          </w:rPr>
          <w:fldChar w:fldCharType="end"/>
        </w:r>
      </w:hyperlink>
    </w:p>
    <w:p w14:paraId="4FB26F11" w14:textId="77777777" w:rsidR="00F62267" w:rsidRDefault="00965F09">
      <w:pPr>
        <w:pStyle w:val="TOC3"/>
        <w:rPr>
          <w:rFonts w:asciiTheme="minorHAnsi" w:eastAsiaTheme="minorEastAsia" w:hAnsiTheme="minorHAnsi" w:cstheme="minorBidi"/>
          <w:sz w:val="22"/>
          <w:szCs w:val="22"/>
          <w:lang w:val="en-GB" w:eastAsia="en-GB"/>
        </w:rPr>
      </w:pPr>
      <w:hyperlink w:anchor="_Toc490159297" w:history="1">
        <w:r w:rsidR="00F62267" w:rsidRPr="00A55BE2">
          <w:rPr>
            <w:rStyle w:val="Hyperlink"/>
          </w:rPr>
          <w:t>Key elements for consideration</w:t>
        </w:r>
        <w:r w:rsidR="00F62267">
          <w:rPr>
            <w:webHidden/>
          </w:rPr>
          <w:tab/>
        </w:r>
        <w:r w:rsidR="00F62267">
          <w:rPr>
            <w:webHidden/>
          </w:rPr>
          <w:fldChar w:fldCharType="begin"/>
        </w:r>
        <w:r w:rsidR="00F62267">
          <w:rPr>
            <w:webHidden/>
          </w:rPr>
          <w:instrText xml:space="preserve"> PAGEREF _Toc490159297 \h </w:instrText>
        </w:r>
        <w:r w:rsidR="00F62267">
          <w:rPr>
            <w:webHidden/>
          </w:rPr>
        </w:r>
        <w:r w:rsidR="00F62267">
          <w:rPr>
            <w:webHidden/>
          </w:rPr>
          <w:fldChar w:fldCharType="separate"/>
        </w:r>
        <w:r w:rsidR="00F62267">
          <w:rPr>
            <w:webHidden/>
          </w:rPr>
          <w:t>16</w:t>
        </w:r>
        <w:r w:rsidR="00F62267">
          <w:rPr>
            <w:webHidden/>
          </w:rPr>
          <w:fldChar w:fldCharType="end"/>
        </w:r>
      </w:hyperlink>
    </w:p>
    <w:p w14:paraId="0B5BC001"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98" w:history="1">
        <w:r w:rsidR="00F62267" w:rsidRPr="00A55BE2">
          <w:rPr>
            <w:rStyle w:val="Hyperlink"/>
            <w:noProof/>
          </w:rPr>
          <w:t>Next steps</w:t>
        </w:r>
        <w:r w:rsidR="00F62267">
          <w:rPr>
            <w:noProof/>
            <w:webHidden/>
          </w:rPr>
          <w:tab/>
        </w:r>
        <w:r w:rsidR="00F62267">
          <w:rPr>
            <w:noProof/>
            <w:webHidden/>
          </w:rPr>
          <w:fldChar w:fldCharType="begin"/>
        </w:r>
        <w:r w:rsidR="00F62267">
          <w:rPr>
            <w:noProof/>
            <w:webHidden/>
          </w:rPr>
          <w:instrText xml:space="preserve"> PAGEREF _Toc490159298 \h </w:instrText>
        </w:r>
        <w:r w:rsidR="00F62267">
          <w:rPr>
            <w:noProof/>
            <w:webHidden/>
          </w:rPr>
        </w:r>
        <w:r w:rsidR="00F62267">
          <w:rPr>
            <w:noProof/>
            <w:webHidden/>
          </w:rPr>
          <w:fldChar w:fldCharType="separate"/>
        </w:r>
        <w:r w:rsidR="00F62267">
          <w:rPr>
            <w:noProof/>
            <w:webHidden/>
          </w:rPr>
          <w:t>17</w:t>
        </w:r>
        <w:r w:rsidR="00F62267">
          <w:rPr>
            <w:noProof/>
            <w:webHidden/>
          </w:rPr>
          <w:fldChar w:fldCharType="end"/>
        </w:r>
      </w:hyperlink>
    </w:p>
    <w:p w14:paraId="59E1AC0C"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299" w:history="1">
        <w:r w:rsidR="00F62267" w:rsidRPr="00A55BE2">
          <w:rPr>
            <w:rStyle w:val="Hyperlink"/>
            <w:noProof/>
          </w:rPr>
          <w:t>This diagram below describes next steps leading into phase 2</w:t>
        </w:r>
        <w:r w:rsidR="00F62267">
          <w:rPr>
            <w:noProof/>
            <w:webHidden/>
          </w:rPr>
          <w:tab/>
        </w:r>
        <w:r w:rsidR="00F62267">
          <w:rPr>
            <w:noProof/>
            <w:webHidden/>
          </w:rPr>
          <w:fldChar w:fldCharType="begin"/>
        </w:r>
        <w:r w:rsidR="00F62267">
          <w:rPr>
            <w:noProof/>
            <w:webHidden/>
          </w:rPr>
          <w:instrText xml:space="preserve"> PAGEREF _Toc490159299 \h </w:instrText>
        </w:r>
        <w:r w:rsidR="00F62267">
          <w:rPr>
            <w:noProof/>
            <w:webHidden/>
          </w:rPr>
        </w:r>
        <w:r w:rsidR="00F62267">
          <w:rPr>
            <w:noProof/>
            <w:webHidden/>
          </w:rPr>
          <w:fldChar w:fldCharType="separate"/>
        </w:r>
        <w:r w:rsidR="00F62267">
          <w:rPr>
            <w:noProof/>
            <w:webHidden/>
          </w:rPr>
          <w:t>17</w:t>
        </w:r>
        <w:r w:rsidR="00F62267">
          <w:rPr>
            <w:noProof/>
            <w:webHidden/>
          </w:rPr>
          <w:fldChar w:fldCharType="end"/>
        </w:r>
      </w:hyperlink>
    </w:p>
    <w:p w14:paraId="41921F5A"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300" w:history="1">
        <w:r w:rsidR="00F62267" w:rsidRPr="00A55BE2">
          <w:rPr>
            <w:rStyle w:val="Hyperlink"/>
            <w:noProof/>
          </w:rPr>
          <w:t>Further reading options</w:t>
        </w:r>
        <w:r w:rsidR="00F62267">
          <w:rPr>
            <w:noProof/>
            <w:webHidden/>
          </w:rPr>
          <w:tab/>
        </w:r>
        <w:r w:rsidR="00F62267">
          <w:rPr>
            <w:noProof/>
            <w:webHidden/>
          </w:rPr>
          <w:fldChar w:fldCharType="begin"/>
        </w:r>
        <w:r w:rsidR="00F62267">
          <w:rPr>
            <w:noProof/>
            <w:webHidden/>
          </w:rPr>
          <w:instrText xml:space="preserve"> PAGEREF _Toc490159300 \h </w:instrText>
        </w:r>
        <w:r w:rsidR="00F62267">
          <w:rPr>
            <w:noProof/>
            <w:webHidden/>
          </w:rPr>
        </w:r>
        <w:r w:rsidR="00F62267">
          <w:rPr>
            <w:noProof/>
            <w:webHidden/>
          </w:rPr>
          <w:fldChar w:fldCharType="separate"/>
        </w:r>
        <w:r w:rsidR="00F62267">
          <w:rPr>
            <w:noProof/>
            <w:webHidden/>
          </w:rPr>
          <w:t>17</w:t>
        </w:r>
        <w:r w:rsidR="00F62267">
          <w:rPr>
            <w:noProof/>
            <w:webHidden/>
          </w:rPr>
          <w:fldChar w:fldCharType="end"/>
        </w:r>
      </w:hyperlink>
    </w:p>
    <w:p w14:paraId="1DC9951E"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301" w:history="1">
        <w:r w:rsidR="00F62267" w:rsidRPr="00A55BE2">
          <w:rPr>
            <w:rStyle w:val="Hyperlink"/>
            <w:noProof/>
          </w:rPr>
          <w:t>Appendices</w:t>
        </w:r>
        <w:r w:rsidR="00F62267">
          <w:rPr>
            <w:noProof/>
            <w:webHidden/>
          </w:rPr>
          <w:tab/>
        </w:r>
        <w:r w:rsidR="00F62267">
          <w:rPr>
            <w:noProof/>
            <w:webHidden/>
          </w:rPr>
          <w:fldChar w:fldCharType="begin"/>
        </w:r>
        <w:r w:rsidR="00F62267">
          <w:rPr>
            <w:noProof/>
            <w:webHidden/>
          </w:rPr>
          <w:instrText xml:space="preserve"> PAGEREF _Toc490159301 \h </w:instrText>
        </w:r>
        <w:r w:rsidR="00F62267">
          <w:rPr>
            <w:noProof/>
            <w:webHidden/>
          </w:rPr>
        </w:r>
        <w:r w:rsidR="00F62267">
          <w:rPr>
            <w:noProof/>
            <w:webHidden/>
          </w:rPr>
          <w:fldChar w:fldCharType="separate"/>
        </w:r>
        <w:r w:rsidR="00F62267">
          <w:rPr>
            <w:noProof/>
            <w:webHidden/>
          </w:rPr>
          <w:t>19</w:t>
        </w:r>
        <w:r w:rsidR="00F62267">
          <w:rPr>
            <w:noProof/>
            <w:webHidden/>
          </w:rPr>
          <w:fldChar w:fldCharType="end"/>
        </w:r>
      </w:hyperlink>
    </w:p>
    <w:p w14:paraId="596A5612"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302" w:history="1">
        <w:r w:rsidR="00F62267" w:rsidRPr="00A55BE2">
          <w:rPr>
            <w:rStyle w:val="Hyperlink"/>
            <w:noProof/>
          </w:rPr>
          <w:t>Appendix 2: CLSP Reform consultation findings – a summary</w:t>
        </w:r>
        <w:r w:rsidR="00F62267">
          <w:rPr>
            <w:noProof/>
            <w:webHidden/>
          </w:rPr>
          <w:tab/>
        </w:r>
        <w:r w:rsidR="00F62267">
          <w:rPr>
            <w:noProof/>
            <w:webHidden/>
          </w:rPr>
          <w:fldChar w:fldCharType="begin"/>
        </w:r>
        <w:r w:rsidR="00F62267">
          <w:rPr>
            <w:noProof/>
            <w:webHidden/>
          </w:rPr>
          <w:instrText xml:space="preserve"> PAGEREF _Toc490159302 \h </w:instrText>
        </w:r>
        <w:r w:rsidR="00F62267">
          <w:rPr>
            <w:noProof/>
            <w:webHidden/>
          </w:rPr>
        </w:r>
        <w:r w:rsidR="00F62267">
          <w:rPr>
            <w:noProof/>
            <w:webHidden/>
          </w:rPr>
          <w:fldChar w:fldCharType="separate"/>
        </w:r>
        <w:r w:rsidR="00F62267">
          <w:rPr>
            <w:noProof/>
            <w:webHidden/>
          </w:rPr>
          <w:t>19</w:t>
        </w:r>
        <w:r w:rsidR="00F62267">
          <w:rPr>
            <w:noProof/>
            <w:webHidden/>
          </w:rPr>
          <w:fldChar w:fldCharType="end"/>
        </w:r>
      </w:hyperlink>
    </w:p>
    <w:p w14:paraId="5F74D6E4" w14:textId="77777777" w:rsidR="00F62267" w:rsidRDefault="00965F09">
      <w:pPr>
        <w:pStyle w:val="TOC2"/>
        <w:rPr>
          <w:rFonts w:asciiTheme="minorHAnsi" w:eastAsiaTheme="minorEastAsia" w:hAnsiTheme="minorHAnsi" w:cstheme="minorBidi"/>
          <w:sz w:val="22"/>
          <w:szCs w:val="22"/>
          <w:lang w:val="en-GB" w:eastAsia="en-GB"/>
        </w:rPr>
      </w:pPr>
      <w:hyperlink w:anchor="_Toc490159303" w:history="1">
        <w:r w:rsidR="00F62267" w:rsidRPr="00A55BE2">
          <w:rPr>
            <w:rStyle w:val="Hyperlink"/>
          </w:rPr>
          <w:t>Workshops</w:t>
        </w:r>
        <w:r w:rsidR="00F62267">
          <w:rPr>
            <w:webHidden/>
          </w:rPr>
          <w:tab/>
        </w:r>
        <w:r w:rsidR="00F62267">
          <w:rPr>
            <w:webHidden/>
          </w:rPr>
          <w:fldChar w:fldCharType="begin"/>
        </w:r>
        <w:r w:rsidR="00F62267">
          <w:rPr>
            <w:webHidden/>
          </w:rPr>
          <w:instrText xml:space="preserve"> PAGEREF _Toc490159303 \h </w:instrText>
        </w:r>
        <w:r w:rsidR="00F62267">
          <w:rPr>
            <w:webHidden/>
          </w:rPr>
        </w:r>
        <w:r w:rsidR="00F62267">
          <w:rPr>
            <w:webHidden/>
          </w:rPr>
          <w:fldChar w:fldCharType="separate"/>
        </w:r>
        <w:r w:rsidR="00F62267">
          <w:rPr>
            <w:webHidden/>
          </w:rPr>
          <w:t>19</w:t>
        </w:r>
        <w:r w:rsidR="00F62267">
          <w:rPr>
            <w:webHidden/>
          </w:rPr>
          <w:fldChar w:fldCharType="end"/>
        </w:r>
      </w:hyperlink>
    </w:p>
    <w:p w14:paraId="2064C751" w14:textId="77777777" w:rsidR="00F62267" w:rsidRDefault="00965F09">
      <w:pPr>
        <w:pStyle w:val="TOC3"/>
        <w:rPr>
          <w:rFonts w:asciiTheme="minorHAnsi" w:eastAsiaTheme="minorEastAsia" w:hAnsiTheme="minorHAnsi" w:cstheme="minorBidi"/>
          <w:sz w:val="22"/>
          <w:szCs w:val="22"/>
          <w:lang w:val="en-GB" w:eastAsia="en-GB"/>
        </w:rPr>
      </w:pPr>
      <w:hyperlink w:anchor="_Toc490159304" w:history="1">
        <w:r w:rsidR="00F62267" w:rsidRPr="00A55BE2">
          <w:rPr>
            <w:rStyle w:val="Hyperlink"/>
          </w:rPr>
          <w:t>What is wrong with the current CLSP?</w:t>
        </w:r>
        <w:r w:rsidR="00F62267">
          <w:rPr>
            <w:webHidden/>
          </w:rPr>
          <w:tab/>
        </w:r>
        <w:r w:rsidR="00F62267">
          <w:rPr>
            <w:webHidden/>
          </w:rPr>
          <w:fldChar w:fldCharType="begin"/>
        </w:r>
        <w:r w:rsidR="00F62267">
          <w:rPr>
            <w:webHidden/>
          </w:rPr>
          <w:instrText xml:space="preserve"> PAGEREF _Toc490159304 \h </w:instrText>
        </w:r>
        <w:r w:rsidR="00F62267">
          <w:rPr>
            <w:webHidden/>
          </w:rPr>
        </w:r>
        <w:r w:rsidR="00F62267">
          <w:rPr>
            <w:webHidden/>
          </w:rPr>
          <w:fldChar w:fldCharType="separate"/>
        </w:r>
        <w:r w:rsidR="00F62267">
          <w:rPr>
            <w:webHidden/>
          </w:rPr>
          <w:t>19</w:t>
        </w:r>
        <w:r w:rsidR="00F62267">
          <w:rPr>
            <w:webHidden/>
          </w:rPr>
          <w:fldChar w:fldCharType="end"/>
        </w:r>
      </w:hyperlink>
    </w:p>
    <w:p w14:paraId="553F23C6" w14:textId="77777777" w:rsidR="00F62267" w:rsidRDefault="00965F09">
      <w:pPr>
        <w:pStyle w:val="TOC3"/>
        <w:rPr>
          <w:rFonts w:asciiTheme="minorHAnsi" w:eastAsiaTheme="minorEastAsia" w:hAnsiTheme="minorHAnsi" w:cstheme="minorBidi"/>
          <w:sz w:val="22"/>
          <w:szCs w:val="22"/>
          <w:lang w:val="en-GB" w:eastAsia="en-GB"/>
        </w:rPr>
      </w:pPr>
      <w:hyperlink w:anchor="_Toc490159305" w:history="1">
        <w:r w:rsidR="00F62267" w:rsidRPr="00A55BE2">
          <w:rPr>
            <w:rStyle w:val="Hyperlink"/>
          </w:rPr>
          <w:t>What is right with the current CLSP?</w:t>
        </w:r>
        <w:r w:rsidR="00F62267">
          <w:rPr>
            <w:webHidden/>
          </w:rPr>
          <w:tab/>
        </w:r>
        <w:r w:rsidR="00F62267">
          <w:rPr>
            <w:webHidden/>
          </w:rPr>
          <w:fldChar w:fldCharType="begin"/>
        </w:r>
        <w:r w:rsidR="00F62267">
          <w:rPr>
            <w:webHidden/>
          </w:rPr>
          <w:instrText xml:space="preserve"> PAGEREF _Toc490159305 \h </w:instrText>
        </w:r>
        <w:r w:rsidR="00F62267">
          <w:rPr>
            <w:webHidden/>
          </w:rPr>
        </w:r>
        <w:r w:rsidR="00F62267">
          <w:rPr>
            <w:webHidden/>
          </w:rPr>
          <w:fldChar w:fldCharType="separate"/>
        </w:r>
        <w:r w:rsidR="00F62267">
          <w:rPr>
            <w:webHidden/>
          </w:rPr>
          <w:t>20</w:t>
        </w:r>
        <w:r w:rsidR="00F62267">
          <w:rPr>
            <w:webHidden/>
          </w:rPr>
          <w:fldChar w:fldCharType="end"/>
        </w:r>
      </w:hyperlink>
    </w:p>
    <w:p w14:paraId="724C495B" w14:textId="77777777" w:rsidR="00F62267" w:rsidRDefault="00965F09">
      <w:pPr>
        <w:pStyle w:val="TOC3"/>
        <w:rPr>
          <w:rFonts w:asciiTheme="minorHAnsi" w:eastAsiaTheme="minorEastAsia" w:hAnsiTheme="minorHAnsi" w:cstheme="minorBidi"/>
          <w:sz w:val="22"/>
          <w:szCs w:val="22"/>
          <w:lang w:val="en-GB" w:eastAsia="en-GB"/>
        </w:rPr>
      </w:pPr>
      <w:hyperlink w:anchor="_Toc490159306" w:history="1">
        <w:r w:rsidR="00F62267" w:rsidRPr="00A55BE2">
          <w:rPr>
            <w:rStyle w:val="Hyperlink"/>
          </w:rPr>
          <w:t>Ideas for how the system could be made better</w:t>
        </w:r>
        <w:r w:rsidR="00F62267">
          <w:rPr>
            <w:webHidden/>
          </w:rPr>
          <w:tab/>
        </w:r>
        <w:r w:rsidR="00F62267">
          <w:rPr>
            <w:webHidden/>
          </w:rPr>
          <w:fldChar w:fldCharType="begin"/>
        </w:r>
        <w:r w:rsidR="00F62267">
          <w:rPr>
            <w:webHidden/>
          </w:rPr>
          <w:instrText xml:space="preserve"> PAGEREF _Toc490159306 \h </w:instrText>
        </w:r>
        <w:r w:rsidR="00F62267">
          <w:rPr>
            <w:webHidden/>
          </w:rPr>
        </w:r>
        <w:r w:rsidR="00F62267">
          <w:rPr>
            <w:webHidden/>
          </w:rPr>
          <w:fldChar w:fldCharType="separate"/>
        </w:r>
        <w:r w:rsidR="00F62267">
          <w:rPr>
            <w:webHidden/>
          </w:rPr>
          <w:t>20</w:t>
        </w:r>
        <w:r w:rsidR="00F62267">
          <w:rPr>
            <w:webHidden/>
          </w:rPr>
          <w:fldChar w:fldCharType="end"/>
        </w:r>
      </w:hyperlink>
    </w:p>
    <w:p w14:paraId="73A70D82" w14:textId="77777777" w:rsidR="00F62267" w:rsidRDefault="00965F09">
      <w:pPr>
        <w:pStyle w:val="TOC3"/>
        <w:rPr>
          <w:rFonts w:asciiTheme="minorHAnsi" w:eastAsiaTheme="minorEastAsia" w:hAnsiTheme="minorHAnsi" w:cstheme="minorBidi"/>
          <w:sz w:val="22"/>
          <w:szCs w:val="22"/>
          <w:lang w:val="en-GB" w:eastAsia="en-GB"/>
        </w:rPr>
      </w:pPr>
      <w:hyperlink w:anchor="_Toc490159307" w:history="1">
        <w:r w:rsidR="00F62267" w:rsidRPr="00A55BE2">
          <w:rPr>
            <w:rStyle w:val="Hyperlink"/>
          </w:rPr>
          <w:t>Key design elements for any new CLSP</w:t>
        </w:r>
        <w:r w:rsidR="00F62267">
          <w:rPr>
            <w:webHidden/>
          </w:rPr>
          <w:tab/>
        </w:r>
        <w:r w:rsidR="00F62267">
          <w:rPr>
            <w:webHidden/>
          </w:rPr>
          <w:fldChar w:fldCharType="begin"/>
        </w:r>
        <w:r w:rsidR="00F62267">
          <w:rPr>
            <w:webHidden/>
          </w:rPr>
          <w:instrText xml:space="preserve"> PAGEREF _Toc490159307 \h </w:instrText>
        </w:r>
        <w:r w:rsidR="00F62267">
          <w:rPr>
            <w:webHidden/>
          </w:rPr>
        </w:r>
        <w:r w:rsidR="00F62267">
          <w:rPr>
            <w:webHidden/>
          </w:rPr>
          <w:fldChar w:fldCharType="separate"/>
        </w:r>
        <w:r w:rsidR="00F62267">
          <w:rPr>
            <w:webHidden/>
          </w:rPr>
          <w:t>21</w:t>
        </w:r>
        <w:r w:rsidR="00F62267">
          <w:rPr>
            <w:webHidden/>
          </w:rPr>
          <w:fldChar w:fldCharType="end"/>
        </w:r>
      </w:hyperlink>
    </w:p>
    <w:p w14:paraId="6ABE3254" w14:textId="77777777" w:rsidR="00F62267" w:rsidRDefault="00965F09">
      <w:pPr>
        <w:pStyle w:val="TOC3"/>
        <w:rPr>
          <w:rFonts w:asciiTheme="minorHAnsi" w:eastAsiaTheme="minorEastAsia" w:hAnsiTheme="minorHAnsi" w:cstheme="minorBidi"/>
          <w:sz w:val="22"/>
          <w:szCs w:val="22"/>
          <w:lang w:val="en-GB" w:eastAsia="en-GB"/>
        </w:rPr>
      </w:pPr>
      <w:hyperlink w:anchor="_Toc490159308" w:history="1">
        <w:r w:rsidR="00F62267" w:rsidRPr="00A55BE2">
          <w:rPr>
            <w:rStyle w:val="Hyperlink"/>
          </w:rPr>
          <w:t>Other feedback</w:t>
        </w:r>
        <w:r w:rsidR="00F62267">
          <w:rPr>
            <w:webHidden/>
          </w:rPr>
          <w:tab/>
        </w:r>
        <w:r w:rsidR="00F62267">
          <w:rPr>
            <w:webHidden/>
          </w:rPr>
          <w:fldChar w:fldCharType="begin"/>
        </w:r>
        <w:r w:rsidR="00F62267">
          <w:rPr>
            <w:webHidden/>
          </w:rPr>
          <w:instrText xml:space="preserve"> PAGEREF _Toc490159308 \h </w:instrText>
        </w:r>
        <w:r w:rsidR="00F62267">
          <w:rPr>
            <w:webHidden/>
          </w:rPr>
        </w:r>
        <w:r w:rsidR="00F62267">
          <w:rPr>
            <w:webHidden/>
          </w:rPr>
          <w:fldChar w:fldCharType="separate"/>
        </w:r>
        <w:r w:rsidR="00F62267">
          <w:rPr>
            <w:webHidden/>
          </w:rPr>
          <w:t>21</w:t>
        </w:r>
        <w:r w:rsidR="00F62267">
          <w:rPr>
            <w:webHidden/>
          </w:rPr>
          <w:fldChar w:fldCharType="end"/>
        </w:r>
      </w:hyperlink>
    </w:p>
    <w:p w14:paraId="1D9DB555" w14:textId="77777777" w:rsidR="00F62267" w:rsidRDefault="00965F09">
      <w:pPr>
        <w:pStyle w:val="TOC2"/>
        <w:rPr>
          <w:rFonts w:asciiTheme="minorHAnsi" w:eastAsiaTheme="minorEastAsia" w:hAnsiTheme="minorHAnsi" w:cstheme="minorBidi"/>
          <w:sz w:val="22"/>
          <w:szCs w:val="22"/>
          <w:lang w:val="en-GB" w:eastAsia="en-GB"/>
        </w:rPr>
      </w:pPr>
      <w:hyperlink w:anchor="_Toc490159309" w:history="1">
        <w:r w:rsidR="00F62267" w:rsidRPr="00A55BE2">
          <w:rPr>
            <w:rStyle w:val="Hyperlink"/>
          </w:rPr>
          <w:t>Centre visits and interviews</w:t>
        </w:r>
        <w:r w:rsidR="00F62267">
          <w:rPr>
            <w:webHidden/>
          </w:rPr>
          <w:tab/>
        </w:r>
        <w:r w:rsidR="00F62267">
          <w:rPr>
            <w:webHidden/>
          </w:rPr>
          <w:fldChar w:fldCharType="begin"/>
        </w:r>
        <w:r w:rsidR="00F62267">
          <w:rPr>
            <w:webHidden/>
          </w:rPr>
          <w:instrText xml:space="preserve"> PAGEREF _Toc490159309 \h </w:instrText>
        </w:r>
        <w:r w:rsidR="00F62267">
          <w:rPr>
            <w:webHidden/>
          </w:rPr>
        </w:r>
        <w:r w:rsidR="00F62267">
          <w:rPr>
            <w:webHidden/>
          </w:rPr>
          <w:fldChar w:fldCharType="separate"/>
        </w:r>
        <w:r w:rsidR="00F62267">
          <w:rPr>
            <w:webHidden/>
          </w:rPr>
          <w:t>22</w:t>
        </w:r>
        <w:r w:rsidR="00F62267">
          <w:rPr>
            <w:webHidden/>
          </w:rPr>
          <w:fldChar w:fldCharType="end"/>
        </w:r>
      </w:hyperlink>
    </w:p>
    <w:p w14:paraId="4642382C" w14:textId="77777777" w:rsidR="00F62267" w:rsidRDefault="00965F09">
      <w:pPr>
        <w:pStyle w:val="TOC3"/>
        <w:rPr>
          <w:rFonts w:asciiTheme="minorHAnsi" w:eastAsiaTheme="minorEastAsia" w:hAnsiTheme="minorHAnsi" w:cstheme="minorBidi"/>
          <w:sz w:val="22"/>
          <w:szCs w:val="22"/>
          <w:lang w:val="en-GB" w:eastAsia="en-GB"/>
        </w:rPr>
      </w:pPr>
      <w:hyperlink w:anchor="_Toc490159310" w:history="1">
        <w:r w:rsidR="00F62267" w:rsidRPr="00A55BE2">
          <w:rPr>
            <w:rStyle w:val="Hyperlink"/>
            <w:lang w:val="en-US"/>
          </w:rPr>
          <w:t>Administrative burden</w:t>
        </w:r>
        <w:r w:rsidR="00F62267">
          <w:rPr>
            <w:webHidden/>
          </w:rPr>
          <w:tab/>
        </w:r>
        <w:r w:rsidR="00F62267">
          <w:rPr>
            <w:webHidden/>
          </w:rPr>
          <w:fldChar w:fldCharType="begin"/>
        </w:r>
        <w:r w:rsidR="00F62267">
          <w:rPr>
            <w:webHidden/>
          </w:rPr>
          <w:instrText xml:space="preserve"> PAGEREF _Toc490159310 \h </w:instrText>
        </w:r>
        <w:r w:rsidR="00F62267">
          <w:rPr>
            <w:webHidden/>
          </w:rPr>
        </w:r>
        <w:r w:rsidR="00F62267">
          <w:rPr>
            <w:webHidden/>
          </w:rPr>
          <w:fldChar w:fldCharType="separate"/>
        </w:r>
        <w:r w:rsidR="00F62267">
          <w:rPr>
            <w:webHidden/>
          </w:rPr>
          <w:t>22</w:t>
        </w:r>
        <w:r w:rsidR="00F62267">
          <w:rPr>
            <w:webHidden/>
          </w:rPr>
          <w:fldChar w:fldCharType="end"/>
        </w:r>
      </w:hyperlink>
    </w:p>
    <w:p w14:paraId="7571D5F5" w14:textId="77777777" w:rsidR="00F62267" w:rsidRDefault="00965F09">
      <w:pPr>
        <w:pStyle w:val="TOC3"/>
        <w:rPr>
          <w:rFonts w:asciiTheme="minorHAnsi" w:eastAsiaTheme="minorEastAsia" w:hAnsiTheme="minorHAnsi" w:cstheme="minorBidi"/>
          <w:sz w:val="22"/>
          <w:szCs w:val="22"/>
          <w:lang w:val="en-GB" w:eastAsia="en-GB"/>
        </w:rPr>
      </w:pPr>
      <w:hyperlink w:anchor="_Toc490159311" w:history="1">
        <w:r w:rsidR="00F62267" w:rsidRPr="00A55BE2">
          <w:rPr>
            <w:rStyle w:val="Hyperlink"/>
            <w:lang w:val="en-US"/>
          </w:rPr>
          <w:t>General comments</w:t>
        </w:r>
        <w:r w:rsidR="00F62267">
          <w:rPr>
            <w:webHidden/>
          </w:rPr>
          <w:tab/>
        </w:r>
        <w:r w:rsidR="00F62267">
          <w:rPr>
            <w:webHidden/>
          </w:rPr>
          <w:fldChar w:fldCharType="begin"/>
        </w:r>
        <w:r w:rsidR="00F62267">
          <w:rPr>
            <w:webHidden/>
          </w:rPr>
          <w:instrText xml:space="preserve"> PAGEREF _Toc490159311 \h </w:instrText>
        </w:r>
        <w:r w:rsidR="00F62267">
          <w:rPr>
            <w:webHidden/>
          </w:rPr>
        </w:r>
        <w:r w:rsidR="00F62267">
          <w:rPr>
            <w:webHidden/>
          </w:rPr>
          <w:fldChar w:fldCharType="separate"/>
        </w:r>
        <w:r w:rsidR="00F62267">
          <w:rPr>
            <w:webHidden/>
          </w:rPr>
          <w:t>22</w:t>
        </w:r>
        <w:r w:rsidR="00F62267">
          <w:rPr>
            <w:webHidden/>
          </w:rPr>
          <w:fldChar w:fldCharType="end"/>
        </w:r>
      </w:hyperlink>
    </w:p>
    <w:p w14:paraId="2B2A2060" w14:textId="77777777" w:rsidR="00F62267" w:rsidRDefault="00965F09">
      <w:pPr>
        <w:pStyle w:val="TOC2"/>
        <w:rPr>
          <w:rFonts w:asciiTheme="minorHAnsi" w:eastAsiaTheme="minorEastAsia" w:hAnsiTheme="minorHAnsi" w:cstheme="minorBidi"/>
          <w:sz w:val="22"/>
          <w:szCs w:val="22"/>
          <w:lang w:val="en-GB" w:eastAsia="en-GB"/>
        </w:rPr>
      </w:pPr>
      <w:hyperlink w:anchor="_Toc490159312" w:history="1">
        <w:r w:rsidR="00F62267" w:rsidRPr="00A55BE2">
          <w:rPr>
            <w:rStyle w:val="Hyperlink"/>
          </w:rPr>
          <w:t>Interviews of other funders of CLCs</w:t>
        </w:r>
        <w:r w:rsidR="00F62267">
          <w:rPr>
            <w:webHidden/>
          </w:rPr>
          <w:tab/>
        </w:r>
        <w:r w:rsidR="00F62267">
          <w:rPr>
            <w:webHidden/>
          </w:rPr>
          <w:fldChar w:fldCharType="begin"/>
        </w:r>
        <w:r w:rsidR="00F62267">
          <w:rPr>
            <w:webHidden/>
          </w:rPr>
          <w:instrText xml:space="preserve"> PAGEREF _Toc490159312 \h </w:instrText>
        </w:r>
        <w:r w:rsidR="00F62267">
          <w:rPr>
            <w:webHidden/>
          </w:rPr>
        </w:r>
        <w:r w:rsidR="00F62267">
          <w:rPr>
            <w:webHidden/>
          </w:rPr>
          <w:fldChar w:fldCharType="separate"/>
        </w:r>
        <w:r w:rsidR="00F62267">
          <w:rPr>
            <w:webHidden/>
          </w:rPr>
          <w:t>23</w:t>
        </w:r>
        <w:r w:rsidR="00F62267">
          <w:rPr>
            <w:webHidden/>
          </w:rPr>
          <w:fldChar w:fldCharType="end"/>
        </w:r>
      </w:hyperlink>
    </w:p>
    <w:p w14:paraId="0A28CCD5" w14:textId="77777777" w:rsidR="00F62267" w:rsidRDefault="00965F09">
      <w:pPr>
        <w:pStyle w:val="TOC2"/>
        <w:rPr>
          <w:rFonts w:asciiTheme="minorHAnsi" w:eastAsiaTheme="minorEastAsia" w:hAnsiTheme="minorHAnsi" w:cstheme="minorBidi"/>
          <w:sz w:val="22"/>
          <w:szCs w:val="22"/>
          <w:lang w:val="en-GB" w:eastAsia="en-GB"/>
        </w:rPr>
      </w:pPr>
      <w:hyperlink w:anchor="_Toc490159313" w:history="1">
        <w:r w:rsidR="00F62267" w:rsidRPr="00A55BE2">
          <w:rPr>
            <w:rStyle w:val="Hyperlink"/>
          </w:rPr>
          <w:t>Yammer (social media) discussions</w:t>
        </w:r>
        <w:r w:rsidR="00F62267">
          <w:rPr>
            <w:webHidden/>
          </w:rPr>
          <w:tab/>
        </w:r>
        <w:r w:rsidR="00F62267">
          <w:rPr>
            <w:webHidden/>
          </w:rPr>
          <w:fldChar w:fldCharType="begin"/>
        </w:r>
        <w:r w:rsidR="00F62267">
          <w:rPr>
            <w:webHidden/>
          </w:rPr>
          <w:instrText xml:space="preserve"> PAGEREF _Toc490159313 \h </w:instrText>
        </w:r>
        <w:r w:rsidR="00F62267">
          <w:rPr>
            <w:webHidden/>
          </w:rPr>
        </w:r>
        <w:r w:rsidR="00F62267">
          <w:rPr>
            <w:webHidden/>
          </w:rPr>
          <w:fldChar w:fldCharType="separate"/>
        </w:r>
        <w:r w:rsidR="00F62267">
          <w:rPr>
            <w:webHidden/>
          </w:rPr>
          <w:t>23</w:t>
        </w:r>
        <w:r w:rsidR="00F62267">
          <w:rPr>
            <w:webHidden/>
          </w:rPr>
          <w:fldChar w:fldCharType="end"/>
        </w:r>
      </w:hyperlink>
    </w:p>
    <w:p w14:paraId="5A46C591" w14:textId="77777777" w:rsidR="00F62267" w:rsidRDefault="00965F09">
      <w:pPr>
        <w:pStyle w:val="TOC2"/>
        <w:rPr>
          <w:rFonts w:asciiTheme="minorHAnsi" w:eastAsiaTheme="minorEastAsia" w:hAnsiTheme="minorHAnsi" w:cstheme="minorBidi"/>
          <w:sz w:val="22"/>
          <w:szCs w:val="22"/>
          <w:lang w:val="en-GB" w:eastAsia="en-GB"/>
        </w:rPr>
      </w:pPr>
      <w:hyperlink w:anchor="_Toc490159314" w:history="1">
        <w:r w:rsidR="00F62267" w:rsidRPr="00A55BE2">
          <w:rPr>
            <w:rStyle w:val="Hyperlink"/>
          </w:rPr>
          <w:t>Direct submissions by email</w:t>
        </w:r>
        <w:r w:rsidR="00F62267">
          <w:rPr>
            <w:webHidden/>
          </w:rPr>
          <w:tab/>
        </w:r>
        <w:r w:rsidR="00F62267">
          <w:rPr>
            <w:webHidden/>
          </w:rPr>
          <w:fldChar w:fldCharType="begin"/>
        </w:r>
        <w:r w:rsidR="00F62267">
          <w:rPr>
            <w:webHidden/>
          </w:rPr>
          <w:instrText xml:space="preserve"> PAGEREF _Toc490159314 \h </w:instrText>
        </w:r>
        <w:r w:rsidR="00F62267">
          <w:rPr>
            <w:webHidden/>
          </w:rPr>
        </w:r>
        <w:r w:rsidR="00F62267">
          <w:rPr>
            <w:webHidden/>
          </w:rPr>
          <w:fldChar w:fldCharType="separate"/>
        </w:r>
        <w:r w:rsidR="00F62267">
          <w:rPr>
            <w:webHidden/>
          </w:rPr>
          <w:t>23</w:t>
        </w:r>
        <w:r w:rsidR="00F62267">
          <w:rPr>
            <w:webHidden/>
          </w:rPr>
          <w:fldChar w:fldCharType="end"/>
        </w:r>
      </w:hyperlink>
    </w:p>
    <w:p w14:paraId="681642BC"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315" w:history="1">
        <w:r w:rsidR="00F62267" w:rsidRPr="00A55BE2">
          <w:rPr>
            <w:rStyle w:val="Hyperlink"/>
            <w:noProof/>
          </w:rPr>
          <w:t>Appendix 3: CLSP Reform – options for financial accountability</w:t>
        </w:r>
        <w:r w:rsidR="00F62267">
          <w:rPr>
            <w:noProof/>
            <w:webHidden/>
          </w:rPr>
          <w:tab/>
        </w:r>
        <w:r w:rsidR="00F62267">
          <w:rPr>
            <w:noProof/>
            <w:webHidden/>
          </w:rPr>
          <w:fldChar w:fldCharType="begin"/>
        </w:r>
        <w:r w:rsidR="00F62267">
          <w:rPr>
            <w:noProof/>
            <w:webHidden/>
          </w:rPr>
          <w:instrText xml:space="preserve"> PAGEREF _Toc490159315 \h </w:instrText>
        </w:r>
        <w:r w:rsidR="00F62267">
          <w:rPr>
            <w:noProof/>
            <w:webHidden/>
          </w:rPr>
        </w:r>
        <w:r w:rsidR="00F62267">
          <w:rPr>
            <w:noProof/>
            <w:webHidden/>
          </w:rPr>
          <w:fldChar w:fldCharType="separate"/>
        </w:r>
        <w:r w:rsidR="00F62267">
          <w:rPr>
            <w:noProof/>
            <w:webHidden/>
          </w:rPr>
          <w:t>25</w:t>
        </w:r>
        <w:r w:rsidR="00F62267">
          <w:rPr>
            <w:noProof/>
            <w:webHidden/>
          </w:rPr>
          <w:fldChar w:fldCharType="end"/>
        </w:r>
      </w:hyperlink>
    </w:p>
    <w:p w14:paraId="390B1830"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316" w:history="1">
        <w:r w:rsidR="00F62267" w:rsidRPr="00A55BE2">
          <w:rPr>
            <w:rStyle w:val="Hyperlink"/>
            <w:noProof/>
          </w:rPr>
          <w:t>Appendix 4: CLSP Reform – possible provisions for elevated reporting and compliance</w:t>
        </w:r>
        <w:r w:rsidR="00F62267">
          <w:rPr>
            <w:noProof/>
            <w:webHidden/>
          </w:rPr>
          <w:tab/>
        </w:r>
        <w:r w:rsidR="00F62267">
          <w:rPr>
            <w:noProof/>
            <w:webHidden/>
          </w:rPr>
          <w:fldChar w:fldCharType="begin"/>
        </w:r>
        <w:r w:rsidR="00F62267">
          <w:rPr>
            <w:noProof/>
            <w:webHidden/>
          </w:rPr>
          <w:instrText xml:space="preserve"> PAGEREF _Toc490159316 \h </w:instrText>
        </w:r>
        <w:r w:rsidR="00F62267">
          <w:rPr>
            <w:noProof/>
            <w:webHidden/>
          </w:rPr>
        </w:r>
        <w:r w:rsidR="00F62267">
          <w:rPr>
            <w:noProof/>
            <w:webHidden/>
          </w:rPr>
          <w:fldChar w:fldCharType="separate"/>
        </w:r>
        <w:r w:rsidR="00F62267">
          <w:rPr>
            <w:noProof/>
            <w:webHidden/>
          </w:rPr>
          <w:t>27</w:t>
        </w:r>
        <w:r w:rsidR="00F62267">
          <w:rPr>
            <w:noProof/>
            <w:webHidden/>
          </w:rPr>
          <w:fldChar w:fldCharType="end"/>
        </w:r>
      </w:hyperlink>
    </w:p>
    <w:p w14:paraId="79ABC6DF" w14:textId="77777777" w:rsidR="00F62267" w:rsidRDefault="00965F09">
      <w:pPr>
        <w:pStyle w:val="TOC1"/>
        <w:rPr>
          <w:rFonts w:asciiTheme="minorHAnsi" w:eastAsiaTheme="minorEastAsia" w:hAnsiTheme="minorHAnsi" w:cstheme="minorBidi"/>
          <w:b w:val="0"/>
          <w:noProof/>
          <w:sz w:val="22"/>
          <w:szCs w:val="22"/>
          <w:lang w:val="en-GB" w:eastAsia="en-GB"/>
        </w:rPr>
      </w:pPr>
      <w:hyperlink w:anchor="_Toc490159317" w:history="1">
        <w:r w:rsidR="00F62267" w:rsidRPr="00A55BE2">
          <w:rPr>
            <w:rStyle w:val="Hyperlink"/>
            <w:noProof/>
          </w:rPr>
          <w:t>Appendix 5: CLSP Reform – a second stream of funding to support specific and short term programs and projects</w:t>
        </w:r>
        <w:r w:rsidR="00F62267">
          <w:rPr>
            <w:noProof/>
            <w:webHidden/>
          </w:rPr>
          <w:tab/>
        </w:r>
        <w:r w:rsidR="00F62267">
          <w:rPr>
            <w:noProof/>
            <w:webHidden/>
          </w:rPr>
          <w:fldChar w:fldCharType="begin"/>
        </w:r>
        <w:r w:rsidR="00F62267">
          <w:rPr>
            <w:noProof/>
            <w:webHidden/>
          </w:rPr>
          <w:instrText xml:space="preserve"> PAGEREF _Toc490159317 \h </w:instrText>
        </w:r>
        <w:r w:rsidR="00F62267">
          <w:rPr>
            <w:noProof/>
            <w:webHidden/>
          </w:rPr>
        </w:r>
        <w:r w:rsidR="00F62267">
          <w:rPr>
            <w:noProof/>
            <w:webHidden/>
          </w:rPr>
          <w:fldChar w:fldCharType="separate"/>
        </w:r>
        <w:r w:rsidR="00F62267">
          <w:rPr>
            <w:noProof/>
            <w:webHidden/>
          </w:rPr>
          <w:t>28</w:t>
        </w:r>
        <w:r w:rsidR="00F62267">
          <w:rPr>
            <w:noProof/>
            <w:webHidden/>
          </w:rPr>
          <w:fldChar w:fldCharType="end"/>
        </w:r>
      </w:hyperlink>
    </w:p>
    <w:p w14:paraId="4DF94642" w14:textId="77777777" w:rsidR="00F92EA5" w:rsidRDefault="004E0688" w:rsidP="00333F26">
      <w:pPr>
        <w:pStyle w:val="TOC1"/>
      </w:pPr>
      <w:r w:rsidRPr="00037357">
        <w:fldChar w:fldCharType="end"/>
      </w:r>
    </w:p>
    <w:p w14:paraId="6F092585" w14:textId="77777777" w:rsidR="0046417A" w:rsidRDefault="0046417A" w:rsidP="0046417A"/>
    <w:p w14:paraId="4CF14D76" w14:textId="77777777" w:rsidR="0046417A" w:rsidRPr="007550FB" w:rsidRDefault="0046417A" w:rsidP="0046417A">
      <w:pPr>
        <w:pStyle w:val="Heading1"/>
      </w:pPr>
      <w:bookmarkStart w:id="17" w:name="_Toc490159260"/>
      <w:r>
        <w:t>Glossary</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27"/>
      </w:tblGrid>
      <w:tr w:rsidR="0046417A" w14:paraId="21D8541D" w14:textId="77777777" w:rsidTr="0046417A">
        <w:tc>
          <w:tcPr>
            <w:tcW w:w="1843" w:type="dxa"/>
          </w:tcPr>
          <w:p w14:paraId="6035824E" w14:textId="77777777" w:rsidR="0046417A" w:rsidRPr="00BD76D6" w:rsidRDefault="0046417A" w:rsidP="0046417A">
            <w:pPr>
              <w:autoSpaceDE w:val="0"/>
              <w:autoSpaceDN w:val="0"/>
              <w:adjustRightInd w:val="0"/>
              <w:spacing w:after="0" w:line="240" w:lineRule="auto"/>
            </w:pPr>
            <w:r w:rsidRPr="00BD76D6">
              <w:t>CLASS</w:t>
            </w:r>
          </w:p>
        </w:tc>
        <w:tc>
          <w:tcPr>
            <w:tcW w:w="7927" w:type="dxa"/>
          </w:tcPr>
          <w:p w14:paraId="7FD4CD63" w14:textId="77777777" w:rsidR="0046417A" w:rsidRPr="00BD76D6" w:rsidRDefault="0046417A" w:rsidP="0046417A">
            <w:pPr>
              <w:autoSpaceDE w:val="0"/>
              <w:autoSpaceDN w:val="0"/>
              <w:adjustRightInd w:val="0"/>
              <w:spacing w:after="0" w:line="240" w:lineRule="auto"/>
            </w:pPr>
            <w:r w:rsidRPr="00BD76D6">
              <w:t xml:space="preserve">Community Legal Assistance Services System – the database used by many funded CLCs as of </w:t>
            </w:r>
            <w:r w:rsidR="00377DB6" w:rsidRPr="00BD76D6">
              <w:t>April,</w:t>
            </w:r>
            <w:r w:rsidRPr="00BD76D6">
              <w:t xml:space="preserve"> 2017</w:t>
            </w:r>
          </w:p>
        </w:tc>
      </w:tr>
      <w:tr w:rsidR="0046417A" w14:paraId="09A476B8" w14:textId="77777777" w:rsidTr="0046417A">
        <w:tc>
          <w:tcPr>
            <w:tcW w:w="1843" w:type="dxa"/>
          </w:tcPr>
          <w:p w14:paraId="031FADD6" w14:textId="77777777" w:rsidR="0046417A" w:rsidRPr="00BD76D6" w:rsidRDefault="0046417A" w:rsidP="0046417A">
            <w:pPr>
              <w:autoSpaceDE w:val="0"/>
              <w:autoSpaceDN w:val="0"/>
              <w:adjustRightInd w:val="0"/>
              <w:spacing w:after="0" w:line="240" w:lineRule="auto"/>
            </w:pPr>
            <w:r w:rsidRPr="00BD76D6">
              <w:t>CLC</w:t>
            </w:r>
          </w:p>
        </w:tc>
        <w:tc>
          <w:tcPr>
            <w:tcW w:w="7927" w:type="dxa"/>
          </w:tcPr>
          <w:p w14:paraId="715CA14A" w14:textId="77777777" w:rsidR="0046417A" w:rsidRPr="00BD76D6" w:rsidRDefault="0046417A" w:rsidP="0046417A">
            <w:pPr>
              <w:autoSpaceDE w:val="0"/>
              <w:autoSpaceDN w:val="0"/>
              <w:adjustRightInd w:val="0"/>
              <w:spacing w:after="0" w:line="240" w:lineRule="auto"/>
            </w:pPr>
            <w:r w:rsidRPr="00BD76D6">
              <w:t>Community Legal Centre</w:t>
            </w:r>
          </w:p>
        </w:tc>
      </w:tr>
      <w:tr w:rsidR="0046417A" w14:paraId="23407457" w14:textId="77777777" w:rsidTr="0046417A">
        <w:tc>
          <w:tcPr>
            <w:tcW w:w="1843" w:type="dxa"/>
          </w:tcPr>
          <w:p w14:paraId="056B2B5E" w14:textId="77777777" w:rsidR="0046417A" w:rsidRPr="00BD76D6" w:rsidRDefault="0046417A" w:rsidP="0046417A">
            <w:pPr>
              <w:autoSpaceDE w:val="0"/>
              <w:autoSpaceDN w:val="0"/>
              <w:adjustRightInd w:val="0"/>
              <w:spacing w:after="0" w:line="240" w:lineRule="auto"/>
            </w:pPr>
            <w:r w:rsidRPr="00BD76D6">
              <w:t>CLSIS</w:t>
            </w:r>
          </w:p>
        </w:tc>
        <w:tc>
          <w:tcPr>
            <w:tcW w:w="7927" w:type="dxa"/>
          </w:tcPr>
          <w:p w14:paraId="7B6B634D" w14:textId="77777777" w:rsidR="0046417A" w:rsidRPr="00BD76D6" w:rsidRDefault="0046417A" w:rsidP="0046417A">
            <w:pPr>
              <w:autoSpaceDE w:val="0"/>
              <w:autoSpaceDN w:val="0"/>
              <w:adjustRightInd w:val="0"/>
              <w:spacing w:after="0" w:line="240" w:lineRule="auto"/>
            </w:pPr>
            <w:r w:rsidRPr="00BD76D6">
              <w:t>Community Legal Services Information System – the database used by many</w:t>
            </w:r>
          </w:p>
          <w:p w14:paraId="61CD7CFA" w14:textId="77777777" w:rsidR="0046417A" w:rsidRPr="00BD76D6" w:rsidRDefault="0046417A" w:rsidP="0046417A">
            <w:pPr>
              <w:autoSpaceDE w:val="0"/>
              <w:autoSpaceDN w:val="0"/>
              <w:adjustRightInd w:val="0"/>
              <w:spacing w:after="0" w:line="240" w:lineRule="auto"/>
            </w:pPr>
            <w:r w:rsidRPr="00BD76D6">
              <w:t>funded CLCs until March 2017</w:t>
            </w:r>
          </w:p>
        </w:tc>
      </w:tr>
      <w:tr w:rsidR="0046417A" w14:paraId="2C51130D" w14:textId="77777777" w:rsidTr="0046417A">
        <w:tc>
          <w:tcPr>
            <w:tcW w:w="1843" w:type="dxa"/>
          </w:tcPr>
          <w:p w14:paraId="7ABBE832" w14:textId="77777777" w:rsidR="0046417A" w:rsidRPr="00BD76D6" w:rsidRDefault="0046417A" w:rsidP="0046417A">
            <w:pPr>
              <w:autoSpaceDE w:val="0"/>
              <w:autoSpaceDN w:val="0"/>
              <w:adjustRightInd w:val="0"/>
              <w:spacing w:after="0" w:line="240" w:lineRule="auto"/>
            </w:pPr>
            <w:r w:rsidRPr="00BD76D6">
              <w:t>CLSP</w:t>
            </w:r>
          </w:p>
        </w:tc>
        <w:tc>
          <w:tcPr>
            <w:tcW w:w="7927" w:type="dxa"/>
          </w:tcPr>
          <w:p w14:paraId="15C7C805" w14:textId="77777777" w:rsidR="0046417A" w:rsidRPr="00BD76D6" w:rsidRDefault="0046417A" w:rsidP="0046417A">
            <w:pPr>
              <w:autoSpaceDE w:val="0"/>
              <w:autoSpaceDN w:val="0"/>
              <w:adjustRightInd w:val="0"/>
              <w:spacing w:after="0" w:line="240" w:lineRule="auto"/>
            </w:pPr>
            <w:r w:rsidRPr="00BD76D6">
              <w:t>Community Legal Services Program</w:t>
            </w:r>
          </w:p>
        </w:tc>
      </w:tr>
      <w:tr w:rsidR="0046417A" w14:paraId="291BE5C3" w14:textId="77777777" w:rsidTr="0046417A">
        <w:tc>
          <w:tcPr>
            <w:tcW w:w="1843" w:type="dxa"/>
          </w:tcPr>
          <w:p w14:paraId="3D54AC25" w14:textId="77777777" w:rsidR="0046417A" w:rsidRPr="00BD76D6" w:rsidRDefault="0046417A" w:rsidP="0046417A">
            <w:pPr>
              <w:autoSpaceDE w:val="0"/>
              <w:autoSpaceDN w:val="0"/>
              <w:adjustRightInd w:val="0"/>
              <w:spacing w:after="0" w:line="240" w:lineRule="auto"/>
            </w:pPr>
            <w:r w:rsidRPr="00BD76D6">
              <w:t>DJR</w:t>
            </w:r>
          </w:p>
        </w:tc>
        <w:tc>
          <w:tcPr>
            <w:tcW w:w="7927" w:type="dxa"/>
          </w:tcPr>
          <w:p w14:paraId="745CD9C9" w14:textId="77777777" w:rsidR="0046417A" w:rsidRPr="00BD76D6" w:rsidRDefault="0046417A" w:rsidP="0046417A">
            <w:pPr>
              <w:autoSpaceDE w:val="0"/>
              <w:autoSpaceDN w:val="0"/>
              <w:adjustRightInd w:val="0"/>
              <w:spacing w:after="0" w:line="240" w:lineRule="auto"/>
            </w:pPr>
            <w:r w:rsidRPr="00BD76D6">
              <w:t>Department of Justice and Regulation (State Government)</w:t>
            </w:r>
          </w:p>
        </w:tc>
      </w:tr>
      <w:tr w:rsidR="0046417A" w14:paraId="5184E55C" w14:textId="77777777" w:rsidTr="0046417A">
        <w:tc>
          <w:tcPr>
            <w:tcW w:w="1843" w:type="dxa"/>
          </w:tcPr>
          <w:p w14:paraId="2E4A397D" w14:textId="77777777" w:rsidR="0046417A" w:rsidRPr="00BD76D6" w:rsidRDefault="0046417A" w:rsidP="0046417A">
            <w:pPr>
              <w:autoSpaceDE w:val="0"/>
              <w:autoSpaceDN w:val="0"/>
              <w:adjustRightInd w:val="0"/>
              <w:spacing w:after="0" w:line="240" w:lineRule="auto"/>
            </w:pPr>
            <w:r w:rsidRPr="00BD76D6">
              <w:t>NACLC</w:t>
            </w:r>
          </w:p>
        </w:tc>
        <w:tc>
          <w:tcPr>
            <w:tcW w:w="7927" w:type="dxa"/>
          </w:tcPr>
          <w:p w14:paraId="708C4D78" w14:textId="77777777" w:rsidR="0046417A" w:rsidRPr="00BD76D6" w:rsidRDefault="0046417A" w:rsidP="0046417A">
            <w:pPr>
              <w:autoSpaceDE w:val="0"/>
              <w:autoSpaceDN w:val="0"/>
              <w:adjustRightInd w:val="0"/>
              <w:spacing w:after="0" w:line="240" w:lineRule="auto"/>
            </w:pPr>
            <w:r w:rsidRPr="00BD76D6">
              <w:t>National Association of Community Legal Centres</w:t>
            </w:r>
          </w:p>
        </w:tc>
      </w:tr>
      <w:tr w:rsidR="0046417A" w14:paraId="680743B4" w14:textId="77777777" w:rsidTr="0046417A">
        <w:tc>
          <w:tcPr>
            <w:tcW w:w="1843" w:type="dxa"/>
          </w:tcPr>
          <w:p w14:paraId="725FE27F" w14:textId="77777777" w:rsidR="0046417A" w:rsidRPr="00BD76D6" w:rsidRDefault="0046417A" w:rsidP="0046417A">
            <w:pPr>
              <w:autoSpaceDE w:val="0"/>
              <w:autoSpaceDN w:val="0"/>
              <w:adjustRightInd w:val="0"/>
              <w:spacing w:after="0" w:line="240" w:lineRule="auto"/>
            </w:pPr>
            <w:r w:rsidRPr="00BD76D6">
              <w:t>NPALAS</w:t>
            </w:r>
          </w:p>
        </w:tc>
        <w:tc>
          <w:tcPr>
            <w:tcW w:w="7927" w:type="dxa"/>
          </w:tcPr>
          <w:p w14:paraId="63810770" w14:textId="77777777" w:rsidR="0046417A" w:rsidRPr="00BD76D6" w:rsidRDefault="0046417A" w:rsidP="0046417A">
            <w:pPr>
              <w:autoSpaceDE w:val="0"/>
              <w:autoSpaceDN w:val="0"/>
              <w:adjustRightInd w:val="0"/>
              <w:spacing w:after="0" w:line="240" w:lineRule="auto"/>
            </w:pPr>
            <w:r w:rsidRPr="00BD76D6">
              <w:t>National Partnership Agreement on Legal Assistance Services</w:t>
            </w:r>
          </w:p>
        </w:tc>
      </w:tr>
      <w:tr w:rsidR="0046417A" w14:paraId="24645355" w14:textId="77777777" w:rsidTr="0046417A">
        <w:tc>
          <w:tcPr>
            <w:tcW w:w="1843" w:type="dxa"/>
          </w:tcPr>
          <w:p w14:paraId="79BD3F6E" w14:textId="77777777" w:rsidR="0046417A" w:rsidRPr="00BD76D6" w:rsidRDefault="0046417A" w:rsidP="0046417A">
            <w:pPr>
              <w:autoSpaceDE w:val="0"/>
              <w:autoSpaceDN w:val="0"/>
              <w:adjustRightInd w:val="0"/>
              <w:spacing w:after="0" w:line="240" w:lineRule="auto"/>
            </w:pPr>
            <w:r w:rsidRPr="00BD76D6">
              <w:t>VLA</w:t>
            </w:r>
          </w:p>
        </w:tc>
        <w:tc>
          <w:tcPr>
            <w:tcW w:w="7927" w:type="dxa"/>
          </w:tcPr>
          <w:p w14:paraId="6C376681" w14:textId="77777777" w:rsidR="0046417A" w:rsidRPr="00BD76D6" w:rsidRDefault="0046417A" w:rsidP="0046417A">
            <w:pPr>
              <w:autoSpaceDE w:val="0"/>
              <w:autoSpaceDN w:val="0"/>
              <w:adjustRightInd w:val="0"/>
              <w:spacing w:after="0" w:line="240" w:lineRule="auto"/>
            </w:pPr>
            <w:r w:rsidRPr="00BD76D6">
              <w:t>Victoria Legal Aid</w:t>
            </w:r>
          </w:p>
        </w:tc>
      </w:tr>
    </w:tbl>
    <w:p w14:paraId="37DDB015" w14:textId="77777777" w:rsidR="0046417A" w:rsidRDefault="0046417A" w:rsidP="0046417A"/>
    <w:p w14:paraId="4EB8E50D" w14:textId="77777777" w:rsidR="0046417A" w:rsidRPr="0046417A" w:rsidRDefault="0046417A" w:rsidP="0046417A"/>
    <w:p w14:paraId="2638123E" w14:textId="77777777" w:rsidR="002B4970" w:rsidRPr="00A37C6E" w:rsidRDefault="002B4970" w:rsidP="00AA2CCE">
      <w:pPr>
        <w:rPr>
          <w:lang w:eastAsia="en-AU"/>
        </w:rPr>
        <w:sectPr w:rsidR="002B4970" w:rsidRPr="00A37C6E" w:rsidSect="007C05C3">
          <w:headerReference w:type="default" r:id="rId15"/>
          <w:footerReference w:type="default" r:id="rId16"/>
          <w:pgSz w:w="11906" w:h="16838" w:code="9"/>
          <w:pgMar w:top="1418" w:right="992" w:bottom="1134" w:left="1134" w:header="851" w:footer="284" w:gutter="0"/>
          <w:paperSrc w:first="7" w:other="7"/>
          <w:pgNumType w:fmt="lowerRoman" w:start="1"/>
          <w:cols w:space="720"/>
          <w:docGrid w:linePitch="299"/>
        </w:sectPr>
      </w:pPr>
    </w:p>
    <w:p w14:paraId="5020AB4A" w14:textId="77777777" w:rsidR="002547DC" w:rsidRPr="00274997" w:rsidRDefault="002547DC" w:rsidP="002547DC">
      <w:pPr>
        <w:pStyle w:val="Heading1"/>
      </w:pPr>
      <w:bookmarkStart w:id="18" w:name="_Toc478480270"/>
      <w:bookmarkStart w:id="19" w:name="_Toc478566064"/>
      <w:bookmarkStart w:id="20" w:name="_Toc490159261"/>
      <w:r>
        <w:lastRenderedPageBreak/>
        <w:t>About this Options P</w:t>
      </w:r>
      <w:r w:rsidRPr="00592A35">
        <w:t>aper</w:t>
      </w:r>
      <w:bookmarkEnd w:id="18"/>
      <w:bookmarkEnd w:id="19"/>
      <w:bookmarkEnd w:id="20"/>
      <w:r w:rsidRPr="00592A35">
        <w:t xml:space="preserve"> </w:t>
      </w:r>
    </w:p>
    <w:p w14:paraId="10581CC3" w14:textId="461F77DB" w:rsidR="000A05FB" w:rsidRPr="007173AB" w:rsidRDefault="0079665C" w:rsidP="002547DC">
      <w:r w:rsidRPr="007173AB">
        <w:t xml:space="preserve">Community Legal Services Program (CLSP) reform is an opportunity for community legal centres and Victoria Legal Aid to collectively reset the funding relationship. </w:t>
      </w:r>
      <w:r w:rsidR="00607A4E" w:rsidRPr="007173AB">
        <w:t xml:space="preserve">Based on a strong set of agreed design principles, it allows us to better align system accountability and reporting requirements with centres’ operational needs. </w:t>
      </w:r>
      <w:r w:rsidR="002547DC" w:rsidRPr="007173AB">
        <w:t xml:space="preserve">This Options Paper </w:t>
      </w:r>
      <w:r w:rsidR="00C67A13" w:rsidRPr="007173AB">
        <w:t xml:space="preserve">is part of the </w:t>
      </w:r>
      <w:r w:rsidRPr="007173AB">
        <w:t>CLSP</w:t>
      </w:r>
      <w:r w:rsidR="00C67A13" w:rsidRPr="007173AB">
        <w:t xml:space="preserve"> Reform Project</w:t>
      </w:r>
      <w:r w:rsidR="00250B2F" w:rsidRPr="007173AB">
        <w:t>, which is creating</w:t>
      </w:r>
      <w:r w:rsidR="00C67A13" w:rsidRPr="007173AB">
        <w:t xml:space="preserve"> </w:t>
      </w:r>
      <w:r w:rsidR="002547DC" w:rsidRPr="007173AB">
        <w:t xml:space="preserve">a new framework </w:t>
      </w:r>
      <w:r w:rsidR="00C67A13" w:rsidRPr="007173AB">
        <w:t xml:space="preserve">to govern the administration and accountability of funding between </w:t>
      </w:r>
      <w:r w:rsidR="002547DC" w:rsidRPr="007173AB">
        <w:t xml:space="preserve">VLA and CLCs. </w:t>
      </w:r>
      <w:r w:rsidR="00A275B3" w:rsidRPr="007173AB">
        <w:t>Phase 1 of t</w:t>
      </w:r>
      <w:r w:rsidR="00A44661" w:rsidRPr="007173AB">
        <w:t>he</w:t>
      </w:r>
      <w:r w:rsidR="00A275B3" w:rsidRPr="007173AB">
        <w:t xml:space="preserve"> Project is designing </w:t>
      </w:r>
      <w:r w:rsidR="00A44661" w:rsidRPr="007173AB">
        <w:t>the</w:t>
      </w:r>
      <w:r w:rsidR="00A275B3" w:rsidRPr="007173AB">
        <w:t xml:space="preserve"> new funding and accountability framework. Implementation of the framework</w:t>
      </w:r>
      <w:r w:rsidRPr="007173AB">
        <w:t>, including development and consultation on details of the agreement,</w:t>
      </w:r>
      <w:r w:rsidR="00A275B3" w:rsidRPr="007173AB">
        <w:t xml:space="preserve"> will follo</w:t>
      </w:r>
      <w:r w:rsidRPr="007173AB">
        <w:t xml:space="preserve">w in Phase 2. </w:t>
      </w:r>
    </w:p>
    <w:p w14:paraId="1F542761" w14:textId="2305750C" w:rsidR="002547DC" w:rsidRPr="007173AB" w:rsidRDefault="00A275B3" w:rsidP="002547DC">
      <w:r w:rsidRPr="007173AB">
        <w:t xml:space="preserve">This Options Paper </w:t>
      </w:r>
      <w:r w:rsidR="002547DC" w:rsidRPr="007173AB">
        <w:t xml:space="preserve">follows on from the </w:t>
      </w:r>
      <w:hyperlink r:id="rId17" w:history="1">
        <w:r w:rsidR="002547DC" w:rsidRPr="007173AB">
          <w:rPr>
            <w:rStyle w:val="Hyperlink"/>
          </w:rPr>
          <w:t>CLSP</w:t>
        </w:r>
        <w:r w:rsidR="00B57AB7" w:rsidRPr="007173AB">
          <w:rPr>
            <w:rStyle w:val="Hyperlink"/>
          </w:rPr>
          <w:t xml:space="preserve"> Reform</w:t>
        </w:r>
        <w:r w:rsidR="002547DC" w:rsidRPr="007173AB">
          <w:rPr>
            <w:rStyle w:val="Hyperlink"/>
          </w:rPr>
          <w:t xml:space="preserve"> Discussion Paper</w:t>
        </w:r>
      </w:hyperlink>
      <w:r w:rsidR="002547DC" w:rsidRPr="007173AB">
        <w:t xml:space="preserve"> May 2017</w:t>
      </w:r>
      <w:r w:rsidR="00C67A13" w:rsidRPr="007173AB">
        <w:t xml:space="preserve">, which provides </w:t>
      </w:r>
      <w:r w:rsidR="002547DC" w:rsidRPr="007173AB">
        <w:t xml:space="preserve">essential context and background. </w:t>
      </w:r>
    </w:p>
    <w:p w14:paraId="7A77731A" w14:textId="2388119B" w:rsidR="00EA60A5" w:rsidRDefault="00A44661" w:rsidP="00A275B3">
      <w:r w:rsidRPr="007173AB">
        <w:t>Since</w:t>
      </w:r>
      <w:r w:rsidR="00377DB6" w:rsidRPr="007173AB">
        <w:t xml:space="preserve"> </w:t>
      </w:r>
      <w:r w:rsidR="00B57AB7" w:rsidRPr="007173AB">
        <w:t>releasing</w:t>
      </w:r>
      <w:r w:rsidR="00845268" w:rsidRPr="007173AB">
        <w:t xml:space="preserve"> </w:t>
      </w:r>
      <w:r w:rsidR="00570DD8" w:rsidRPr="007173AB">
        <w:t>the</w:t>
      </w:r>
      <w:r w:rsidR="00845268" w:rsidRPr="007173AB">
        <w:t xml:space="preserve"> </w:t>
      </w:r>
      <w:r w:rsidRPr="007173AB">
        <w:t>D</w:t>
      </w:r>
      <w:r w:rsidR="00377DB6" w:rsidRPr="007173AB">
        <w:t xml:space="preserve">iscussion </w:t>
      </w:r>
      <w:r w:rsidRPr="007173AB">
        <w:t>P</w:t>
      </w:r>
      <w:r w:rsidR="00377DB6" w:rsidRPr="007173AB">
        <w:t>aper</w:t>
      </w:r>
      <w:r w:rsidRPr="007173AB">
        <w:t>,</w:t>
      </w:r>
      <w:r w:rsidR="00377DB6" w:rsidRPr="007173AB">
        <w:t xml:space="preserve"> </w:t>
      </w:r>
      <w:r w:rsidR="005931CE" w:rsidRPr="007173AB">
        <w:t xml:space="preserve">most </w:t>
      </w:r>
      <w:r w:rsidR="00377DB6" w:rsidRPr="007173AB">
        <w:t>CLC</w:t>
      </w:r>
      <w:r w:rsidR="00B57AB7" w:rsidRPr="007173AB">
        <w:t>s</w:t>
      </w:r>
      <w:r w:rsidR="00570DD8" w:rsidRPr="007173AB">
        <w:t xml:space="preserve"> (Board members and staff)</w:t>
      </w:r>
      <w:r w:rsidR="00B57AB7" w:rsidRPr="007173AB">
        <w:t>,</w:t>
      </w:r>
      <w:r w:rsidR="00845268" w:rsidRPr="007173AB">
        <w:t xml:space="preserve"> </w:t>
      </w:r>
      <w:r w:rsidR="00290B35" w:rsidRPr="007173AB">
        <w:t xml:space="preserve">key </w:t>
      </w:r>
      <w:r w:rsidR="00377DB6" w:rsidRPr="007173AB">
        <w:t xml:space="preserve">VLA staff and other </w:t>
      </w:r>
      <w:r w:rsidR="00B57AB7" w:rsidRPr="007173AB">
        <w:t xml:space="preserve">relevant </w:t>
      </w:r>
      <w:r w:rsidR="00377DB6" w:rsidRPr="007173AB">
        <w:t xml:space="preserve">organisations </w:t>
      </w:r>
      <w:r w:rsidR="00B57AB7" w:rsidRPr="007173AB">
        <w:t>(</w:t>
      </w:r>
      <w:r w:rsidR="00570DD8" w:rsidRPr="007173AB">
        <w:t>including Department of Justice and Regulation,</w:t>
      </w:r>
      <w:r w:rsidR="00290B35" w:rsidRPr="007173AB">
        <w:t xml:space="preserve"> Commonwealth AGD</w:t>
      </w:r>
      <w:r w:rsidR="00377DB6" w:rsidRPr="007173AB">
        <w:t xml:space="preserve"> </w:t>
      </w:r>
      <w:r w:rsidR="00EA60A5" w:rsidRPr="007173AB">
        <w:t xml:space="preserve">and </w:t>
      </w:r>
      <w:r w:rsidR="00377DB6" w:rsidRPr="007173AB">
        <w:t>other funders</w:t>
      </w:r>
      <w:r w:rsidR="00B57AB7" w:rsidRPr="007173AB">
        <w:t>)</w:t>
      </w:r>
      <w:r w:rsidR="005931CE" w:rsidRPr="007173AB">
        <w:t xml:space="preserve"> have taken part in consultations</w:t>
      </w:r>
      <w:r w:rsidR="00570DD8" w:rsidRPr="007173AB">
        <w:t>,</w:t>
      </w:r>
      <w:r w:rsidR="00377DB6" w:rsidRPr="007173AB">
        <w:t xml:space="preserve"> through workshops, focus groups and individual meetings.</w:t>
      </w:r>
      <w:r w:rsidR="00A275B3" w:rsidRPr="007173AB">
        <w:t xml:space="preserve"> </w:t>
      </w:r>
      <w:r w:rsidR="00290B35" w:rsidRPr="007173AB">
        <w:t>The level and quality of CLC input has been crucial to the development of these proposed reforms.</w:t>
      </w:r>
    </w:p>
    <w:p w14:paraId="5387957E" w14:textId="77777777" w:rsidR="00A275B3" w:rsidRDefault="00A275B3" w:rsidP="00A275B3">
      <w:r>
        <w:t>W</w:t>
      </w:r>
      <w:r w:rsidR="00845268">
        <w:t>e’ve</w:t>
      </w:r>
      <w:r>
        <w:t xml:space="preserve"> developed the proposals in th</w:t>
      </w:r>
      <w:r w:rsidR="000A05FB">
        <w:t>is</w:t>
      </w:r>
      <w:r>
        <w:t xml:space="preserve"> </w:t>
      </w:r>
      <w:r w:rsidR="00570DD8">
        <w:t>O</w:t>
      </w:r>
      <w:r>
        <w:t xml:space="preserve">ptions </w:t>
      </w:r>
      <w:r w:rsidR="00570DD8">
        <w:t>P</w:t>
      </w:r>
      <w:r>
        <w:t>aper</w:t>
      </w:r>
      <w:r w:rsidR="00570DD8">
        <w:t xml:space="preserve"> based on</w:t>
      </w:r>
      <w:r>
        <w:t xml:space="preserve"> that feedback</w:t>
      </w:r>
      <w:r w:rsidR="00D90DD6">
        <w:t>,</w:t>
      </w:r>
      <w:r>
        <w:t xml:space="preserve"> our analysis of the gaps </w:t>
      </w:r>
      <w:r w:rsidR="00845268">
        <w:t xml:space="preserve">and obstacles </w:t>
      </w:r>
      <w:r>
        <w:t>in the current agreement</w:t>
      </w:r>
      <w:r w:rsidR="00845268">
        <w:t>,</w:t>
      </w:r>
      <w:r>
        <w:t xml:space="preserve"> </w:t>
      </w:r>
      <w:r w:rsidR="00D90DD6">
        <w:t xml:space="preserve">and consideration of </w:t>
      </w:r>
      <w:r w:rsidR="00845268">
        <w:t>viable</w:t>
      </w:r>
      <w:r>
        <w:t xml:space="preserve"> ways to address </w:t>
      </w:r>
      <w:r w:rsidR="00D90DD6">
        <w:t>the issues identified. As such the proposals are intended to achieve</w:t>
      </w:r>
      <w:r>
        <w:t>:</w:t>
      </w:r>
    </w:p>
    <w:p w14:paraId="08B398BD" w14:textId="77777777" w:rsidR="000A05FB" w:rsidRDefault="00A275B3" w:rsidP="00F62267">
      <w:pPr>
        <w:pStyle w:val="ListBullet"/>
      </w:pPr>
      <w:r w:rsidRPr="000A05FB">
        <w:t>simpler and more appropriate accountability measures</w:t>
      </w:r>
      <w:r w:rsidR="00D90DD6">
        <w:t>,</w:t>
      </w:r>
      <w:r w:rsidRPr="000A05FB">
        <w:t xml:space="preserve"> through </w:t>
      </w:r>
      <w:r w:rsidR="00D90DD6">
        <w:t>introducing</w:t>
      </w:r>
      <w:r w:rsidRPr="000A05FB">
        <w:t xml:space="preserve"> distinct requirements for different types of funding (distinguishing between core and special purpose funding) and streamlining accountability for funding from different organisations</w:t>
      </w:r>
    </w:p>
    <w:p w14:paraId="6CF74FF7" w14:textId="77777777" w:rsidR="00A275B3" w:rsidRPr="000A05FB" w:rsidRDefault="00A275B3" w:rsidP="00F62267">
      <w:pPr>
        <w:pStyle w:val="ListBullet"/>
      </w:pPr>
      <w:r w:rsidRPr="000A05FB">
        <w:t>greater funding certainty</w:t>
      </w:r>
      <w:r w:rsidR="00D90DD6">
        <w:t>,</w:t>
      </w:r>
      <w:r w:rsidRPr="000A05FB">
        <w:t xml:space="preserve"> through longer duration agreements and earlier notification of allocations</w:t>
      </w:r>
    </w:p>
    <w:p w14:paraId="66C3B79B" w14:textId="43CAB021" w:rsidR="00377DB6" w:rsidRDefault="00A275B3" w:rsidP="00F62267">
      <w:pPr>
        <w:pStyle w:val="ListBullet"/>
      </w:pPr>
      <w:r w:rsidRPr="000A05FB">
        <w:t>greater clarity, flexibility and future-proofing</w:t>
      </w:r>
      <w:r w:rsidR="00D90DD6">
        <w:t>,</w:t>
      </w:r>
      <w:r w:rsidRPr="000A05FB">
        <w:t xml:space="preserve"> by having the new agreement linked to external policies and guidelines (such as VLA funding guidelines, centres of concern protocol, others to be created)</w:t>
      </w:r>
    </w:p>
    <w:p w14:paraId="43D65076" w14:textId="73617671" w:rsidR="000B6048" w:rsidRDefault="000B6048" w:rsidP="000B6048">
      <w:pPr>
        <w:pStyle w:val="ListBullet"/>
      </w:pPr>
      <w:r w:rsidRPr="000B6048">
        <w:t>clearer expectations and greater assurance about the quality of CLC services and governance, by developing core elements and competencies that centres will be required to demonstrate to be eligible for funding</w:t>
      </w:r>
      <w:r w:rsidR="0067340A">
        <w:t>.</w:t>
      </w:r>
    </w:p>
    <w:p w14:paraId="7D679F54" w14:textId="77777777" w:rsidR="00462633" w:rsidRDefault="00462633" w:rsidP="00CE6C67">
      <w:pPr>
        <w:pStyle w:val="Heading2"/>
      </w:pPr>
      <w:bookmarkStart w:id="21" w:name="_Toc490159262"/>
      <w:r>
        <w:t>Consultation questions</w:t>
      </w:r>
      <w:bookmarkEnd w:id="21"/>
    </w:p>
    <w:p w14:paraId="0B585A8C" w14:textId="77777777" w:rsidR="00CE6C67" w:rsidRPr="00CE6C67" w:rsidRDefault="00462633" w:rsidP="00F62267">
      <w:r>
        <w:t>In this options paper w</w:t>
      </w:r>
      <w:r w:rsidR="005B7B60" w:rsidRPr="00C524C0">
        <w:t xml:space="preserve">e </w:t>
      </w:r>
      <w:r>
        <w:t xml:space="preserve">have </w:t>
      </w:r>
      <w:r w:rsidR="005B7B60" w:rsidRPr="00C524C0">
        <w:t xml:space="preserve">set out </w:t>
      </w:r>
      <w:r>
        <w:t>potential reforms to create</w:t>
      </w:r>
      <w:r w:rsidRPr="00C524C0">
        <w:t xml:space="preserve"> </w:t>
      </w:r>
      <w:r w:rsidR="005B7B60" w:rsidRPr="00C524C0">
        <w:t>for a more contemporary and effective framework</w:t>
      </w:r>
      <w:r w:rsidR="00570DD8" w:rsidRPr="00C524C0">
        <w:t xml:space="preserve">, and </w:t>
      </w:r>
      <w:r w:rsidR="002F3181" w:rsidRPr="00C524C0">
        <w:t xml:space="preserve">invite you to reflect on: </w:t>
      </w:r>
    </w:p>
    <w:p w14:paraId="5796583E" w14:textId="77777777" w:rsidR="002F3181" w:rsidRPr="00CE6C67" w:rsidRDefault="00C524C0" w:rsidP="00792C0C">
      <w:pPr>
        <w:pStyle w:val="VLA1"/>
      </w:pPr>
      <w:r w:rsidRPr="00CE6C67">
        <w:t>H</w:t>
      </w:r>
      <w:r w:rsidR="002F3181" w:rsidRPr="00CE6C67">
        <w:t xml:space="preserve">ow these </w:t>
      </w:r>
      <w:r w:rsidR="00462633">
        <w:t>ideas for reform</w:t>
      </w:r>
      <w:r w:rsidR="00462633" w:rsidRPr="00CE6C67">
        <w:t xml:space="preserve"> </w:t>
      </w:r>
      <w:r w:rsidR="002F3181" w:rsidRPr="00CE6C67">
        <w:t>might create an accountability system that differs from the current CLSP?</w:t>
      </w:r>
    </w:p>
    <w:p w14:paraId="3DC422E2" w14:textId="77777777" w:rsidR="002F3181" w:rsidRPr="00CE6C67" w:rsidRDefault="00C524C0" w:rsidP="00F62267">
      <w:pPr>
        <w:pStyle w:val="VLAa"/>
      </w:pPr>
      <w:r w:rsidRPr="00CE6C67">
        <w:t>H</w:t>
      </w:r>
      <w:r w:rsidR="002F3181" w:rsidRPr="00CE6C67">
        <w:t xml:space="preserve">ow it would differ? </w:t>
      </w:r>
    </w:p>
    <w:p w14:paraId="287B0235" w14:textId="77777777" w:rsidR="002F3181" w:rsidRPr="00CE6C67" w:rsidRDefault="00C524C0" w:rsidP="00F62267">
      <w:pPr>
        <w:pStyle w:val="VLAa"/>
      </w:pPr>
      <w:r w:rsidRPr="00CE6C67">
        <w:t>W</w:t>
      </w:r>
      <w:r w:rsidR="002F3181" w:rsidRPr="00CE6C67">
        <w:t>hat would be better or worse under a system like this?</w:t>
      </w:r>
    </w:p>
    <w:p w14:paraId="12107762" w14:textId="77777777" w:rsidR="002F3181" w:rsidRPr="00CE6C67" w:rsidRDefault="00462633" w:rsidP="00792C0C">
      <w:pPr>
        <w:pStyle w:val="VLA1"/>
      </w:pPr>
      <w:r>
        <w:t>Do you have</w:t>
      </w:r>
      <w:r w:rsidR="00C524C0" w:rsidRPr="00CE6C67">
        <w:t xml:space="preserve"> </w:t>
      </w:r>
      <w:r w:rsidR="002F3181" w:rsidRPr="00CE6C67">
        <w:t xml:space="preserve">any concerns or </w:t>
      </w:r>
      <w:r>
        <w:t>questions</w:t>
      </w:r>
      <w:r w:rsidRPr="00CE6C67">
        <w:t xml:space="preserve"> </w:t>
      </w:r>
      <w:r w:rsidR="002F3181" w:rsidRPr="00CE6C67">
        <w:t>about these ideas for reform and how they might work together to create whole-of-system reform?</w:t>
      </w:r>
    </w:p>
    <w:p w14:paraId="1CC0B30F" w14:textId="77777777" w:rsidR="005B7B60" w:rsidRDefault="00C524C0" w:rsidP="00792C0C">
      <w:pPr>
        <w:pStyle w:val="VLA1"/>
      </w:pPr>
      <w:r w:rsidRPr="00CE6C67">
        <w:t>H</w:t>
      </w:r>
      <w:r w:rsidR="002F3181" w:rsidRPr="00CE6C67">
        <w:t xml:space="preserve">ow </w:t>
      </w:r>
      <w:r w:rsidR="00462633">
        <w:t xml:space="preserve">could </w:t>
      </w:r>
      <w:r w:rsidR="002F3181" w:rsidRPr="00CE6C67">
        <w:t>these ideas for reform be improved?</w:t>
      </w:r>
    </w:p>
    <w:p w14:paraId="27A212BA" w14:textId="77777777" w:rsidR="00A6249E" w:rsidRDefault="00A6249E" w:rsidP="00A6249E">
      <w:pPr>
        <w:pStyle w:val="Heading1"/>
      </w:pPr>
      <w:bookmarkStart w:id="22" w:name="_Toc490159263"/>
      <w:r>
        <w:lastRenderedPageBreak/>
        <w:t>Opportunities</w:t>
      </w:r>
      <w:r w:rsidRPr="00892B56">
        <w:t xml:space="preserve"> to provide feedback</w:t>
      </w:r>
      <w:bookmarkStart w:id="23" w:name="_Toc477510121"/>
      <w:bookmarkStart w:id="24" w:name="_Toc477510709"/>
      <w:bookmarkEnd w:id="22"/>
    </w:p>
    <w:p w14:paraId="0FB53FF7" w14:textId="77777777" w:rsidR="00462633" w:rsidRPr="0067340A" w:rsidRDefault="00462633" w:rsidP="00462633">
      <w:r w:rsidRPr="00892B56">
        <w:t>VLA is seeking your feed</w:t>
      </w:r>
      <w:r w:rsidRPr="0067340A">
        <w:t xml:space="preserve">back on the questions and issues raised in this options paper. </w:t>
      </w:r>
    </w:p>
    <w:p w14:paraId="3763AAC4" w14:textId="0F3018A3" w:rsidR="00A6249E" w:rsidRPr="0067340A" w:rsidRDefault="00F62267" w:rsidP="00A6249E">
      <w:r w:rsidRPr="0067340A">
        <w:t xml:space="preserve">You can provide feedback </w:t>
      </w:r>
      <w:r w:rsidR="00462633" w:rsidRPr="0067340A">
        <w:t>until</w:t>
      </w:r>
      <w:r w:rsidR="00A6249E" w:rsidRPr="0067340A">
        <w:t xml:space="preserve"> </w:t>
      </w:r>
      <w:r w:rsidR="0079665C">
        <w:rPr>
          <w:b/>
        </w:rPr>
        <w:t>31</w:t>
      </w:r>
      <w:r w:rsidR="00462633" w:rsidRPr="0067340A">
        <w:rPr>
          <w:b/>
        </w:rPr>
        <w:t xml:space="preserve"> </w:t>
      </w:r>
      <w:r w:rsidR="00A6249E" w:rsidRPr="0067340A">
        <w:rPr>
          <w:b/>
        </w:rPr>
        <w:t xml:space="preserve">October 2017 </w:t>
      </w:r>
      <w:r w:rsidR="00A6249E" w:rsidRPr="0067340A">
        <w:t>using any of the methods detailed below.</w:t>
      </w:r>
    </w:p>
    <w:p w14:paraId="059AF859" w14:textId="77777777" w:rsidR="00A6249E" w:rsidRPr="0067340A" w:rsidRDefault="00A6249E" w:rsidP="00F62267">
      <w:pPr>
        <w:pStyle w:val="Heading3"/>
      </w:pPr>
      <w:bookmarkStart w:id="25" w:name="_Toc490159264"/>
      <w:r w:rsidRPr="0067340A">
        <w:t>Email</w:t>
      </w:r>
      <w:bookmarkEnd w:id="23"/>
      <w:bookmarkEnd w:id="24"/>
      <w:bookmarkEnd w:id="25"/>
    </w:p>
    <w:p w14:paraId="25362B53" w14:textId="77777777" w:rsidR="00A6249E" w:rsidRPr="0067340A" w:rsidRDefault="00462633" w:rsidP="00F62267">
      <w:r w:rsidRPr="0067340A">
        <w:t xml:space="preserve">Written responses can be submitted </w:t>
      </w:r>
      <w:r w:rsidR="00A6249E" w:rsidRPr="0067340A">
        <w:t>via email</w:t>
      </w:r>
      <w:r w:rsidRPr="0067340A">
        <w:t xml:space="preserve"> to</w:t>
      </w:r>
      <w:r w:rsidR="00A6249E" w:rsidRPr="0067340A">
        <w:t xml:space="preserve"> </w:t>
      </w:r>
      <w:hyperlink r:id="rId18" w:history="1">
        <w:r w:rsidR="00A6249E" w:rsidRPr="0067340A">
          <w:rPr>
            <w:rStyle w:val="Hyperlink"/>
          </w:rPr>
          <w:t>clspreform@vla.vic.gov.au</w:t>
        </w:r>
      </w:hyperlink>
      <w:r w:rsidR="00A6249E" w:rsidRPr="0067340A">
        <w:t xml:space="preserve">. </w:t>
      </w:r>
    </w:p>
    <w:p w14:paraId="2A28E373" w14:textId="77777777" w:rsidR="00A6249E" w:rsidRPr="0067340A" w:rsidRDefault="00A6249E" w:rsidP="00F62267">
      <w:pPr>
        <w:pStyle w:val="Heading3"/>
      </w:pPr>
      <w:bookmarkStart w:id="26" w:name="_Toc490159265"/>
      <w:r w:rsidRPr="0067340A">
        <w:t>Workshops or in person</w:t>
      </w:r>
      <w:bookmarkEnd w:id="26"/>
    </w:p>
    <w:p w14:paraId="7DAA7383" w14:textId="77777777" w:rsidR="00A6249E" w:rsidRPr="0067340A" w:rsidRDefault="00A6249E" w:rsidP="00A6249E">
      <w:r w:rsidRPr="0067340A">
        <w:t xml:space="preserve">You can also provide your feedback verbally, either by participating in one of two workshops or through an interview with the project team. </w:t>
      </w:r>
    </w:p>
    <w:p w14:paraId="0F1E6666" w14:textId="50E8E68A" w:rsidR="00DF3646" w:rsidRDefault="00DF3646" w:rsidP="00A6249E">
      <w:r w:rsidRPr="0067340A">
        <w:t xml:space="preserve">Workshops will be </w:t>
      </w:r>
      <w:r w:rsidR="0067340A" w:rsidRPr="0067340A">
        <w:t xml:space="preserve">announced in August and </w:t>
      </w:r>
      <w:r w:rsidRPr="0067340A">
        <w:t xml:space="preserve">held </w:t>
      </w:r>
      <w:r w:rsidR="00A061EE">
        <w:t xml:space="preserve">on 18 and </w:t>
      </w:r>
      <w:r w:rsidR="00792C0C">
        <w:t>20</w:t>
      </w:r>
      <w:r w:rsidR="006E4E08" w:rsidRPr="0067340A">
        <w:t xml:space="preserve"> September </w:t>
      </w:r>
      <w:r w:rsidRPr="0067340A">
        <w:t>2017.</w:t>
      </w:r>
    </w:p>
    <w:p w14:paraId="1C4B09A2" w14:textId="77777777" w:rsidR="00A6249E" w:rsidRPr="00892B56" w:rsidRDefault="00DF3646" w:rsidP="00A6249E">
      <w:r>
        <w:t xml:space="preserve">To register for a workshop or arrange an interview please </w:t>
      </w:r>
      <w:r w:rsidR="00A6249E" w:rsidRPr="00892B56">
        <w:t>email</w:t>
      </w:r>
      <w:r>
        <w:t xml:space="preserve"> the project team at</w:t>
      </w:r>
      <w:r w:rsidR="00A6249E">
        <w:t xml:space="preserve"> </w:t>
      </w:r>
      <w:hyperlink r:id="rId19" w:history="1">
        <w:r w:rsidR="00A6249E" w:rsidRPr="00582A80">
          <w:rPr>
            <w:rStyle w:val="Hyperlink"/>
          </w:rPr>
          <w:t>clspreform@vla.vic.gov.au</w:t>
        </w:r>
      </w:hyperlink>
      <w:r w:rsidR="00A6249E">
        <w:t>.</w:t>
      </w:r>
    </w:p>
    <w:p w14:paraId="05BD56A2" w14:textId="77777777" w:rsidR="00A6249E" w:rsidRPr="00892B56" w:rsidRDefault="00A6249E" w:rsidP="00F62267">
      <w:pPr>
        <w:pStyle w:val="Heading3"/>
      </w:pPr>
      <w:bookmarkStart w:id="27" w:name="_Toc477510123"/>
      <w:bookmarkStart w:id="28" w:name="_Toc477510711"/>
      <w:bookmarkStart w:id="29" w:name="_Toc490159266"/>
      <w:r w:rsidRPr="00892B56">
        <w:t>Online</w:t>
      </w:r>
      <w:bookmarkEnd w:id="27"/>
      <w:bookmarkEnd w:id="28"/>
      <w:bookmarkEnd w:id="29"/>
    </w:p>
    <w:p w14:paraId="4BB142F7" w14:textId="77777777" w:rsidR="00A6249E" w:rsidRDefault="00A6249E" w:rsidP="00A6249E">
      <w:r w:rsidRPr="00892B56">
        <w:t>You can also make comments on the concepts and issues raised in this paper</w:t>
      </w:r>
      <w:r>
        <w:t xml:space="preserve"> by logging on</w:t>
      </w:r>
      <w:r w:rsidRPr="00892B56">
        <w:t>to the CLSP Reform pages of VLA’s Yammer feed</w:t>
      </w:r>
      <w:r w:rsidR="00DF3646">
        <w:t xml:space="preserve"> (</w:t>
      </w:r>
      <w:hyperlink r:id="rId20" w:history="1">
        <w:r w:rsidR="00DF3646" w:rsidRPr="00DF3646">
          <w:rPr>
            <w:rStyle w:val="Hyperlink"/>
          </w:rPr>
          <w:t>www.yammer.com</w:t>
        </w:r>
      </w:hyperlink>
      <w:r w:rsidR="00DF3646">
        <w:t>)</w:t>
      </w:r>
      <w:r>
        <w:t>:</w:t>
      </w:r>
    </w:p>
    <w:p w14:paraId="6A62EDD2" w14:textId="77777777" w:rsidR="00A6249E" w:rsidRPr="002B11E4" w:rsidRDefault="00A6249E" w:rsidP="00F62267">
      <w:pPr>
        <w:pStyle w:val="ListBullet"/>
      </w:pPr>
      <w:r w:rsidRPr="002B11E4">
        <w:t xml:space="preserve">CLSP Reform – General </w:t>
      </w:r>
    </w:p>
    <w:p w14:paraId="704A874C" w14:textId="77777777" w:rsidR="00A6249E" w:rsidRPr="002B11E4" w:rsidRDefault="00A6249E" w:rsidP="00F62267">
      <w:pPr>
        <w:pStyle w:val="ListBullet"/>
      </w:pPr>
      <w:r w:rsidRPr="002B11E4">
        <w:t>CLSP Reform – Accountability</w:t>
      </w:r>
    </w:p>
    <w:p w14:paraId="76357208" w14:textId="77777777" w:rsidR="00A6249E" w:rsidRPr="002B11E4" w:rsidRDefault="00A6249E" w:rsidP="00F62267">
      <w:pPr>
        <w:pStyle w:val="ListBullet"/>
      </w:pPr>
      <w:r w:rsidRPr="002B11E4">
        <w:t>CLSP Reform – Supporting CLCs to do their work</w:t>
      </w:r>
    </w:p>
    <w:p w14:paraId="7B648DD2" w14:textId="77777777" w:rsidR="00A6249E" w:rsidRPr="002B11E4" w:rsidRDefault="00A6249E" w:rsidP="00F62267">
      <w:pPr>
        <w:pStyle w:val="ListBullet"/>
      </w:pPr>
      <w:r w:rsidRPr="002B11E4">
        <w:t>CLSP Reform – Quality</w:t>
      </w:r>
      <w:r w:rsidR="00DF3646">
        <w:t>.</w:t>
      </w:r>
      <w:r w:rsidRPr="002B11E4">
        <w:t xml:space="preserve"> </w:t>
      </w:r>
    </w:p>
    <w:p w14:paraId="5BA1A74D" w14:textId="77777777" w:rsidR="00A6249E" w:rsidRDefault="00A6249E" w:rsidP="00A6249E">
      <w:r>
        <w:t xml:space="preserve">You will need to register for yammer before you can view these pages. </w:t>
      </w:r>
    </w:p>
    <w:p w14:paraId="639C121B" w14:textId="77777777" w:rsidR="00A6249E" w:rsidRDefault="00A6249E" w:rsidP="00A6249E">
      <w:r>
        <w:t xml:space="preserve">Please email </w:t>
      </w:r>
      <w:r w:rsidR="00DF3646">
        <w:t xml:space="preserve">the project team at </w:t>
      </w:r>
      <w:hyperlink r:id="rId21" w:history="1">
        <w:r w:rsidR="00DF3646" w:rsidRPr="0020192F">
          <w:rPr>
            <w:rStyle w:val="Hyperlink"/>
          </w:rPr>
          <w:t>clspreform@vla.vic.gov.au</w:t>
        </w:r>
      </w:hyperlink>
      <w:r w:rsidR="00DF3646">
        <w:rPr>
          <w:rStyle w:val="Hyperlink"/>
        </w:rPr>
        <w:t xml:space="preserve"> </w:t>
      </w:r>
      <w:r w:rsidR="00DF3646">
        <w:t>to</w:t>
      </w:r>
      <w:r>
        <w:t xml:space="preserve"> request to participate, nominating which Yammer group</w:t>
      </w:r>
      <w:r w:rsidR="00DF3646">
        <w:t xml:space="preserve"> you would like to join. You may join more than one.</w:t>
      </w:r>
      <w:r>
        <w:t xml:space="preserve"> </w:t>
      </w:r>
    </w:p>
    <w:p w14:paraId="756F8D8B" w14:textId="77777777" w:rsidR="00A275B3" w:rsidRDefault="00A275B3" w:rsidP="00A275B3">
      <w:pPr>
        <w:spacing w:after="0" w:line="240" w:lineRule="auto"/>
      </w:pPr>
    </w:p>
    <w:p w14:paraId="5395F160" w14:textId="77777777" w:rsidR="005B7B60" w:rsidRPr="000A05FB" w:rsidRDefault="00A275B3" w:rsidP="00A275B3">
      <w:pPr>
        <w:spacing w:after="0" w:line="240" w:lineRule="auto"/>
      </w:pPr>
      <w:r>
        <w:t xml:space="preserve"> </w:t>
      </w:r>
      <w:r w:rsidR="005B7B60">
        <w:br w:type="page"/>
      </w:r>
    </w:p>
    <w:p w14:paraId="3A59CEA9" w14:textId="77777777" w:rsidR="002547DC" w:rsidRDefault="002547DC" w:rsidP="002547DC">
      <w:pPr>
        <w:pStyle w:val="Heading1"/>
      </w:pPr>
      <w:bookmarkStart w:id="30" w:name="_Toc490159267"/>
      <w:r w:rsidRPr="00892B56">
        <w:lastRenderedPageBreak/>
        <w:t>About the CLSP Reform Project</w:t>
      </w:r>
      <w:bookmarkEnd w:id="30"/>
    </w:p>
    <w:p w14:paraId="2259FA9E" w14:textId="77777777" w:rsidR="00D355D8" w:rsidRDefault="008C72D0" w:rsidP="008C72D0">
      <w:pPr>
        <w:rPr>
          <w:lang w:eastAsia="en-AU"/>
        </w:rPr>
      </w:pPr>
      <w:r>
        <w:rPr>
          <w:lang w:eastAsia="en-AU"/>
        </w:rPr>
        <w:t>The CLSP</w:t>
      </w:r>
      <w:r w:rsidR="00D355D8">
        <w:rPr>
          <w:lang w:eastAsia="en-AU"/>
        </w:rPr>
        <w:t xml:space="preserve"> Reform</w:t>
      </w:r>
      <w:r>
        <w:rPr>
          <w:lang w:eastAsia="en-AU"/>
        </w:rPr>
        <w:t xml:space="preserve"> </w:t>
      </w:r>
      <w:r w:rsidR="006D25FA">
        <w:rPr>
          <w:lang w:eastAsia="en-AU"/>
        </w:rPr>
        <w:t>P</w:t>
      </w:r>
      <w:r>
        <w:rPr>
          <w:lang w:eastAsia="en-AU"/>
        </w:rPr>
        <w:t>roject</w:t>
      </w:r>
      <w:r w:rsidR="00D355D8">
        <w:rPr>
          <w:lang w:eastAsia="en-AU"/>
        </w:rPr>
        <w:t xml:space="preserve"> is funded and managed by VLA. </w:t>
      </w:r>
    </w:p>
    <w:p w14:paraId="70F05557" w14:textId="77777777" w:rsidR="008C72D0" w:rsidRDefault="00D355D8" w:rsidP="008C72D0">
      <w:pPr>
        <w:rPr>
          <w:lang w:eastAsia="en-AU"/>
        </w:rPr>
      </w:pPr>
      <w:r>
        <w:rPr>
          <w:lang w:eastAsia="en-AU"/>
        </w:rPr>
        <w:t>It</w:t>
      </w:r>
      <w:r w:rsidR="008C72D0">
        <w:rPr>
          <w:lang w:eastAsia="en-AU"/>
        </w:rPr>
        <w:t xml:space="preserve"> aims to produce a new funding program that reflects contemporary expectations of service design, implementation and governance.</w:t>
      </w:r>
    </w:p>
    <w:p w14:paraId="4F06D18E" w14:textId="453C33E7" w:rsidR="00687244" w:rsidRDefault="00687244" w:rsidP="00F62267">
      <w:pPr>
        <w:pStyle w:val="Heading2"/>
      </w:pPr>
      <w:bookmarkStart w:id="31" w:name="_Toc490159268"/>
      <w:r w:rsidRPr="008F2771">
        <w:t xml:space="preserve">CLSP </w:t>
      </w:r>
      <w:r w:rsidR="000708AD">
        <w:t>r</w:t>
      </w:r>
      <w:r w:rsidR="000708AD" w:rsidRPr="008F2771">
        <w:t xml:space="preserve">eform </w:t>
      </w:r>
      <w:r w:rsidR="00EB7966">
        <w:t>o</w:t>
      </w:r>
      <w:r w:rsidR="00EB7966" w:rsidRPr="008F2771">
        <w:t>bjectives</w:t>
      </w:r>
      <w:bookmarkEnd w:id="31"/>
    </w:p>
    <w:p w14:paraId="319FF9E3" w14:textId="4D6BDE32" w:rsidR="000B6048" w:rsidRPr="00AD694E" w:rsidRDefault="000B6048" w:rsidP="00AD694E">
      <w:pPr>
        <w:rPr>
          <w:lang w:eastAsia="en-AU"/>
        </w:rPr>
      </w:pPr>
      <w:r>
        <w:rPr>
          <w:lang w:eastAsia="en-AU"/>
        </w:rPr>
        <w:t>The</w:t>
      </w:r>
      <w:r w:rsidR="0067340A">
        <w:rPr>
          <w:lang w:eastAsia="en-AU"/>
        </w:rPr>
        <w:t xml:space="preserve">se objectives </w:t>
      </w:r>
      <w:r>
        <w:rPr>
          <w:lang w:eastAsia="en-AU"/>
        </w:rPr>
        <w:t xml:space="preserve">are from the CLSP project </w:t>
      </w:r>
      <w:r w:rsidR="0067340A">
        <w:rPr>
          <w:lang w:eastAsia="en-AU"/>
        </w:rPr>
        <w:t xml:space="preserve">plan, and were </w:t>
      </w:r>
      <w:r>
        <w:rPr>
          <w:lang w:eastAsia="en-AU"/>
        </w:rPr>
        <w:t xml:space="preserve">endorsed by the </w:t>
      </w:r>
      <w:r w:rsidR="0067340A">
        <w:rPr>
          <w:lang w:eastAsia="en-AU"/>
        </w:rPr>
        <w:t xml:space="preserve">project’s </w:t>
      </w:r>
      <w:r>
        <w:rPr>
          <w:lang w:eastAsia="en-AU"/>
        </w:rPr>
        <w:t>steering committee:</w:t>
      </w:r>
    </w:p>
    <w:p w14:paraId="53A2249A" w14:textId="77777777" w:rsidR="008C72D0" w:rsidRPr="00EF537A" w:rsidRDefault="008C72D0" w:rsidP="00F62267">
      <w:pPr>
        <w:pStyle w:val="ListBullet"/>
      </w:pPr>
      <w:r w:rsidRPr="00EF537A">
        <w:t xml:space="preserve">Active, aligned collaboration between CLCs and other providers of legal assistance </w:t>
      </w:r>
    </w:p>
    <w:p w14:paraId="0E6316FE" w14:textId="77777777" w:rsidR="008C72D0" w:rsidRPr="00EF537A" w:rsidRDefault="008C72D0" w:rsidP="00F62267">
      <w:pPr>
        <w:pStyle w:val="ListBullet"/>
      </w:pPr>
      <w:r w:rsidRPr="00EF537A">
        <w:t xml:space="preserve">Meaningful accountability, including through outcomes measurement </w:t>
      </w:r>
    </w:p>
    <w:p w14:paraId="0A75C919" w14:textId="77777777" w:rsidR="008C72D0" w:rsidRPr="00EF537A" w:rsidRDefault="008C72D0" w:rsidP="00F62267">
      <w:pPr>
        <w:pStyle w:val="ListBullet"/>
      </w:pPr>
      <w:r w:rsidRPr="00EF537A">
        <w:t>Targeted service planning and service delivery for the benefit of locally defined priority clients and communities</w:t>
      </w:r>
    </w:p>
    <w:p w14:paraId="63B067BF" w14:textId="77777777" w:rsidR="008C72D0" w:rsidRPr="00EF537A" w:rsidRDefault="008C72D0" w:rsidP="00F62267">
      <w:pPr>
        <w:pStyle w:val="ListBullet"/>
      </w:pPr>
      <w:r w:rsidRPr="00EF537A">
        <w:t>Quality focus</w:t>
      </w:r>
    </w:p>
    <w:p w14:paraId="0188F5EA" w14:textId="77777777" w:rsidR="008C72D0" w:rsidRDefault="008C72D0" w:rsidP="008C72D0">
      <w:pPr>
        <w:rPr>
          <w:lang w:eastAsia="en-AU"/>
        </w:rPr>
      </w:pPr>
      <w:r>
        <w:rPr>
          <w:lang w:eastAsia="en-AU"/>
        </w:rPr>
        <w:t>The project will not address legal need, CLC funding allocations, or work on sector planning. It will provide the mechanism that enables VLA to make and implement more informed and strategic decisions about those priorities</w:t>
      </w:r>
      <w:r w:rsidR="00EB7966" w:rsidRPr="00EB7966">
        <w:rPr>
          <w:lang w:eastAsia="en-AU"/>
        </w:rPr>
        <w:t xml:space="preserve"> </w:t>
      </w:r>
      <w:r w:rsidR="00EB7966">
        <w:rPr>
          <w:lang w:eastAsia="en-AU"/>
        </w:rPr>
        <w:t>in the future</w:t>
      </w:r>
      <w:r>
        <w:rPr>
          <w:lang w:eastAsia="en-AU"/>
        </w:rPr>
        <w:t>.</w:t>
      </w:r>
    </w:p>
    <w:p w14:paraId="7E4EB838" w14:textId="29EC4AD0" w:rsidR="008F2771" w:rsidRPr="007173AB" w:rsidRDefault="00EF537A" w:rsidP="00EF537A">
      <w:pPr>
        <w:pStyle w:val="Heading2"/>
      </w:pPr>
      <w:bookmarkStart w:id="32" w:name="_Toc490159269"/>
      <w:r w:rsidRPr="007173AB">
        <w:t>The process leading to reform</w:t>
      </w:r>
      <w:bookmarkEnd w:id="32"/>
    </w:p>
    <w:p w14:paraId="68FEE620" w14:textId="59C35976" w:rsidR="00290B35" w:rsidRPr="007173AB" w:rsidRDefault="00290B35" w:rsidP="00290B35">
      <w:pPr>
        <w:rPr>
          <w:lang w:eastAsia="en-AU"/>
        </w:rPr>
      </w:pPr>
      <w:r w:rsidRPr="007173AB">
        <w:rPr>
          <w:lang w:eastAsia="en-AU"/>
        </w:rPr>
        <w:t>This options paper will be open for consultation until 31 October 2017. After this:</w:t>
      </w:r>
    </w:p>
    <w:p w14:paraId="364BD7B6" w14:textId="1342E4DD" w:rsidR="00290B35" w:rsidRPr="007173AB" w:rsidRDefault="00290B35" w:rsidP="00290B35">
      <w:pPr>
        <w:pStyle w:val="ListNumber2"/>
        <w:rPr>
          <w:lang w:eastAsia="en-AU"/>
        </w:rPr>
      </w:pPr>
      <w:r w:rsidRPr="007173AB">
        <w:rPr>
          <w:lang w:eastAsia="en-AU"/>
        </w:rPr>
        <w:t>We will consolidate feedback received, clarifying or expanding where needed</w:t>
      </w:r>
    </w:p>
    <w:p w14:paraId="0852A9E3" w14:textId="6183227A" w:rsidR="00290B35" w:rsidRPr="007173AB" w:rsidRDefault="00290B35" w:rsidP="00290B35">
      <w:pPr>
        <w:pStyle w:val="ListNumber2"/>
        <w:rPr>
          <w:lang w:eastAsia="en-AU"/>
        </w:rPr>
      </w:pPr>
      <w:r w:rsidRPr="007173AB">
        <w:rPr>
          <w:lang w:eastAsia="en-AU"/>
        </w:rPr>
        <w:t xml:space="preserve">The </w:t>
      </w:r>
      <w:r w:rsidR="00544900" w:rsidRPr="007173AB">
        <w:rPr>
          <w:lang w:eastAsia="en-AU"/>
        </w:rPr>
        <w:t>P</w:t>
      </w:r>
      <w:r w:rsidRPr="007173AB">
        <w:rPr>
          <w:lang w:eastAsia="en-AU"/>
        </w:rPr>
        <w:t xml:space="preserve">roject </w:t>
      </w:r>
      <w:r w:rsidR="00544900" w:rsidRPr="007173AB">
        <w:rPr>
          <w:lang w:eastAsia="en-AU"/>
        </w:rPr>
        <w:t>S</w:t>
      </w:r>
      <w:r w:rsidRPr="007173AB">
        <w:rPr>
          <w:lang w:eastAsia="en-AU"/>
        </w:rPr>
        <w:t xml:space="preserve">teering </w:t>
      </w:r>
      <w:r w:rsidR="00544900" w:rsidRPr="007173AB">
        <w:rPr>
          <w:lang w:eastAsia="en-AU"/>
        </w:rPr>
        <w:t>C</w:t>
      </w:r>
      <w:r w:rsidRPr="007173AB">
        <w:rPr>
          <w:lang w:eastAsia="en-AU"/>
        </w:rPr>
        <w:t xml:space="preserve">ommittee will </w:t>
      </w:r>
      <w:r w:rsidR="00544900" w:rsidRPr="007173AB">
        <w:rPr>
          <w:lang w:eastAsia="en-AU"/>
        </w:rPr>
        <w:t>consider all stakeholder feedback and provide direction for drafting the final report</w:t>
      </w:r>
      <w:r w:rsidR="00254C4F" w:rsidRPr="007173AB">
        <w:rPr>
          <w:lang w:eastAsia="en-AU"/>
        </w:rPr>
        <w:t xml:space="preserve"> in November 2017</w:t>
      </w:r>
    </w:p>
    <w:p w14:paraId="7611BDF0" w14:textId="53C7D2B5" w:rsidR="00290B35" w:rsidRPr="007173AB" w:rsidRDefault="00290B35" w:rsidP="00290B35">
      <w:pPr>
        <w:pStyle w:val="ListNumber2"/>
        <w:rPr>
          <w:lang w:eastAsia="en-AU"/>
        </w:rPr>
      </w:pPr>
      <w:r w:rsidRPr="007173AB">
        <w:rPr>
          <w:lang w:eastAsia="en-AU"/>
        </w:rPr>
        <w:t>The final report will be drafted on the basis of st</w:t>
      </w:r>
      <w:r w:rsidR="00544900" w:rsidRPr="007173AB">
        <w:rPr>
          <w:lang w:eastAsia="en-AU"/>
        </w:rPr>
        <w:t>akeholder feedback and Project Steering Committee direction in late 2017</w:t>
      </w:r>
    </w:p>
    <w:p w14:paraId="724DA76E" w14:textId="632EEFCE" w:rsidR="00544900" w:rsidRPr="007173AB" w:rsidRDefault="00544900" w:rsidP="00290B35">
      <w:pPr>
        <w:pStyle w:val="ListNumber2"/>
        <w:rPr>
          <w:lang w:eastAsia="en-AU"/>
        </w:rPr>
      </w:pPr>
      <w:r w:rsidRPr="007173AB">
        <w:rPr>
          <w:lang w:eastAsia="en-AU"/>
        </w:rPr>
        <w:t>The final report will be put to the Project Steering Committee, VLA’s Board and publicly released in early 2018</w:t>
      </w:r>
    </w:p>
    <w:p w14:paraId="1AB28EE6" w14:textId="5AC92BEA" w:rsidR="00544900" w:rsidRPr="007173AB" w:rsidRDefault="00544900" w:rsidP="00290B35">
      <w:pPr>
        <w:pStyle w:val="ListNumber2"/>
        <w:rPr>
          <w:lang w:eastAsia="en-AU"/>
        </w:rPr>
      </w:pPr>
      <w:r w:rsidRPr="007173AB">
        <w:rPr>
          <w:lang w:eastAsia="en-AU"/>
        </w:rPr>
        <w:t>Phase 2 of the project will be planned in detail in early 2018. Phase 2 will look at all reforms in greater detail before implementation, and will involve in-depth consultation with CLCs.</w:t>
      </w:r>
    </w:p>
    <w:p w14:paraId="2CFE2E9D" w14:textId="77777777" w:rsidR="00D355D8" w:rsidRPr="00D355D8" w:rsidRDefault="00D355D8" w:rsidP="002547DC">
      <w:pPr>
        <w:rPr>
          <w:b/>
        </w:rPr>
      </w:pPr>
      <w:r>
        <w:rPr>
          <w:b/>
          <w:noProof/>
          <w:lang w:eastAsia="en-AU"/>
        </w:rPr>
        <w:lastRenderedPageBreak/>
        <w:drawing>
          <wp:inline distT="0" distB="0" distL="0" distR="0" wp14:anchorId="1E1277EF" wp14:editId="69F17318">
            <wp:extent cx="6181725" cy="7741502"/>
            <wp:effectExtent l="0" t="0" r="0" b="0"/>
            <wp:docPr id="4" name="Picture 4" descr="DIagram showing the process leading to reform for the CLSP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2242" cy="7767196"/>
                    </a:xfrm>
                    <a:prstGeom prst="rect">
                      <a:avLst/>
                    </a:prstGeom>
                    <a:noFill/>
                  </pic:spPr>
                </pic:pic>
              </a:graphicData>
            </a:graphic>
          </wp:inline>
        </w:drawing>
      </w:r>
    </w:p>
    <w:p w14:paraId="2E4EFC33" w14:textId="77777777" w:rsidR="002547DC" w:rsidRDefault="002547DC" w:rsidP="002B11E4">
      <w:pPr>
        <w:pStyle w:val="Heading1"/>
        <w:pageBreakBefore/>
      </w:pPr>
      <w:bookmarkStart w:id="33" w:name="_Toc477510704"/>
      <w:bookmarkStart w:id="34" w:name="_Toc477891091"/>
      <w:bookmarkStart w:id="35" w:name="_Toc477891448"/>
      <w:bookmarkStart w:id="36" w:name="_Toc477892077"/>
      <w:bookmarkStart w:id="37" w:name="_Toc478462194"/>
      <w:bookmarkStart w:id="38" w:name="_Toc478462352"/>
      <w:bookmarkStart w:id="39" w:name="_Toc478479031"/>
      <w:bookmarkStart w:id="40" w:name="_Toc478480271"/>
      <w:bookmarkStart w:id="41" w:name="_Toc478566065"/>
      <w:bookmarkStart w:id="42" w:name="_Toc490159270"/>
      <w:r>
        <w:lastRenderedPageBreak/>
        <w:t xml:space="preserve">The </w:t>
      </w:r>
      <w:r w:rsidRPr="00592A35">
        <w:t xml:space="preserve">CLSP Reform Project </w:t>
      </w:r>
      <w:r>
        <w:t xml:space="preserve">stakeholder engagement </w:t>
      </w:r>
      <w:r w:rsidRPr="00592A35">
        <w:t>process</w:t>
      </w:r>
      <w:bookmarkEnd w:id="33"/>
      <w:bookmarkEnd w:id="34"/>
      <w:bookmarkEnd w:id="35"/>
      <w:bookmarkEnd w:id="36"/>
      <w:bookmarkEnd w:id="37"/>
      <w:bookmarkEnd w:id="38"/>
      <w:bookmarkEnd w:id="39"/>
      <w:bookmarkEnd w:id="40"/>
      <w:bookmarkEnd w:id="41"/>
      <w:bookmarkEnd w:id="42"/>
    </w:p>
    <w:p w14:paraId="272E0F17" w14:textId="77777777" w:rsidR="008F2771" w:rsidRDefault="008C72D0" w:rsidP="008C72D0">
      <w:pPr>
        <w:rPr>
          <w:lang w:eastAsia="en-AU"/>
        </w:rPr>
      </w:pPr>
      <w:r w:rsidRPr="008C72D0">
        <w:rPr>
          <w:lang w:eastAsia="en-AU"/>
        </w:rPr>
        <w:t>The project team</w:t>
      </w:r>
      <w:r>
        <w:rPr>
          <w:lang w:eastAsia="en-AU"/>
        </w:rPr>
        <w:t xml:space="preserve"> </w:t>
      </w:r>
      <w:r w:rsidRPr="008C72D0">
        <w:rPr>
          <w:lang w:eastAsia="en-AU"/>
        </w:rPr>
        <w:t xml:space="preserve">has developed these </w:t>
      </w:r>
      <w:r w:rsidR="000708AD">
        <w:rPr>
          <w:lang w:eastAsia="en-AU"/>
        </w:rPr>
        <w:t>proposed reforms</w:t>
      </w:r>
      <w:r w:rsidR="000708AD" w:rsidRPr="008C72D0">
        <w:rPr>
          <w:lang w:eastAsia="en-AU"/>
        </w:rPr>
        <w:t xml:space="preserve"> </w:t>
      </w:r>
      <w:r w:rsidRPr="008C72D0">
        <w:rPr>
          <w:lang w:eastAsia="en-AU"/>
        </w:rPr>
        <w:t xml:space="preserve">based on </w:t>
      </w:r>
      <w:r w:rsidR="000708AD">
        <w:rPr>
          <w:lang w:eastAsia="en-AU"/>
        </w:rPr>
        <w:t xml:space="preserve">previous </w:t>
      </w:r>
      <w:r w:rsidRPr="008C72D0">
        <w:rPr>
          <w:lang w:eastAsia="en-AU"/>
        </w:rPr>
        <w:t>stakeholder input</w:t>
      </w:r>
      <w:r w:rsidR="0046074A">
        <w:rPr>
          <w:lang w:eastAsia="en-AU"/>
        </w:rPr>
        <w:t>,</w:t>
      </w:r>
      <w:r w:rsidR="000708AD">
        <w:rPr>
          <w:lang w:eastAsia="en-AU"/>
        </w:rPr>
        <w:t xml:space="preserve"> and is presenting them </w:t>
      </w:r>
      <w:r w:rsidRPr="008C72D0">
        <w:rPr>
          <w:lang w:eastAsia="en-AU"/>
        </w:rPr>
        <w:t xml:space="preserve">for </w:t>
      </w:r>
      <w:r w:rsidR="000708AD">
        <w:rPr>
          <w:lang w:eastAsia="en-AU"/>
        </w:rPr>
        <w:t xml:space="preserve">further </w:t>
      </w:r>
      <w:r w:rsidRPr="008C72D0">
        <w:rPr>
          <w:lang w:eastAsia="en-AU"/>
        </w:rPr>
        <w:t xml:space="preserve">consideration </w:t>
      </w:r>
      <w:r w:rsidR="000708AD">
        <w:rPr>
          <w:lang w:eastAsia="en-AU"/>
        </w:rPr>
        <w:t>as the basis of</w:t>
      </w:r>
      <w:r w:rsidR="000708AD" w:rsidRPr="008C72D0">
        <w:rPr>
          <w:lang w:eastAsia="en-AU"/>
        </w:rPr>
        <w:t xml:space="preserve"> </w:t>
      </w:r>
      <w:r w:rsidR="00A44661">
        <w:rPr>
          <w:lang w:eastAsia="en-AU"/>
        </w:rPr>
        <w:t>the</w:t>
      </w:r>
      <w:r w:rsidRPr="008C72D0">
        <w:rPr>
          <w:lang w:eastAsia="en-AU"/>
        </w:rPr>
        <w:t xml:space="preserve"> future </w:t>
      </w:r>
      <w:r w:rsidR="008F2771">
        <w:rPr>
          <w:lang w:eastAsia="en-AU"/>
        </w:rPr>
        <w:t xml:space="preserve">framework. </w:t>
      </w:r>
    </w:p>
    <w:p w14:paraId="2D05A1AD" w14:textId="77777777" w:rsidR="008C72D0" w:rsidRPr="008C72D0" w:rsidRDefault="008F2771" w:rsidP="008C72D0">
      <w:pPr>
        <w:rPr>
          <w:lang w:eastAsia="en-AU"/>
        </w:rPr>
      </w:pPr>
      <w:r>
        <w:rPr>
          <w:lang w:eastAsia="en-AU"/>
        </w:rPr>
        <w:t xml:space="preserve">The </w:t>
      </w:r>
      <w:r w:rsidR="000708AD">
        <w:rPr>
          <w:lang w:eastAsia="en-AU"/>
        </w:rPr>
        <w:t xml:space="preserve">proposed reforms </w:t>
      </w:r>
      <w:r>
        <w:rPr>
          <w:lang w:eastAsia="en-AU"/>
        </w:rPr>
        <w:t xml:space="preserve">will </w:t>
      </w:r>
      <w:r w:rsidR="008C72D0" w:rsidRPr="008C72D0">
        <w:rPr>
          <w:lang w:eastAsia="en-AU"/>
        </w:rPr>
        <w:t>be presented to stakeholders for feedback at two further consultat</w:t>
      </w:r>
      <w:r w:rsidR="006D25FA">
        <w:rPr>
          <w:lang w:eastAsia="en-AU"/>
        </w:rPr>
        <w:t>ion</w:t>
      </w:r>
      <w:r w:rsidR="008C72D0" w:rsidRPr="008C72D0">
        <w:rPr>
          <w:lang w:eastAsia="en-AU"/>
        </w:rPr>
        <w:t xml:space="preserve"> workshops</w:t>
      </w:r>
      <w:r w:rsidR="006D25FA">
        <w:rPr>
          <w:lang w:eastAsia="en-AU"/>
        </w:rPr>
        <w:t>,</w:t>
      </w:r>
      <w:r w:rsidR="008C72D0" w:rsidRPr="008C72D0">
        <w:rPr>
          <w:lang w:eastAsia="en-AU"/>
        </w:rPr>
        <w:t xml:space="preserve"> before being finalised</w:t>
      </w:r>
      <w:r w:rsidR="006D25FA">
        <w:rPr>
          <w:lang w:eastAsia="en-AU"/>
        </w:rPr>
        <w:t xml:space="preserve"> in a report that will be</w:t>
      </w:r>
      <w:r>
        <w:rPr>
          <w:lang w:eastAsia="en-AU"/>
        </w:rPr>
        <w:t xml:space="preserve"> </w:t>
      </w:r>
      <w:r w:rsidR="008C72D0" w:rsidRPr="008C72D0">
        <w:rPr>
          <w:lang w:eastAsia="en-AU"/>
        </w:rPr>
        <w:t>presented to VLA’s Board for consideration, early in 2018.</w:t>
      </w:r>
    </w:p>
    <w:p w14:paraId="4C1825CA" w14:textId="77777777" w:rsidR="002547DC" w:rsidRPr="00592A35" w:rsidRDefault="002547DC" w:rsidP="002547DC">
      <w:r w:rsidRPr="00592A35">
        <w:rPr>
          <w:b/>
        </w:rPr>
        <w:t>Phase 1</w:t>
      </w:r>
      <w:r w:rsidRPr="00592A35">
        <w:t xml:space="preserve"> </w:t>
      </w:r>
      <w:r>
        <w:t>of the project has</w:t>
      </w:r>
      <w:r w:rsidRPr="00592A35">
        <w:t xml:space="preserve"> engage</w:t>
      </w:r>
      <w:r>
        <w:t>d</w:t>
      </w:r>
      <w:r w:rsidRPr="00592A35">
        <w:t xml:space="preserve"> stakeholders in a consultative process to:</w:t>
      </w:r>
    </w:p>
    <w:p w14:paraId="556E9C36" w14:textId="77777777" w:rsidR="002547DC" w:rsidRPr="002B11E4" w:rsidRDefault="002547DC" w:rsidP="00F62267">
      <w:pPr>
        <w:pStyle w:val="ListBullet"/>
      </w:pPr>
      <w:r w:rsidRPr="002B11E4">
        <w:t>identify the strengths and weaknesses of the current framework</w:t>
      </w:r>
    </w:p>
    <w:p w14:paraId="0F6B97B1" w14:textId="77777777" w:rsidR="002547DC" w:rsidRPr="002B11E4" w:rsidRDefault="002547DC" w:rsidP="00F62267">
      <w:pPr>
        <w:pStyle w:val="ListBullet"/>
      </w:pPr>
      <w:r w:rsidRPr="002B11E4">
        <w:t xml:space="preserve">listen to the experience of CLCs using the current framework </w:t>
      </w:r>
    </w:p>
    <w:p w14:paraId="2DA70D23" w14:textId="77777777" w:rsidR="008F2771" w:rsidRPr="002B11E4" w:rsidRDefault="002547DC" w:rsidP="00F62267">
      <w:pPr>
        <w:pStyle w:val="ListBullet"/>
      </w:pPr>
      <w:r w:rsidRPr="002B11E4">
        <w:t xml:space="preserve">generate ideas and options for an alternative framework. </w:t>
      </w:r>
    </w:p>
    <w:p w14:paraId="7CAFB527" w14:textId="6DD8F782" w:rsidR="00C67A13" w:rsidRDefault="002547DC" w:rsidP="008F2771">
      <w:r w:rsidRPr="00592A35">
        <w:rPr>
          <w:b/>
        </w:rPr>
        <w:t>Phase 2</w:t>
      </w:r>
      <w:r w:rsidRPr="00592A35">
        <w:t xml:space="preserve"> </w:t>
      </w:r>
      <w:r>
        <w:t>will</w:t>
      </w:r>
      <w:r w:rsidRPr="00592A35">
        <w:t xml:space="preserve"> act on the VLA Board’s direction to develop any new funding program for implementation </w:t>
      </w:r>
      <w:r w:rsidR="00AD694E">
        <w:t xml:space="preserve">between </w:t>
      </w:r>
      <w:r w:rsidRPr="00592A35">
        <w:t>1 July 2018</w:t>
      </w:r>
      <w:r w:rsidR="00AD694E">
        <w:t xml:space="preserve"> and June 30 2019</w:t>
      </w:r>
      <w:r w:rsidRPr="00592A35">
        <w:t xml:space="preserve">. </w:t>
      </w:r>
      <w:bookmarkStart w:id="43" w:name="_Toc477510705"/>
      <w:bookmarkStart w:id="44" w:name="_Toc477530696"/>
      <w:bookmarkStart w:id="45" w:name="_Toc477530761"/>
      <w:bookmarkStart w:id="46" w:name="_Toc477874457"/>
      <w:bookmarkStart w:id="47" w:name="_Toc477891092"/>
      <w:bookmarkStart w:id="48" w:name="_Toc477891449"/>
      <w:bookmarkStart w:id="49" w:name="_Toc477892078"/>
      <w:bookmarkStart w:id="50" w:name="_Toc478462195"/>
      <w:bookmarkStart w:id="51" w:name="_Toc478462353"/>
      <w:bookmarkStart w:id="52" w:name="_Toc478479032"/>
      <w:bookmarkStart w:id="53" w:name="_Toc478480272"/>
    </w:p>
    <w:p w14:paraId="7BC59745" w14:textId="77777777" w:rsidR="002547DC" w:rsidRPr="00892B56" w:rsidRDefault="002547DC" w:rsidP="00332048">
      <w:pPr>
        <w:pStyle w:val="Heading2"/>
      </w:pPr>
      <w:bookmarkStart w:id="54" w:name="_Toc490159271"/>
      <w:r w:rsidRPr="00592A35">
        <w:t>Methods</w:t>
      </w:r>
      <w:bookmarkEnd w:id="43"/>
      <w:bookmarkEnd w:id="44"/>
      <w:bookmarkEnd w:id="45"/>
      <w:bookmarkEnd w:id="46"/>
      <w:bookmarkEnd w:id="47"/>
      <w:bookmarkEnd w:id="48"/>
      <w:bookmarkEnd w:id="49"/>
      <w:bookmarkEnd w:id="50"/>
      <w:bookmarkEnd w:id="51"/>
      <w:bookmarkEnd w:id="52"/>
      <w:bookmarkEnd w:id="53"/>
      <w:r>
        <w:t xml:space="preserve"> used to gather stakeholder feedback in </w:t>
      </w:r>
      <w:r w:rsidR="00854997">
        <w:t xml:space="preserve">phase </w:t>
      </w:r>
      <w:r>
        <w:t>1</w:t>
      </w:r>
      <w:bookmarkEnd w:id="54"/>
    </w:p>
    <w:p w14:paraId="664926E1" w14:textId="77777777" w:rsidR="002547DC" w:rsidRPr="00592A35" w:rsidRDefault="002547DC" w:rsidP="002547DC">
      <w:r>
        <w:t xml:space="preserve">The following CLC and other stakeholder input/data has been </w:t>
      </w:r>
      <w:r w:rsidRPr="00592A35">
        <w:t>collected</w:t>
      </w:r>
      <w:r>
        <w:t xml:space="preserve"> and synthesised</w:t>
      </w:r>
      <w:r w:rsidRPr="00592A35">
        <w:t xml:space="preserve">: </w:t>
      </w:r>
    </w:p>
    <w:p w14:paraId="1F656679" w14:textId="77777777" w:rsidR="002547DC" w:rsidRPr="002B11E4" w:rsidRDefault="002547DC" w:rsidP="00F62267">
      <w:pPr>
        <w:pStyle w:val="ListBullet"/>
      </w:pPr>
      <w:r w:rsidRPr="002B11E4">
        <w:t>online forums (Yammer group discussions on: supporting CLCs, quality, accountability and general discussion)</w:t>
      </w:r>
    </w:p>
    <w:p w14:paraId="1018F68B" w14:textId="77777777" w:rsidR="002547DC" w:rsidRPr="002B11E4" w:rsidRDefault="002547DC" w:rsidP="00F62267">
      <w:pPr>
        <w:pStyle w:val="ListBullet"/>
      </w:pPr>
      <w:r w:rsidRPr="002B11E4">
        <w:t xml:space="preserve">eight centre (CLC) visits to gather information about local systems and processes for managing the funding relationship </w:t>
      </w:r>
    </w:p>
    <w:p w14:paraId="28B6EA05" w14:textId="77777777" w:rsidR="002547DC" w:rsidRPr="002B11E4" w:rsidRDefault="002547DC" w:rsidP="00F62267">
      <w:pPr>
        <w:pStyle w:val="ListBullet"/>
      </w:pPr>
      <w:r w:rsidRPr="002B11E4">
        <w:t xml:space="preserve">two consultation workshops (one in Melbourne, one in Ballarat) </w:t>
      </w:r>
      <w:r w:rsidR="002D5B04">
        <w:t>covering</w:t>
      </w:r>
      <w:r w:rsidRPr="002B11E4">
        <w:t xml:space="preserve"> the discussion paper</w:t>
      </w:r>
      <w:r w:rsidR="002D5B04">
        <w:t xml:space="preserve"> </w:t>
      </w:r>
      <w:r w:rsidRPr="002B11E4">
        <w:t>and other matters raised by participants</w:t>
      </w:r>
    </w:p>
    <w:p w14:paraId="0C3C8C26" w14:textId="77777777" w:rsidR="002547DC" w:rsidRPr="002B11E4" w:rsidRDefault="002547DC" w:rsidP="00F62267">
      <w:pPr>
        <w:pStyle w:val="ListBullet"/>
      </w:pPr>
      <w:r w:rsidRPr="002B11E4">
        <w:t>direct submissions by three contributors</w:t>
      </w:r>
    </w:p>
    <w:p w14:paraId="09D9487A" w14:textId="77777777" w:rsidR="002547DC" w:rsidRPr="002B11E4" w:rsidRDefault="002547DC" w:rsidP="00F62267">
      <w:pPr>
        <w:pStyle w:val="ListBullet"/>
      </w:pPr>
      <w:r w:rsidRPr="002B11E4">
        <w:t>interviews with five other funders of CLCs</w:t>
      </w:r>
    </w:p>
    <w:p w14:paraId="6FBE2C69" w14:textId="77777777" w:rsidR="002547DC" w:rsidRPr="002B11E4" w:rsidRDefault="002547DC" w:rsidP="00F62267">
      <w:pPr>
        <w:pStyle w:val="ListBullet"/>
      </w:pPr>
      <w:r w:rsidRPr="002B11E4">
        <w:t>interviews with four other CLSP State Program Managers</w:t>
      </w:r>
    </w:p>
    <w:p w14:paraId="6DBAABE8" w14:textId="77777777" w:rsidR="002547DC" w:rsidRPr="002B11E4" w:rsidRDefault="002547DC" w:rsidP="00F62267">
      <w:pPr>
        <w:pStyle w:val="ListBullet"/>
      </w:pPr>
      <w:r w:rsidRPr="002B11E4">
        <w:t>internal interviews with key sections in VLA, including finance and legal practice</w:t>
      </w:r>
    </w:p>
    <w:p w14:paraId="2D61D58C" w14:textId="77777777" w:rsidR="002547DC" w:rsidRPr="002B11E4" w:rsidRDefault="002D5B04" w:rsidP="00F62267">
      <w:r>
        <w:t>F</w:t>
      </w:r>
      <w:r w:rsidR="002547DC" w:rsidRPr="002B11E4">
        <w:t xml:space="preserve">urther </w:t>
      </w:r>
      <w:r>
        <w:t>consultation, including two workshops, will be undertaken on this options paper.</w:t>
      </w:r>
    </w:p>
    <w:p w14:paraId="1D4A35DA" w14:textId="77777777" w:rsidR="002547DC" w:rsidRPr="008F5EBF" w:rsidRDefault="002547DC" w:rsidP="002547DC">
      <w:r>
        <w:t xml:space="preserve">For more detail on </w:t>
      </w:r>
      <w:r w:rsidR="002D5B04">
        <w:t xml:space="preserve">previous </w:t>
      </w:r>
      <w:r>
        <w:t>stakeholder engagement and feedback</w:t>
      </w:r>
      <w:r w:rsidR="00FB2929">
        <w:t>, s</w:t>
      </w:r>
      <w:r>
        <w:t xml:space="preserve">ee </w:t>
      </w:r>
      <w:hyperlink w:anchor="_Appendix_2:_CLSP" w:history="1">
        <w:r w:rsidRPr="00944965">
          <w:rPr>
            <w:rStyle w:val="Hyperlink"/>
          </w:rPr>
          <w:t>Appendix 2 CLSP Consultation findings</w:t>
        </w:r>
        <w:r w:rsidR="005C2E73" w:rsidRPr="00944965">
          <w:rPr>
            <w:rStyle w:val="Hyperlink"/>
          </w:rPr>
          <w:t xml:space="preserve"> – </w:t>
        </w:r>
        <w:r w:rsidRPr="00944965">
          <w:rPr>
            <w:rStyle w:val="Hyperlink"/>
          </w:rPr>
          <w:t>a summary</w:t>
        </w:r>
      </w:hyperlink>
      <w:r w:rsidRPr="008F5EBF">
        <w:t>.</w:t>
      </w:r>
    </w:p>
    <w:p w14:paraId="4300A571" w14:textId="77777777" w:rsidR="002547DC" w:rsidRPr="008857DE" w:rsidRDefault="002547DC" w:rsidP="00392CC4">
      <w:pPr>
        <w:pStyle w:val="Heading1"/>
        <w:pageBreakBefore/>
      </w:pPr>
      <w:bookmarkStart w:id="55" w:name="_Toc490159272"/>
      <w:r w:rsidRPr="008857DE">
        <w:lastRenderedPageBreak/>
        <w:t xml:space="preserve">The 16 key questions </w:t>
      </w:r>
      <w:r w:rsidR="005A2BA8" w:rsidRPr="008857DE">
        <w:t>that underpin reform</w:t>
      </w:r>
      <w:bookmarkEnd w:id="55"/>
      <w:r w:rsidR="005A2BA8" w:rsidRPr="008857DE">
        <w:t xml:space="preserve"> </w:t>
      </w:r>
    </w:p>
    <w:p w14:paraId="0AD7B134" w14:textId="6E303F1A" w:rsidR="002547DC" w:rsidRPr="002547DC" w:rsidRDefault="002547DC" w:rsidP="002547DC">
      <w:r w:rsidRPr="002547DC">
        <w:t>These questions underpin CLSP reform and were put to stakeholders as part of the</w:t>
      </w:r>
      <w:r w:rsidR="00B25486">
        <w:t xml:space="preserve"> </w:t>
      </w:r>
      <w:hyperlink r:id="rId23" w:history="1">
        <w:r w:rsidR="00B25486" w:rsidRPr="00A061EE">
          <w:rPr>
            <w:rStyle w:val="Hyperlink"/>
          </w:rPr>
          <w:t xml:space="preserve">CLSP Reform </w:t>
        </w:r>
        <w:r w:rsidR="005A2BA8" w:rsidRPr="00A061EE">
          <w:rPr>
            <w:rStyle w:val="Hyperlink"/>
          </w:rPr>
          <w:t xml:space="preserve">Discussion </w:t>
        </w:r>
        <w:r w:rsidR="001B0F3E" w:rsidRPr="00A061EE">
          <w:rPr>
            <w:rStyle w:val="Hyperlink"/>
          </w:rPr>
          <w:t>P</w:t>
        </w:r>
        <w:r w:rsidR="005A2BA8" w:rsidRPr="00A061EE">
          <w:rPr>
            <w:rStyle w:val="Hyperlink"/>
          </w:rPr>
          <w:t>aper</w:t>
        </w:r>
      </w:hyperlink>
      <w:r w:rsidRPr="002547DC">
        <w:t>:</w:t>
      </w:r>
    </w:p>
    <w:p w14:paraId="0FB5C081" w14:textId="77777777" w:rsidR="002547DC" w:rsidRPr="00A76BB6" w:rsidRDefault="002547DC" w:rsidP="00F62267">
      <w:pPr>
        <w:pStyle w:val="VLA1"/>
        <w:numPr>
          <w:ilvl w:val="0"/>
          <w:numId w:val="25"/>
        </w:numPr>
      </w:pPr>
      <w:r w:rsidRPr="00A76BB6">
        <w:t xml:space="preserve">What should be the purposes of a CLC funding program? </w:t>
      </w:r>
    </w:p>
    <w:p w14:paraId="4AA6D992" w14:textId="77777777" w:rsidR="002547DC" w:rsidRPr="00A76BB6" w:rsidRDefault="002547DC" w:rsidP="002547DC">
      <w:pPr>
        <w:pStyle w:val="VLA1"/>
      </w:pPr>
      <w:r w:rsidRPr="00A76BB6">
        <w:t>What do you think are the strengths and weaknesses of the current CLSP?</w:t>
      </w:r>
    </w:p>
    <w:p w14:paraId="7DF5A587" w14:textId="77777777" w:rsidR="002547DC" w:rsidRDefault="002547DC" w:rsidP="002547DC">
      <w:pPr>
        <w:pStyle w:val="VLA1"/>
      </w:pPr>
      <w:r w:rsidRPr="00A76BB6">
        <w:t xml:space="preserve">What are your thoughts on the administrative burden of the current CLSP? </w:t>
      </w:r>
    </w:p>
    <w:p w14:paraId="53DC3709" w14:textId="77777777" w:rsidR="002547DC" w:rsidRPr="00A76BB6" w:rsidRDefault="002547DC" w:rsidP="005C7544">
      <w:pPr>
        <w:pStyle w:val="VLAa"/>
      </w:pPr>
      <w:r w:rsidRPr="00A76BB6">
        <w:t>How could that burden be reduced or improved?</w:t>
      </w:r>
    </w:p>
    <w:p w14:paraId="42382C03" w14:textId="77777777" w:rsidR="002547DC" w:rsidRPr="00A76BB6" w:rsidRDefault="002547DC" w:rsidP="002547DC">
      <w:pPr>
        <w:pStyle w:val="VLA1"/>
      </w:pPr>
      <w:r w:rsidRPr="00A76BB6">
        <w:t>What types and levels of accountability are needed?</w:t>
      </w:r>
    </w:p>
    <w:p w14:paraId="7FFD3D76" w14:textId="77777777" w:rsidR="002547DC" w:rsidRPr="00A76BB6" w:rsidRDefault="002547DC" w:rsidP="002547DC">
      <w:pPr>
        <w:pStyle w:val="VLA1"/>
      </w:pPr>
      <w:r w:rsidRPr="00A76BB6">
        <w:t>Have we missed any desirable or necessary accountabilities?</w:t>
      </w:r>
    </w:p>
    <w:p w14:paraId="312BD7EC" w14:textId="77777777" w:rsidR="002547DC" w:rsidRDefault="002547DC" w:rsidP="002547DC">
      <w:pPr>
        <w:pStyle w:val="VLA1"/>
      </w:pPr>
      <w:r w:rsidRPr="00A76BB6">
        <w:t xml:space="preserve">How frequently should CLCs report on their finances to VLA as a funder? </w:t>
      </w:r>
    </w:p>
    <w:p w14:paraId="7A073C8B" w14:textId="77777777" w:rsidR="002547DC" w:rsidRDefault="002547DC" w:rsidP="005C7544">
      <w:pPr>
        <w:pStyle w:val="VLAa"/>
      </w:pPr>
      <w:r w:rsidRPr="00A76BB6">
        <w:t xml:space="preserve">What information should be provided in what form? </w:t>
      </w:r>
    </w:p>
    <w:p w14:paraId="02AA891A" w14:textId="77777777" w:rsidR="002547DC" w:rsidRPr="00A76BB6" w:rsidRDefault="002547DC" w:rsidP="005C7544">
      <w:pPr>
        <w:pStyle w:val="VLAa"/>
      </w:pPr>
      <w:r w:rsidRPr="00A76BB6">
        <w:t xml:space="preserve">Can high-quality reporting be promoted and supported without consistency of format and content across all CLSP funded CLCs? </w:t>
      </w:r>
    </w:p>
    <w:p w14:paraId="635A4D6F" w14:textId="77777777" w:rsidR="002547DC" w:rsidRPr="00A76BB6" w:rsidRDefault="002547DC" w:rsidP="005C7544">
      <w:pPr>
        <w:pStyle w:val="VLA1"/>
      </w:pPr>
      <w:r w:rsidRPr="00A76BB6">
        <w:t>How could we make future arrangements more compatible with the needs/requirements of other funding programs?</w:t>
      </w:r>
    </w:p>
    <w:p w14:paraId="1A5994DD" w14:textId="77777777" w:rsidR="002547DC" w:rsidRPr="00A76BB6" w:rsidRDefault="002547DC" w:rsidP="005C7544">
      <w:pPr>
        <w:pStyle w:val="VLA1"/>
      </w:pPr>
      <w:r w:rsidRPr="00A76BB6">
        <w:t>In a situation where VLA is the minor</w:t>
      </w:r>
      <w:r w:rsidR="002D5B04">
        <w:t>ity</w:t>
      </w:r>
      <w:r w:rsidRPr="00A76BB6">
        <w:t xml:space="preserve"> funder of a CLC or CLC host agency, how could CLSP accountability be provided for in a more compatible and more administratively efficient manner?</w:t>
      </w:r>
    </w:p>
    <w:p w14:paraId="79B09E39" w14:textId="77777777" w:rsidR="002547DC" w:rsidRPr="00A76BB6" w:rsidRDefault="002547DC" w:rsidP="005C7544">
      <w:pPr>
        <w:pStyle w:val="VLA1"/>
      </w:pPr>
      <w:r w:rsidRPr="00A76BB6">
        <w:t>What structure might be best for a service agreement or contractual document under a new funding framework?</w:t>
      </w:r>
    </w:p>
    <w:p w14:paraId="07B2FCE7" w14:textId="77777777" w:rsidR="002547DC" w:rsidRPr="00A76BB6" w:rsidRDefault="002547DC" w:rsidP="005C7544">
      <w:pPr>
        <w:pStyle w:val="VLA1"/>
      </w:pPr>
      <w:r w:rsidRPr="00A76BB6">
        <w:t>How could a new reporting framework ensure that CLCs are meeting the requirements of the NPALAS and demonstrate that they target their services towards particular client groups or places, provide tailored and proportionate services, facilitate prevention and early resolution and carry out integrated planning and service delivery?</w:t>
      </w:r>
    </w:p>
    <w:p w14:paraId="789CD7B2" w14:textId="77777777" w:rsidR="002547DC" w:rsidRPr="00A76BB6" w:rsidRDefault="002547DC" w:rsidP="005C7544">
      <w:pPr>
        <w:pStyle w:val="VLA1"/>
      </w:pPr>
      <w:r w:rsidRPr="00A76BB6">
        <w:t>How could a new reporting framework support collaboration and co-operation on planning between CLCs and other contributors to the legal assistance sector (including VLA)?</w:t>
      </w:r>
    </w:p>
    <w:p w14:paraId="340BC731" w14:textId="77777777" w:rsidR="002547DC" w:rsidRPr="00A76BB6" w:rsidRDefault="002547DC" w:rsidP="005C7544">
      <w:pPr>
        <w:pStyle w:val="VLA1"/>
      </w:pPr>
      <w:r w:rsidRPr="00A76BB6">
        <w:t>How could a new framework establish more structured feedback mechanisms between CLCs and VLA and what could this feedback focus on?</w:t>
      </w:r>
    </w:p>
    <w:p w14:paraId="42E582A2" w14:textId="77777777" w:rsidR="002547DC" w:rsidRPr="00A76BB6" w:rsidRDefault="002547DC" w:rsidP="005C7544">
      <w:pPr>
        <w:pStyle w:val="VLA1"/>
      </w:pPr>
      <w:r w:rsidRPr="00A76BB6">
        <w:t xml:space="preserve">How could a new reporting framework articulate standards regarding service and organisational quality? </w:t>
      </w:r>
    </w:p>
    <w:p w14:paraId="79D166E7" w14:textId="77777777" w:rsidR="002547DC" w:rsidRPr="00A76BB6" w:rsidRDefault="002547DC" w:rsidP="005C7544">
      <w:pPr>
        <w:pStyle w:val="VLA1"/>
      </w:pPr>
      <w:r w:rsidRPr="00A76BB6">
        <w:t>How could a new reporting framework be robust enough to adapt to future changes in priorities and re-examinations of funding allocations?</w:t>
      </w:r>
    </w:p>
    <w:p w14:paraId="716594E4" w14:textId="77777777" w:rsidR="002547DC" w:rsidRPr="00A76BB6" w:rsidRDefault="002547DC" w:rsidP="005C7544">
      <w:pPr>
        <w:pStyle w:val="VLA1"/>
      </w:pPr>
      <w:r w:rsidRPr="00A76BB6">
        <w:t>What are your views on whether CLC planning and accountability should be responsive to and/or compatible with government priorities?</w:t>
      </w:r>
    </w:p>
    <w:p w14:paraId="610DDB19" w14:textId="77777777" w:rsidR="002547DC" w:rsidRDefault="002547DC" w:rsidP="005C7544">
      <w:pPr>
        <w:pStyle w:val="VLA1"/>
      </w:pPr>
      <w:r w:rsidRPr="00A76BB6">
        <w:t>What scope of years should a new funding program cover – one, three, four, five, other?</w:t>
      </w:r>
    </w:p>
    <w:p w14:paraId="6B9B3A0D" w14:textId="77777777" w:rsidR="002547DC" w:rsidRPr="008857DE" w:rsidRDefault="005C7544" w:rsidP="008857DE">
      <w:pPr>
        <w:pStyle w:val="Heading1"/>
      </w:pPr>
      <w:bookmarkStart w:id="56" w:name="_Toc490159273"/>
      <w:r w:rsidRPr="008857DE">
        <w:lastRenderedPageBreak/>
        <w:t>Design principles</w:t>
      </w:r>
      <w:r w:rsidR="006D25FA" w:rsidRPr="008857DE">
        <w:t xml:space="preserve"> underpin</w:t>
      </w:r>
      <w:r w:rsidR="00501ABF">
        <w:t>ning</w:t>
      </w:r>
      <w:r w:rsidR="006D25FA" w:rsidRPr="008857DE">
        <w:t xml:space="preserve"> this reform</w:t>
      </w:r>
      <w:bookmarkEnd w:id="56"/>
    </w:p>
    <w:p w14:paraId="3D0EFB1C" w14:textId="77777777" w:rsidR="00486EDD" w:rsidRDefault="005A2BA8" w:rsidP="002547DC">
      <w:r>
        <w:t xml:space="preserve">Deeper analysis of stakeholder feedback has informed VLA’s development of key areas for reform. </w:t>
      </w:r>
      <w:r w:rsidR="00D64F22" w:rsidRPr="00D64F22">
        <w:t xml:space="preserve">The principles </w:t>
      </w:r>
      <w:r w:rsidR="00D64F22">
        <w:t xml:space="preserve">below </w:t>
      </w:r>
      <w:r w:rsidR="00501ABF">
        <w:t>were developed in consultation with</w:t>
      </w:r>
      <w:r w:rsidR="00D64F22" w:rsidRPr="00D64F22">
        <w:t xml:space="preserve"> stakeholders who attended the workshops conducted during May and June 2017</w:t>
      </w:r>
      <w:r w:rsidR="00D64F22">
        <w:t xml:space="preserve">. </w:t>
      </w:r>
    </w:p>
    <w:p w14:paraId="02C43AB7" w14:textId="77777777" w:rsidR="005A2BA8" w:rsidRPr="005C7544" w:rsidRDefault="00501ABF" w:rsidP="002547DC">
      <w:r>
        <w:t>Principles informing the proposed reforms are:</w:t>
      </w:r>
    </w:p>
    <w:tbl>
      <w:tblPr>
        <w:tblStyle w:val="TableGrid"/>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637"/>
        <w:gridCol w:w="4633"/>
      </w:tblGrid>
      <w:tr w:rsidR="00C67A13" w:rsidRPr="005D0531" w14:paraId="6C6490D9" w14:textId="77777777" w:rsidTr="008C72D0">
        <w:tc>
          <w:tcPr>
            <w:tcW w:w="4885" w:type="dxa"/>
            <w:shd w:val="clear" w:color="auto" w:fill="FFFFFF" w:themeFill="background1"/>
          </w:tcPr>
          <w:p w14:paraId="3D0D3448" w14:textId="77777777" w:rsidR="00C67A13" w:rsidRPr="00392CC4" w:rsidRDefault="00C67A13" w:rsidP="00392CC4">
            <w:pPr>
              <w:pStyle w:val="ListBullet"/>
            </w:pPr>
            <w:r w:rsidRPr="00392CC4">
              <w:t>Efficiency &amp; simplicity</w:t>
            </w:r>
          </w:p>
        </w:tc>
        <w:tc>
          <w:tcPr>
            <w:tcW w:w="4885" w:type="dxa"/>
            <w:shd w:val="clear" w:color="auto" w:fill="FFFFFF" w:themeFill="background1"/>
          </w:tcPr>
          <w:p w14:paraId="3E9B71AB" w14:textId="77777777" w:rsidR="00C67A13" w:rsidRPr="005D0531" w:rsidRDefault="00C67A13" w:rsidP="00C67A13">
            <w:pPr>
              <w:pStyle w:val="ListBullet"/>
            </w:pPr>
            <w:r w:rsidRPr="005D0531">
              <w:t>Flexibility</w:t>
            </w:r>
          </w:p>
        </w:tc>
      </w:tr>
      <w:tr w:rsidR="00C67A13" w:rsidRPr="005D0531" w14:paraId="75B528E9" w14:textId="77777777" w:rsidTr="008C72D0">
        <w:tc>
          <w:tcPr>
            <w:tcW w:w="4885" w:type="dxa"/>
            <w:shd w:val="clear" w:color="auto" w:fill="FFFFFF" w:themeFill="background1"/>
          </w:tcPr>
          <w:p w14:paraId="6915CBF7" w14:textId="77777777" w:rsidR="00C67A13" w:rsidRPr="005D0531" w:rsidRDefault="00C67A13" w:rsidP="00C67A13">
            <w:pPr>
              <w:pStyle w:val="ListBullet"/>
            </w:pPr>
            <w:r w:rsidRPr="005D0531">
              <w:t>Collaboration</w:t>
            </w:r>
          </w:p>
        </w:tc>
        <w:tc>
          <w:tcPr>
            <w:tcW w:w="4885" w:type="dxa"/>
            <w:shd w:val="clear" w:color="auto" w:fill="FFFFFF" w:themeFill="background1"/>
          </w:tcPr>
          <w:p w14:paraId="043EBBBE" w14:textId="77777777" w:rsidR="00C67A13" w:rsidRPr="005D0531" w:rsidRDefault="00C67A13" w:rsidP="00C67A13">
            <w:pPr>
              <w:pStyle w:val="ListBullet"/>
            </w:pPr>
            <w:r w:rsidRPr="005D0531">
              <w:t>Partnerships</w:t>
            </w:r>
          </w:p>
        </w:tc>
      </w:tr>
      <w:tr w:rsidR="00C67A13" w:rsidRPr="005D0531" w14:paraId="1911B945" w14:textId="77777777" w:rsidTr="008C72D0">
        <w:tc>
          <w:tcPr>
            <w:tcW w:w="4885" w:type="dxa"/>
            <w:shd w:val="clear" w:color="auto" w:fill="FFFFFF" w:themeFill="background1"/>
          </w:tcPr>
          <w:p w14:paraId="41EF5806" w14:textId="77777777" w:rsidR="00C67A13" w:rsidRPr="005D0531" w:rsidRDefault="00C67A13" w:rsidP="00C67A13">
            <w:pPr>
              <w:pStyle w:val="ListBullet"/>
            </w:pPr>
            <w:r w:rsidRPr="005D0531">
              <w:t>Trust</w:t>
            </w:r>
          </w:p>
        </w:tc>
        <w:tc>
          <w:tcPr>
            <w:tcW w:w="4885" w:type="dxa"/>
            <w:shd w:val="clear" w:color="auto" w:fill="FFFFFF" w:themeFill="background1"/>
          </w:tcPr>
          <w:p w14:paraId="1610AEE1" w14:textId="77777777" w:rsidR="00C67A13" w:rsidRPr="005D0531" w:rsidRDefault="00C67A13" w:rsidP="00C67A13">
            <w:pPr>
              <w:pStyle w:val="ListBullet"/>
            </w:pPr>
            <w:r w:rsidRPr="005D0531">
              <w:t>Outcomes &amp; impact</w:t>
            </w:r>
          </w:p>
        </w:tc>
      </w:tr>
      <w:tr w:rsidR="00C67A13" w:rsidRPr="005D0531" w14:paraId="307DEAC3" w14:textId="77777777" w:rsidTr="008C72D0">
        <w:tc>
          <w:tcPr>
            <w:tcW w:w="4885" w:type="dxa"/>
            <w:shd w:val="clear" w:color="auto" w:fill="FFFFFF" w:themeFill="background1"/>
          </w:tcPr>
          <w:p w14:paraId="57FD4323" w14:textId="77777777" w:rsidR="00C67A13" w:rsidRPr="005D0531" w:rsidRDefault="00C67A13" w:rsidP="00C67A13">
            <w:pPr>
              <w:pStyle w:val="ListBullet"/>
            </w:pPr>
            <w:r w:rsidRPr="005D0531">
              <w:t>Certainty</w:t>
            </w:r>
          </w:p>
        </w:tc>
        <w:tc>
          <w:tcPr>
            <w:tcW w:w="4885" w:type="dxa"/>
            <w:shd w:val="clear" w:color="auto" w:fill="FFFFFF" w:themeFill="background1"/>
          </w:tcPr>
          <w:p w14:paraId="2A0582F6" w14:textId="77777777" w:rsidR="00C67A13" w:rsidRPr="005D0531" w:rsidRDefault="00C67A13" w:rsidP="00C67A13">
            <w:pPr>
              <w:pStyle w:val="ListBullet"/>
            </w:pPr>
            <w:r w:rsidRPr="005D0531">
              <w:t>Transparency</w:t>
            </w:r>
          </w:p>
        </w:tc>
      </w:tr>
      <w:tr w:rsidR="00C67A13" w:rsidRPr="005D0531" w14:paraId="5C206832" w14:textId="77777777" w:rsidTr="008C72D0">
        <w:tc>
          <w:tcPr>
            <w:tcW w:w="4885" w:type="dxa"/>
            <w:shd w:val="clear" w:color="auto" w:fill="FFFFFF" w:themeFill="background1"/>
          </w:tcPr>
          <w:p w14:paraId="69A41B0C" w14:textId="77777777" w:rsidR="00C67A13" w:rsidRPr="005D0531" w:rsidRDefault="00C67A13" w:rsidP="00C67A13">
            <w:pPr>
              <w:pStyle w:val="ListBullet"/>
            </w:pPr>
            <w:r w:rsidRPr="005D0531">
              <w:t>CLC independence</w:t>
            </w:r>
          </w:p>
        </w:tc>
        <w:tc>
          <w:tcPr>
            <w:tcW w:w="4885" w:type="dxa"/>
            <w:shd w:val="clear" w:color="auto" w:fill="FFFFFF" w:themeFill="background1"/>
          </w:tcPr>
          <w:p w14:paraId="57AE7DE4" w14:textId="77777777" w:rsidR="00C67A13" w:rsidRPr="005D0531" w:rsidRDefault="00C67A13" w:rsidP="00C67A13">
            <w:pPr>
              <w:pStyle w:val="ListBullet"/>
            </w:pPr>
            <w:r w:rsidRPr="005D0531">
              <w:t>Clarity of shared purpose</w:t>
            </w:r>
          </w:p>
        </w:tc>
      </w:tr>
      <w:tr w:rsidR="00C67A13" w:rsidRPr="001A066B" w14:paraId="6FAB1923" w14:textId="77777777" w:rsidTr="008C72D0">
        <w:tc>
          <w:tcPr>
            <w:tcW w:w="4885" w:type="dxa"/>
            <w:shd w:val="clear" w:color="auto" w:fill="FFFFFF" w:themeFill="background1"/>
          </w:tcPr>
          <w:p w14:paraId="624A343B" w14:textId="77777777" w:rsidR="00C67A13" w:rsidRPr="005D0531" w:rsidRDefault="00C67A13" w:rsidP="00C67A13">
            <w:pPr>
              <w:pStyle w:val="ListBullet"/>
            </w:pPr>
            <w:r w:rsidRPr="005D0531">
              <w:t>Accountability</w:t>
            </w:r>
          </w:p>
        </w:tc>
        <w:tc>
          <w:tcPr>
            <w:tcW w:w="4885" w:type="dxa"/>
            <w:shd w:val="clear" w:color="auto" w:fill="FFFFFF" w:themeFill="background1"/>
          </w:tcPr>
          <w:p w14:paraId="53C2B51E" w14:textId="77777777" w:rsidR="00C67A13" w:rsidRPr="001A066B" w:rsidRDefault="00C67A13" w:rsidP="00C67A13">
            <w:pPr>
              <w:pStyle w:val="ListBullet"/>
            </w:pPr>
            <w:r w:rsidRPr="005D0531">
              <w:t>Evidence based planning</w:t>
            </w:r>
          </w:p>
        </w:tc>
      </w:tr>
    </w:tbl>
    <w:p w14:paraId="11F03A5F" w14:textId="77777777" w:rsidR="002547DC" w:rsidRDefault="002547DC" w:rsidP="00944965">
      <w:pPr>
        <w:pStyle w:val="Heading1"/>
        <w:spacing w:before="300"/>
      </w:pPr>
      <w:bookmarkStart w:id="57" w:name="_Toc490159274"/>
      <w:r w:rsidRPr="00417492">
        <w:t>Ten key reform</w:t>
      </w:r>
      <w:r w:rsidR="00D64F22">
        <w:t>s</w:t>
      </w:r>
      <w:bookmarkEnd w:id="57"/>
    </w:p>
    <w:p w14:paraId="47FBFC4B" w14:textId="77777777" w:rsidR="008C5E92" w:rsidRPr="008C5E92" w:rsidRDefault="008C5E92" w:rsidP="008C5E92">
      <w:pPr>
        <w:rPr>
          <w:lang w:eastAsia="en-AU"/>
        </w:rPr>
      </w:pPr>
      <w:r>
        <w:rPr>
          <w:lang w:eastAsia="en-AU"/>
        </w:rPr>
        <w:t>Ten key areas for reform have been identified as viable, timely and consistent with stakeholder feedback and VLA’s direction as a funder.</w:t>
      </w:r>
      <w:r w:rsidR="00501ABF">
        <w:rPr>
          <w:lang w:eastAsia="en-AU"/>
        </w:rPr>
        <w:t xml:space="preserve"> These are:</w:t>
      </w:r>
    </w:p>
    <w:p w14:paraId="290AA26A" w14:textId="77777777" w:rsidR="002547DC" w:rsidRPr="00893584" w:rsidRDefault="00965F09" w:rsidP="00DB60C7">
      <w:pPr>
        <w:pStyle w:val="VLA1"/>
        <w:numPr>
          <w:ilvl w:val="0"/>
          <w:numId w:val="6"/>
        </w:numPr>
      </w:pPr>
      <w:hyperlink w:anchor="_Option_1_–" w:history="1">
        <w:r w:rsidR="002547DC" w:rsidRPr="005C7544">
          <w:rPr>
            <w:rStyle w:val="Hyperlink"/>
          </w:rPr>
          <w:t>Transparent criteria and eligibility for funding</w:t>
        </w:r>
      </w:hyperlink>
    </w:p>
    <w:p w14:paraId="180575D5" w14:textId="77777777" w:rsidR="002547DC" w:rsidRPr="00893584" w:rsidRDefault="00965F09" w:rsidP="00DB60C7">
      <w:pPr>
        <w:pStyle w:val="VLA1"/>
        <w:numPr>
          <w:ilvl w:val="0"/>
          <w:numId w:val="6"/>
        </w:numPr>
      </w:pPr>
      <w:hyperlink w:anchor="_Option_2:_Reform" w:history="1">
        <w:r w:rsidR="002547DC" w:rsidRPr="005C2E73">
          <w:rPr>
            <w:rStyle w:val="Hyperlink"/>
          </w:rPr>
          <w:t>Reform the service agreement</w:t>
        </w:r>
      </w:hyperlink>
    </w:p>
    <w:p w14:paraId="24861E22" w14:textId="77777777" w:rsidR="002547DC" w:rsidRPr="00893584" w:rsidRDefault="00965F09" w:rsidP="00DB60C7">
      <w:pPr>
        <w:pStyle w:val="VLA1"/>
        <w:numPr>
          <w:ilvl w:val="0"/>
          <w:numId w:val="6"/>
        </w:numPr>
      </w:pPr>
      <w:hyperlink w:anchor="_Option_3:_Performance" w:history="1">
        <w:r w:rsidR="002547DC" w:rsidRPr="005C2E73">
          <w:rPr>
            <w:rStyle w:val="Hyperlink"/>
          </w:rPr>
          <w:t>Performance accountability</w:t>
        </w:r>
        <w:r w:rsidR="005C2E73">
          <w:rPr>
            <w:rStyle w:val="Hyperlink"/>
          </w:rPr>
          <w:t xml:space="preserve"> – </w:t>
        </w:r>
        <w:r w:rsidR="002547DC" w:rsidRPr="005C2E73">
          <w:rPr>
            <w:rStyle w:val="Hyperlink"/>
          </w:rPr>
          <w:t xml:space="preserve">the elements and </w:t>
        </w:r>
        <w:r w:rsidR="00392CC4">
          <w:rPr>
            <w:rStyle w:val="Hyperlink"/>
          </w:rPr>
          <w:t xml:space="preserve">the </w:t>
        </w:r>
        <w:r w:rsidR="002547DC" w:rsidRPr="005C2E73">
          <w:rPr>
            <w:rStyle w:val="Hyperlink"/>
          </w:rPr>
          <w:t>process</w:t>
        </w:r>
      </w:hyperlink>
    </w:p>
    <w:p w14:paraId="483EC934" w14:textId="77777777" w:rsidR="002547DC" w:rsidRPr="00893584" w:rsidRDefault="00965F09" w:rsidP="00DB60C7">
      <w:pPr>
        <w:pStyle w:val="VLA1"/>
        <w:numPr>
          <w:ilvl w:val="0"/>
          <w:numId w:val="6"/>
        </w:numPr>
      </w:pPr>
      <w:hyperlink w:anchor="_Option_4:_Modernising" w:history="1">
        <w:r w:rsidR="002547DC" w:rsidRPr="005C2E73">
          <w:rPr>
            <w:rStyle w:val="Hyperlink"/>
          </w:rPr>
          <w:t>Modernising the CLSP workplan</w:t>
        </w:r>
      </w:hyperlink>
    </w:p>
    <w:p w14:paraId="2BB9BB57" w14:textId="77777777" w:rsidR="002547DC" w:rsidRPr="00893584" w:rsidRDefault="00965F09" w:rsidP="00DB60C7">
      <w:pPr>
        <w:pStyle w:val="VLA1"/>
        <w:numPr>
          <w:ilvl w:val="0"/>
          <w:numId w:val="6"/>
        </w:numPr>
      </w:pPr>
      <w:hyperlink w:anchor="_Option_5:_Reforming" w:history="1">
        <w:r w:rsidR="002547DC" w:rsidRPr="005C2E73">
          <w:rPr>
            <w:rStyle w:val="Hyperlink"/>
          </w:rPr>
          <w:t>Reforming financial accountability</w:t>
        </w:r>
        <w:r w:rsidR="005C7544" w:rsidRPr="005C2E73">
          <w:rPr>
            <w:rStyle w:val="Hyperlink"/>
          </w:rPr>
          <w:t xml:space="preserve"> – </w:t>
        </w:r>
        <w:r w:rsidR="00392CC4">
          <w:rPr>
            <w:rStyle w:val="Hyperlink"/>
          </w:rPr>
          <w:t xml:space="preserve">the </w:t>
        </w:r>
        <w:r w:rsidR="002547DC" w:rsidRPr="005C2E73">
          <w:rPr>
            <w:rStyle w:val="Hyperlink"/>
          </w:rPr>
          <w:t xml:space="preserve">elements and </w:t>
        </w:r>
        <w:r w:rsidR="00392CC4">
          <w:rPr>
            <w:rStyle w:val="Hyperlink"/>
          </w:rPr>
          <w:t xml:space="preserve">the </w:t>
        </w:r>
        <w:r w:rsidR="002547DC" w:rsidRPr="005C2E73">
          <w:rPr>
            <w:rStyle w:val="Hyperlink"/>
          </w:rPr>
          <w:t>process</w:t>
        </w:r>
      </w:hyperlink>
      <w:r w:rsidR="002547DC" w:rsidRPr="00893584">
        <w:t xml:space="preserve"> </w:t>
      </w:r>
    </w:p>
    <w:p w14:paraId="0F54BE38" w14:textId="77777777" w:rsidR="002547DC" w:rsidRPr="00893584" w:rsidRDefault="00965F09" w:rsidP="00DB60C7">
      <w:pPr>
        <w:pStyle w:val="VLA1"/>
        <w:numPr>
          <w:ilvl w:val="0"/>
          <w:numId w:val="6"/>
        </w:numPr>
      </w:pPr>
      <w:hyperlink w:anchor="_Option_6:_Elevated" w:history="1">
        <w:r w:rsidR="002547DC" w:rsidRPr="005C2E73">
          <w:rPr>
            <w:rStyle w:val="Hyperlink"/>
          </w:rPr>
          <w:t>Elevated reporting and compliance</w:t>
        </w:r>
      </w:hyperlink>
    </w:p>
    <w:p w14:paraId="41121401" w14:textId="77777777" w:rsidR="002547DC" w:rsidRPr="00893584" w:rsidRDefault="00965F09" w:rsidP="00DB60C7">
      <w:pPr>
        <w:pStyle w:val="VLA1"/>
        <w:numPr>
          <w:ilvl w:val="0"/>
          <w:numId w:val="6"/>
        </w:numPr>
      </w:pPr>
      <w:hyperlink w:anchor="_Option_7:_A" w:history="1">
        <w:r w:rsidR="002547DC" w:rsidRPr="005C2E73">
          <w:rPr>
            <w:rStyle w:val="Hyperlink"/>
          </w:rPr>
          <w:t>A second funding stream for short-term projects</w:t>
        </w:r>
      </w:hyperlink>
    </w:p>
    <w:p w14:paraId="6D9643E6" w14:textId="77777777" w:rsidR="002547DC" w:rsidRPr="00893584" w:rsidRDefault="00965F09" w:rsidP="00DB60C7">
      <w:pPr>
        <w:pStyle w:val="VLA1"/>
        <w:numPr>
          <w:ilvl w:val="0"/>
          <w:numId w:val="6"/>
        </w:numPr>
      </w:pPr>
      <w:hyperlink w:anchor="_Option_8:_Funding" w:history="1">
        <w:r w:rsidR="002547DC" w:rsidRPr="005C2E73">
          <w:rPr>
            <w:rStyle w:val="Hyperlink"/>
          </w:rPr>
          <w:t>Funding certainty</w:t>
        </w:r>
      </w:hyperlink>
    </w:p>
    <w:p w14:paraId="38B7D115" w14:textId="77777777" w:rsidR="002547DC" w:rsidRPr="00893584" w:rsidRDefault="00965F09" w:rsidP="00DB60C7">
      <w:pPr>
        <w:pStyle w:val="VLA1"/>
        <w:numPr>
          <w:ilvl w:val="0"/>
          <w:numId w:val="6"/>
        </w:numPr>
      </w:pPr>
      <w:hyperlink w:anchor="_Option_9:_Leveraging" w:history="1">
        <w:r w:rsidR="002547DC" w:rsidRPr="005C2E73">
          <w:rPr>
            <w:rStyle w:val="Hyperlink"/>
          </w:rPr>
          <w:t>Leverage technology to share information and support to centres</w:t>
        </w:r>
      </w:hyperlink>
    </w:p>
    <w:p w14:paraId="7EDCD649" w14:textId="77777777" w:rsidR="002547DC" w:rsidRPr="00893584" w:rsidRDefault="00965F09" w:rsidP="00DB60C7">
      <w:pPr>
        <w:pStyle w:val="VLA1"/>
        <w:numPr>
          <w:ilvl w:val="0"/>
          <w:numId w:val="6"/>
        </w:numPr>
      </w:pPr>
      <w:hyperlink w:anchor="_Option_10:_Rationalising" w:history="1">
        <w:r w:rsidR="002547DC" w:rsidRPr="005C2E73">
          <w:rPr>
            <w:rStyle w:val="Hyperlink"/>
          </w:rPr>
          <w:t>Rationalising multiple-source funding and/or accountability</w:t>
        </w:r>
      </w:hyperlink>
      <w:r w:rsidR="00501ABF">
        <w:rPr>
          <w:rStyle w:val="Hyperlink"/>
        </w:rPr>
        <w:t>.</w:t>
      </w:r>
    </w:p>
    <w:p w14:paraId="7915AF8B" w14:textId="77777777" w:rsidR="002547DC" w:rsidRDefault="002547DC" w:rsidP="00501ABF">
      <w:pPr>
        <w:spacing w:after="0" w:line="240" w:lineRule="auto"/>
        <w:rPr>
          <w:b/>
        </w:rPr>
      </w:pPr>
    </w:p>
    <w:p w14:paraId="4FFC5F9B" w14:textId="77777777" w:rsidR="002547DC" w:rsidRPr="005D352A" w:rsidRDefault="00A05370" w:rsidP="00F62267">
      <w:pPr>
        <w:pStyle w:val="Heading1"/>
        <w:pageBreakBefore/>
        <w:rPr>
          <w:b w:val="0"/>
        </w:rPr>
      </w:pPr>
      <w:bookmarkStart w:id="58" w:name="_Option_1_–"/>
      <w:bookmarkStart w:id="59" w:name="_Toc490159275"/>
      <w:bookmarkEnd w:id="58"/>
      <w:r>
        <w:lastRenderedPageBreak/>
        <w:t xml:space="preserve">Reform </w:t>
      </w:r>
      <w:r w:rsidR="002547DC" w:rsidRPr="005D352A">
        <w:t>1</w:t>
      </w:r>
      <w:r w:rsidR="00471E5F">
        <w:t>:</w:t>
      </w:r>
      <w:r w:rsidR="005C7544">
        <w:t xml:space="preserve"> </w:t>
      </w:r>
      <w:r w:rsidR="002547DC" w:rsidRPr="005D352A">
        <w:t>Transparent criteria and eligibility for funding</w:t>
      </w:r>
      <w:bookmarkEnd w:id="59"/>
    </w:p>
    <w:p w14:paraId="1FEC9DBE" w14:textId="77777777" w:rsidR="002547DC" w:rsidRDefault="00034D51" w:rsidP="002547DC">
      <w:r>
        <w:t>Through</w:t>
      </w:r>
      <w:r w:rsidR="005A192D">
        <w:t>out</w:t>
      </w:r>
      <w:r w:rsidR="002547DC">
        <w:t xml:space="preserve"> the consultation, </w:t>
      </w:r>
      <w:r w:rsidR="00AD160B">
        <w:t xml:space="preserve">CLCs </w:t>
      </w:r>
      <w:r w:rsidR="00501ABF">
        <w:t xml:space="preserve">raised concerns </w:t>
      </w:r>
      <w:r w:rsidR="002547DC">
        <w:t>about the need for</w:t>
      </w:r>
      <w:r w:rsidR="00543E46">
        <w:t xml:space="preserve"> a</w:t>
      </w:r>
      <w:r w:rsidR="002547DC">
        <w:t xml:space="preserve"> more robust and transparent</w:t>
      </w:r>
      <w:r w:rsidR="00156D25">
        <w:t xml:space="preserve"> system for VLA</w:t>
      </w:r>
      <w:r w:rsidR="00501ABF">
        <w:t xml:space="preserve"> allocating and managing</w:t>
      </w:r>
      <w:r w:rsidR="008C5E92">
        <w:t xml:space="preserve"> </w:t>
      </w:r>
      <w:r w:rsidR="00543E46">
        <w:t>funding to CLCs</w:t>
      </w:r>
      <w:r w:rsidR="00501ABF">
        <w:t>,</w:t>
      </w:r>
      <w:r w:rsidR="00543E46">
        <w:t xml:space="preserve"> including transparent </w:t>
      </w:r>
      <w:r w:rsidR="002547DC">
        <w:t>criteria and eligibility for VLA funding</w:t>
      </w:r>
      <w:r w:rsidR="00543E46">
        <w:t>.</w:t>
      </w:r>
      <w:r w:rsidR="005A2BA8">
        <w:t xml:space="preserve"> VLA agrees that we need a transparent system</w:t>
      </w:r>
      <w:r w:rsidR="000A5051">
        <w:t>, clear criteria and eligibility, and funding that is</w:t>
      </w:r>
      <w:r w:rsidR="005A2BA8">
        <w:t xml:space="preserve"> </w:t>
      </w:r>
      <w:r w:rsidR="000A5051">
        <w:t>targeted to address legal need.</w:t>
      </w:r>
    </w:p>
    <w:p w14:paraId="536C5318" w14:textId="77777777" w:rsidR="00AD160B" w:rsidRDefault="00F62267" w:rsidP="00AD160B">
      <w:pPr>
        <w:pStyle w:val="Heading2"/>
        <w:rPr>
          <w:lang w:val="en-US"/>
        </w:rPr>
      </w:pPr>
      <w:bookmarkStart w:id="60" w:name="_Toc490159276"/>
      <w:r>
        <w:rPr>
          <w:lang w:val="en-US"/>
        </w:rPr>
        <w:t>I</w:t>
      </w:r>
      <w:r w:rsidR="00AD160B" w:rsidRPr="00AD160B">
        <w:rPr>
          <w:lang w:val="en-US"/>
        </w:rPr>
        <w:t>mproved VLA systems and process</w:t>
      </w:r>
      <w:r w:rsidR="000A5051">
        <w:rPr>
          <w:lang w:val="en-US"/>
        </w:rPr>
        <w:t>es</w:t>
      </w:r>
      <w:r w:rsidR="00AD160B" w:rsidRPr="00AD160B">
        <w:rPr>
          <w:lang w:val="en-US"/>
        </w:rPr>
        <w:t xml:space="preserve"> to manage </w:t>
      </w:r>
      <w:r>
        <w:rPr>
          <w:lang w:val="en-US"/>
        </w:rPr>
        <w:t xml:space="preserve">CLC </w:t>
      </w:r>
      <w:r w:rsidR="00AD160B" w:rsidRPr="00AD160B">
        <w:rPr>
          <w:lang w:val="en-US"/>
        </w:rPr>
        <w:t>funding</w:t>
      </w:r>
      <w:bookmarkEnd w:id="60"/>
    </w:p>
    <w:p w14:paraId="7DBCAE16" w14:textId="77777777" w:rsidR="00AD160B" w:rsidRPr="002B11E4" w:rsidRDefault="00AD160B" w:rsidP="00F62267">
      <w:pPr>
        <w:pStyle w:val="ListBullet"/>
      </w:pPr>
      <w:r w:rsidRPr="002B11E4">
        <w:t xml:space="preserve">VLA </w:t>
      </w:r>
      <w:r w:rsidR="00140F1B" w:rsidRPr="002B11E4">
        <w:t xml:space="preserve">will undertake </w:t>
      </w:r>
      <w:r w:rsidRPr="002B11E4">
        <w:t xml:space="preserve">to </w:t>
      </w:r>
      <w:r w:rsidR="00140F1B" w:rsidRPr="002B11E4">
        <w:t xml:space="preserve">better </w:t>
      </w:r>
      <w:r w:rsidRPr="002B11E4">
        <w:t>manage the notification</w:t>
      </w:r>
      <w:r w:rsidR="008C5E92" w:rsidRPr="002B11E4">
        <w:t>, allocation</w:t>
      </w:r>
      <w:r w:rsidRPr="002B11E4">
        <w:t xml:space="preserve"> and disbursement of funding</w:t>
      </w:r>
      <w:r w:rsidR="00501ABF">
        <w:t>,</w:t>
      </w:r>
      <w:r w:rsidRPr="002B11E4">
        <w:t xml:space="preserve"> including </w:t>
      </w:r>
      <w:r w:rsidR="00650F90" w:rsidRPr="002B11E4">
        <w:t>consult</w:t>
      </w:r>
      <w:r w:rsidR="00650F90">
        <w:t>ing</w:t>
      </w:r>
      <w:r w:rsidR="00650F90" w:rsidRPr="002B11E4">
        <w:t xml:space="preserve"> </w:t>
      </w:r>
      <w:r w:rsidRPr="002B11E4">
        <w:t xml:space="preserve">with the sector about </w:t>
      </w:r>
      <w:r w:rsidR="00486EDD" w:rsidRPr="002B11E4">
        <w:t xml:space="preserve">financial </w:t>
      </w:r>
      <w:r w:rsidR="000A5051" w:rsidRPr="002B11E4">
        <w:t xml:space="preserve">needs that are </w:t>
      </w:r>
      <w:r w:rsidR="00486EDD" w:rsidRPr="002B11E4">
        <w:t>linked to individual service and sector plans</w:t>
      </w:r>
    </w:p>
    <w:p w14:paraId="4A6F712F" w14:textId="77777777" w:rsidR="002547DC" w:rsidRPr="002B11E4" w:rsidRDefault="00140F1B" w:rsidP="00F62267">
      <w:pPr>
        <w:pStyle w:val="ListBullet"/>
      </w:pPr>
      <w:r w:rsidRPr="002B11E4">
        <w:t xml:space="preserve">VLA will develop </w:t>
      </w:r>
      <w:r w:rsidR="00AD160B" w:rsidRPr="002B11E4">
        <w:t>new, clear funding guidelines</w:t>
      </w:r>
      <w:r w:rsidR="00650F90">
        <w:t>,</w:t>
      </w:r>
      <w:r w:rsidR="00AD160B" w:rsidRPr="002B11E4">
        <w:t xml:space="preserve"> </w:t>
      </w:r>
      <w:r w:rsidR="00650F90">
        <w:t>based on</w:t>
      </w:r>
      <w:r w:rsidR="00AD160B" w:rsidRPr="002B11E4">
        <w:t xml:space="preserve"> the Guiding Principles for </w:t>
      </w:r>
      <w:r w:rsidR="00BB1351" w:rsidRPr="002B11E4">
        <w:t>D</w:t>
      </w:r>
      <w:r w:rsidR="00AD160B" w:rsidRPr="002B11E4">
        <w:t>ecisions on CLC funding</w:t>
      </w:r>
      <w:r w:rsidR="00AB430D" w:rsidRPr="002B11E4">
        <w:t xml:space="preserve"> 2012</w:t>
      </w:r>
      <w:r w:rsidR="00AD160B" w:rsidRPr="002B11E4">
        <w:t xml:space="preserve">, </w:t>
      </w:r>
      <w:r w:rsidR="00650F90">
        <w:t>which also reflect</w:t>
      </w:r>
      <w:r w:rsidR="00AD160B" w:rsidRPr="002B11E4">
        <w:t xml:space="preserve"> the </w:t>
      </w:r>
      <w:r w:rsidR="00332048">
        <w:t>attribute</w:t>
      </w:r>
      <w:r w:rsidR="00A1675E">
        <w:t>s</w:t>
      </w:r>
      <w:r w:rsidR="00AD160B" w:rsidRPr="002B11E4">
        <w:t xml:space="preserve"> and competencies</w:t>
      </w:r>
      <w:r w:rsidR="00486EDD" w:rsidRPr="002B11E4">
        <w:t xml:space="preserve"> of CLCs</w:t>
      </w:r>
      <w:r w:rsidR="00AD160B" w:rsidRPr="002B11E4">
        <w:t xml:space="preserve"> </w:t>
      </w:r>
      <w:r w:rsidR="0091527F">
        <w:t>(</w:t>
      </w:r>
      <w:r w:rsidR="00AD160B" w:rsidRPr="002B11E4">
        <w:t>to be settled with the sector in phase 2</w:t>
      </w:r>
      <w:r w:rsidR="005A192D" w:rsidRPr="002B11E4">
        <w:t>)</w:t>
      </w:r>
    </w:p>
    <w:p w14:paraId="30560732" w14:textId="77777777" w:rsidR="002547DC" w:rsidRPr="002B11E4" w:rsidRDefault="00140F1B" w:rsidP="00F62267">
      <w:pPr>
        <w:pStyle w:val="ListBullet"/>
      </w:pPr>
      <w:r w:rsidRPr="002B11E4">
        <w:t>guidelines will be consistent with</w:t>
      </w:r>
      <w:r w:rsidR="00543E46" w:rsidRPr="002B11E4">
        <w:t xml:space="preserve"> </w:t>
      </w:r>
      <w:r w:rsidR="002547DC" w:rsidRPr="002B11E4">
        <w:t>the National Partnership Agreement on Legal Assistance Services</w:t>
      </w:r>
      <w:r w:rsidR="00543E46" w:rsidRPr="002B11E4">
        <w:t xml:space="preserve"> principles and priorities </w:t>
      </w:r>
      <w:r w:rsidR="00AB430D" w:rsidRPr="002B11E4">
        <w:t>for funding</w:t>
      </w:r>
    </w:p>
    <w:p w14:paraId="6F5ECAF3" w14:textId="77777777" w:rsidR="002547DC" w:rsidRPr="002B11E4" w:rsidRDefault="00140F1B" w:rsidP="00F62267">
      <w:pPr>
        <w:pStyle w:val="ListBullet"/>
      </w:pPr>
      <w:r w:rsidRPr="002B11E4">
        <w:t xml:space="preserve">eligibility for funding could include </w:t>
      </w:r>
      <w:r w:rsidR="00486EDD" w:rsidRPr="002B11E4">
        <w:t>a</w:t>
      </w:r>
      <w:r w:rsidR="00543E46" w:rsidRPr="002B11E4">
        <w:t xml:space="preserve">doption of </w:t>
      </w:r>
      <w:r w:rsidR="002547DC" w:rsidRPr="002B11E4">
        <w:t xml:space="preserve">the CLC sector’s Outcomes Measurement Framework </w:t>
      </w:r>
      <w:r w:rsidR="00543E46" w:rsidRPr="002B11E4">
        <w:t>(</w:t>
      </w:r>
      <w:r w:rsidR="002547DC" w:rsidRPr="002B11E4">
        <w:t>currently being developed by the Federation of CLCs</w:t>
      </w:r>
      <w:r w:rsidR="00543E46" w:rsidRPr="002B11E4">
        <w:t>)</w:t>
      </w:r>
    </w:p>
    <w:p w14:paraId="229CB88D" w14:textId="77777777" w:rsidR="002547DC" w:rsidRPr="002B11E4" w:rsidRDefault="00486EDD" w:rsidP="00F62267">
      <w:pPr>
        <w:pStyle w:val="ListBullet"/>
      </w:pPr>
      <w:r w:rsidRPr="002B11E4">
        <w:t>f</w:t>
      </w:r>
      <w:r w:rsidR="0047066E" w:rsidRPr="002B11E4">
        <w:t>unding</w:t>
      </w:r>
      <w:r w:rsidRPr="002B11E4">
        <w:t xml:space="preserve"> eligibility</w:t>
      </w:r>
      <w:r w:rsidR="002B4279" w:rsidRPr="002B11E4">
        <w:t xml:space="preserve"> </w:t>
      </w:r>
      <w:r w:rsidR="0046074A" w:rsidRPr="002B11E4">
        <w:t xml:space="preserve">will be </w:t>
      </w:r>
      <w:r w:rsidR="0047066E" w:rsidRPr="002B11E4">
        <w:t>linked to</w:t>
      </w:r>
      <w:r w:rsidRPr="002B11E4">
        <w:t xml:space="preserve"> CLC obligations under</w:t>
      </w:r>
      <w:r w:rsidR="0047066E" w:rsidRPr="002B11E4">
        <w:t xml:space="preserve"> </w:t>
      </w:r>
      <w:r w:rsidR="002547DC" w:rsidRPr="002B11E4">
        <w:t>the NACLC Accreditation Scheme</w:t>
      </w:r>
      <w:r w:rsidR="00AB430D" w:rsidRPr="002B11E4">
        <w:t>,</w:t>
      </w:r>
      <w:r w:rsidR="002547DC" w:rsidRPr="002B11E4">
        <w:t xml:space="preserve"> and</w:t>
      </w:r>
      <w:r w:rsidRPr="002B11E4">
        <w:t xml:space="preserve"> compliance with the</w:t>
      </w:r>
      <w:r w:rsidR="002547DC" w:rsidRPr="002B11E4">
        <w:t xml:space="preserve"> Risk Management Guide</w:t>
      </w:r>
    </w:p>
    <w:p w14:paraId="7160BED4" w14:textId="77777777" w:rsidR="001042A4" w:rsidRDefault="001042A4" w:rsidP="009644AF">
      <w:pPr>
        <w:pStyle w:val="Heading3"/>
      </w:pPr>
      <w:bookmarkStart w:id="61" w:name="_Toc490159277"/>
      <w:r>
        <w:t>Eligibility for funding</w:t>
      </w:r>
      <w:bookmarkEnd w:id="61"/>
    </w:p>
    <w:p w14:paraId="2785C167" w14:textId="00E8E3A8" w:rsidR="00085DC6" w:rsidRDefault="009644AF" w:rsidP="00F62267">
      <w:r w:rsidRPr="009644AF">
        <w:t xml:space="preserve">In future, funded CLCs will be expected to demonstrate (and maintain) agreed </w:t>
      </w:r>
      <w:r w:rsidR="00A1675E">
        <w:t>attributes</w:t>
      </w:r>
      <w:r w:rsidRPr="009644AF">
        <w:t xml:space="preserve"> and competencies to be eligible for funding</w:t>
      </w:r>
      <w:r>
        <w:t>.</w:t>
      </w:r>
      <w:r w:rsidR="001042A4">
        <w:t xml:space="preserve"> </w:t>
      </w:r>
      <w:r w:rsidR="00085DC6">
        <w:t>These will be developed during stage 1 of the process and finalised during stage 2 of the project, drawing on a range of perspectives</w:t>
      </w:r>
      <w:r w:rsidR="00542834">
        <w:t xml:space="preserve"> about and documents that consider</w:t>
      </w:r>
      <w:r w:rsidR="00085DC6">
        <w:t xml:space="preserve"> </w:t>
      </w:r>
      <w:r w:rsidR="00542834">
        <w:t>what defines</w:t>
      </w:r>
      <w:r w:rsidR="00085DC6">
        <w:t xml:space="preserve"> CLCs</w:t>
      </w:r>
      <w:r w:rsidR="00542834">
        <w:t>.</w:t>
      </w:r>
    </w:p>
    <w:p w14:paraId="515965F5" w14:textId="26390CD2" w:rsidR="00C524C0" w:rsidRPr="00AF0B6D" w:rsidRDefault="00085DC6" w:rsidP="00F62267">
      <w:pPr>
        <w:rPr>
          <w:lang w:val="en-US"/>
        </w:rPr>
      </w:pPr>
      <w:r>
        <w:t xml:space="preserve">Some </w:t>
      </w:r>
      <w:r>
        <w:rPr>
          <w:lang w:val="en-US"/>
        </w:rPr>
        <w:t>a</w:t>
      </w:r>
      <w:r w:rsidR="00A1675E">
        <w:rPr>
          <w:lang w:val="en-US"/>
        </w:rPr>
        <w:t>ttributes</w:t>
      </w:r>
      <w:r w:rsidR="00BB1351">
        <w:rPr>
          <w:lang w:val="en-US"/>
        </w:rPr>
        <w:t xml:space="preserve"> </w:t>
      </w:r>
      <w:r>
        <w:rPr>
          <w:lang w:val="en-US"/>
        </w:rPr>
        <w:t>for consideration</w:t>
      </w:r>
      <w:r w:rsidR="001042A4">
        <w:rPr>
          <w:lang w:val="en-US"/>
        </w:rPr>
        <w:t xml:space="preserve"> include</w:t>
      </w:r>
      <w:r w:rsidR="00AF0B6D">
        <w:rPr>
          <w:lang w:val="en-US"/>
        </w:rPr>
        <w:t>:</w:t>
      </w:r>
    </w:p>
    <w:p w14:paraId="11A8E922" w14:textId="77777777" w:rsidR="00CB46B8" w:rsidRPr="002B11E4" w:rsidRDefault="00CB46B8" w:rsidP="00F62267">
      <w:pPr>
        <w:pStyle w:val="ListBullet"/>
      </w:pPr>
      <w:r w:rsidRPr="002B11E4">
        <w:t>capacity and capability to undertake a mixed model of individualised service delivery (information, advice and casework), alongside community legal education, strategic case work, advocacy and social change work</w:t>
      </w:r>
    </w:p>
    <w:p w14:paraId="63C1765F" w14:textId="77777777" w:rsidR="002547DC" w:rsidRPr="002B11E4" w:rsidRDefault="00CB46B8" w:rsidP="00F62267">
      <w:pPr>
        <w:pStyle w:val="ListBullet"/>
      </w:pPr>
      <w:r w:rsidRPr="002B11E4">
        <w:t xml:space="preserve">CLCs </w:t>
      </w:r>
      <w:r w:rsidR="00422E9C" w:rsidRPr="002B11E4">
        <w:t xml:space="preserve">being </w:t>
      </w:r>
      <w:r w:rsidR="002547DC" w:rsidRPr="002B11E4">
        <w:t xml:space="preserve">reflective </w:t>
      </w:r>
      <w:r w:rsidR="005A192D" w:rsidRPr="002B11E4">
        <w:t xml:space="preserve">and responsive to </w:t>
      </w:r>
      <w:r w:rsidR="000A5051" w:rsidRPr="002B11E4">
        <w:t>community</w:t>
      </w:r>
      <w:r w:rsidR="00AE6CEE">
        <w:t xml:space="preserve"> and </w:t>
      </w:r>
      <w:r w:rsidR="000A5051" w:rsidRPr="002B11E4">
        <w:t xml:space="preserve">meeting the needs of clearly defined </w:t>
      </w:r>
      <w:r w:rsidR="00422E9C" w:rsidRPr="002B11E4">
        <w:t xml:space="preserve">priority </w:t>
      </w:r>
      <w:r w:rsidR="000A5051" w:rsidRPr="002B11E4">
        <w:t>clients and/or community</w:t>
      </w:r>
    </w:p>
    <w:p w14:paraId="0FE6F448" w14:textId="77777777" w:rsidR="002547DC" w:rsidRPr="002B11E4" w:rsidRDefault="005A192D" w:rsidP="00F62267">
      <w:pPr>
        <w:pStyle w:val="ListBullet"/>
      </w:pPr>
      <w:r w:rsidRPr="002B11E4">
        <w:t xml:space="preserve">a </w:t>
      </w:r>
      <w:r w:rsidR="002547DC" w:rsidRPr="002B11E4">
        <w:t>commitment to</w:t>
      </w:r>
      <w:r w:rsidRPr="002B11E4">
        <w:t xml:space="preserve"> working in collaboration</w:t>
      </w:r>
      <w:r w:rsidR="002547DC" w:rsidRPr="002B11E4">
        <w:t xml:space="preserve"> </w:t>
      </w:r>
      <w:r w:rsidRPr="002B11E4">
        <w:t xml:space="preserve">and </w:t>
      </w:r>
      <w:r w:rsidR="002547DC" w:rsidRPr="002B11E4">
        <w:t>partnership</w:t>
      </w:r>
      <w:r w:rsidRPr="002B11E4">
        <w:t xml:space="preserve"> with other services and organisations </w:t>
      </w:r>
    </w:p>
    <w:p w14:paraId="2A361DF6" w14:textId="77777777" w:rsidR="002547DC" w:rsidRPr="002B11E4" w:rsidRDefault="005A192D" w:rsidP="00F62267">
      <w:pPr>
        <w:pStyle w:val="ListBullet"/>
      </w:pPr>
      <w:r w:rsidRPr="002B11E4">
        <w:t xml:space="preserve">a </w:t>
      </w:r>
      <w:r w:rsidR="002547DC" w:rsidRPr="002B11E4">
        <w:t xml:space="preserve">commitment to </w:t>
      </w:r>
      <w:r w:rsidR="00AE6CEE">
        <w:t xml:space="preserve">evidence-based </w:t>
      </w:r>
      <w:r w:rsidR="00AF0B6D" w:rsidRPr="002B11E4">
        <w:t xml:space="preserve">service </w:t>
      </w:r>
      <w:r w:rsidR="002547DC" w:rsidRPr="002B11E4">
        <w:t>planning</w:t>
      </w:r>
    </w:p>
    <w:p w14:paraId="79283BDB" w14:textId="77777777" w:rsidR="002547DC" w:rsidRPr="002B11E4" w:rsidRDefault="002547DC" w:rsidP="00F62267">
      <w:pPr>
        <w:pStyle w:val="ListBullet"/>
      </w:pPr>
      <w:r w:rsidRPr="002B11E4">
        <w:t xml:space="preserve">a commitment to </w:t>
      </w:r>
      <w:r w:rsidR="00422E9C" w:rsidRPr="002B11E4">
        <w:t xml:space="preserve">providing high </w:t>
      </w:r>
      <w:r w:rsidRPr="002B11E4">
        <w:t>quality</w:t>
      </w:r>
      <w:r w:rsidR="00422E9C" w:rsidRPr="002B11E4">
        <w:t xml:space="preserve"> services through</w:t>
      </w:r>
      <w:r w:rsidRPr="002B11E4">
        <w:t xml:space="preserve"> continuous</w:t>
      </w:r>
      <w:r w:rsidR="00422E9C" w:rsidRPr="002B11E4">
        <w:t xml:space="preserve"> learning and</w:t>
      </w:r>
      <w:r w:rsidRPr="002B11E4">
        <w:t xml:space="preserve"> improvement</w:t>
      </w:r>
    </w:p>
    <w:p w14:paraId="178D4A6E" w14:textId="77777777" w:rsidR="002547DC" w:rsidRPr="002B11E4" w:rsidRDefault="002547DC" w:rsidP="00F62267">
      <w:pPr>
        <w:pStyle w:val="ListBullet"/>
      </w:pPr>
      <w:r w:rsidRPr="002B11E4">
        <w:t>a capacity and willingness to reflect on</w:t>
      </w:r>
      <w:r w:rsidR="00AF0B6D" w:rsidRPr="002B11E4">
        <w:t>, monitor</w:t>
      </w:r>
      <w:r w:rsidRPr="002B11E4">
        <w:t xml:space="preserve"> and evaluate services</w:t>
      </w:r>
    </w:p>
    <w:p w14:paraId="226D19D5" w14:textId="77777777" w:rsidR="002547DC" w:rsidRPr="002B11E4" w:rsidRDefault="002547DC" w:rsidP="00F62267">
      <w:pPr>
        <w:pStyle w:val="ListBullet"/>
      </w:pPr>
      <w:r w:rsidRPr="002B11E4">
        <w:t xml:space="preserve">sound </w:t>
      </w:r>
      <w:r w:rsidR="00422E9C" w:rsidRPr="002B11E4">
        <w:t xml:space="preserve">management and </w:t>
      </w:r>
      <w:r w:rsidRPr="002B11E4">
        <w:t>governance</w:t>
      </w:r>
    </w:p>
    <w:p w14:paraId="4E84B8E0" w14:textId="77777777" w:rsidR="002547DC" w:rsidRPr="002B11E4" w:rsidRDefault="002547DC" w:rsidP="00F62267">
      <w:pPr>
        <w:pStyle w:val="ListBullet"/>
      </w:pPr>
      <w:r w:rsidRPr="002B11E4">
        <w:t>a commitment to managing staff</w:t>
      </w:r>
      <w:r w:rsidR="00422E9C" w:rsidRPr="002B11E4">
        <w:t xml:space="preserve"> and services</w:t>
      </w:r>
      <w:r w:rsidRPr="002B11E4">
        <w:t xml:space="preserve"> in accordance with </w:t>
      </w:r>
      <w:r w:rsidR="00422E9C" w:rsidRPr="002B11E4">
        <w:t xml:space="preserve">key </w:t>
      </w:r>
      <w:r w:rsidRPr="002B11E4">
        <w:t xml:space="preserve">legislation </w:t>
      </w:r>
      <w:r w:rsidR="00422E9C" w:rsidRPr="002B11E4">
        <w:t xml:space="preserve">and </w:t>
      </w:r>
      <w:r w:rsidRPr="002B11E4">
        <w:t>best practice principles and values</w:t>
      </w:r>
      <w:r w:rsidR="00422E9C" w:rsidRPr="002B11E4">
        <w:t xml:space="preserve"> – including OH&amp;S, Equal Opportunity, and other legislation that protects and advances human rights</w:t>
      </w:r>
    </w:p>
    <w:p w14:paraId="54B54191" w14:textId="77777777" w:rsidR="009644AF" w:rsidRPr="002B11E4" w:rsidRDefault="00AB430D" w:rsidP="00F62267">
      <w:pPr>
        <w:pStyle w:val="ListBullet"/>
      </w:pPr>
      <w:r w:rsidRPr="002B11E4">
        <w:lastRenderedPageBreak/>
        <w:t>be</w:t>
      </w:r>
      <w:r w:rsidR="00C315B6" w:rsidRPr="002B11E4">
        <w:t>ing</w:t>
      </w:r>
      <w:r w:rsidRPr="002B11E4">
        <w:t xml:space="preserve"> a</w:t>
      </w:r>
      <w:r w:rsidR="00AF0B6D" w:rsidRPr="002B11E4">
        <w:t xml:space="preserve"> capable</w:t>
      </w:r>
      <w:r w:rsidR="00AE6CEE">
        <w:t>,</w:t>
      </w:r>
      <w:r w:rsidR="00AF0B6D" w:rsidRPr="002B11E4">
        <w:t xml:space="preserve"> </w:t>
      </w:r>
      <w:r w:rsidR="00AE6CEE" w:rsidRPr="002B11E4">
        <w:t>independent</w:t>
      </w:r>
      <w:r w:rsidR="00AE6CEE">
        <w:t>,</w:t>
      </w:r>
      <w:r w:rsidR="00AE6CEE" w:rsidRPr="002B11E4">
        <w:t xml:space="preserve"> </w:t>
      </w:r>
      <w:r w:rsidR="00C315B6" w:rsidRPr="002B11E4">
        <w:t>not</w:t>
      </w:r>
      <w:r w:rsidR="00AE6CEE">
        <w:t>-</w:t>
      </w:r>
      <w:r w:rsidR="00C315B6" w:rsidRPr="002B11E4">
        <w:t>for</w:t>
      </w:r>
      <w:r w:rsidR="00AE6CEE">
        <w:t>-</w:t>
      </w:r>
      <w:r w:rsidR="00C315B6" w:rsidRPr="002B11E4">
        <w:t xml:space="preserve">profit </w:t>
      </w:r>
      <w:r w:rsidR="0046417A" w:rsidRPr="002B11E4">
        <w:t>legal entity</w:t>
      </w:r>
      <w:r w:rsidR="00AF0B6D" w:rsidRPr="002B11E4">
        <w:t xml:space="preserve"> that meets its legal and regulatory requirements</w:t>
      </w:r>
      <w:r w:rsidR="001042A4">
        <w:t>.</w:t>
      </w:r>
    </w:p>
    <w:p w14:paraId="48A1297F" w14:textId="41BB6645" w:rsidR="00BC42BB" w:rsidRPr="00BC42BB" w:rsidRDefault="00760556" w:rsidP="00BC42BB">
      <w:pPr>
        <w:pStyle w:val="ListBullet"/>
        <w:numPr>
          <w:ilvl w:val="0"/>
          <w:numId w:val="0"/>
        </w:numPr>
      </w:pPr>
      <w:r>
        <w:t>While m</w:t>
      </w:r>
      <w:r w:rsidR="00BC42BB">
        <w:t xml:space="preserve">ost CLCs have </w:t>
      </w:r>
      <w:r w:rsidR="009644AF">
        <w:t>(</w:t>
      </w:r>
      <w:r w:rsidR="00BC42BB">
        <w:t xml:space="preserve">or </w:t>
      </w:r>
      <w:r>
        <w:t>are cultivating)</w:t>
      </w:r>
      <w:r w:rsidR="00BC42BB">
        <w:t xml:space="preserve"> these</w:t>
      </w:r>
      <w:r w:rsidR="00A1675E">
        <w:t xml:space="preserve"> attributes</w:t>
      </w:r>
      <w:r w:rsidR="00BC42BB">
        <w:t xml:space="preserve">, they are not currently </w:t>
      </w:r>
      <w:r>
        <w:t xml:space="preserve">adequately </w:t>
      </w:r>
      <w:r w:rsidR="00BC42BB">
        <w:t xml:space="preserve">expressed through the </w:t>
      </w:r>
      <w:r w:rsidR="00CB46B8">
        <w:t xml:space="preserve">funding framework and </w:t>
      </w:r>
      <w:r w:rsidR="00A061EE">
        <w:t>a</w:t>
      </w:r>
      <w:r w:rsidR="00BC42BB">
        <w:t xml:space="preserve">greement. There is an inconsistency in the </w:t>
      </w:r>
      <w:r w:rsidR="009644AF">
        <w:t xml:space="preserve">quality and </w:t>
      </w:r>
      <w:r w:rsidR="00BC42BB">
        <w:t>standards of service delivery</w:t>
      </w:r>
      <w:r>
        <w:t>,</w:t>
      </w:r>
      <w:r w:rsidR="00BC42BB">
        <w:t xml:space="preserve"> reporting and compliance. VLA seeks a stronger emphasis on these </w:t>
      </w:r>
      <w:r w:rsidR="00332048">
        <w:t>attribute</w:t>
      </w:r>
      <w:r w:rsidR="00A1675E">
        <w:t>s</w:t>
      </w:r>
      <w:r w:rsidR="00CB46B8">
        <w:t>,</w:t>
      </w:r>
      <w:r w:rsidR="00BC42BB">
        <w:t xml:space="preserve"> linking them to more rigorous monitoring and intervention where required</w:t>
      </w:r>
      <w:r w:rsidR="005950D2">
        <w:t xml:space="preserve">, aimed at </w:t>
      </w:r>
      <w:r>
        <w:t>improving</w:t>
      </w:r>
      <w:r w:rsidR="005950D2">
        <w:t xml:space="preserve"> quality</w:t>
      </w:r>
      <w:r>
        <w:t>,</w:t>
      </w:r>
      <w:r w:rsidR="005950D2">
        <w:t xml:space="preserve"> which then produces better outcomes for clients.</w:t>
      </w:r>
    </w:p>
    <w:p w14:paraId="69C1D476" w14:textId="77777777" w:rsidR="002547DC" w:rsidRDefault="00A05370" w:rsidP="00F62267">
      <w:pPr>
        <w:pStyle w:val="Heading1"/>
      </w:pPr>
      <w:bookmarkStart w:id="62" w:name="_Option_2:_Reform"/>
      <w:bookmarkStart w:id="63" w:name="_Toc490159278"/>
      <w:bookmarkEnd w:id="62"/>
      <w:r>
        <w:t xml:space="preserve">Reform </w:t>
      </w:r>
      <w:r w:rsidR="002547DC" w:rsidRPr="009727B4">
        <w:t>2</w:t>
      </w:r>
      <w:r w:rsidR="00471E5F">
        <w:t>:</w:t>
      </w:r>
      <w:r w:rsidR="005C7544">
        <w:t xml:space="preserve"> </w:t>
      </w:r>
      <w:r w:rsidR="002547DC" w:rsidRPr="005D352A">
        <w:t xml:space="preserve">Reform the </w:t>
      </w:r>
      <w:r w:rsidR="002547DC" w:rsidRPr="00392CC4">
        <w:t>service</w:t>
      </w:r>
      <w:r w:rsidR="002547DC" w:rsidRPr="005D352A">
        <w:t xml:space="preserve"> agreement</w:t>
      </w:r>
      <w:bookmarkEnd w:id="63"/>
    </w:p>
    <w:p w14:paraId="4C009F37" w14:textId="77777777" w:rsidR="009F2FA6" w:rsidRDefault="002B4279" w:rsidP="002547DC">
      <w:r>
        <w:t>Reforms 2</w:t>
      </w:r>
      <w:r w:rsidR="00C3201C">
        <w:t>–</w:t>
      </w:r>
      <w:r>
        <w:t xml:space="preserve">6 relate to the service agreement (the legal agreement), and </w:t>
      </w:r>
      <w:r w:rsidR="00AB430D">
        <w:t xml:space="preserve">the </w:t>
      </w:r>
      <w:r>
        <w:t xml:space="preserve">reporting and compliance that flow from </w:t>
      </w:r>
      <w:r w:rsidR="00C3201C">
        <w:t xml:space="preserve">that </w:t>
      </w:r>
      <w:r>
        <w:t>agreement. These reforms collectively re</w:t>
      </w:r>
      <w:r w:rsidR="002547DC">
        <w:t>present a</w:t>
      </w:r>
      <w:r w:rsidR="004B0398">
        <w:t xml:space="preserve"> major opportunity </w:t>
      </w:r>
      <w:r>
        <w:t xml:space="preserve">for change </w:t>
      </w:r>
      <w:r w:rsidR="002547DC" w:rsidRPr="0064220A">
        <w:t>in line with a shared desire to clarify, simplify and strengthen the agreement between CLCs and VLA.</w:t>
      </w:r>
      <w:r w:rsidR="00A05370">
        <w:t xml:space="preserve"> </w:t>
      </w:r>
    </w:p>
    <w:p w14:paraId="4EE8CD7B" w14:textId="77777777" w:rsidR="009644AF" w:rsidRDefault="00AB430D" w:rsidP="002547DC">
      <w:r>
        <w:t xml:space="preserve">VLA proposes </w:t>
      </w:r>
      <w:r w:rsidR="004B0398">
        <w:t>a</w:t>
      </w:r>
      <w:r w:rsidR="00A05370">
        <w:t xml:space="preserve"> shorter</w:t>
      </w:r>
      <w:r w:rsidR="00C3201C">
        <w:t>,</w:t>
      </w:r>
      <w:r w:rsidR="00A05370">
        <w:t xml:space="preserve"> clearer agreement</w:t>
      </w:r>
      <w:r w:rsidR="004B0398">
        <w:t xml:space="preserve"> that is </w:t>
      </w:r>
      <w:r w:rsidR="00A74B66">
        <w:t>connected</w:t>
      </w:r>
      <w:r w:rsidR="004B0398">
        <w:t xml:space="preserve"> to service quality</w:t>
      </w:r>
      <w:r w:rsidR="00AF0B6D">
        <w:t xml:space="preserve"> and</w:t>
      </w:r>
      <w:r w:rsidR="00C524C0">
        <w:t xml:space="preserve"> </w:t>
      </w:r>
      <w:r w:rsidR="00C3201C">
        <w:t xml:space="preserve">to </w:t>
      </w:r>
      <w:r w:rsidR="004B0398">
        <w:t>detailed and transparent policies that clarify expectations</w:t>
      </w:r>
      <w:r w:rsidR="009F2FA6">
        <w:t>,</w:t>
      </w:r>
      <w:r w:rsidR="004B0398">
        <w:t xml:space="preserve"> mutual responsibilities and complaints mechanisms </w:t>
      </w:r>
      <w:r w:rsidR="009F2FA6">
        <w:t>(</w:t>
      </w:r>
      <w:r w:rsidR="004B0398">
        <w:t>for both parties</w:t>
      </w:r>
      <w:r w:rsidR="009F2FA6">
        <w:t>)</w:t>
      </w:r>
      <w:r w:rsidR="004B0398">
        <w:t xml:space="preserve">. </w:t>
      </w:r>
    </w:p>
    <w:p w14:paraId="541FD2FB" w14:textId="5A753068" w:rsidR="002547DC" w:rsidRPr="0064220A" w:rsidRDefault="00410633" w:rsidP="002547DC">
      <w:pPr>
        <w:rPr>
          <w:highlight w:val="yellow"/>
        </w:rPr>
      </w:pPr>
      <w:r>
        <w:t xml:space="preserve">Under the current agreement there is a strong focus on reporting and compliance. </w:t>
      </w:r>
      <w:r w:rsidR="00C3201C">
        <w:t>The new agreement aims to reset</w:t>
      </w:r>
      <w:r w:rsidR="002547DC" w:rsidRPr="0064220A">
        <w:t xml:space="preserve"> the balance between mutual obligations</w:t>
      </w:r>
      <w:r>
        <w:t xml:space="preserve"> and a meaningful focus on standards</w:t>
      </w:r>
      <w:r w:rsidR="002547DC" w:rsidRPr="0064220A">
        <w:t xml:space="preserve"> and qualit</w:t>
      </w:r>
      <w:r>
        <w:t>y.</w:t>
      </w:r>
    </w:p>
    <w:p w14:paraId="63EDC537" w14:textId="77777777" w:rsidR="00C3201C" w:rsidRDefault="002547DC" w:rsidP="00392CC4">
      <w:pPr>
        <w:pStyle w:val="Heading2"/>
      </w:pPr>
      <w:bookmarkStart w:id="64" w:name="_Toc490159279"/>
      <w:r w:rsidRPr="005C7544">
        <w:t xml:space="preserve">Key </w:t>
      </w:r>
      <w:r w:rsidR="00A1675E">
        <w:t>elements</w:t>
      </w:r>
      <w:r w:rsidR="004B0398">
        <w:t xml:space="preserve"> </w:t>
      </w:r>
      <w:r w:rsidR="009F2FA6">
        <w:t>of a new agreement</w:t>
      </w:r>
      <w:bookmarkEnd w:id="64"/>
      <w:r w:rsidR="009F2FA6">
        <w:t xml:space="preserve"> </w:t>
      </w:r>
    </w:p>
    <w:p w14:paraId="33B3CD9C" w14:textId="77777777" w:rsidR="002547DC" w:rsidRPr="005C7544" w:rsidRDefault="00C3201C" w:rsidP="00F62267">
      <w:r>
        <w:t xml:space="preserve">The key elements of a new agreement </w:t>
      </w:r>
      <w:r w:rsidR="002B4279">
        <w:t xml:space="preserve">will </w:t>
      </w:r>
      <w:r w:rsidR="002547DC" w:rsidRPr="005C7544">
        <w:t>include:</w:t>
      </w:r>
    </w:p>
    <w:p w14:paraId="13E3B277" w14:textId="77777777" w:rsidR="002547DC" w:rsidRPr="002B11E4" w:rsidRDefault="009644AF" w:rsidP="00F62267">
      <w:pPr>
        <w:pStyle w:val="ListBullet"/>
      </w:pPr>
      <w:r w:rsidRPr="002B11E4">
        <w:t>s</w:t>
      </w:r>
      <w:r w:rsidR="002547DC" w:rsidRPr="002B11E4">
        <w:t>hared intent</w:t>
      </w:r>
      <w:r w:rsidR="00703A2C">
        <w:t>,</w:t>
      </w:r>
      <w:r w:rsidR="002547DC" w:rsidRPr="002B11E4">
        <w:t xml:space="preserve"> including reference to the key goals and elements of the NPALAS and VLA’s guiding principles for funding CLCs (or similar) as program guidelines</w:t>
      </w:r>
    </w:p>
    <w:p w14:paraId="21423C13" w14:textId="77777777" w:rsidR="002547DC" w:rsidRPr="002B11E4" w:rsidRDefault="009644AF" w:rsidP="00F62267">
      <w:pPr>
        <w:pStyle w:val="ListBullet"/>
      </w:pPr>
      <w:r w:rsidRPr="002B11E4">
        <w:t>m</w:t>
      </w:r>
      <w:r w:rsidR="002547DC" w:rsidRPr="002B11E4">
        <w:t>utual obligations</w:t>
      </w:r>
      <w:r w:rsidR="00703A2C">
        <w:t>, especially around</w:t>
      </w:r>
      <w:r w:rsidR="009F2FA6" w:rsidRPr="002B11E4">
        <w:t xml:space="preserve"> service planning, </w:t>
      </w:r>
      <w:r w:rsidR="0070349B" w:rsidRPr="002B11E4">
        <w:t>evidence</w:t>
      </w:r>
      <w:r w:rsidR="00703A2C">
        <w:t>-</w:t>
      </w:r>
      <w:r w:rsidR="0070349B" w:rsidRPr="002B11E4">
        <w:t xml:space="preserve">based decision making, performance </w:t>
      </w:r>
      <w:r w:rsidR="009F2FA6" w:rsidRPr="002B11E4">
        <w:t>standards and reporting</w:t>
      </w:r>
    </w:p>
    <w:p w14:paraId="05076B44" w14:textId="77777777" w:rsidR="009F2FA6" w:rsidRPr="002B11E4" w:rsidRDefault="009644AF" w:rsidP="00F62267">
      <w:pPr>
        <w:pStyle w:val="ListBullet"/>
      </w:pPr>
      <w:r w:rsidRPr="002B11E4">
        <w:t>f</w:t>
      </w:r>
      <w:r w:rsidR="002547DC" w:rsidRPr="002B11E4">
        <w:t>ormal measures for dealing with agreement obligations</w:t>
      </w:r>
      <w:r w:rsidR="009F2FA6" w:rsidRPr="002B11E4">
        <w:t xml:space="preserve"> and breaches of the agreement</w:t>
      </w:r>
      <w:r w:rsidR="003A35BD">
        <w:t>,</w:t>
      </w:r>
      <w:r w:rsidR="002547DC" w:rsidRPr="002B11E4">
        <w:t xml:space="preserve"> </w:t>
      </w:r>
      <w:r w:rsidR="009F2FA6" w:rsidRPr="002B11E4">
        <w:t>and a complaints mechanism</w:t>
      </w:r>
    </w:p>
    <w:p w14:paraId="08AAB253" w14:textId="0B9E7EF5" w:rsidR="002547DC" w:rsidRDefault="009644AF" w:rsidP="00F62267">
      <w:pPr>
        <w:pStyle w:val="ListBullet"/>
      </w:pPr>
      <w:r w:rsidRPr="002B11E4">
        <w:t>r</w:t>
      </w:r>
      <w:r w:rsidR="002547DC" w:rsidRPr="002B11E4">
        <w:t>eferences and links to policies and procedures</w:t>
      </w:r>
      <w:r w:rsidR="003A35BD">
        <w:t>.</w:t>
      </w:r>
      <w:r w:rsidR="002547DC" w:rsidRPr="002B11E4">
        <w:t xml:space="preserve"> </w:t>
      </w:r>
      <w:r w:rsidR="003A35BD">
        <w:t>F</w:t>
      </w:r>
      <w:r w:rsidR="002547DC" w:rsidRPr="002B11E4">
        <w:t xml:space="preserve">or example, VLA’s policy framework for responding to concerns about CLC operations or performance and other quality standards and frameworks </w:t>
      </w:r>
      <w:r w:rsidR="003A35BD">
        <w:t xml:space="preserve">(such as </w:t>
      </w:r>
      <w:r w:rsidR="002547DC" w:rsidRPr="002B11E4">
        <w:t>NACLC Accreditation Scheme, PII scheme, and requirements under relevant legislation</w:t>
      </w:r>
      <w:r w:rsidR="003A35BD">
        <w:t>)</w:t>
      </w:r>
    </w:p>
    <w:p w14:paraId="5A793606" w14:textId="66B9C9DB" w:rsidR="001B3E51" w:rsidRPr="007173AB" w:rsidRDefault="00762FBE" w:rsidP="00F62267">
      <w:pPr>
        <w:pStyle w:val="ListBullet"/>
      </w:pPr>
      <w:r w:rsidRPr="007173AB">
        <w:t>alignment of relevant other standards and quality frameworks</w:t>
      </w:r>
    </w:p>
    <w:p w14:paraId="0081D03F" w14:textId="21708D83" w:rsidR="00762FBE" w:rsidRPr="007173AB" w:rsidRDefault="00607A4E" w:rsidP="00F62267">
      <w:pPr>
        <w:pStyle w:val="ListBullet"/>
      </w:pPr>
      <w:r w:rsidRPr="007173AB">
        <w:t>potential</w:t>
      </w:r>
      <w:r w:rsidR="00762FBE" w:rsidRPr="007173AB">
        <w:t xml:space="preserve"> for CLC</w:t>
      </w:r>
      <w:r w:rsidRPr="007173AB">
        <w:t>s</w:t>
      </w:r>
      <w:r w:rsidR="00762FBE" w:rsidRPr="007173AB">
        <w:t xml:space="preserve"> to access </w:t>
      </w:r>
      <w:r w:rsidR="005931CE" w:rsidRPr="007173AB">
        <w:t xml:space="preserve">more </w:t>
      </w:r>
      <w:r w:rsidR="00762FBE" w:rsidRPr="007173AB">
        <w:t>VLA resources including PLE, precedents etc.</w:t>
      </w:r>
    </w:p>
    <w:p w14:paraId="1787CA7C" w14:textId="77777777" w:rsidR="002547DC" w:rsidRPr="002B11E4" w:rsidRDefault="009644AF" w:rsidP="00F62267">
      <w:pPr>
        <w:pStyle w:val="ListBullet"/>
      </w:pPr>
      <w:r w:rsidRPr="002B11E4">
        <w:t>e</w:t>
      </w:r>
      <w:r w:rsidR="002547DC" w:rsidRPr="002B11E4">
        <w:t>xit provisions for all parties</w:t>
      </w:r>
      <w:r w:rsidR="005C2E73" w:rsidRPr="002B11E4">
        <w:t>.</w:t>
      </w:r>
    </w:p>
    <w:p w14:paraId="4F6FB097" w14:textId="7AC6149D" w:rsidR="009644AF" w:rsidRDefault="009644AF" w:rsidP="009644AF">
      <w:pPr>
        <w:pStyle w:val="ListBullet"/>
        <w:numPr>
          <w:ilvl w:val="0"/>
          <w:numId w:val="0"/>
        </w:numPr>
      </w:pPr>
      <w:r>
        <w:t>The main characteristic of the change is having a stronger focus on policies and procedures</w:t>
      </w:r>
      <w:r w:rsidR="005950D2">
        <w:t xml:space="preserve"> that are</w:t>
      </w:r>
      <w:r>
        <w:t xml:space="preserve"> linked to the </w:t>
      </w:r>
      <w:r w:rsidR="003A35BD">
        <w:t>agreement</w:t>
      </w:r>
      <w:r>
        <w:t>. All policies</w:t>
      </w:r>
      <w:r w:rsidR="005950D2">
        <w:t xml:space="preserve"> and procedures</w:t>
      </w:r>
      <w:r>
        <w:t xml:space="preserve"> will</w:t>
      </w:r>
      <w:r w:rsidR="003A35BD">
        <w:t xml:space="preserve"> aim to improve</w:t>
      </w:r>
      <w:r w:rsidR="00694B81">
        <w:t xml:space="preserve"> </w:t>
      </w:r>
      <w:r>
        <w:t>and maintain standards and quality across all funded services.</w:t>
      </w:r>
    </w:p>
    <w:p w14:paraId="0AD67DE1" w14:textId="77777777" w:rsidR="002547DC" w:rsidRDefault="00A05370" w:rsidP="00F62267">
      <w:pPr>
        <w:pStyle w:val="Heading1"/>
        <w:pageBreakBefore/>
        <w:rPr>
          <w:lang w:val="en-US"/>
        </w:rPr>
      </w:pPr>
      <w:bookmarkStart w:id="65" w:name="_Option_3:_Performance"/>
      <w:bookmarkStart w:id="66" w:name="_Toc490159280"/>
      <w:bookmarkEnd w:id="65"/>
      <w:r>
        <w:rPr>
          <w:lang w:val="en-US"/>
        </w:rPr>
        <w:lastRenderedPageBreak/>
        <w:t xml:space="preserve">Reform </w:t>
      </w:r>
      <w:r w:rsidR="002547DC" w:rsidRPr="009727B4">
        <w:rPr>
          <w:lang w:val="en-US"/>
        </w:rPr>
        <w:t>3</w:t>
      </w:r>
      <w:r w:rsidR="00471E5F">
        <w:rPr>
          <w:lang w:val="en-US"/>
        </w:rPr>
        <w:t>:</w:t>
      </w:r>
      <w:r w:rsidR="005C7544">
        <w:rPr>
          <w:lang w:val="en-US"/>
        </w:rPr>
        <w:t xml:space="preserve"> </w:t>
      </w:r>
      <w:r w:rsidR="002547DC" w:rsidRPr="00FC6D29">
        <w:rPr>
          <w:lang w:val="en-US"/>
        </w:rPr>
        <w:t>Performa</w:t>
      </w:r>
      <w:r w:rsidR="002547DC">
        <w:rPr>
          <w:lang w:val="en-US"/>
        </w:rPr>
        <w:t>nce accountability – the elements and the process</w:t>
      </w:r>
      <w:bookmarkEnd w:id="66"/>
    </w:p>
    <w:p w14:paraId="61A7DF3A" w14:textId="77777777" w:rsidR="002547DC" w:rsidRDefault="002547DC" w:rsidP="002547DC">
      <w:r>
        <w:rPr>
          <w:bCs/>
          <w:lang w:val="en-US"/>
        </w:rPr>
        <w:t xml:space="preserve">Accountability </w:t>
      </w:r>
      <w:r w:rsidR="003A35BD">
        <w:rPr>
          <w:bCs/>
          <w:lang w:val="en-US"/>
        </w:rPr>
        <w:t xml:space="preserve">achieved </w:t>
      </w:r>
      <w:r>
        <w:rPr>
          <w:bCs/>
          <w:lang w:val="en-US"/>
        </w:rPr>
        <w:t>through r</w:t>
      </w:r>
      <w:r w:rsidRPr="00F537DA">
        <w:rPr>
          <w:bCs/>
          <w:lang w:val="en-US"/>
        </w:rPr>
        <w:t>eporting and com</w:t>
      </w:r>
      <w:r>
        <w:rPr>
          <w:bCs/>
          <w:lang w:val="en-US"/>
        </w:rPr>
        <w:t>pliance mechanisms</w:t>
      </w:r>
      <w:r w:rsidR="00A05370">
        <w:rPr>
          <w:bCs/>
          <w:lang w:val="en-US"/>
        </w:rPr>
        <w:t xml:space="preserve"> </w:t>
      </w:r>
      <w:r>
        <w:rPr>
          <w:bCs/>
          <w:lang w:val="en-US"/>
        </w:rPr>
        <w:t>should</w:t>
      </w:r>
      <w:r w:rsidR="00AF0B6D">
        <w:rPr>
          <w:bCs/>
          <w:lang w:val="en-US"/>
        </w:rPr>
        <w:t xml:space="preserve"> not</w:t>
      </w:r>
      <w:r>
        <w:rPr>
          <w:bCs/>
          <w:lang w:val="en-US"/>
        </w:rPr>
        <w:t xml:space="preserve"> cause </w:t>
      </w:r>
      <w:r w:rsidR="003A35BD">
        <w:rPr>
          <w:bCs/>
          <w:lang w:val="en-US"/>
        </w:rPr>
        <w:t xml:space="preserve">an </w:t>
      </w:r>
      <w:r>
        <w:rPr>
          <w:bCs/>
          <w:lang w:val="en-US"/>
        </w:rPr>
        <w:t>unnecessary burden</w:t>
      </w:r>
      <w:r w:rsidR="00AF0B6D">
        <w:rPr>
          <w:bCs/>
          <w:lang w:val="en-US"/>
        </w:rPr>
        <w:t>.</w:t>
      </w:r>
      <w:r w:rsidRPr="00F537DA">
        <w:rPr>
          <w:bCs/>
          <w:lang w:val="en-US"/>
        </w:rPr>
        <w:t xml:space="preserve"> </w:t>
      </w:r>
      <w:r w:rsidR="00AF0B6D">
        <w:rPr>
          <w:bCs/>
          <w:lang w:val="en-US"/>
        </w:rPr>
        <w:t>T</w:t>
      </w:r>
      <w:r w:rsidRPr="00F537DA">
        <w:rPr>
          <w:bCs/>
          <w:lang w:val="en-US"/>
        </w:rPr>
        <w:t xml:space="preserve">his </w:t>
      </w:r>
      <w:r w:rsidR="003A35BD">
        <w:rPr>
          <w:bCs/>
          <w:lang w:val="en-US"/>
        </w:rPr>
        <w:t>reform</w:t>
      </w:r>
      <w:r w:rsidR="003A35BD" w:rsidRPr="00F537DA">
        <w:rPr>
          <w:bCs/>
          <w:lang w:val="en-US"/>
        </w:rPr>
        <w:t xml:space="preserve"> </w:t>
      </w:r>
      <w:r w:rsidRPr="00F537DA">
        <w:rPr>
          <w:bCs/>
          <w:lang w:val="en-US"/>
        </w:rPr>
        <w:t xml:space="preserve">seeks to </w:t>
      </w:r>
      <w:r>
        <w:rPr>
          <w:bCs/>
          <w:lang w:val="en-US"/>
        </w:rPr>
        <w:t xml:space="preserve">reduce and </w:t>
      </w:r>
      <w:r w:rsidRPr="00F537DA">
        <w:rPr>
          <w:bCs/>
          <w:lang w:val="en-US"/>
        </w:rPr>
        <w:t>streamline</w:t>
      </w:r>
      <w:r>
        <w:rPr>
          <w:bCs/>
          <w:lang w:val="en-US"/>
        </w:rPr>
        <w:t xml:space="preserve"> the nature and timing of</w:t>
      </w:r>
      <w:r w:rsidRPr="00F537DA">
        <w:rPr>
          <w:bCs/>
          <w:lang w:val="en-US"/>
        </w:rPr>
        <w:t xml:space="preserve"> </w:t>
      </w:r>
      <w:r>
        <w:rPr>
          <w:bCs/>
          <w:lang w:val="en-US"/>
        </w:rPr>
        <w:t xml:space="preserve">monitoring and </w:t>
      </w:r>
      <w:r w:rsidRPr="00F537DA">
        <w:rPr>
          <w:bCs/>
          <w:lang w:val="en-US"/>
        </w:rPr>
        <w:t>reporting</w:t>
      </w:r>
      <w:r w:rsidR="003A35BD">
        <w:rPr>
          <w:bCs/>
          <w:lang w:val="en-US"/>
        </w:rPr>
        <w:t>,</w:t>
      </w:r>
      <w:r w:rsidRPr="00F537DA">
        <w:rPr>
          <w:bCs/>
          <w:lang w:val="en-US"/>
        </w:rPr>
        <w:t xml:space="preserve"> </w:t>
      </w:r>
      <w:r>
        <w:rPr>
          <w:bCs/>
          <w:lang w:val="en-US"/>
        </w:rPr>
        <w:t xml:space="preserve">while having more efficient and </w:t>
      </w:r>
      <w:r w:rsidRPr="00F537DA">
        <w:rPr>
          <w:bCs/>
          <w:lang w:val="en-US"/>
        </w:rPr>
        <w:t>meaningful accountability</w:t>
      </w:r>
      <w:r>
        <w:rPr>
          <w:bCs/>
          <w:lang w:val="en-US"/>
        </w:rPr>
        <w:t>.</w:t>
      </w:r>
    </w:p>
    <w:p w14:paraId="002BA0A5" w14:textId="77777777" w:rsidR="005950D2" w:rsidRDefault="003A35BD" w:rsidP="002547DC">
      <w:r>
        <w:t>C</w:t>
      </w:r>
      <w:r w:rsidR="002547DC">
        <w:t xml:space="preserve">onsultation confirmed there is broad agreement that the current CLSP work plan is burdensome and inefficient in capturing and monitoring CLC performance. In the future, there is opportunity </w:t>
      </w:r>
      <w:r w:rsidR="00156D25">
        <w:t xml:space="preserve">for </w:t>
      </w:r>
      <w:r w:rsidR="002B4279">
        <w:t>a new</w:t>
      </w:r>
      <w:r w:rsidR="002547DC">
        <w:t xml:space="preserve"> approach that reduces the compliance burden, improves the quality of the data available to VLA and CLCs, and satisfies our obligation to be accountable for our use of public funds.</w:t>
      </w:r>
    </w:p>
    <w:p w14:paraId="24BE94FD" w14:textId="77777777" w:rsidR="002547DC" w:rsidRDefault="003A35BD" w:rsidP="002547DC">
      <w:r>
        <w:t>C</w:t>
      </w:r>
      <w:r w:rsidR="005950D2">
        <w:t>onsultation also confirmed t</w:t>
      </w:r>
      <w:r w:rsidR="002547DC">
        <w:t xml:space="preserve">here is strong interest in </w:t>
      </w:r>
      <w:r w:rsidR="005950D2">
        <w:t>re-</w:t>
      </w:r>
      <w:r w:rsidR="002547DC">
        <w:t>designing</w:t>
      </w:r>
      <w:r w:rsidR="005950D2">
        <w:t xml:space="preserve"> </w:t>
      </w:r>
      <w:r>
        <w:t xml:space="preserve">and </w:t>
      </w:r>
      <w:r w:rsidR="005950D2">
        <w:t xml:space="preserve">modernising our sector </w:t>
      </w:r>
      <w:r>
        <w:t>into</w:t>
      </w:r>
      <w:r w:rsidR="002547DC">
        <w:t xml:space="preserve"> a </w:t>
      </w:r>
      <w:r w:rsidR="006A74BA">
        <w:t xml:space="preserve">well-resourced </w:t>
      </w:r>
      <w:r w:rsidR="002547DC">
        <w:t xml:space="preserve">system that monitor outputs, outcomes and impact. </w:t>
      </w:r>
    </w:p>
    <w:p w14:paraId="3E66667C" w14:textId="77777777" w:rsidR="002547DC" w:rsidRDefault="002547DC" w:rsidP="002547DC">
      <w:pPr>
        <w:rPr>
          <w:bCs/>
          <w:lang w:val="en-US"/>
        </w:rPr>
      </w:pPr>
      <w:r>
        <w:rPr>
          <w:bCs/>
          <w:lang w:val="en-US"/>
        </w:rPr>
        <w:t xml:space="preserve">The key difference between the current state and the desired future state </w:t>
      </w:r>
      <w:r w:rsidR="005950D2">
        <w:rPr>
          <w:bCs/>
          <w:lang w:val="en-US"/>
        </w:rPr>
        <w:t>will</w:t>
      </w:r>
      <w:r w:rsidR="00A05370">
        <w:rPr>
          <w:bCs/>
          <w:lang w:val="en-US"/>
        </w:rPr>
        <w:t xml:space="preserve"> </w:t>
      </w:r>
      <w:r>
        <w:rPr>
          <w:bCs/>
          <w:lang w:val="en-US"/>
        </w:rPr>
        <w:t xml:space="preserve">be a transparent </w:t>
      </w:r>
      <w:r w:rsidR="005950D2">
        <w:rPr>
          <w:bCs/>
          <w:lang w:val="en-US"/>
        </w:rPr>
        <w:t xml:space="preserve">and consistent </w:t>
      </w:r>
      <w:r>
        <w:rPr>
          <w:bCs/>
          <w:lang w:val="en-US"/>
        </w:rPr>
        <w:t xml:space="preserve">mechanism </w:t>
      </w:r>
      <w:r w:rsidR="003A35BD">
        <w:rPr>
          <w:bCs/>
          <w:lang w:val="en-US"/>
        </w:rPr>
        <w:t xml:space="preserve">for capturing </w:t>
      </w:r>
      <w:r>
        <w:rPr>
          <w:bCs/>
          <w:lang w:val="en-US"/>
        </w:rPr>
        <w:t>key information and data</w:t>
      </w:r>
      <w:r w:rsidR="006F5A52">
        <w:rPr>
          <w:bCs/>
          <w:lang w:val="en-US"/>
        </w:rPr>
        <w:t xml:space="preserve">. </w:t>
      </w:r>
      <w:r w:rsidR="005950D2">
        <w:rPr>
          <w:bCs/>
          <w:lang w:val="en-US"/>
        </w:rPr>
        <w:t xml:space="preserve">Some centres are already </w:t>
      </w:r>
      <w:r w:rsidR="006F5A52">
        <w:rPr>
          <w:bCs/>
          <w:lang w:val="en-US"/>
        </w:rPr>
        <w:t xml:space="preserve">collecting and measuring data </w:t>
      </w:r>
      <w:r w:rsidR="003A35BD">
        <w:rPr>
          <w:bCs/>
          <w:lang w:val="en-US"/>
        </w:rPr>
        <w:t>well</w:t>
      </w:r>
      <w:r w:rsidR="006F5A52">
        <w:rPr>
          <w:bCs/>
          <w:lang w:val="en-US"/>
        </w:rPr>
        <w:t>. T</w:t>
      </w:r>
      <w:r w:rsidR="005950D2">
        <w:rPr>
          <w:bCs/>
          <w:lang w:val="en-US"/>
        </w:rPr>
        <w:t>heir experience</w:t>
      </w:r>
      <w:r w:rsidR="006F5A52">
        <w:rPr>
          <w:bCs/>
          <w:lang w:val="en-US"/>
        </w:rPr>
        <w:t xml:space="preserve"> and capability</w:t>
      </w:r>
      <w:r w:rsidR="005950D2">
        <w:rPr>
          <w:bCs/>
          <w:lang w:val="en-US"/>
        </w:rPr>
        <w:t xml:space="preserve"> will inform future</w:t>
      </w:r>
      <w:r w:rsidR="006F5A52">
        <w:rPr>
          <w:bCs/>
          <w:lang w:val="en-US"/>
        </w:rPr>
        <w:t xml:space="preserve"> sector</w:t>
      </w:r>
      <w:r w:rsidR="003A35BD">
        <w:rPr>
          <w:bCs/>
          <w:lang w:val="en-US"/>
        </w:rPr>
        <w:t>-</w:t>
      </w:r>
      <w:r w:rsidR="006F5A52">
        <w:rPr>
          <w:bCs/>
          <w:lang w:val="en-US"/>
        </w:rPr>
        <w:t>wide</w:t>
      </w:r>
      <w:r w:rsidR="005950D2">
        <w:rPr>
          <w:bCs/>
          <w:lang w:val="en-US"/>
        </w:rPr>
        <w:t xml:space="preserve"> models for </w:t>
      </w:r>
      <w:r w:rsidR="006F5A52">
        <w:rPr>
          <w:bCs/>
          <w:lang w:val="en-US"/>
        </w:rPr>
        <w:t>monitor</w:t>
      </w:r>
      <w:r w:rsidR="003A35BD">
        <w:rPr>
          <w:bCs/>
          <w:lang w:val="en-US"/>
        </w:rPr>
        <w:t>ing</w:t>
      </w:r>
      <w:r w:rsidR="006F5A52">
        <w:rPr>
          <w:bCs/>
          <w:lang w:val="en-US"/>
        </w:rPr>
        <w:t xml:space="preserve"> CLC </w:t>
      </w:r>
      <w:r w:rsidR="005950D2">
        <w:rPr>
          <w:bCs/>
          <w:lang w:val="en-US"/>
        </w:rPr>
        <w:t>performance</w:t>
      </w:r>
      <w:r w:rsidR="006F5A52">
        <w:rPr>
          <w:bCs/>
          <w:lang w:val="en-US"/>
        </w:rPr>
        <w:t>.</w:t>
      </w:r>
    </w:p>
    <w:p w14:paraId="79766A3A" w14:textId="74C88646" w:rsidR="00156D25" w:rsidRDefault="00156D25" w:rsidP="002547DC">
      <w:pPr>
        <w:rPr>
          <w:bCs/>
          <w:lang w:val="en-US"/>
        </w:rPr>
      </w:pPr>
      <w:r>
        <w:rPr>
          <w:bCs/>
          <w:lang w:val="en-US"/>
        </w:rPr>
        <w:t xml:space="preserve">As noted below in the future state, there would </w:t>
      </w:r>
      <w:r w:rsidR="00542834">
        <w:rPr>
          <w:bCs/>
          <w:lang w:val="en-US"/>
        </w:rPr>
        <w:t xml:space="preserve">ordinarily </w:t>
      </w:r>
      <w:r>
        <w:rPr>
          <w:bCs/>
          <w:lang w:val="en-US"/>
        </w:rPr>
        <w:t xml:space="preserve">be no </w:t>
      </w:r>
      <w:r w:rsidRPr="00156D25">
        <w:rPr>
          <w:bCs/>
          <w:lang w:val="en-US"/>
        </w:rPr>
        <w:t>requirement for centres to submit an annual report</w:t>
      </w:r>
      <w:r w:rsidR="00CD4D58">
        <w:rPr>
          <w:bCs/>
          <w:lang w:val="en-US"/>
        </w:rPr>
        <w:t xml:space="preserve"> </w:t>
      </w:r>
      <w:r w:rsidR="00410633">
        <w:rPr>
          <w:bCs/>
          <w:lang w:val="en-US"/>
        </w:rPr>
        <w:t>(as under</w:t>
      </w:r>
      <w:r w:rsidR="00CD4D58">
        <w:rPr>
          <w:bCs/>
          <w:lang w:val="en-US"/>
        </w:rPr>
        <w:t xml:space="preserve"> current reporting system</w:t>
      </w:r>
      <w:r w:rsidR="00410633">
        <w:rPr>
          <w:bCs/>
          <w:lang w:val="en-US"/>
        </w:rPr>
        <w:t>)</w:t>
      </w:r>
      <w:r w:rsidR="00694B81">
        <w:rPr>
          <w:bCs/>
          <w:lang w:val="en-US"/>
        </w:rPr>
        <w:t>,</w:t>
      </w:r>
      <w:r>
        <w:rPr>
          <w:bCs/>
          <w:lang w:val="en-US"/>
        </w:rPr>
        <w:t xml:space="preserve"> instead centres will report</w:t>
      </w:r>
      <w:r w:rsidRPr="00156D25">
        <w:rPr>
          <w:bCs/>
          <w:lang w:val="en-US"/>
        </w:rPr>
        <w:t xml:space="preserve"> through</w:t>
      </w:r>
      <w:r w:rsidR="00CD4D58">
        <w:rPr>
          <w:bCs/>
          <w:lang w:val="en-US"/>
        </w:rPr>
        <w:t xml:space="preserve"> commentary on</w:t>
      </w:r>
      <w:r w:rsidRPr="00156D25">
        <w:rPr>
          <w:bCs/>
          <w:lang w:val="en-US"/>
        </w:rPr>
        <w:t xml:space="preserve"> an agreed dashboard with shared, de-identified data</w:t>
      </w:r>
      <w:r w:rsidR="00CD4D58">
        <w:rPr>
          <w:bCs/>
          <w:lang w:val="en-US"/>
        </w:rPr>
        <w:t xml:space="preserve"> and indicators</w:t>
      </w:r>
      <w:r w:rsidR="006F5A52">
        <w:rPr>
          <w:bCs/>
          <w:lang w:val="en-US"/>
        </w:rPr>
        <w:t xml:space="preserve"> throughout the period of the </w:t>
      </w:r>
      <w:r w:rsidR="003A35BD">
        <w:rPr>
          <w:bCs/>
          <w:lang w:val="en-US"/>
        </w:rPr>
        <w:t>agreement</w:t>
      </w:r>
      <w:r w:rsidR="00CD4D58">
        <w:rPr>
          <w:bCs/>
          <w:lang w:val="en-US"/>
        </w:rPr>
        <w:t>, and other key qualitative information such as client stories or progress on strategic advocacy work</w:t>
      </w:r>
    </w:p>
    <w:p w14:paraId="4ED62257" w14:textId="77777777" w:rsidR="002547DC" w:rsidRPr="00392CC4" w:rsidRDefault="002547DC" w:rsidP="00392CC4">
      <w:pPr>
        <w:pStyle w:val="Heading2"/>
      </w:pPr>
      <w:bookmarkStart w:id="67" w:name="_Toc490159281"/>
      <w:r w:rsidRPr="00392CC4">
        <w:t>Key elements of the current state</w:t>
      </w:r>
      <w:bookmarkEnd w:id="67"/>
      <w:r w:rsidRPr="00392CC4">
        <w:t xml:space="preserve"> </w:t>
      </w:r>
    </w:p>
    <w:p w14:paraId="07F03368" w14:textId="77777777" w:rsidR="002547DC" w:rsidRPr="002B11E4" w:rsidRDefault="002547DC" w:rsidP="00F62267">
      <w:pPr>
        <w:pStyle w:val="ListBullet"/>
      </w:pPr>
      <w:r w:rsidRPr="002B11E4">
        <w:t>Workplan</w:t>
      </w:r>
      <w:r w:rsidR="00650712">
        <w:t xml:space="preserve"> </w:t>
      </w:r>
      <w:r w:rsidRPr="002B11E4">
        <w:t>focused on outputs</w:t>
      </w:r>
    </w:p>
    <w:p w14:paraId="24F0E16B" w14:textId="77777777" w:rsidR="002547DC" w:rsidRPr="002B11E4" w:rsidRDefault="002547DC" w:rsidP="00F62267">
      <w:pPr>
        <w:pStyle w:val="ListBullet"/>
      </w:pPr>
      <w:r w:rsidRPr="002B11E4">
        <w:t>CLASS data entry</w:t>
      </w:r>
    </w:p>
    <w:p w14:paraId="48048808" w14:textId="4ADCF801" w:rsidR="002547DC" w:rsidRPr="002B11E4" w:rsidRDefault="002547DC" w:rsidP="00F62267">
      <w:pPr>
        <w:pStyle w:val="ListBullet"/>
      </w:pPr>
      <w:r w:rsidRPr="002B11E4">
        <w:t>Six-month progress report</w:t>
      </w:r>
      <w:r w:rsidR="00650712">
        <w:t xml:space="preserve"> </w:t>
      </w:r>
      <w:r w:rsidRPr="002B11E4">
        <w:t>against workplan</w:t>
      </w:r>
    </w:p>
    <w:p w14:paraId="70E383A7" w14:textId="63027AA6" w:rsidR="002547DC" w:rsidRPr="002B11E4" w:rsidRDefault="002547DC" w:rsidP="00F62267">
      <w:pPr>
        <w:pStyle w:val="ListBullet"/>
      </w:pPr>
      <w:r w:rsidRPr="002B11E4">
        <w:t>Twelve-month progress report</w:t>
      </w:r>
      <w:r w:rsidR="00650712">
        <w:t xml:space="preserve"> </w:t>
      </w:r>
      <w:r w:rsidR="00A061EE">
        <w:t>against work</w:t>
      </w:r>
      <w:r w:rsidRPr="002B11E4">
        <w:t>plan</w:t>
      </w:r>
    </w:p>
    <w:p w14:paraId="633E9B52" w14:textId="77777777" w:rsidR="002547DC" w:rsidRPr="002B11E4" w:rsidRDefault="002547DC" w:rsidP="00F62267">
      <w:pPr>
        <w:pStyle w:val="ListBullet"/>
      </w:pPr>
      <w:r w:rsidRPr="002B11E4">
        <w:t>Organisational annual report</w:t>
      </w:r>
    </w:p>
    <w:p w14:paraId="73D98A27" w14:textId="77777777" w:rsidR="002547DC" w:rsidRDefault="002547DC" w:rsidP="00392CC4">
      <w:pPr>
        <w:pStyle w:val="Heading2"/>
        <w:rPr>
          <w:lang w:val="en-US"/>
        </w:rPr>
      </w:pPr>
      <w:bookmarkStart w:id="68" w:name="_Toc490159282"/>
      <w:r>
        <w:rPr>
          <w:lang w:val="en-US"/>
        </w:rPr>
        <w:t>Key elements of a f</w:t>
      </w:r>
      <w:r w:rsidRPr="00415377">
        <w:rPr>
          <w:lang w:val="en-US"/>
        </w:rPr>
        <w:t>uture state</w:t>
      </w:r>
      <w:bookmarkEnd w:id="68"/>
      <w:r>
        <w:rPr>
          <w:lang w:val="en-US"/>
        </w:rPr>
        <w:t xml:space="preserve"> </w:t>
      </w:r>
    </w:p>
    <w:p w14:paraId="7B95F38C" w14:textId="77777777" w:rsidR="002547DC" w:rsidRPr="002B11E4" w:rsidRDefault="002547DC" w:rsidP="00F62267">
      <w:pPr>
        <w:pStyle w:val="ListBullet"/>
      </w:pPr>
      <w:r w:rsidRPr="002B11E4">
        <w:t xml:space="preserve">Service plan </w:t>
      </w:r>
      <w:r w:rsidR="006F5A52" w:rsidRPr="002B11E4">
        <w:t xml:space="preserve">that </w:t>
      </w:r>
      <w:r w:rsidRPr="002B11E4">
        <w:t>includes measurement of outputs, outcomes, impact</w:t>
      </w:r>
    </w:p>
    <w:p w14:paraId="42AD4BF4" w14:textId="77777777" w:rsidR="002547DC" w:rsidRPr="002B11E4" w:rsidRDefault="002547DC" w:rsidP="00F62267">
      <w:pPr>
        <w:pStyle w:val="ListBullet"/>
      </w:pPr>
      <w:r w:rsidRPr="002B11E4">
        <w:t>CLASS data entry</w:t>
      </w:r>
    </w:p>
    <w:p w14:paraId="0D47A07E" w14:textId="73DCE4B2" w:rsidR="002547DC" w:rsidRPr="002B11E4" w:rsidRDefault="002547DC" w:rsidP="00F62267">
      <w:pPr>
        <w:pStyle w:val="ListBullet"/>
      </w:pPr>
      <w:r w:rsidRPr="002B11E4">
        <w:t>Six-month report</w:t>
      </w:r>
      <w:r w:rsidR="00CD4D58">
        <w:t xml:space="preserve"> through commentary</w:t>
      </w:r>
      <w:r w:rsidRPr="002B11E4">
        <w:t xml:space="preserve"> on </w:t>
      </w:r>
      <w:r w:rsidR="00CD4D58">
        <w:t xml:space="preserve">an </w:t>
      </w:r>
      <w:r w:rsidRPr="002B11E4">
        <w:t>agreed data dashboard</w:t>
      </w:r>
    </w:p>
    <w:p w14:paraId="0FE4B4E1" w14:textId="4EE55D28" w:rsidR="002547DC" w:rsidRPr="002B11E4" w:rsidRDefault="002547DC" w:rsidP="00F62267">
      <w:pPr>
        <w:pStyle w:val="ListBullet"/>
      </w:pPr>
      <w:r w:rsidRPr="002B11E4">
        <w:t>Twelve-month report</w:t>
      </w:r>
      <w:r w:rsidR="00CD4D58">
        <w:t xml:space="preserve"> through commentary</w:t>
      </w:r>
      <w:r w:rsidRPr="002B11E4">
        <w:t xml:space="preserve"> on </w:t>
      </w:r>
      <w:r w:rsidR="00CD4D58">
        <w:t xml:space="preserve">an </w:t>
      </w:r>
      <w:r w:rsidRPr="002B11E4">
        <w:t>agreed data dashboard</w:t>
      </w:r>
    </w:p>
    <w:p w14:paraId="53FBCA91" w14:textId="3947FE9B" w:rsidR="002547DC" w:rsidRPr="002B11E4" w:rsidRDefault="002547DC" w:rsidP="00F62267">
      <w:pPr>
        <w:pStyle w:val="ListBullet"/>
      </w:pPr>
      <w:r w:rsidRPr="002B11E4">
        <w:t>Shared de-identified data</w:t>
      </w:r>
      <w:r w:rsidR="00CD4D58">
        <w:t xml:space="preserve"> based on key indicators of progress</w:t>
      </w:r>
      <w:r w:rsidRPr="002B11E4">
        <w:t xml:space="preserve"> through the dashboard</w:t>
      </w:r>
      <w:r w:rsidR="00CD4D58">
        <w:t xml:space="preserve">, </w:t>
      </w:r>
      <w:r w:rsidR="00CD4D58">
        <w:rPr>
          <w:bCs/>
          <w:lang w:val="en-US"/>
        </w:rPr>
        <w:t>and other key qualitative information such as client stories or progress on strategic advocacy work.</w:t>
      </w:r>
    </w:p>
    <w:p w14:paraId="268134D7" w14:textId="77777777" w:rsidR="00605E0E" w:rsidRDefault="00605E0E" w:rsidP="00605E0E">
      <w:pPr>
        <w:pStyle w:val="ListBullet"/>
        <w:numPr>
          <w:ilvl w:val="0"/>
          <w:numId w:val="0"/>
        </w:numPr>
      </w:pPr>
      <w:r w:rsidRPr="00605E0E">
        <w:t>The aim</w:t>
      </w:r>
      <w:r>
        <w:t xml:space="preserve"> </w:t>
      </w:r>
      <w:r w:rsidR="00AE4060">
        <w:t>of</w:t>
      </w:r>
      <w:r>
        <w:t xml:space="preserve"> this reform</w:t>
      </w:r>
      <w:r w:rsidRPr="00605E0E">
        <w:t xml:space="preserve"> is to ease the reporting workload and create an agreed </w:t>
      </w:r>
      <w:r w:rsidR="00AE4060">
        <w:t xml:space="preserve">and transparent </w:t>
      </w:r>
      <w:r w:rsidRPr="00605E0E">
        <w:t xml:space="preserve">mechanism to share </w:t>
      </w:r>
      <w:r w:rsidR="00650712" w:rsidRPr="00605E0E">
        <w:t>meaningful</w:t>
      </w:r>
      <w:r w:rsidR="00650712">
        <w:t>,</w:t>
      </w:r>
      <w:r w:rsidR="00650712" w:rsidRPr="00605E0E">
        <w:t xml:space="preserve"> </w:t>
      </w:r>
      <w:r w:rsidRPr="00605E0E">
        <w:t>real</w:t>
      </w:r>
      <w:r w:rsidR="00AE4060">
        <w:t>-</w:t>
      </w:r>
      <w:r w:rsidRPr="00605E0E">
        <w:t xml:space="preserve">time information about </w:t>
      </w:r>
      <w:r w:rsidR="009833B3">
        <w:t xml:space="preserve">service </w:t>
      </w:r>
      <w:r w:rsidRPr="00605E0E">
        <w:t>performance against a new model service plan</w:t>
      </w:r>
      <w:r w:rsidR="006F23BC">
        <w:t xml:space="preserve">. </w:t>
      </w:r>
    </w:p>
    <w:p w14:paraId="45D4D32E" w14:textId="77777777" w:rsidR="002547DC" w:rsidRDefault="00156D25" w:rsidP="00F62267">
      <w:pPr>
        <w:pStyle w:val="Heading1"/>
        <w:pageBreakBefore/>
        <w:rPr>
          <w:lang w:val="en-US"/>
        </w:rPr>
      </w:pPr>
      <w:bookmarkStart w:id="69" w:name="_Option_4:_Modernising"/>
      <w:bookmarkStart w:id="70" w:name="_Toc490159283"/>
      <w:bookmarkEnd w:id="69"/>
      <w:r>
        <w:rPr>
          <w:lang w:val="en-US"/>
        </w:rPr>
        <w:lastRenderedPageBreak/>
        <w:t xml:space="preserve">Reform </w:t>
      </w:r>
      <w:r w:rsidR="00471E5F">
        <w:rPr>
          <w:lang w:val="en-US"/>
        </w:rPr>
        <w:t xml:space="preserve">4: </w:t>
      </w:r>
      <w:r w:rsidR="002547DC" w:rsidRPr="00FC6D29">
        <w:rPr>
          <w:lang w:val="en-US"/>
        </w:rPr>
        <w:t>Modernising the CLSP Workplan</w:t>
      </w:r>
      <w:bookmarkEnd w:id="70"/>
      <w:r w:rsidR="002547DC" w:rsidRPr="00FC6D29">
        <w:rPr>
          <w:lang w:val="en-US"/>
        </w:rPr>
        <w:t xml:space="preserve"> </w:t>
      </w:r>
    </w:p>
    <w:p w14:paraId="10B65299" w14:textId="77777777" w:rsidR="00A74B66" w:rsidRDefault="002547DC" w:rsidP="002547DC">
      <w:pPr>
        <w:rPr>
          <w:bCs/>
          <w:lang w:val="en-US"/>
        </w:rPr>
      </w:pPr>
      <w:r w:rsidRPr="00FC6D29">
        <w:rPr>
          <w:bCs/>
          <w:lang w:val="en-US"/>
        </w:rPr>
        <w:t>The current workplan is out-of-date</w:t>
      </w:r>
      <w:r w:rsidR="00F46E9E">
        <w:rPr>
          <w:bCs/>
          <w:lang w:val="en-US"/>
        </w:rPr>
        <w:t xml:space="preserve"> and unfit for purpose</w:t>
      </w:r>
      <w:r w:rsidRPr="00FC6D29">
        <w:rPr>
          <w:bCs/>
          <w:lang w:val="en-US"/>
        </w:rPr>
        <w:t xml:space="preserve">. </w:t>
      </w:r>
      <w:r w:rsidR="00F46E9E">
        <w:rPr>
          <w:bCs/>
          <w:lang w:val="en-US"/>
        </w:rPr>
        <w:t xml:space="preserve">Originally, the workplan was intended to be the primary </w:t>
      </w:r>
      <w:r w:rsidR="00650712">
        <w:rPr>
          <w:bCs/>
          <w:lang w:val="en-US"/>
        </w:rPr>
        <w:t>means of</w:t>
      </w:r>
      <w:r w:rsidR="007C3502">
        <w:rPr>
          <w:bCs/>
          <w:lang w:val="en-US"/>
        </w:rPr>
        <w:t xml:space="preserve"> </w:t>
      </w:r>
      <w:r w:rsidR="006F23BC">
        <w:rPr>
          <w:bCs/>
          <w:lang w:val="en-US"/>
        </w:rPr>
        <w:t>clarifying</w:t>
      </w:r>
      <w:r w:rsidR="00F46E9E">
        <w:rPr>
          <w:bCs/>
          <w:lang w:val="en-US"/>
        </w:rPr>
        <w:t xml:space="preserve"> </w:t>
      </w:r>
      <w:r w:rsidR="007C3502">
        <w:rPr>
          <w:bCs/>
          <w:lang w:val="en-US"/>
        </w:rPr>
        <w:t xml:space="preserve">planned </w:t>
      </w:r>
      <w:r w:rsidR="00473CF2">
        <w:rPr>
          <w:bCs/>
          <w:lang w:val="en-US"/>
        </w:rPr>
        <w:t>activities and outputs</w:t>
      </w:r>
      <w:r w:rsidR="00F46E9E">
        <w:rPr>
          <w:bCs/>
          <w:lang w:val="en-US"/>
        </w:rPr>
        <w:t>, and</w:t>
      </w:r>
      <w:r w:rsidR="00473CF2">
        <w:rPr>
          <w:bCs/>
          <w:lang w:val="en-US"/>
        </w:rPr>
        <w:t xml:space="preserve"> </w:t>
      </w:r>
      <w:r w:rsidR="00650712">
        <w:rPr>
          <w:bCs/>
          <w:lang w:val="en-US"/>
        </w:rPr>
        <w:t>simultaneously</w:t>
      </w:r>
      <w:r w:rsidR="00F46E9E">
        <w:rPr>
          <w:bCs/>
          <w:lang w:val="en-US"/>
        </w:rPr>
        <w:t xml:space="preserve"> </w:t>
      </w:r>
      <w:r w:rsidR="00473CF2">
        <w:rPr>
          <w:bCs/>
          <w:lang w:val="en-US"/>
        </w:rPr>
        <w:t xml:space="preserve">provide VLA with </w:t>
      </w:r>
      <w:r w:rsidR="007C3502">
        <w:rPr>
          <w:bCs/>
          <w:lang w:val="en-US"/>
        </w:rPr>
        <w:t xml:space="preserve">the </w:t>
      </w:r>
      <w:r w:rsidR="00473CF2">
        <w:rPr>
          <w:bCs/>
          <w:lang w:val="en-US"/>
        </w:rPr>
        <w:t xml:space="preserve">information it </w:t>
      </w:r>
      <w:r w:rsidR="007C3502">
        <w:rPr>
          <w:bCs/>
          <w:lang w:val="en-US"/>
        </w:rPr>
        <w:t xml:space="preserve">needed, </w:t>
      </w:r>
      <w:r w:rsidR="00650712">
        <w:rPr>
          <w:bCs/>
          <w:lang w:val="en-US"/>
        </w:rPr>
        <w:t>to fulfil</w:t>
      </w:r>
      <w:r w:rsidR="00473CF2">
        <w:rPr>
          <w:bCs/>
          <w:lang w:val="en-US"/>
        </w:rPr>
        <w:t xml:space="preserve"> its role as</w:t>
      </w:r>
      <w:r w:rsidR="00F46E9E">
        <w:rPr>
          <w:bCs/>
          <w:lang w:val="en-US"/>
        </w:rPr>
        <w:t xml:space="preserve"> the fund manager.</w:t>
      </w:r>
      <w:r w:rsidR="007C3502">
        <w:rPr>
          <w:bCs/>
          <w:lang w:val="en-US"/>
        </w:rPr>
        <w:t xml:space="preserve"> </w:t>
      </w:r>
    </w:p>
    <w:p w14:paraId="3D8B649D" w14:textId="77777777" w:rsidR="00473CF2" w:rsidRDefault="00AE4060" w:rsidP="002547DC">
      <w:pPr>
        <w:rPr>
          <w:bCs/>
          <w:lang w:val="en-US"/>
        </w:rPr>
      </w:pPr>
      <w:r>
        <w:rPr>
          <w:bCs/>
          <w:lang w:val="en-US"/>
        </w:rPr>
        <w:t>Regular r</w:t>
      </w:r>
      <w:r w:rsidR="007C3502">
        <w:rPr>
          <w:bCs/>
          <w:lang w:val="en-US"/>
        </w:rPr>
        <w:t>eports are generated against these plans.</w:t>
      </w:r>
    </w:p>
    <w:p w14:paraId="279FBB3F" w14:textId="77777777" w:rsidR="00AE4060" w:rsidRDefault="00F46E9E" w:rsidP="002547DC">
      <w:pPr>
        <w:rPr>
          <w:bCs/>
          <w:lang w:val="en-US"/>
        </w:rPr>
      </w:pPr>
      <w:r>
        <w:rPr>
          <w:bCs/>
          <w:lang w:val="en-US"/>
        </w:rPr>
        <w:t>Whilst some CLCs submit high quality plans</w:t>
      </w:r>
      <w:r w:rsidR="006F23BC">
        <w:rPr>
          <w:bCs/>
          <w:lang w:val="en-US"/>
        </w:rPr>
        <w:t xml:space="preserve"> and reports</w:t>
      </w:r>
      <w:r w:rsidR="00737719">
        <w:rPr>
          <w:bCs/>
          <w:lang w:val="en-US"/>
        </w:rPr>
        <w:t>,</w:t>
      </w:r>
      <w:r>
        <w:rPr>
          <w:bCs/>
          <w:lang w:val="en-US"/>
        </w:rPr>
        <w:t xml:space="preserve"> t</w:t>
      </w:r>
      <w:r w:rsidR="002547DC" w:rsidRPr="00FC6D29">
        <w:rPr>
          <w:bCs/>
          <w:lang w:val="en-US"/>
        </w:rPr>
        <w:t xml:space="preserve">here is </w:t>
      </w:r>
      <w:r>
        <w:rPr>
          <w:bCs/>
          <w:lang w:val="en-US"/>
        </w:rPr>
        <w:t xml:space="preserve">very </w:t>
      </w:r>
      <w:r w:rsidR="002547DC" w:rsidRPr="00FC6D29">
        <w:rPr>
          <w:bCs/>
          <w:lang w:val="en-US"/>
        </w:rPr>
        <w:t xml:space="preserve">little </w:t>
      </w:r>
      <w:r w:rsidR="00AE4060">
        <w:rPr>
          <w:bCs/>
          <w:lang w:val="en-US"/>
        </w:rPr>
        <w:t>consistency</w:t>
      </w:r>
      <w:r w:rsidR="002547DC" w:rsidRPr="00FC6D29">
        <w:rPr>
          <w:bCs/>
          <w:lang w:val="en-US"/>
        </w:rPr>
        <w:t xml:space="preserve"> </w:t>
      </w:r>
      <w:r w:rsidR="00AE4060">
        <w:rPr>
          <w:bCs/>
          <w:lang w:val="en-US"/>
        </w:rPr>
        <w:t xml:space="preserve">and quality in </w:t>
      </w:r>
      <w:r w:rsidR="00A74B66">
        <w:rPr>
          <w:bCs/>
          <w:lang w:val="en-US"/>
        </w:rPr>
        <w:t xml:space="preserve">the </w:t>
      </w:r>
      <w:r w:rsidR="00AE4060">
        <w:rPr>
          <w:bCs/>
          <w:lang w:val="en-US"/>
        </w:rPr>
        <w:t xml:space="preserve">design and </w:t>
      </w:r>
      <w:r w:rsidR="002547DC" w:rsidRPr="00FC6D29">
        <w:rPr>
          <w:bCs/>
          <w:lang w:val="en-US"/>
        </w:rPr>
        <w:t xml:space="preserve">articulation </w:t>
      </w:r>
      <w:r w:rsidR="00AE4060">
        <w:rPr>
          <w:bCs/>
          <w:lang w:val="en-US"/>
        </w:rPr>
        <w:t xml:space="preserve">of </w:t>
      </w:r>
      <w:r w:rsidR="002547DC" w:rsidRPr="00FC6D29">
        <w:rPr>
          <w:bCs/>
          <w:lang w:val="en-US"/>
        </w:rPr>
        <w:t xml:space="preserve">the </w:t>
      </w:r>
      <w:r w:rsidR="00AB430D">
        <w:rPr>
          <w:bCs/>
          <w:lang w:val="en-US"/>
        </w:rPr>
        <w:t xml:space="preserve">vision, </w:t>
      </w:r>
      <w:r w:rsidR="002547DC" w:rsidRPr="00FC6D29">
        <w:rPr>
          <w:bCs/>
          <w:lang w:val="en-US"/>
        </w:rPr>
        <w:t>goals</w:t>
      </w:r>
      <w:r w:rsidR="0046417A">
        <w:rPr>
          <w:bCs/>
          <w:lang w:val="en-US"/>
        </w:rPr>
        <w:t>,</w:t>
      </w:r>
      <w:r w:rsidR="002547DC" w:rsidRPr="00FC6D29">
        <w:rPr>
          <w:bCs/>
          <w:lang w:val="en-US"/>
        </w:rPr>
        <w:t xml:space="preserve"> objectives and acti</w:t>
      </w:r>
      <w:r w:rsidR="00AE4060">
        <w:rPr>
          <w:bCs/>
          <w:lang w:val="en-US"/>
        </w:rPr>
        <w:t>vities</w:t>
      </w:r>
      <w:r w:rsidR="00650712">
        <w:rPr>
          <w:bCs/>
          <w:lang w:val="en-US"/>
        </w:rPr>
        <w:t xml:space="preserve"> across the sector</w:t>
      </w:r>
      <w:r w:rsidR="00AE4060">
        <w:rPr>
          <w:bCs/>
          <w:lang w:val="en-US"/>
        </w:rPr>
        <w:t xml:space="preserve">, </w:t>
      </w:r>
      <w:r>
        <w:rPr>
          <w:bCs/>
          <w:lang w:val="en-US"/>
        </w:rPr>
        <w:t xml:space="preserve">and </w:t>
      </w:r>
      <w:r w:rsidR="00650712">
        <w:rPr>
          <w:bCs/>
          <w:lang w:val="en-US"/>
        </w:rPr>
        <w:t xml:space="preserve">limited </w:t>
      </w:r>
      <w:r>
        <w:rPr>
          <w:bCs/>
          <w:lang w:val="en-US"/>
        </w:rPr>
        <w:t>focus on outcomes and impact.</w:t>
      </w:r>
      <w:r w:rsidR="00AE4060">
        <w:rPr>
          <w:bCs/>
          <w:lang w:val="en-US"/>
        </w:rPr>
        <w:t xml:space="preserve"> </w:t>
      </w:r>
    </w:p>
    <w:p w14:paraId="35DF1C0E" w14:textId="77777777" w:rsidR="00737719" w:rsidRDefault="00737719" w:rsidP="002547DC">
      <w:pPr>
        <w:rPr>
          <w:bCs/>
          <w:lang w:val="en-US"/>
        </w:rPr>
      </w:pPr>
      <w:r>
        <w:rPr>
          <w:bCs/>
          <w:lang w:val="en-US"/>
        </w:rPr>
        <w:t>W</w:t>
      </w:r>
      <w:r w:rsidR="006F23BC">
        <w:rPr>
          <w:bCs/>
          <w:lang w:val="en-US"/>
        </w:rPr>
        <w:t xml:space="preserve">orkplans and reports </w:t>
      </w:r>
      <w:r w:rsidR="00F46E9E">
        <w:rPr>
          <w:bCs/>
          <w:lang w:val="en-US"/>
        </w:rPr>
        <w:t xml:space="preserve">are </w:t>
      </w:r>
      <w:r>
        <w:rPr>
          <w:bCs/>
          <w:lang w:val="en-US"/>
        </w:rPr>
        <w:t>frequently</w:t>
      </w:r>
      <w:r w:rsidR="00F46E9E">
        <w:rPr>
          <w:bCs/>
          <w:lang w:val="en-US"/>
        </w:rPr>
        <w:t xml:space="preserve"> returned to centres for </w:t>
      </w:r>
      <w:r w:rsidR="00A74B66">
        <w:rPr>
          <w:bCs/>
          <w:lang w:val="en-US"/>
        </w:rPr>
        <w:t xml:space="preserve">adjustment and </w:t>
      </w:r>
      <w:r w:rsidR="00F46E9E">
        <w:rPr>
          <w:bCs/>
          <w:lang w:val="en-US"/>
        </w:rPr>
        <w:t>improvement before approval. This creates enormous frustration and inefficienc</w:t>
      </w:r>
      <w:r w:rsidR="00473CF2">
        <w:rPr>
          <w:bCs/>
          <w:lang w:val="en-US"/>
        </w:rPr>
        <w:t>y</w:t>
      </w:r>
      <w:r w:rsidR="00AB430D">
        <w:rPr>
          <w:bCs/>
          <w:lang w:val="en-US"/>
        </w:rPr>
        <w:t xml:space="preserve"> between VLA and CLCs</w:t>
      </w:r>
      <w:r w:rsidR="00473CF2">
        <w:rPr>
          <w:bCs/>
          <w:lang w:val="en-US"/>
        </w:rPr>
        <w:t xml:space="preserve">. </w:t>
      </w:r>
    </w:p>
    <w:p w14:paraId="4B441974" w14:textId="77777777" w:rsidR="00737719" w:rsidRPr="00FC6D29" w:rsidRDefault="00473CF2" w:rsidP="002547DC">
      <w:pPr>
        <w:rPr>
          <w:bCs/>
          <w:lang w:val="en-US"/>
        </w:rPr>
      </w:pPr>
      <w:r>
        <w:rPr>
          <w:bCs/>
          <w:lang w:val="en-US"/>
        </w:rPr>
        <w:t xml:space="preserve">VLA seeks to </w:t>
      </w:r>
      <w:r w:rsidR="00083740">
        <w:rPr>
          <w:bCs/>
          <w:lang w:val="en-US"/>
        </w:rPr>
        <w:t>replace</w:t>
      </w:r>
      <w:r>
        <w:rPr>
          <w:bCs/>
          <w:lang w:val="en-US"/>
        </w:rPr>
        <w:t xml:space="preserve"> the CLSP Work Plan </w:t>
      </w:r>
      <w:r w:rsidR="00083740">
        <w:rPr>
          <w:bCs/>
          <w:lang w:val="en-US"/>
        </w:rPr>
        <w:t>with</w:t>
      </w:r>
      <w:r>
        <w:rPr>
          <w:bCs/>
          <w:lang w:val="en-US"/>
        </w:rPr>
        <w:t xml:space="preserve"> a new</w:t>
      </w:r>
      <w:r w:rsidR="00083740">
        <w:rPr>
          <w:bCs/>
          <w:lang w:val="en-US"/>
        </w:rPr>
        <w:t>ly developed,</w:t>
      </w:r>
      <w:r>
        <w:rPr>
          <w:bCs/>
          <w:lang w:val="en-US"/>
        </w:rPr>
        <w:t xml:space="preserve"> fit</w:t>
      </w:r>
      <w:r w:rsidR="00083740">
        <w:rPr>
          <w:bCs/>
          <w:lang w:val="en-US"/>
        </w:rPr>
        <w:t>-</w:t>
      </w:r>
      <w:r>
        <w:rPr>
          <w:bCs/>
          <w:lang w:val="en-US"/>
        </w:rPr>
        <w:t>for</w:t>
      </w:r>
      <w:r w:rsidR="00083740">
        <w:rPr>
          <w:bCs/>
          <w:lang w:val="en-US"/>
        </w:rPr>
        <w:t>-</w:t>
      </w:r>
      <w:r>
        <w:rPr>
          <w:bCs/>
          <w:lang w:val="en-US"/>
        </w:rPr>
        <w:t xml:space="preserve">purpose </w:t>
      </w:r>
      <w:r w:rsidR="00B12AA1">
        <w:rPr>
          <w:bCs/>
          <w:lang w:val="en-US"/>
        </w:rPr>
        <w:t xml:space="preserve">CLSP </w:t>
      </w:r>
      <w:r>
        <w:rPr>
          <w:bCs/>
          <w:lang w:val="en-US"/>
        </w:rPr>
        <w:t>Service Plan</w:t>
      </w:r>
      <w:r w:rsidR="00A74B66">
        <w:rPr>
          <w:bCs/>
          <w:lang w:val="en-US"/>
        </w:rPr>
        <w:t xml:space="preserve"> that provides meaningful oversight and accountability</w:t>
      </w:r>
      <w:r>
        <w:rPr>
          <w:bCs/>
          <w:lang w:val="en-US"/>
        </w:rPr>
        <w:t>.</w:t>
      </w:r>
    </w:p>
    <w:p w14:paraId="0E916537" w14:textId="77777777" w:rsidR="00B12AA1" w:rsidRDefault="00B12AA1" w:rsidP="00F62267">
      <w:pPr>
        <w:pStyle w:val="Heading2"/>
        <w:rPr>
          <w:lang w:val="en-US"/>
        </w:rPr>
      </w:pPr>
      <w:bookmarkStart w:id="71" w:name="_Toc490159284"/>
      <w:r>
        <w:rPr>
          <w:lang w:val="en-US"/>
        </w:rPr>
        <w:t>T</w:t>
      </w:r>
      <w:r w:rsidRPr="004A5F6C">
        <w:rPr>
          <w:lang w:val="en-US"/>
        </w:rPr>
        <w:t xml:space="preserve">he </w:t>
      </w:r>
      <w:r>
        <w:rPr>
          <w:lang w:val="en-US"/>
        </w:rPr>
        <w:t>current CLSP W</w:t>
      </w:r>
      <w:r w:rsidRPr="004A5F6C">
        <w:rPr>
          <w:lang w:val="en-US"/>
        </w:rPr>
        <w:t>orkplan</w:t>
      </w:r>
      <w:bookmarkEnd w:id="71"/>
    </w:p>
    <w:p w14:paraId="7AE49BEF" w14:textId="77777777" w:rsidR="002547DC" w:rsidRPr="004A5F6C" w:rsidRDefault="00AE4060" w:rsidP="00F62267">
      <w:r>
        <w:rPr>
          <w:lang w:val="en-US"/>
        </w:rPr>
        <w:t xml:space="preserve">Key </w:t>
      </w:r>
      <w:r w:rsidR="00A1675E">
        <w:rPr>
          <w:lang w:val="en-US"/>
        </w:rPr>
        <w:t xml:space="preserve">elements of </w:t>
      </w:r>
      <w:r>
        <w:rPr>
          <w:lang w:val="en-US"/>
        </w:rPr>
        <w:t>p</w:t>
      </w:r>
      <w:r w:rsidR="002547DC" w:rsidRPr="004A5F6C">
        <w:rPr>
          <w:lang w:val="en-US"/>
        </w:rPr>
        <w:t xml:space="preserve">erformance accountability </w:t>
      </w:r>
      <w:r>
        <w:rPr>
          <w:lang w:val="en-US"/>
        </w:rPr>
        <w:t>under</w:t>
      </w:r>
      <w:r w:rsidR="00F63AA4">
        <w:rPr>
          <w:lang w:val="en-US"/>
        </w:rPr>
        <w:t xml:space="preserve"> </w:t>
      </w:r>
      <w:r w:rsidR="002547DC" w:rsidRPr="004A5F6C">
        <w:rPr>
          <w:lang w:val="en-US"/>
        </w:rPr>
        <w:t xml:space="preserve">the </w:t>
      </w:r>
      <w:r w:rsidR="00F63AA4">
        <w:rPr>
          <w:lang w:val="en-US"/>
        </w:rPr>
        <w:t>current CLSP W</w:t>
      </w:r>
      <w:r w:rsidR="002547DC" w:rsidRPr="004A5F6C">
        <w:rPr>
          <w:lang w:val="en-US"/>
        </w:rPr>
        <w:t xml:space="preserve">orkplan </w:t>
      </w:r>
      <w:r w:rsidR="00B12AA1">
        <w:rPr>
          <w:lang w:val="en-US"/>
        </w:rPr>
        <w:t>are:</w:t>
      </w:r>
    </w:p>
    <w:p w14:paraId="2F3F1F6E" w14:textId="77777777" w:rsidR="002547DC" w:rsidRPr="002B11E4" w:rsidRDefault="002547DC" w:rsidP="00F62267">
      <w:pPr>
        <w:pStyle w:val="ListBullet"/>
      </w:pPr>
      <w:r w:rsidRPr="002B11E4">
        <w:t>objectives</w:t>
      </w:r>
    </w:p>
    <w:p w14:paraId="23A57F54" w14:textId="77777777" w:rsidR="002547DC" w:rsidRPr="002B11E4" w:rsidRDefault="002547DC" w:rsidP="00F62267">
      <w:pPr>
        <w:pStyle w:val="ListBullet"/>
      </w:pPr>
      <w:r w:rsidRPr="002B11E4">
        <w:t>measures, with a focus on outputs</w:t>
      </w:r>
    </w:p>
    <w:p w14:paraId="1F126E1E" w14:textId="77777777" w:rsidR="002547DC" w:rsidRPr="002B11E4" w:rsidRDefault="002547DC" w:rsidP="00F62267">
      <w:pPr>
        <w:pStyle w:val="ListBullet"/>
      </w:pPr>
      <w:r w:rsidRPr="002B11E4">
        <w:t>agreed targets</w:t>
      </w:r>
    </w:p>
    <w:p w14:paraId="21173C02" w14:textId="77777777" w:rsidR="002547DC" w:rsidRPr="002B11E4" w:rsidRDefault="002547DC" w:rsidP="00F62267">
      <w:pPr>
        <w:pStyle w:val="ListBullet"/>
      </w:pPr>
      <w:r w:rsidRPr="002B11E4">
        <w:t>requirement to consult and seek approval before making any significant change</w:t>
      </w:r>
      <w:r w:rsidR="00B12AA1">
        <w:t>.</w:t>
      </w:r>
    </w:p>
    <w:p w14:paraId="1365DAAB" w14:textId="078D9CD0" w:rsidR="002547DC" w:rsidRPr="004A5F6C" w:rsidRDefault="002547DC" w:rsidP="00F62267">
      <w:r w:rsidRPr="004A5F6C">
        <w:t xml:space="preserve">Separate to the </w:t>
      </w:r>
      <w:r w:rsidR="00A061EE">
        <w:t>w</w:t>
      </w:r>
      <w:r w:rsidRPr="004A5F6C">
        <w:t>orkplan</w:t>
      </w:r>
      <w:r w:rsidR="00B12AA1">
        <w:t xml:space="preserve"> are requirements to:</w:t>
      </w:r>
    </w:p>
    <w:p w14:paraId="45827F9A" w14:textId="77777777" w:rsidR="002547DC" w:rsidRPr="002B11E4" w:rsidRDefault="002547DC" w:rsidP="00F62267">
      <w:pPr>
        <w:pStyle w:val="ListBullet"/>
      </w:pPr>
      <w:r w:rsidRPr="002B11E4">
        <w:t>have service guidelines</w:t>
      </w:r>
    </w:p>
    <w:p w14:paraId="3A661A9A" w14:textId="77777777" w:rsidR="00AB430D" w:rsidRPr="002B11E4" w:rsidRDefault="002547DC" w:rsidP="00F62267">
      <w:pPr>
        <w:pStyle w:val="ListBullet"/>
      </w:pPr>
      <w:r w:rsidRPr="002B11E4">
        <w:t>participate in coordinated sector planning</w:t>
      </w:r>
      <w:r w:rsidR="00471E5F" w:rsidRPr="002B11E4">
        <w:t>.</w:t>
      </w:r>
    </w:p>
    <w:p w14:paraId="7A174FBF" w14:textId="77777777" w:rsidR="00AB430D" w:rsidRDefault="004A5F6C" w:rsidP="00AB430D">
      <w:pPr>
        <w:pStyle w:val="Heading2"/>
      </w:pPr>
      <w:bookmarkStart w:id="72" w:name="_Toc490159285"/>
      <w:r>
        <w:t xml:space="preserve">Options to </w:t>
      </w:r>
      <w:r w:rsidR="00AB430D">
        <w:t xml:space="preserve">create a </w:t>
      </w:r>
      <w:r w:rsidR="00AB430D" w:rsidRPr="00AB430D">
        <w:t xml:space="preserve">new and improved </w:t>
      </w:r>
      <w:r w:rsidR="00F63AA4">
        <w:t>CLSP S</w:t>
      </w:r>
      <w:r w:rsidR="00AB430D" w:rsidRPr="00AB430D">
        <w:t xml:space="preserve">ervice </w:t>
      </w:r>
      <w:r w:rsidR="00F63AA4">
        <w:t>P</w:t>
      </w:r>
      <w:r w:rsidR="00AB430D" w:rsidRPr="00AB430D">
        <w:t>lan</w:t>
      </w:r>
      <w:bookmarkEnd w:id="72"/>
      <w:r w:rsidR="00AB430D" w:rsidRPr="00AB430D">
        <w:t xml:space="preserve"> </w:t>
      </w:r>
      <w:r w:rsidR="00AB430D">
        <w:t xml:space="preserve"> </w:t>
      </w:r>
    </w:p>
    <w:p w14:paraId="6B5B4F5D" w14:textId="77777777" w:rsidR="00B12AA1" w:rsidRPr="00F62267" w:rsidRDefault="00B12AA1" w:rsidP="00F62267">
      <w:pPr>
        <w:rPr>
          <w:lang w:eastAsia="en-AU"/>
        </w:rPr>
      </w:pPr>
      <w:r>
        <w:rPr>
          <w:lang w:eastAsia="en-AU"/>
        </w:rPr>
        <w:t>Key elements of a new CLSP Service Plan may include:</w:t>
      </w:r>
    </w:p>
    <w:p w14:paraId="2900A217" w14:textId="77777777" w:rsidR="002547DC" w:rsidRPr="002B11E4" w:rsidRDefault="002547DC" w:rsidP="00F62267">
      <w:pPr>
        <w:pStyle w:val="ListBullet"/>
      </w:pPr>
      <w:r w:rsidRPr="002B11E4">
        <w:t xml:space="preserve">a plan that is linked to </w:t>
      </w:r>
      <w:r w:rsidR="000560DE" w:rsidRPr="002B11E4">
        <w:t xml:space="preserve">local </w:t>
      </w:r>
      <w:r w:rsidR="00B12AA1">
        <w:t>and</w:t>
      </w:r>
      <w:r w:rsidR="00B12AA1" w:rsidRPr="002B11E4">
        <w:t xml:space="preserve"> </w:t>
      </w:r>
      <w:r w:rsidRPr="002B11E4">
        <w:t>coordinated sector planning</w:t>
      </w:r>
    </w:p>
    <w:p w14:paraId="18571736" w14:textId="77777777" w:rsidR="00737719" w:rsidRPr="002B11E4" w:rsidRDefault="009833B3" w:rsidP="00F62267">
      <w:pPr>
        <w:pStyle w:val="ListBullet"/>
      </w:pPr>
      <w:r w:rsidRPr="002B11E4">
        <w:t xml:space="preserve">a clear statement of </w:t>
      </w:r>
      <w:r w:rsidR="00737719" w:rsidRPr="002B11E4">
        <w:t xml:space="preserve">vision </w:t>
      </w:r>
      <w:r w:rsidR="00B12AA1">
        <w:t>and</w:t>
      </w:r>
      <w:r w:rsidR="00B12AA1" w:rsidRPr="002B11E4">
        <w:t xml:space="preserve"> </w:t>
      </w:r>
      <w:r w:rsidR="00737719" w:rsidRPr="002B11E4">
        <w:t>objectives</w:t>
      </w:r>
      <w:r w:rsidR="00F63AA4" w:rsidRPr="002B11E4">
        <w:t xml:space="preserve"> </w:t>
      </w:r>
      <w:r w:rsidR="00C65FAC">
        <w:t>underpinned by</w:t>
      </w:r>
      <w:r w:rsidRPr="002B11E4">
        <w:t xml:space="preserve"> </w:t>
      </w:r>
      <w:r w:rsidR="00F63AA4" w:rsidRPr="002B11E4">
        <w:t>evidence</w:t>
      </w:r>
      <w:r w:rsidR="00B12AA1">
        <w:t>-</w:t>
      </w:r>
      <w:r w:rsidR="00F63AA4" w:rsidRPr="002B11E4">
        <w:t xml:space="preserve">based </w:t>
      </w:r>
      <w:r w:rsidR="00737719" w:rsidRPr="002B11E4">
        <w:t xml:space="preserve">service design </w:t>
      </w:r>
      <w:r w:rsidR="00F63AA4" w:rsidRPr="002B11E4">
        <w:t>(rather than business</w:t>
      </w:r>
      <w:r w:rsidR="00B12AA1">
        <w:t>-</w:t>
      </w:r>
      <w:r w:rsidR="00F63AA4" w:rsidRPr="002B11E4">
        <w:t>as</w:t>
      </w:r>
      <w:r w:rsidR="00B12AA1">
        <w:t>-</w:t>
      </w:r>
      <w:r w:rsidR="00F63AA4" w:rsidRPr="002B11E4">
        <w:t>usual or not through evidence)</w:t>
      </w:r>
    </w:p>
    <w:p w14:paraId="602237B3" w14:textId="77777777" w:rsidR="00737719" w:rsidRPr="002B11E4" w:rsidRDefault="00737719" w:rsidP="00F62267">
      <w:pPr>
        <w:pStyle w:val="ListBullet"/>
      </w:pPr>
      <w:r w:rsidRPr="002B11E4">
        <w:t xml:space="preserve">goals and commitments that show how the centre will meet specific legal need </w:t>
      </w:r>
      <w:r w:rsidR="00F63AA4" w:rsidRPr="002B11E4">
        <w:t xml:space="preserve">and </w:t>
      </w:r>
      <w:r w:rsidRPr="002B11E4">
        <w:t>outcomes for priority clients</w:t>
      </w:r>
      <w:r w:rsidR="005F355D">
        <w:t>,</w:t>
      </w:r>
      <w:r w:rsidR="005F355D" w:rsidRPr="002B11E4">
        <w:t xml:space="preserve"> </w:t>
      </w:r>
      <w:r w:rsidRPr="002B11E4">
        <w:t xml:space="preserve">using </w:t>
      </w:r>
      <w:r w:rsidR="00F63AA4" w:rsidRPr="002B11E4">
        <w:t xml:space="preserve">clear </w:t>
      </w:r>
      <w:r w:rsidRPr="002B11E4">
        <w:t xml:space="preserve">processes like Program Logic and Theory of Change (which many centres are </w:t>
      </w:r>
      <w:r w:rsidR="009833B3" w:rsidRPr="002B11E4">
        <w:t xml:space="preserve">already </w:t>
      </w:r>
      <w:r w:rsidRPr="002B11E4">
        <w:t>using)</w:t>
      </w:r>
    </w:p>
    <w:p w14:paraId="1BBFBA00" w14:textId="77777777" w:rsidR="00737719" w:rsidRPr="002B11E4" w:rsidRDefault="00737719" w:rsidP="00F62267">
      <w:pPr>
        <w:pStyle w:val="ListBullet"/>
      </w:pPr>
      <w:r w:rsidRPr="002B11E4">
        <w:t xml:space="preserve">clear identification of priority clients (using </w:t>
      </w:r>
      <w:r w:rsidR="005F355D">
        <w:t>a relevant</w:t>
      </w:r>
      <w:r w:rsidR="005F355D" w:rsidRPr="002B11E4">
        <w:t xml:space="preserve"> </w:t>
      </w:r>
      <w:r w:rsidRPr="002B11E4">
        <w:t>process and evidence)</w:t>
      </w:r>
    </w:p>
    <w:p w14:paraId="254F6206" w14:textId="77777777" w:rsidR="00737719" w:rsidRPr="002B11E4" w:rsidRDefault="00737719" w:rsidP="00F62267">
      <w:pPr>
        <w:pStyle w:val="ListBullet"/>
      </w:pPr>
      <w:r w:rsidRPr="002B11E4">
        <w:t xml:space="preserve">an agreed data dashboard that enables centres to </w:t>
      </w:r>
      <w:r w:rsidR="005F355D">
        <w:t>share data</w:t>
      </w:r>
      <w:r w:rsidR="005F355D" w:rsidRPr="002B11E4">
        <w:t xml:space="preserve"> </w:t>
      </w:r>
      <w:r w:rsidR="005F355D">
        <w:t xml:space="preserve">and </w:t>
      </w:r>
      <w:r w:rsidRPr="002B11E4">
        <w:t>regularly report on</w:t>
      </w:r>
      <w:r w:rsidR="009833B3" w:rsidRPr="002B11E4">
        <w:t xml:space="preserve"> their priority clients/communities</w:t>
      </w:r>
      <w:r w:rsidR="005F355D">
        <w:t>,</w:t>
      </w:r>
      <w:r w:rsidR="009833B3" w:rsidRPr="002B11E4">
        <w:t xml:space="preserve"> </w:t>
      </w:r>
      <w:r w:rsidRPr="002B11E4">
        <w:t>service trends and development</w:t>
      </w:r>
      <w:r w:rsidR="00F63AA4" w:rsidRPr="002B11E4">
        <w:t xml:space="preserve"> </w:t>
      </w:r>
    </w:p>
    <w:p w14:paraId="717059B7" w14:textId="77777777" w:rsidR="000560DE" w:rsidRPr="002B11E4" w:rsidRDefault="000560DE" w:rsidP="00F62267">
      <w:pPr>
        <w:pStyle w:val="ListBullet"/>
      </w:pPr>
      <w:r w:rsidRPr="002B11E4">
        <w:t xml:space="preserve">a plan that is linked to </w:t>
      </w:r>
      <w:r w:rsidR="00F63AA4" w:rsidRPr="002B11E4">
        <w:t xml:space="preserve">service </w:t>
      </w:r>
      <w:r w:rsidRPr="002B11E4">
        <w:t>quality and accessibility standards</w:t>
      </w:r>
      <w:r w:rsidR="005F355D">
        <w:t>,</w:t>
      </w:r>
      <w:r w:rsidRPr="002B11E4">
        <w:t xml:space="preserve"> including providing cultural</w:t>
      </w:r>
      <w:r w:rsidR="00A74B66" w:rsidRPr="002B11E4">
        <w:t>ly</w:t>
      </w:r>
      <w:r w:rsidRPr="002B11E4">
        <w:t xml:space="preserve"> safe services to Aboriginal clients</w:t>
      </w:r>
      <w:r w:rsidR="00737719" w:rsidRPr="002B11E4">
        <w:t>, refugee and immigrant communities</w:t>
      </w:r>
      <w:r w:rsidR="009833B3" w:rsidRPr="002B11E4">
        <w:t>,</w:t>
      </w:r>
      <w:r w:rsidR="00737719" w:rsidRPr="002B11E4">
        <w:t xml:space="preserve"> people with </w:t>
      </w:r>
      <w:r w:rsidR="005F355D" w:rsidRPr="002B11E4">
        <w:t>disabilit</w:t>
      </w:r>
      <w:r w:rsidR="005F355D">
        <w:t>ies</w:t>
      </w:r>
      <w:r w:rsidR="009833B3" w:rsidRPr="002B11E4">
        <w:t>, and other priority client groups</w:t>
      </w:r>
    </w:p>
    <w:p w14:paraId="7E2EC401" w14:textId="77777777" w:rsidR="002547DC" w:rsidRPr="002B11E4" w:rsidRDefault="0046417A" w:rsidP="00F62267">
      <w:pPr>
        <w:pStyle w:val="ListBullet"/>
      </w:pPr>
      <w:r w:rsidRPr="002B11E4">
        <w:t>i</w:t>
      </w:r>
      <w:r w:rsidR="002547DC" w:rsidRPr="002B11E4">
        <w:t xml:space="preserve">ndicators of evidence-based planning that reflect local legal needs </w:t>
      </w:r>
      <w:r w:rsidR="005F355D" w:rsidRPr="002B11E4">
        <w:t>analys</w:t>
      </w:r>
      <w:r w:rsidR="005F355D">
        <w:t>i</w:t>
      </w:r>
      <w:r w:rsidR="005F355D" w:rsidRPr="002B11E4">
        <w:t xml:space="preserve">s </w:t>
      </w:r>
      <w:r w:rsidR="00F63AA4" w:rsidRPr="002B11E4">
        <w:t>done</w:t>
      </w:r>
      <w:r w:rsidR="002547DC" w:rsidRPr="002B11E4">
        <w:t xml:space="preserve"> by many Victorian CLCs </w:t>
      </w:r>
    </w:p>
    <w:p w14:paraId="63224463" w14:textId="77777777" w:rsidR="002547DC" w:rsidRPr="002B11E4" w:rsidRDefault="0046417A" w:rsidP="00F62267">
      <w:pPr>
        <w:pStyle w:val="ListBullet"/>
      </w:pPr>
      <w:r w:rsidRPr="002B11E4">
        <w:lastRenderedPageBreak/>
        <w:t>c</w:t>
      </w:r>
      <w:r w:rsidR="002547DC" w:rsidRPr="002B11E4">
        <w:t>asework guidelines linked to that evidence</w:t>
      </w:r>
    </w:p>
    <w:p w14:paraId="34A664B4" w14:textId="77777777" w:rsidR="002547DC" w:rsidRPr="002B11E4" w:rsidRDefault="0046417A" w:rsidP="00F62267">
      <w:pPr>
        <w:pStyle w:val="ListBullet"/>
      </w:pPr>
      <w:r w:rsidRPr="002B11E4">
        <w:t>o</w:t>
      </w:r>
      <w:r w:rsidR="002547DC" w:rsidRPr="002B11E4">
        <w:t>utcomes indicators</w:t>
      </w:r>
      <w:r w:rsidR="00F81B85" w:rsidRPr="002B11E4">
        <w:t xml:space="preserve"> </w:t>
      </w:r>
      <w:r w:rsidR="002547DC" w:rsidRPr="002B11E4">
        <w:t>in the form of outputs</w:t>
      </w:r>
      <w:r w:rsidR="00F81B85" w:rsidRPr="002B11E4">
        <w:t xml:space="preserve"> and outcomes</w:t>
      </w:r>
      <w:r w:rsidR="00F63AA4" w:rsidRPr="002B11E4">
        <w:t xml:space="preserve">, including </w:t>
      </w:r>
      <w:r w:rsidR="00F81B85" w:rsidRPr="002B11E4">
        <w:t xml:space="preserve">case studies and stories </w:t>
      </w:r>
      <w:r w:rsidR="005F355D" w:rsidRPr="002B11E4">
        <w:t>articulat</w:t>
      </w:r>
      <w:r w:rsidR="005F355D">
        <w:t>ing</w:t>
      </w:r>
      <w:r w:rsidR="005F355D" w:rsidRPr="002B11E4">
        <w:t xml:space="preserve"> </w:t>
      </w:r>
      <w:r w:rsidR="00F81B85" w:rsidRPr="002B11E4">
        <w:t xml:space="preserve">client journeys and outcomes </w:t>
      </w:r>
    </w:p>
    <w:p w14:paraId="6E7225F4" w14:textId="77777777" w:rsidR="0046417A" w:rsidRPr="002B11E4" w:rsidRDefault="0046417A" w:rsidP="00F62267">
      <w:pPr>
        <w:pStyle w:val="ListBullet"/>
      </w:pPr>
      <w:r w:rsidRPr="002B11E4">
        <w:t>a</w:t>
      </w:r>
      <w:r w:rsidR="002547DC" w:rsidRPr="002B11E4">
        <w:t>ctive and planned collaboration/partnerships</w:t>
      </w:r>
      <w:r w:rsidRPr="002B11E4">
        <w:t xml:space="preserve"> </w:t>
      </w:r>
      <w:r w:rsidR="00F81B85" w:rsidRPr="002B11E4">
        <w:t>that improve client access and outcomes</w:t>
      </w:r>
    </w:p>
    <w:p w14:paraId="2C26F64E" w14:textId="77777777" w:rsidR="0046417A" w:rsidRPr="002B11E4" w:rsidRDefault="0046417A" w:rsidP="00F62267">
      <w:pPr>
        <w:pStyle w:val="ListBullet"/>
      </w:pPr>
      <w:r w:rsidRPr="002B11E4">
        <w:t>a requirement to consult and seek approval before making any significant change.</w:t>
      </w:r>
    </w:p>
    <w:p w14:paraId="6DC3E121" w14:textId="77777777" w:rsidR="002547DC" w:rsidRPr="00050B1C" w:rsidRDefault="0046417A" w:rsidP="002547DC">
      <w:pPr>
        <w:rPr>
          <w:lang w:val="en-US"/>
        </w:rPr>
      </w:pPr>
      <w:r>
        <w:rPr>
          <w:lang w:val="en-US"/>
        </w:rPr>
        <w:t>F</w:t>
      </w:r>
      <w:r w:rsidR="002547DC" w:rsidRPr="00270D6F">
        <w:rPr>
          <w:lang w:val="en-US"/>
        </w:rPr>
        <w:t>eedback from the sector reported both a desire for flexible, centre-specific arrangements for CL</w:t>
      </w:r>
      <w:r w:rsidR="002547DC">
        <w:rPr>
          <w:lang w:val="en-US"/>
        </w:rPr>
        <w:t>SP planning</w:t>
      </w:r>
      <w:r w:rsidR="009833B3">
        <w:rPr>
          <w:lang w:val="en-US"/>
        </w:rPr>
        <w:t>,</w:t>
      </w:r>
      <w:r w:rsidR="002547DC">
        <w:rPr>
          <w:lang w:val="en-US"/>
        </w:rPr>
        <w:t xml:space="preserve"> </w:t>
      </w:r>
      <w:r>
        <w:rPr>
          <w:lang w:val="en-US"/>
        </w:rPr>
        <w:t>and</w:t>
      </w:r>
      <w:r w:rsidR="002547DC">
        <w:rPr>
          <w:lang w:val="en-US"/>
        </w:rPr>
        <w:t xml:space="preserve"> </w:t>
      </w:r>
      <w:r w:rsidR="002547DC" w:rsidRPr="00050B1C">
        <w:rPr>
          <w:lang w:val="en-US"/>
        </w:rPr>
        <w:t xml:space="preserve">a set format for these arrangements. </w:t>
      </w:r>
    </w:p>
    <w:p w14:paraId="0EA0A42E" w14:textId="77777777" w:rsidR="0046417A" w:rsidRPr="00FC6D29" w:rsidRDefault="0046417A" w:rsidP="0046417A">
      <w:pPr>
        <w:rPr>
          <w:bCs/>
          <w:lang w:val="en-US"/>
        </w:rPr>
      </w:pPr>
      <w:r w:rsidRPr="00FC6D29">
        <w:rPr>
          <w:bCs/>
          <w:lang w:val="en-US"/>
        </w:rPr>
        <w:t xml:space="preserve">NSW made </w:t>
      </w:r>
      <w:r w:rsidR="006A74BA">
        <w:rPr>
          <w:bCs/>
          <w:lang w:val="en-US"/>
        </w:rPr>
        <w:t xml:space="preserve">similar </w:t>
      </w:r>
      <w:r w:rsidRPr="00FC6D29">
        <w:rPr>
          <w:bCs/>
          <w:lang w:val="en-US"/>
        </w:rPr>
        <w:t>changes to its CLSP. It retained the structure of the existing CLSP and its reporting processes</w:t>
      </w:r>
      <w:r>
        <w:rPr>
          <w:bCs/>
          <w:lang w:val="en-US"/>
        </w:rPr>
        <w:t>,</w:t>
      </w:r>
      <w:r w:rsidRPr="00FC6D29">
        <w:rPr>
          <w:bCs/>
          <w:lang w:val="en-US"/>
        </w:rPr>
        <w:t xml:space="preserve"> but reformed the workplan to include evidence-based planning, priority setting</w:t>
      </w:r>
      <w:r>
        <w:rPr>
          <w:bCs/>
          <w:lang w:val="en-US"/>
        </w:rPr>
        <w:t xml:space="preserve"> and partnership and collaboration</w:t>
      </w:r>
      <w:r w:rsidRPr="00FC6D29">
        <w:rPr>
          <w:bCs/>
          <w:lang w:val="en-US"/>
        </w:rPr>
        <w:t>.</w:t>
      </w:r>
    </w:p>
    <w:p w14:paraId="43C72F7C" w14:textId="77777777" w:rsidR="002547DC" w:rsidRPr="009727B4" w:rsidRDefault="002547DC" w:rsidP="002547DC">
      <w:pPr>
        <w:rPr>
          <w:lang w:val="en-US"/>
        </w:rPr>
      </w:pPr>
      <w:r w:rsidRPr="009727B4">
        <w:rPr>
          <w:lang w:val="en-US"/>
        </w:rPr>
        <w:t xml:space="preserve">These </w:t>
      </w:r>
      <w:r w:rsidR="009833B3">
        <w:rPr>
          <w:lang w:val="en-US"/>
        </w:rPr>
        <w:t xml:space="preserve">and other </w:t>
      </w:r>
      <w:r w:rsidRPr="009727B4">
        <w:rPr>
          <w:lang w:val="en-US"/>
        </w:rPr>
        <w:t>options</w:t>
      </w:r>
      <w:r w:rsidR="009833B3">
        <w:rPr>
          <w:lang w:val="en-US"/>
        </w:rPr>
        <w:t xml:space="preserve"> (as they arise through the consultation)</w:t>
      </w:r>
      <w:r w:rsidRPr="009727B4">
        <w:rPr>
          <w:lang w:val="en-US"/>
        </w:rPr>
        <w:t xml:space="preserve"> can be explored in more detail in Phase 2</w:t>
      </w:r>
      <w:r w:rsidR="005F355D">
        <w:rPr>
          <w:lang w:val="en-US"/>
        </w:rPr>
        <w:t xml:space="preserve"> of the project</w:t>
      </w:r>
      <w:r w:rsidRPr="009727B4">
        <w:rPr>
          <w:lang w:val="en-US"/>
        </w:rPr>
        <w:t>.</w:t>
      </w:r>
    </w:p>
    <w:p w14:paraId="4B75796B" w14:textId="77777777" w:rsidR="002547DC" w:rsidRDefault="002B4279" w:rsidP="00F62267">
      <w:pPr>
        <w:pStyle w:val="Heading1"/>
      </w:pPr>
      <w:bookmarkStart w:id="73" w:name="_Option_5:_Reforming"/>
      <w:bookmarkStart w:id="74" w:name="_Toc490159286"/>
      <w:bookmarkEnd w:id="73"/>
      <w:r>
        <w:t xml:space="preserve">Reform </w:t>
      </w:r>
      <w:r w:rsidRPr="00270D6F">
        <w:t>5</w:t>
      </w:r>
      <w:r w:rsidR="00471E5F">
        <w:t xml:space="preserve">: </w:t>
      </w:r>
      <w:r w:rsidR="002547DC" w:rsidRPr="00270D6F">
        <w:t>Reforming financial accountability</w:t>
      </w:r>
      <w:r w:rsidR="005C2E73">
        <w:t xml:space="preserve"> – </w:t>
      </w:r>
      <w:r w:rsidR="00392CC4">
        <w:t xml:space="preserve">the </w:t>
      </w:r>
      <w:r w:rsidR="002547DC">
        <w:t>elements and</w:t>
      </w:r>
      <w:r w:rsidR="002547DC" w:rsidRPr="00270D6F">
        <w:t xml:space="preserve"> </w:t>
      </w:r>
      <w:r w:rsidR="00392CC4">
        <w:t xml:space="preserve">the </w:t>
      </w:r>
      <w:r w:rsidR="002547DC" w:rsidRPr="00270D6F">
        <w:t>process</w:t>
      </w:r>
      <w:bookmarkEnd w:id="74"/>
    </w:p>
    <w:p w14:paraId="74BFE1BF" w14:textId="77777777" w:rsidR="002547DC" w:rsidRPr="000A5477" w:rsidRDefault="002547DC" w:rsidP="002547DC">
      <w:pPr>
        <w:rPr>
          <w:lang w:val="en-US"/>
        </w:rPr>
      </w:pPr>
      <w:r w:rsidRPr="000A5477">
        <w:t>There was strong consensus from stakeholders that the current financial reporting mechanisms are out of date, inefficient and burdensome.</w:t>
      </w:r>
      <w:r w:rsidRPr="009D770C">
        <w:t xml:space="preserve"> This was the most frequently raised </w:t>
      </w:r>
      <w:r>
        <w:t>opportunity</w:t>
      </w:r>
      <w:r w:rsidRPr="009D770C">
        <w:t xml:space="preserve"> for</w:t>
      </w:r>
      <w:r>
        <w:t xml:space="preserve"> </w:t>
      </w:r>
      <w:r w:rsidRPr="009D770C">
        <w:t>reform</w:t>
      </w:r>
      <w:r w:rsidR="005F355D">
        <w:t>,</w:t>
      </w:r>
      <w:r>
        <w:t xml:space="preserve"> alongside a </w:t>
      </w:r>
      <w:r w:rsidR="0011555A">
        <w:t xml:space="preserve">shared </w:t>
      </w:r>
      <w:r>
        <w:t>desire to meet current standards for financial accountability</w:t>
      </w:r>
      <w:r w:rsidRPr="009D770C">
        <w:t>.</w:t>
      </w:r>
    </w:p>
    <w:p w14:paraId="00446177" w14:textId="77777777" w:rsidR="002547DC" w:rsidRDefault="00FF3C89" w:rsidP="00FF3C89">
      <w:pPr>
        <w:pStyle w:val="Heading2"/>
      </w:pPr>
      <w:bookmarkStart w:id="75" w:name="_Toc490159287"/>
      <w:r>
        <w:t>Key elements</w:t>
      </w:r>
      <w:r w:rsidR="002547DC">
        <w:t xml:space="preserve"> </w:t>
      </w:r>
      <w:r>
        <w:t>for consideration</w:t>
      </w:r>
      <w:bookmarkEnd w:id="75"/>
    </w:p>
    <w:p w14:paraId="5A5BB61F" w14:textId="77777777" w:rsidR="002547DC" w:rsidRPr="002B11E4" w:rsidRDefault="002547DC" w:rsidP="00F62267">
      <w:pPr>
        <w:pStyle w:val="ListBullet"/>
      </w:pPr>
      <w:r w:rsidRPr="002B11E4">
        <w:t xml:space="preserve">agree </w:t>
      </w:r>
      <w:r w:rsidR="005F355D">
        <w:t xml:space="preserve">to </w:t>
      </w:r>
      <w:r w:rsidRPr="002B11E4">
        <w:t>a new report format that</w:t>
      </w:r>
      <w:r w:rsidR="005F355D">
        <w:t xml:space="preserve"> i</w:t>
      </w:r>
      <w:r w:rsidRPr="002B11E4">
        <w:t xml:space="preserve">s compatible with Australian Accounting Standards (AAS) </w:t>
      </w:r>
    </w:p>
    <w:p w14:paraId="0B669D55" w14:textId="77777777" w:rsidR="002547DC" w:rsidRPr="002B11E4" w:rsidRDefault="002547DC" w:rsidP="00F62267">
      <w:pPr>
        <w:pStyle w:val="ListBullet"/>
      </w:pPr>
      <w:r w:rsidRPr="002B11E4">
        <w:t>remove the obligation of financial reporting through CLASS</w:t>
      </w:r>
    </w:p>
    <w:p w14:paraId="7AAE6E1D" w14:textId="77777777" w:rsidR="002547DC" w:rsidRPr="002B11E4" w:rsidRDefault="002547DC" w:rsidP="00F62267">
      <w:pPr>
        <w:pStyle w:val="ListBullet"/>
      </w:pPr>
      <w:r w:rsidRPr="002B11E4">
        <w:t xml:space="preserve">accept financial reports in formats that centres already use </w:t>
      </w:r>
      <w:r w:rsidR="005F355D">
        <w:t>to report</w:t>
      </w:r>
      <w:r w:rsidRPr="002B11E4">
        <w:t xml:space="preserve"> to their Board</w:t>
      </w:r>
      <w:r w:rsidR="005F355D">
        <w:t>s</w:t>
      </w:r>
      <w:r w:rsidRPr="002B11E4">
        <w:t xml:space="preserve">, alongside annual audited financial statements </w:t>
      </w:r>
    </w:p>
    <w:p w14:paraId="10C33D22" w14:textId="77777777" w:rsidR="002547DC" w:rsidRPr="00F62267" w:rsidRDefault="002547DC" w:rsidP="00F62267">
      <w:pPr>
        <w:pStyle w:val="ListBullet"/>
      </w:pPr>
      <w:r w:rsidRPr="002B11E4">
        <w:t xml:space="preserve">consider applying standards/indicators of financial health, for example, </w:t>
      </w:r>
      <w:r w:rsidR="005F355D" w:rsidRPr="002B11E4">
        <w:t>referenc</w:t>
      </w:r>
      <w:r w:rsidR="005F355D">
        <w:t>ing</w:t>
      </w:r>
      <w:r w:rsidR="005F355D" w:rsidRPr="002B11E4">
        <w:t xml:space="preserve"> </w:t>
      </w:r>
      <w:r w:rsidRPr="002B11E4">
        <w:t xml:space="preserve">applicable best practice records management standards of the Victoria Auditor General Office (VAGO) </w:t>
      </w:r>
      <w:hyperlink r:id="rId24" w:history="1">
        <w:r w:rsidRPr="002B11E4">
          <w:rPr>
            <w:rStyle w:val="Hyperlink"/>
          </w:rPr>
          <w:t>https://www.audit.vic.gov.au/records-management-checklist</w:t>
        </w:r>
      </w:hyperlink>
      <w:r w:rsidR="005F355D">
        <w:rPr>
          <w:rStyle w:val="Hyperlink"/>
        </w:rPr>
        <w:t>.</w:t>
      </w:r>
    </w:p>
    <w:p w14:paraId="2D0CF8BA" w14:textId="77777777" w:rsidR="002547DC" w:rsidRDefault="00EF33CF" w:rsidP="002547DC">
      <w:r>
        <w:t xml:space="preserve">VLA is </w:t>
      </w:r>
      <w:r w:rsidR="002547DC" w:rsidRPr="00D40ADA">
        <w:t>committed to working with centre</w:t>
      </w:r>
      <w:r w:rsidR="002547DC">
        <w:t>s</w:t>
      </w:r>
      <w:r w:rsidR="005F355D">
        <w:t>,</w:t>
      </w:r>
      <w:r w:rsidR="002547DC">
        <w:t xml:space="preserve"> their</w:t>
      </w:r>
      <w:r w:rsidR="002547DC" w:rsidRPr="00D40ADA">
        <w:t xml:space="preserve"> auditors and others to consider the</w:t>
      </w:r>
      <w:r w:rsidR="002547DC">
        <w:t>se</w:t>
      </w:r>
      <w:r w:rsidR="002547DC" w:rsidRPr="00D40ADA">
        <w:t xml:space="preserve"> options</w:t>
      </w:r>
      <w:r w:rsidR="002547DC">
        <w:t xml:space="preserve"> in more detail in phase 2.</w:t>
      </w:r>
    </w:p>
    <w:p w14:paraId="65AEB3F6" w14:textId="77777777" w:rsidR="00C315B6" w:rsidRPr="00FF0E31" w:rsidRDefault="002547DC" w:rsidP="002547DC">
      <w:r>
        <w:t>For more detail</w:t>
      </w:r>
      <w:r w:rsidR="00A74B66">
        <w:t xml:space="preserve"> on these options,</w:t>
      </w:r>
      <w:r>
        <w:t xml:space="preserve"> see </w:t>
      </w:r>
      <w:hyperlink w:anchor="_Appendix_3:_CLSP" w:history="1">
        <w:r w:rsidRPr="00944965">
          <w:rPr>
            <w:rStyle w:val="Hyperlink"/>
          </w:rPr>
          <w:t>Appendix 3 Different Options for Financial Accountability</w:t>
        </w:r>
      </w:hyperlink>
      <w:r w:rsidR="005F355D">
        <w:rPr>
          <w:rStyle w:val="Hyperlink"/>
        </w:rPr>
        <w:t>.</w:t>
      </w:r>
    </w:p>
    <w:p w14:paraId="7A3ACDA3" w14:textId="77777777" w:rsidR="002547DC" w:rsidRPr="00DE6BBD" w:rsidRDefault="00AA6848" w:rsidP="00E94700">
      <w:pPr>
        <w:pStyle w:val="Heading1"/>
        <w:spacing w:before="300"/>
      </w:pPr>
      <w:bookmarkStart w:id="76" w:name="_Option_6:_Elevated"/>
      <w:bookmarkStart w:id="77" w:name="_Toc490159288"/>
      <w:bookmarkEnd w:id="76"/>
      <w:r>
        <w:t xml:space="preserve">Reform </w:t>
      </w:r>
      <w:r w:rsidR="002547DC" w:rsidRPr="00DE6BBD">
        <w:t>6</w:t>
      </w:r>
      <w:r w:rsidR="00471E5F">
        <w:t xml:space="preserve">: </w:t>
      </w:r>
      <w:r w:rsidR="002547DC" w:rsidRPr="00DE6BBD">
        <w:t>Elevated reporting and compliance</w:t>
      </w:r>
      <w:bookmarkEnd w:id="77"/>
    </w:p>
    <w:p w14:paraId="42AA7EC9" w14:textId="467504B4" w:rsidR="00544900" w:rsidRPr="007173AB" w:rsidRDefault="00544900" w:rsidP="002547DC">
      <w:r w:rsidRPr="007173AB">
        <w:t xml:space="preserve">Overall the project aims to </w:t>
      </w:r>
      <w:r w:rsidR="00607A4E" w:rsidRPr="007173AB">
        <w:t>make reporting more meaningful and less</w:t>
      </w:r>
      <w:r w:rsidRPr="007173AB">
        <w:t xml:space="preserve"> burden</w:t>
      </w:r>
      <w:r w:rsidR="00607A4E" w:rsidRPr="007173AB">
        <w:t>some</w:t>
      </w:r>
      <w:r w:rsidR="000D63B1" w:rsidRPr="007173AB">
        <w:t xml:space="preserve">. </w:t>
      </w:r>
    </w:p>
    <w:p w14:paraId="3CEFEE49" w14:textId="61E1ECE8" w:rsidR="002547DC" w:rsidRDefault="00935E71" w:rsidP="002547DC">
      <w:r w:rsidRPr="007173AB">
        <w:t>If a</w:t>
      </w:r>
      <w:r w:rsidR="002547DC" w:rsidRPr="007173AB">
        <w:t xml:space="preserve"> CLC</w:t>
      </w:r>
      <w:r>
        <w:t xml:space="preserve"> i</w:t>
      </w:r>
      <w:r w:rsidR="002547DC" w:rsidRPr="00C50DB5">
        <w:t>s underperform</w:t>
      </w:r>
      <w:r>
        <w:t>ing or failing to meet its</w:t>
      </w:r>
      <w:r w:rsidR="002547DC" w:rsidRPr="00C50DB5">
        <w:t xml:space="preserve"> agreed outcomes, financial management or governance responsibilities, </w:t>
      </w:r>
      <w:r w:rsidR="00E778F0">
        <w:t>there should be a policy framework to address this. T</w:t>
      </w:r>
      <w:r w:rsidR="002547DC" w:rsidRPr="00C50DB5">
        <w:t>he existing VLA policy framework for responding to concerns about CLC operations or performance</w:t>
      </w:r>
      <w:r w:rsidR="00E778F0">
        <w:t>, which was developed in consultation with the sectors, forms a good basis for such a policy framework</w:t>
      </w:r>
      <w:r w:rsidR="002547DC" w:rsidRPr="00C50DB5">
        <w:t xml:space="preserve">. </w:t>
      </w:r>
    </w:p>
    <w:p w14:paraId="5B953AF6" w14:textId="77777777" w:rsidR="002547DC" w:rsidRDefault="00334546" w:rsidP="00334546">
      <w:pPr>
        <w:pStyle w:val="Heading2"/>
      </w:pPr>
      <w:bookmarkStart w:id="78" w:name="_Toc490159289"/>
      <w:r>
        <w:lastRenderedPageBreak/>
        <w:t>Key elements for consideration</w:t>
      </w:r>
      <w:bookmarkEnd w:id="78"/>
    </w:p>
    <w:p w14:paraId="0703E469" w14:textId="2C9373DD" w:rsidR="002547DC" w:rsidRPr="00D26373" w:rsidRDefault="00E778F0" w:rsidP="00F62267">
      <w:pPr>
        <w:pStyle w:val="ListBullet"/>
      </w:pPr>
      <w:r>
        <w:t xml:space="preserve">A policy on centres of concern, based </w:t>
      </w:r>
      <w:r w:rsidR="00AA6848" w:rsidRPr="00D26373">
        <w:t>VLA</w:t>
      </w:r>
      <w:r w:rsidR="00CE23CD">
        <w:t>’s existing</w:t>
      </w:r>
      <w:r w:rsidR="00AA6848" w:rsidRPr="00D26373">
        <w:t xml:space="preserve"> </w:t>
      </w:r>
      <w:r w:rsidR="00CE23CD">
        <w:t>p</w:t>
      </w:r>
      <w:r w:rsidR="00AA6848" w:rsidRPr="00D26373">
        <w:t>olicy</w:t>
      </w:r>
      <w:r>
        <w:t>,</w:t>
      </w:r>
      <w:r w:rsidR="00AA6848" w:rsidRPr="00D26373">
        <w:t xml:space="preserve"> will</w:t>
      </w:r>
      <w:r w:rsidR="002547DC" w:rsidRPr="00D26373">
        <w:t xml:space="preserve"> be adopted in VLA’s service agreement with centres</w:t>
      </w:r>
    </w:p>
    <w:p w14:paraId="3B5E38FB" w14:textId="77777777" w:rsidR="002547DC" w:rsidRPr="00D26373" w:rsidRDefault="002547DC" w:rsidP="00F62267">
      <w:pPr>
        <w:pStyle w:val="ListBullet"/>
      </w:pPr>
      <w:r w:rsidRPr="00D26373">
        <w:t xml:space="preserve">temporary remedial measures such as more rigorous reporting, accountability and monitoring regime </w:t>
      </w:r>
      <w:r w:rsidR="00ED3EC6" w:rsidRPr="00D26373">
        <w:t xml:space="preserve">will </w:t>
      </w:r>
      <w:r w:rsidRPr="00D26373">
        <w:t>apply</w:t>
      </w:r>
    </w:p>
    <w:p w14:paraId="28BCCECD" w14:textId="77777777" w:rsidR="00EF33CF" w:rsidRPr="00D26373" w:rsidRDefault="002547DC" w:rsidP="00F62267">
      <w:pPr>
        <w:pStyle w:val="ListBullet"/>
      </w:pPr>
      <w:r w:rsidRPr="00D26373">
        <w:t xml:space="preserve">the aim would be to return the </w:t>
      </w:r>
      <w:r w:rsidR="00CE23CD">
        <w:t>c</w:t>
      </w:r>
      <w:r w:rsidR="00CE23CD" w:rsidRPr="00D26373">
        <w:t xml:space="preserve">entre </w:t>
      </w:r>
      <w:r w:rsidRPr="00D26373">
        <w:t xml:space="preserve">to regular accountability and monitoring as soon as possible, and for VLA to support </w:t>
      </w:r>
      <w:r w:rsidR="00CE23CD" w:rsidRPr="00D26373">
        <w:t>t</w:t>
      </w:r>
      <w:r w:rsidR="00CE23CD">
        <w:t>he</w:t>
      </w:r>
      <w:r w:rsidR="00CE23CD" w:rsidRPr="00D26373">
        <w:t xml:space="preserve"> </w:t>
      </w:r>
      <w:r w:rsidR="0011555A" w:rsidRPr="00D26373">
        <w:t>centre to</w:t>
      </w:r>
      <w:r w:rsidRPr="00D26373">
        <w:t xml:space="preserve"> achieve this.</w:t>
      </w:r>
      <w:r w:rsidR="0011555A" w:rsidRPr="00D26373">
        <w:t xml:space="preserve"> </w:t>
      </w:r>
    </w:p>
    <w:p w14:paraId="6E564B3D" w14:textId="77777777" w:rsidR="0011555A" w:rsidRDefault="00AA6848">
      <w:pPr>
        <w:spacing w:after="0" w:line="240" w:lineRule="auto"/>
      </w:pPr>
      <w:r>
        <w:t xml:space="preserve">For more </w:t>
      </w:r>
      <w:r w:rsidR="002547DC" w:rsidRPr="00C34D32">
        <w:t>detail on when and how elevated reporting and compliance requirements might</w:t>
      </w:r>
      <w:r w:rsidR="002547DC">
        <w:t xml:space="preserve"> be used,</w:t>
      </w:r>
      <w:r w:rsidR="00EF33CF">
        <w:t xml:space="preserve"> </w:t>
      </w:r>
      <w:r w:rsidR="00EF33CF" w:rsidRPr="0073766E">
        <w:t xml:space="preserve">See </w:t>
      </w:r>
      <w:hyperlink w:anchor="_Appendix_4:_CLSP" w:history="1">
        <w:r w:rsidR="00CE23CD" w:rsidRPr="0073766E">
          <w:rPr>
            <w:rStyle w:val="Hyperlink"/>
          </w:rPr>
          <w:t>Appendix 4: CLSP Reform – possible provisions for elevated reporting and compliance</w:t>
        </w:r>
      </w:hyperlink>
      <w:r w:rsidR="00EF33CF" w:rsidRPr="0073766E">
        <w:t>.</w:t>
      </w:r>
      <w:bookmarkStart w:id="79" w:name="_Option_7:_A"/>
      <w:bookmarkEnd w:id="79"/>
      <w:r w:rsidR="00332048">
        <w:t xml:space="preserve"> </w:t>
      </w:r>
    </w:p>
    <w:p w14:paraId="7F9148E9" w14:textId="77777777" w:rsidR="002547DC" w:rsidRDefault="00AA6848" w:rsidP="00F62267">
      <w:pPr>
        <w:pStyle w:val="Heading1"/>
      </w:pPr>
      <w:bookmarkStart w:id="80" w:name="_Toc490159290"/>
      <w:r>
        <w:t xml:space="preserve">Reform </w:t>
      </w:r>
      <w:r w:rsidR="002547DC">
        <w:t>7</w:t>
      </w:r>
      <w:r w:rsidR="00471E5F">
        <w:t xml:space="preserve">: </w:t>
      </w:r>
      <w:r w:rsidR="002547DC" w:rsidRPr="00D204CF">
        <w:t>A second funding stream for specific purpose and short-term projects</w:t>
      </w:r>
      <w:bookmarkEnd w:id="80"/>
    </w:p>
    <w:p w14:paraId="03A70643" w14:textId="77777777" w:rsidR="00721563" w:rsidRDefault="002547DC" w:rsidP="002547DC">
      <w:r w:rsidRPr="00D204CF">
        <w:t>VLA administers short and longer term funding</w:t>
      </w:r>
      <w:r>
        <w:t xml:space="preserve"> to CLCs</w:t>
      </w:r>
      <w:r w:rsidR="001E30A9">
        <w:t>.</w:t>
      </w:r>
    </w:p>
    <w:p w14:paraId="7BA0F07D" w14:textId="601D274B" w:rsidR="00717887" w:rsidRDefault="002547DC" w:rsidP="002547DC">
      <w:pPr>
        <w:rPr>
          <w:lang w:val="en-US"/>
        </w:rPr>
      </w:pPr>
      <w:r w:rsidRPr="00D204CF">
        <w:rPr>
          <w:lang w:val="en-US"/>
        </w:rPr>
        <w:t xml:space="preserve">The current </w:t>
      </w:r>
      <w:r w:rsidR="001E30A9">
        <w:rPr>
          <w:lang w:val="en-US"/>
        </w:rPr>
        <w:t xml:space="preserve">CLSP framework </w:t>
      </w:r>
      <w:r w:rsidRPr="00D204CF">
        <w:rPr>
          <w:lang w:val="en-US"/>
        </w:rPr>
        <w:t xml:space="preserve">does not </w:t>
      </w:r>
      <w:r>
        <w:rPr>
          <w:lang w:val="en-US"/>
        </w:rPr>
        <w:t>have a consistent</w:t>
      </w:r>
      <w:r w:rsidR="00E73F11">
        <w:rPr>
          <w:lang w:val="en-US"/>
        </w:rPr>
        <w:t>, transparent or s</w:t>
      </w:r>
      <w:r w:rsidR="00611815">
        <w:rPr>
          <w:lang w:val="en-US"/>
        </w:rPr>
        <w:t>ystematic</w:t>
      </w:r>
      <w:r w:rsidR="001E30A9">
        <w:rPr>
          <w:lang w:val="en-US"/>
        </w:rPr>
        <w:t xml:space="preserve"> </w:t>
      </w:r>
      <w:r>
        <w:rPr>
          <w:lang w:val="en-US"/>
        </w:rPr>
        <w:t>administration</w:t>
      </w:r>
      <w:r w:rsidR="00E73F11">
        <w:rPr>
          <w:lang w:val="en-US"/>
        </w:rPr>
        <w:t xml:space="preserve"> framework</w:t>
      </w:r>
      <w:r>
        <w:rPr>
          <w:lang w:val="en-US"/>
        </w:rPr>
        <w:t xml:space="preserve"> </w:t>
      </w:r>
      <w:r w:rsidR="00E73F11">
        <w:rPr>
          <w:lang w:val="en-US"/>
        </w:rPr>
        <w:t xml:space="preserve">for managing </w:t>
      </w:r>
      <w:r w:rsidR="00E778F0">
        <w:rPr>
          <w:lang w:val="en-US"/>
        </w:rPr>
        <w:t xml:space="preserve">specific or </w:t>
      </w:r>
      <w:r w:rsidR="001E30A9" w:rsidRPr="00D204CF">
        <w:rPr>
          <w:lang w:val="en-US"/>
        </w:rPr>
        <w:t>short</w:t>
      </w:r>
      <w:r w:rsidR="00204002">
        <w:rPr>
          <w:lang w:val="en-US"/>
        </w:rPr>
        <w:t>-</w:t>
      </w:r>
      <w:r>
        <w:rPr>
          <w:lang w:val="en-US"/>
        </w:rPr>
        <w:t xml:space="preserve">term </w:t>
      </w:r>
      <w:r w:rsidR="001E30A9">
        <w:rPr>
          <w:lang w:val="en-US"/>
        </w:rPr>
        <w:t xml:space="preserve">projects and </w:t>
      </w:r>
      <w:r w:rsidRPr="00D204CF">
        <w:rPr>
          <w:lang w:val="en-US"/>
        </w:rPr>
        <w:t>programs</w:t>
      </w:r>
      <w:r w:rsidR="001E30A9">
        <w:rPr>
          <w:lang w:val="en-US"/>
        </w:rPr>
        <w:t xml:space="preserve">. </w:t>
      </w:r>
      <w:r w:rsidR="00611815">
        <w:rPr>
          <w:lang w:val="en-US"/>
        </w:rPr>
        <w:t xml:space="preserve">Consequently, funds have </w:t>
      </w:r>
      <w:r w:rsidR="00204002">
        <w:rPr>
          <w:lang w:val="en-US"/>
        </w:rPr>
        <w:t>sometimes</w:t>
      </w:r>
      <w:r w:rsidR="00C8537B">
        <w:rPr>
          <w:lang w:val="en-US"/>
        </w:rPr>
        <w:t xml:space="preserve"> been </w:t>
      </w:r>
      <w:r w:rsidR="00611815">
        <w:rPr>
          <w:lang w:val="en-US"/>
        </w:rPr>
        <w:t>allocated without a fully competitive</w:t>
      </w:r>
      <w:r w:rsidR="00C8537B">
        <w:rPr>
          <w:lang w:val="en-US"/>
        </w:rPr>
        <w:t xml:space="preserve"> and transparent</w:t>
      </w:r>
      <w:r w:rsidR="00611815">
        <w:rPr>
          <w:lang w:val="en-US"/>
        </w:rPr>
        <w:t xml:space="preserve"> process (for example</w:t>
      </w:r>
      <w:r w:rsidR="009D7CC0">
        <w:rPr>
          <w:lang w:val="en-US"/>
        </w:rPr>
        <w:t>,</w:t>
      </w:r>
      <w:r w:rsidR="00611815">
        <w:rPr>
          <w:lang w:val="en-US"/>
        </w:rPr>
        <w:t xml:space="preserve"> at the end of the financial year)</w:t>
      </w:r>
      <w:r w:rsidR="00204002">
        <w:rPr>
          <w:lang w:val="en-US"/>
        </w:rPr>
        <w:t>.</w:t>
      </w:r>
      <w:r w:rsidR="004F50A4">
        <w:rPr>
          <w:lang w:val="en-US"/>
        </w:rPr>
        <w:t xml:space="preserve"> </w:t>
      </w:r>
      <w:r w:rsidR="00204002">
        <w:rPr>
          <w:lang w:val="en-US"/>
        </w:rPr>
        <w:t xml:space="preserve">Monitoring </w:t>
      </w:r>
      <w:r w:rsidR="004F50A4">
        <w:rPr>
          <w:lang w:val="en-US"/>
        </w:rPr>
        <w:t xml:space="preserve">and compliance of this short-term funding has been </w:t>
      </w:r>
      <w:r w:rsidR="00721563">
        <w:rPr>
          <w:lang w:val="en-US"/>
        </w:rPr>
        <w:t>inconsistent and</w:t>
      </w:r>
      <w:r w:rsidR="00204002">
        <w:rPr>
          <w:lang w:val="en-US"/>
        </w:rPr>
        <w:t>,</w:t>
      </w:r>
      <w:r w:rsidR="00E73F11">
        <w:rPr>
          <w:lang w:val="en-US"/>
        </w:rPr>
        <w:t xml:space="preserve"> at times</w:t>
      </w:r>
      <w:r w:rsidR="00204002">
        <w:rPr>
          <w:lang w:val="en-US"/>
        </w:rPr>
        <w:t>,</w:t>
      </w:r>
      <w:r w:rsidR="00721563">
        <w:rPr>
          <w:lang w:val="en-US"/>
        </w:rPr>
        <w:t xml:space="preserve"> </w:t>
      </w:r>
      <w:r w:rsidR="004F50A4">
        <w:rPr>
          <w:lang w:val="en-US"/>
        </w:rPr>
        <w:t>inadequate</w:t>
      </w:r>
      <w:r w:rsidR="00611815">
        <w:rPr>
          <w:lang w:val="en-US"/>
        </w:rPr>
        <w:t>.</w:t>
      </w:r>
      <w:r w:rsidR="00E73F11">
        <w:rPr>
          <w:lang w:val="en-US"/>
        </w:rPr>
        <w:t xml:space="preserve"> </w:t>
      </w:r>
      <w:r w:rsidR="00717887" w:rsidRPr="00717887">
        <w:rPr>
          <w:lang w:val="en-US"/>
        </w:rPr>
        <w:t>VLA seeks to strengthen the framework and processes for managing short</w:t>
      </w:r>
      <w:r w:rsidR="00204002">
        <w:rPr>
          <w:lang w:val="en-US"/>
        </w:rPr>
        <w:t>-</w:t>
      </w:r>
      <w:r w:rsidR="00717887" w:rsidRPr="00717887">
        <w:rPr>
          <w:lang w:val="en-US"/>
        </w:rPr>
        <w:t>term funding</w:t>
      </w:r>
      <w:r w:rsidR="00E778F0">
        <w:rPr>
          <w:lang w:val="en-US"/>
        </w:rPr>
        <w:t>.</w:t>
      </w:r>
    </w:p>
    <w:p w14:paraId="1DAEFB26" w14:textId="308414E7" w:rsidR="002547DC" w:rsidRPr="0072318F" w:rsidRDefault="00334546" w:rsidP="00334546">
      <w:pPr>
        <w:pStyle w:val="Heading2"/>
        <w:rPr>
          <w:lang w:val="en-US"/>
        </w:rPr>
      </w:pPr>
      <w:bookmarkStart w:id="81" w:name="_Toc490159291"/>
      <w:r>
        <w:rPr>
          <w:lang w:val="en-US"/>
        </w:rPr>
        <w:t>Key elements for consideration</w:t>
      </w:r>
      <w:bookmarkEnd w:id="81"/>
    </w:p>
    <w:p w14:paraId="57826BCF" w14:textId="763583F0" w:rsidR="00E778F0" w:rsidRPr="00D26373" w:rsidRDefault="00E778F0" w:rsidP="00694B81">
      <w:pPr>
        <w:pStyle w:val="ListBullet"/>
        <w:numPr>
          <w:ilvl w:val="0"/>
          <w:numId w:val="0"/>
        </w:numPr>
      </w:pPr>
      <w:r>
        <w:t xml:space="preserve">This funding stream would cover: </w:t>
      </w:r>
    </w:p>
    <w:p w14:paraId="1F0D457C" w14:textId="77777777" w:rsidR="002547DC" w:rsidRPr="00D26373" w:rsidRDefault="002547DC" w:rsidP="00F62267">
      <w:pPr>
        <w:pStyle w:val="ListBullet"/>
      </w:pPr>
      <w:r w:rsidRPr="00D26373">
        <w:t>specific purpose grants</w:t>
      </w:r>
      <w:r w:rsidR="009D7CC0" w:rsidRPr="00D26373">
        <w:t xml:space="preserve">, </w:t>
      </w:r>
      <w:r w:rsidRPr="00D26373">
        <w:t>for example</w:t>
      </w:r>
      <w:r w:rsidR="00A22F18">
        <w:t>,</w:t>
      </w:r>
      <w:r w:rsidRPr="00D26373">
        <w:t xml:space="preserve"> Family Violence Duty Lawyer services </w:t>
      </w:r>
      <w:r w:rsidR="00A22F18">
        <w:t>and</w:t>
      </w:r>
      <w:r w:rsidR="00A22F18" w:rsidRPr="00D26373">
        <w:t xml:space="preserve"> </w:t>
      </w:r>
      <w:r w:rsidRPr="00D26373">
        <w:t>the Child Protection Services Pilot</w:t>
      </w:r>
    </w:p>
    <w:p w14:paraId="5B2F6D4D" w14:textId="77777777" w:rsidR="002547DC" w:rsidRPr="00D26373" w:rsidRDefault="002547DC" w:rsidP="00F62267">
      <w:pPr>
        <w:pStyle w:val="ListBullet"/>
      </w:pPr>
      <w:r w:rsidRPr="00D26373">
        <w:t>innovation</w:t>
      </w:r>
      <w:r w:rsidR="00BE7E1D" w:rsidRPr="00D26373">
        <w:t xml:space="preserve"> and transformation funds</w:t>
      </w:r>
      <w:r w:rsidRPr="00D26373">
        <w:t xml:space="preserve"> </w:t>
      </w:r>
      <w:r w:rsidR="00A22F18">
        <w:t xml:space="preserve">for </w:t>
      </w:r>
      <w:r w:rsidRPr="00D26373">
        <w:t>testing new ideas</w:t>
      </w:r>
      <w:r w:rsidR="00A22F18">
        <w:t xml:space="preserve"> or </w:t>
      </w:r>
      <w:r w:rsidRPr="00D26373">
        <w:t>approaches</w:t>
      </w:r>
    </w:p>
    <w:p w14:paraId="45811936" w14:textId="4C23B479" w:rsidR="002547DC" w:rsidRPr="00D26373" w:rsidRDefault="002547DC" w:rsidP="00F62267">
      <w:pPr>
        <w:pStyle w:val="ListBullet"/>
      </w:pPr>
      <w:r w:rsidRPr="00D26373">
        <w:t>specific organisational development and capital costs</w:t>
      </w:r>
      <w:r w:rsidR="00A22F18">
        <w:t>,</w:t>
      </w:r>
      <w:r w:rsidR="00C8537B" w:rsidRPr="00D26373">
        <w:t xml:space="preserve"> </w:t>
      </w:r>
      <w:r w:rsidR="00BE7E1D" w:rsidRPr="00D26373">
        <w:t xml:space="preserve">either through a special fund or attached to </w:t>
      </w:r>
      <w:r w:rsidR="00A22F18">
        <w:t>an</w:t>
      </w:r>
      <w:r w:rsidR="00BE7E1D" w:rsidRPr="00D26373">
        <w:t xml:space="preserve">other fund, </w:t>
      </w:r>
      <w:r w:rsidR="00A22F18">
        <w:t>such as</w:t>
      </w:r>
      <w:r w:rsidR="00A22F18" w:rsidRPr="00D26373">
        <w:t xml:space="preserve"> </w:t>
      </w:r>
      <w:r w:rsidR="00BE7E1D" w:rsidRPr="00D26373">
        <w:t>Innovation and Transformation</w:t>
      </w:r>
      <w:r w:rsidR="00A22F18">
        <w:t xml:space="preserve"> or</w:t>
      </w:r>
      <w:r w:rsidR="00416BD4" w:rsidRPr="00D26373">
        <w:t xml:space="preserve"> end of financial year grants</w:t>
      </w:r>
      <w:r w:rsidR="00694B81">
        <w:t>.</w:t>
      </w:r>
    </w:p>
    <w:p w14:paraId="04B0F839" w14:textId="126EF2EF" w:rsidR="002547DC" w:rsidRPr="00D26373" w:rsidRDefault="00E778F0" w:rsidP="00694B81">
      <w:pPr>
        <w:pStyle w:val="ListBullet"/>
        <w:numPr>
          <w:ilvl w:val="0"/>
          <w:numId w:val="0"/>
        </w:numPr>
      </w:pPr>
      <w:r>
        <w:t xml:space="preserve">This stream would have </w:t>
      </w:r>
      <w:r w:rsidR="00416BD4" w:rsidRPr="00D26373">
        <w:t>flexibility to manage</w:t>
      </w:r>
      <w:r>
        <w:t xml:space="preserve"> specific or</w:t>
      </w:r>
      <w:r w:rsidR="00416BD4" w:rsidRPr="00D26373">
        <w:t xml:space="preserve"> </w:t>
      </w:r>
      <w:r w:rsidR="002547DC" w:rsidRPr="00D26373">
        <w:t>short-term funding provided through other sources</w:t>
      </w:r>
      <w:r w:rsidR="00416BD4" w:rsidRPr="00D26373">
        <w:t>,</w:t>
      </w:r>
      <w:r w:rsidR="002547DC" w:rsidRPr="00D26373">
        <w:t xml:space="preserve"> e.g. Consumer Affairs Victoria (CAV), Department of Health and Human Services (DHHS)</w:t>
      </w:r>
      <w:r w:rsidR="00C8537B" w:rsidRPr="00D26373">
        <w:t xml:space="preserve"> and others</w:t>
      </w:r>
    </w:p>
    <w:p w14:paraId="12A2F2D7" w14:textId="2F5B5A00" w:rsidR="0011555A" w:rsidRPr="00FF0E31" w:rsidRDefault="002547DC" w:rsidP="002547DC">
      <w:r w:rsidRPr="00C34D32">
        <w:t>For more detail</w:t>
      </w:r>
      <w:r w:rsidR="00717887">
        <w:t xml:space="preserve"> on this Reform</w:t>
      </w:r>
      <w:r>
        <w:t>,</w:t>
      </w:r>
      <w:r w:rsidRPr="00C34D32">
        <w:t xml:space="preserve"> see</w:t>
      </w:r>
      <w:r w:rsidRPr="00B22A35">
        <w:rPr>
          <w:b/>
        </w:rPr>
        <w:t xml:space="preserve"> </w:t>
      </w:r>
      <w:hyperlink w:anchor="_Appendix_5:_CLSP" w:history="1">
        <w:r w:rsidRPr="00944965">
          <w:rPr>
            <w:rStyle w:val="Hyperlink"/>
          </w:rPr>
          <w:t>Appendix 5 Funding Accountability for specific and short-term programs and projects</w:t>
        </w:r>
      </w:hyperlink>
      <w:r>
        <w:t>.</w:t>
      </w:r>
    </w:p>
    <w:p w14:paraId="104AF01C" w14:textId="77777777" w:rsidR="002547DC" w:rsidRPr="00B40CC9" w:rsidRDefault="000560DE" w:rsidP="00E94700">
      <w:pPr>
        <w:pStyle w:val="Heading1"/>
        <w:spacing w:before="300"/>
      </w:pPr>
      <w:bookmarkStart w:id="82" w:name="_Option_8:_Funding"/>
      <w:bookmarkStart w:id="83" w:name="_Toc490159292"/>
      <w:bookmarkEnd w:id="82"/>
      <w:r>
        <w:t>Reform</w:t>
      </w:r>
      <w:r w:rsidR="002547DC" w:rsidRPr="00B40CC9">
        <w:t xml:space="preserve"> 8</w:t>
      </w:r>
      <w:r w:rsidR="00471E5F">
        <w:t xml:space="preserve">: </w:t>
      </w:r>
      <w:r w:rsidR="002547DC" w:rsidRPr="00B40CC9">
        <w:t>Funding certainty</w:t>
      </w:r>
      <w:bookmarkEnd w:id="83"/>
    </w:p>
    <w:p w14:paraId="4AED286A" w14:textId="0EABE09A" w:rsidR="008A1396" w:rsidRDefault="002547DC" w:rsidP="008A1396">
      <w:r w:rsidRPr="00B40CC9">
        <w:t>Ther</w:t>
      </w:r>
      <w:r>
        <w:t xml:space="preserve">e was strong consensus </w:t>
      </w:r>
      <w:r w:rsidR="000560DE">
        <w:t xml:space="preserve">from </w:t>
      </w:r>
      <w:r w:rsidRPr="00B40CC9">
        <w:t>stakeholders about the need for greater funding certainty</w:t>
      </w:r>
      <w:r w:rsidR="009D76AD">
        <w:t xml:space="preserve"> for CLCs</w:t>
      </w:r>
      <w:r w:rsidR="000560DE">
        <w:t xml:space="preserve">, including </w:t>
      </w:r>
      <w:r w:rsidR="004A382A">
        <w:t>the need for multi-year funding</w:t>
      </w:r>
      <w:r w:rsidR="009D76AD">
        <w:t xml:space="preserve"> and a longer-term funding commitment from VLA</w:t>
      </w:r>
      <w:r w:rsidR="004A382A">
        <w:t>.</w:t>
      </w:r>
      <w:r w:rsidR="008A1396">
        <w:t xml:space="preserve"> </w:t>
      </w:r>
      <w:r w:rsidR="000560DE">
        <w:t xml:space="preserve">VLA agrees that funding certainty </w:t>
      </w:r>
      <w:r w:rsidR="004A382A">
        <w:t>optimises centres</w:t>
      </w:r>
      <w:r w:rsidR="00A22F18">
        <w:t>’</w:t>
      </w:r>
      <w:r w:rsidR="004A382A">
        <w:t xml:space="preserve"> capacity to do long</w:t>
      </w:r>
      <w:r w:rsidR="00A22F18">
        <w:t>-</w:t>
      </w:r>
      <w:r w:rsidR="004A382A">
        <w:t>term planning</w:t>
      </w:r>
      <w:r w:rsidR="009D76AD">
        <w:t xml:space="preserve"> and retain staff</w:t>
      </w:r>
      <w:r w:rsidR="008A1396">
        <w:t xml:space="preserve"> and that the current situation makes this difficult</w:t>
      </w:r>
      <w:r w:rsidR="004A382A">
        <w:t xml:space="preserve">. </w:t>
      </w:r>
    </w:p>
    <w:p w14:paraId="28E570F8" w14:textId="0168BEAB" w:rsidR="002547DC" w:rsidRDefault="00A6249E">
      <w:r>
        <w:t>Options for increasing f</w:t>
      </w:r>
      <w:r w:rsidR="009D76AD">
        <w:t xml:space="preserve">unding certainty will need to be </w:t>
      </w:r>
      <w:r>
        <w:t xml:space="preserve">considered in the context of VLA’s legal and financial </w:t>
      </w:r>
      <w:r w:rsidR="009D76AD">
        <w:t>capacity to</w:t>
      </w:r>
      <w:r>
        <w:t xml:space="preserve"> provide earlier notification of funding and enter multi-year agreements</w:t>
      </w:r>
      <w:r w:rsidR="0058426F">
        <w:t xml:space="preserve">, given the </w:t>
      </w:r>
      <w:r w:rsidR="0058426F">
        <w:lastRenderedPageBreak/>
        <w:t>process</w:t>
      </w:r>
      <w:r w:rsidR="008A1396">
        <w:t xml:space="preserve"> for and timing of government notification to VLA of funding.</w:t>
      </w:r>
      <w:r w:rsidR="00805675">
        <w:t xml:space="preserve"> VLA is undertaking further work on possible options given the significant implications for VLA’s finances. </w:t>
      </w:r>
      <w:r>
        <w:t xml:space="preserve"> </w:t>
      </w:r>
    </w:p>
    <w:p w14:paraId="052BA0D4" w14:textId="77777777" w:rsidR="002547DC" w:rsidRDefault="00334546" w:rsidP="00334546">
      <w:pPr>
        <w:pStyle w:val="Heading2"/>
      </w:pPr>
      <w:bookmarkStart w:id="84" w:name="_Toc490159293"/>
      <w:r w:rsidRPr="00334546">
        <w:t xml:space="preserve">Key elements for </w:t>
      </w:r>
      <w:r w:rsidR="002547DC" w:rsidRPr="00334546">
        <w:t>consider</w:t>
      </w:r>
      <w:r w:rsidRPr="00334546">
        <w:t>atio</w:t>
      </w:r>
      <w:r>
        <w:t>n</w:t>
      </w:r>
      <w:bookmarkEnd w:id="84"/>
    </w:p>
    <w:p w14:paraId="75C5AA79" w14:textId="77777777" w:rsidR="002547DC" w:rsidRPr="00D26373" w:rsidRDefault="002547DC" w:rsidP="00F62267">
      <w:pPr>
        <w:pStyle w:val="ListBullet"/>
      </w:pPr>
      <w:r w:rsidRPr="00D26373">
        <w:t>longer funding agreements with consideration of indicative funding (exclu</w:t>
      </w:r>
      <w:r w:rsidR="00A22F18">
        <w:t>ding</w:t>
      </w:r>
      <w:r w:rsidRPr="00D26373">
        <w:t xml:space="preserve"> indexation)</w:t>
      </w:r>
    </w:p>
    <w:p w14:paraId="4D9393B6" w14:textId="7B9CCF3E" w:rsidR="002547DC" w:rsidRDefault="002547DC" w:rsidP="00F62267">
      <w:pPr>
        <w:pStyle w:val="ListBullet"/>
      </w:pPr>
      <w:r w:rsidRPr="00D26373">
        <w:t>shifting the funding year from 1 July</w:t>
      </w:r>
      <w:r w:rsidR="00A22F18">
        <w:t>–</w:t>
      </w:r>
      <w:r w:rsidRPr="00D26373">
        <w:t>30 June to 1 Oct</w:t>
      </w:r>
      <w:r w:rsidR="00A22F18">
        <w:t>–</w:t>
      </w:r>
      <w:r w:rsidRPr="00D26373">
        <w:t xml:space="preserve">30 Sept to provide </w:t>
      </w:r>
      <w:r w:rsidR="00A22F18">
        <w:t xml:space="preserve">centres with </w:t>
      </w:r>
      <w:r w:rsidRPr="00D26373">
        <w:t>earlier and more definite notice of funding for the following year</w:t>
      </w:r>
      <w:r w:rsidR="008A1396">
        <w:t xml:space="preserve"> following government budget announcements</w:t>
      </w:r>
    </w:p>
    <w:p w14:paraId="0B62039C" w14:textId="0E4F1619" w:rsidR="0020250C" w:rsidRDefault="005931CE">
      <w:pPr>
        <w:pStyle w:val="ListBullet"/>
        <w:numPr>
          <w:ilvl w:val="0"/>
          <w:numId w:val="0"/>
        </w:numPr>
      </w:pPr>
      <w:r>
        <w:t>O</w:t>
      </w:r>
      <w:r w:rsidR="0020250C" w:rsidRPr="00F62267">
        <w:t xml:space="preserve">ptions </w:t>
      </w:r>
      <w:r w:rsidR="00805675">
        <w:t xml:space="preserve">for change would have </w:t>
      </w:r>
      <w:r w:rsidR="0020250C" w:rsidRPr="00F62267">
        <w:t>significant financial and reporting implications for VLA. This impact will be explored now and in more detail in Phase 2</w:t>
      </w:r>
      <w:r w:rsidR="0020250C">
        <w:t xml:space="preserve"> of the project.</w:t>
      </w:r>
    </w:p>
    <w:p w14:paraId="4A31205C" w14:textId="274BE1A2" w:rsidR="002547DC" w:rsidRDefault="000C3898">
      <w:pPr>
        <w:pStyle w:val="ListBullet"/>
        <w:numPr>
          <w:ilvl w:val="0"/>
          <w:numId w:val="0"/>
        </w:numPr>
      </w:pPr>
      <w:r>
        <w:t>VLA is committed to working with CLCs on funding security</w:t>
      </w:r>
      <w:r w:rsidR="0020250C">
        <w:t>, acknowledging</w:t>
      </w:r>
      <w:r>
        <w:t xml:space="preserve"> </w:t>
      </w:r>
      <w:r w:rsidR="008D58D4">
        <w:t xml:space="preserve">the difficulty for centres providing a budget or planning without confirmation of funding, and </w:t>
      </w:r>
      <w:r>
        <w:t xml:space="preserve">that insecurity has </w:t>
      </w:r>
      <w:r w:rsidR="00137909">
        <w:t>a strong</w:t>
      </w:r>
      <w:r>
        <w:t xml:space="preserve"> impact on CLCs</w:t>
      </w:r>
      <w:r w:rsidR="0020250C">
        <w:t>’</w:t>
      </w:r>
      <w:r>
        <w:t xml:space="preserve"> capacity to plan services and retain staff.</w:t>
      </w:r>
    </w:p>
    <w:p w14:paraId="59B33519" w14:textId="77777777" w:rsidR="002547DC" w:rsidRDefault="004A382A" w:rsidP="00694B81">
      <w:pPr>
        <w:pStyle w:val="Heading1"/>
      </w:pPr>
      <w:bookmarkStart w:id="85" w:name="_Option_9:_Leveraging"/>
      <w:bookmarkStart w:id="86" w:name="_Toc490159294"/>
      <w:bookmarkEnd w:id="85"/>
      <w:r>
        <w:t xml:space="preserve">Reform </w:t>
      </w:r>
      <w:r w:rsidRPr="00DE144B">
        <w:t>9</w:t>
      </w:r>
      <w:r w:rsidR="00D43E78">
        <w:t xml:space="preserve">: </w:t>
      </w:r>
      <w:r w:rsidR="00A438BD">
        <w:t xml:space="preserve">Greater use of </w:t>
      </w:r>
      <w:r w:rsidR="002547DC" w:rsidRPr="00DE144B">
        <w:t xml:space="preserve">technology to share information and support </w:t>
      </w:r>
      <w:r w:rsidR="001148B4">
        <w:t>CLCs</w:t>
      </w:r>
      <w:bookmarkEnd w:id="86"/>
      <w:r w:rsidR="001148B4">
        <w:t xml:space="preserve"> </w:t>
      </w:r>
    </w:p>
    <w:p w14:paraId="4B08EB74" w14:textId="77777777" w:rsidR="002547DC" w:rsidRDefault="002547DC" w:rsidP="002547DC">
      <w:r w:rsidRPr="00DE144B">
        <w:t>As part of the modernisation</w:t>
      </w:r>
      <w:r>
        <w:t xml:space="preserve"> of CLSP arrangements, </w:t>
      </w:r>
      <w:r w:rsidRPr="00DE144B">
        <w:t xml:space="preserve">there is opportunity </w:t>
      </w:r>
      <w:r>
        <w:t xml:space="preserve">to </w:t>
      </w:r>
      <w:r w:rsidR="0020250C">
        <w:t xml:space="preserve">use </w:t>
      </w:r>
      <w:r>
        <w:t>technolog</w:t>
      </w:r>
      <w:r w:rsidR="00A710AA">
        <w:t>y</w:t>
      </w:r>
      <w:r>
        <w:t xml:space="preserve"> </w:t>
      </w:r>
      <w:r w:rsidR="0020250C">
        <w:t>to</w:t>
      </w:r>
      <w:r>
        <w:t xml:space="preserve"> </w:t>
      </w:r>
      <w:r w:rsidR="0011555A">
        <w:t xml:space="preserve">enable VLA and CLCs </w:t>
      </w:r>
      <w:r w:rsidR="0020250C">
        <w:t xml:space="preserve">to easily </w:t>
      </w:r>
      <w:r w:rsidR="0011555A">
        <w:t>access all systems and frameworks related to CLSP</w:t>
      </w:r>
      <w:r w:rsidR="0020250C">
        <w:t xml:space="preserve"> (for example, through an online portal)</w:t>
      </w:r>
      <w:r w:rsidR="0011555A">
        <w:t>.</w:t>
      </w:r>
      <w:r>
        <w:t xml:space="preserve"> There are many </w:t>
      </w:r>
      <w:r w:rsidR="001148B4">
        <w:t xml:space="preserve">technology </w:t>
      </w:r>
      <w:r w:rsidR="00E94700">
        <w:t>solutions</w:t>
      </w:r>
      <w:r w:rsidR="001148B4">
        <w:t xml:space="preserve"> </w:t>
      </w:r>
      <w:r w:rsidR="00761BE1">
        <w:t xml:space="preserve">used </w:t>
      </w:r>
      <w:r w:rsidR="001148B4">
        <w:t>in other sectors</w:t>
      </w:r>
      <w:r>
        <w:t xml:space="preserve"> that </w:t>
      </w:r>
      <w:r w:rsidR="0020250C">
        <w:t xml:space="preserve">simplify </w:t>
      </w:r>
      <w:r>
        <w:t>access and administration</w:t>
      </w:r>
      <w:r w:rsidR="0020250C">
        <w:t xml:space="preserve"> </w:t>
      </w:r>
      <w:r w:rsidR="00761BE1">
        <w:t xml:space="preserve">that </w:t>
      </w:r>
      <w:r>
        <w:t>can be explored further</w:t>
      </w:r>
      <w:r w:rsidR="00761BE1">
        <w:t>,</w:t>
      </w:r>
      <w:r>
        <w:t xml:space="preserve"> </w:t>
      </w:r>
      <w:r w:rsidR="0020250C">
        <w:t>along with what</w:t>
      </w:r>
      <w:r w:rsidR="00137909">
        <w:t xml:space="preserve"> capacity </w:t>
      </w:r>
      <w:r>
        <w:t xml:space="preserve">building and resources </w:t>
      </w:r>
      <w:r w:rsidR="0020250C">
        <w:t xml:space="preserve">may be needed </w:t>
      </w:r>
      <w:r>
        <w:t xml:space="preserve">to </w:t>
      </w:r>
      <w:r w:rsidR="00B61348">
        <w:t xml:space="preserve">support </w:t>
      </w:r>
      <w:r>
        <w:t>th</w:t>
      </w:r>
      <w:r w:rsidR="00B61348">
        <w:t>eir use in this sector</w:t>
      </w:r>
      <w:r>
        <w:t>.</w:t>
      </w:r>
      <w:r w:rsidR="001148B4">
        <w:t xml:space="preserve"> </w:t>
      </w:r>
    </w:p>
    <w:p w14:paraId="303DA625" w14:textId="77777777" w:rsidR="00137909" w:rsidRDefault="001148B4" w:rsidP="002547DC">
      <w:r>
        <w:t xml:space="preserve">Throughout the consultation, stakeholders noted the need </w:t>
      </w:r>
      <w:r w:rsidR="00761BE1">
        <w:t>to introduce</w:t>
      </w:r>
      <w:r w:rsidR="00EB6B05">
        <w:t xml:space="preserve"> new</w:t>
      </w:r>
      <w:r>
        <w:t xml:space="preserve"> systems that ease the burden of reporting</w:t>
      </w:r>
      <w:r w:rsidR="00137909">
        <w:t xml:space="preserve">. This reform proposes </w:t>
      </w:r>
      <w:r>
        <w:t>a</w:t>
      </w:r>
      <w:r w:rsidR="00137909">
        <w:t xml:space="preserve"> new</w:t>
      </w:r>
      <w:r>
        <w:t xml:space="preserve"> platform </w:t>
      </w:r>
      <w:r w:rsidR="00137909">
        <w:t xml:space="preserve">where CLCs will have </w:t>
      </w:r>
      <w:r>
        <w:t>access to</w:t>
      </w:r>
      <w:r w:rsidR="00137909">
        <w:t xml:space="preserve"> shared</w:t>
      </w:r>
      <w:r>
        <w:t xml:space="preserve"> data, information and tools to support </w:t>
      </w:r>
      <w:r w:rsidR="00761BE1">
        <w:t xml:space="preserve">their </w:t>
      </w:r>
      <w:r>
        <w:t xml:space="preserve">work. </w:t>
      </w:r>
    </w:p>
    <w:p w14:paraId="481BAD96" w14:textId="77777777" w:rsidR="001148B4" w:rsidRDefault="001148B4" w:rsidP="002547DC">
      <w:r>
        <w:t>There was also a call for greater transparency in allocating and managing funding.</w:t>
      </w:r>
      <w:r w:rsidR="00137909">
        <w:t xml:space="preserve"> This information could be made publicly accessible through the platform.</w:t>
      </w:r>
    </w:p>
    <w:p w14:paraId="68DF2CA8" w14:textId="77777777" w:rsidR="002547DC" w:rsidRDefault="00334546" w:rsidP="00334546">
      <w:pPr>
        <w:pStyle w:val="Heading2"/>
      </w:pPr>
      <w:bookmarkStart w:id="87" w:name="_Toc490159295"/>
      <w:r>
        <w:t xml:space="preserve">Key elements </w:t>
      </w:r>
      <w:r w:rsidR="00A9498E">
        <w:t>for</w:t>
      </w:r>
      <w:r>
        <w:t xml:space="preserve"> </w:t>
      </w:r>
      <w:r w:rsidR="002547DC" w:rsidRPr="00DE144B">
        <w:t>consider</w:t>
      </w:r>
      <w:r>
        <w:t>ation</w:t>
      </w:r>
      <w:bookmarkEnd w:id="87"/>
    </w:p>
    <w:p w14:paraId="54C108B7" w14:textId="77777777" w:rsidR="00A9498E" w:rsidRPr="00F62267" w:rsidRDefault="00A9498E" w:rsidP="00F62267">
      <w:pPr>
        <w:rPr>
          <w:lang w:eastAsia="en-AU"/>
        </w:rPr>
      </w:pPr>
      <w:r>
        <w:rPr>
          <w:lang w:eastAsia="en-AU"/>
        </w:rPr>
        <w:t>The following are key elements to consider in developing a portal:</w:t>
      </w:r>
    </w:p>
    <w:p w14:paraId="0C782C9A" w14:textId="77777777" w:rsidR="002547DC" w:rsidRPr="00D26373" w:rsidRDefault="002547DC" w:rsidP="00F62267">
      <w:pPr>
        <w:pStyle w:val="ListBullet"/>
      </w:pPr>
      <w:r w:rsidRPr="00D26373">
        <w:t xml:space="preserve">transparent, shared information and data across the sector and with others </w:t>
      </w:r>
      <w:r w:rsidR="00575BE3">
        <w:t>(for example</w:t>
      </w:r>
      <w:r w:rsidRPr="00D26373">
        <w:t xml:space="preserve"> other funders</w:t>
      </w:r>
      <w:r w:rsidR="00137909" w:rsidRPr="00D26373">
        <w:t xml:space="preserve">, CLC partners </w:t>
      </w:r>
      <w:r w:rsidR="003F2E25" w:rsidRPr="00D26373">
        <w:t>and the public</w:t>
      </w:r>
      <w:r w:rsidR="00575BE3">
        <w:t>)</w:t>
      </w:r>
    </w:p>
    <w:p w14:paraId="7953B46F" w14:textId="77777777" w:rsidR="00A55F67" w:rsidRPr="00D26373" w:rsidRDefault="00A55F67" w:rsidP="00F62267">
      <w:pPr>
        <w:pStyle w:val="ListBullet"/>
      </w:pPr>
      <w:r w:rsidRPr="00D26373">
        <w:t xml:space="preserve">CLC have </w:t>
      </w:r>
      <w:r w:rsidR="002547DC" w:rsidRPr="00D26373">
        <w:t>access to documentation</w:t>
      </w:r>
      <w:r w:rsidR="00575BE3">
        <w:t>,</w:t>
      </w:r>
      <w:r w:rsidR="002547DC" w:rsidRPr="00D26373">
        <w:t xml:space="preserve"> such as settled agreements, casework and funding guidelines</w:t>
      </w:r>
    </w:p>
    <w:p w14:paraId="1B3DF1C6" w14:textId="77777777" w:rsidR="002547DC" w:rsidRPr="00D26373" w:rsidRDefault="002547DC" w:rsidP="00F62267">
      <w:pPr>
        <w:pStyle w:val="ListBullet"/>
      </w:pPr>
      <w:r w:rsidRPr="00D26373">
        <w:t xml:space="preserve">policies and procedures are transparent and accessible </w:t>
      </w:r>
    </w:p>
    <w:p w14:paraId="3270FEB0" w14:textId="5E4B7F5D" w:rsidR="002547DC" w:rsidRPr="00D26373" w:rsidRDefault="002547DC" w:rsidP="00F62267">
      <w:pPr>
        <w:pStyle w:val="ListBullet"/>
      </w:pPr>
      <w:r w:rsidRPr="00D26373">
        <w:t>centralised reporting by upload</w:t>
      </w:r>
      <w:r w:rsidR="008A1396">
        <w:t xml:space="preserve"> or use of online forms</w:t>
      </w:r>
      <w:r w:rsidR="00575BE3">
        <w:t>,</w:t>
      </w:r>
      <w:r w:rsidRPr="00D26373">
        <w:t xml:space="preserve"> rather than in hardcopy or by email</w:t>
      </w:r>
    </w:p>
    <w:p w14:paraId="33E783E6" w14:textId="77777777" w:rsidR="002547DC" w:rsidRPr="00D26373" w:rsidRDefault="00A55F67" w:rsidP="00F62267">
      <w:pPr>
        <w:pStyle w:val="ListBullet"/>
      </w:pPr>
      <w:r w:rsidRPr="00D26373">
        <w:t xml:space="preserve">CLC </w:t>
      </w:r>
      <w:r w:rsidR="002547DC" w:rsidRPr="00D26373">
        <w:t>access to consistent, purpose</w:t>
      </w:r>
      <w:r w:rsidR="00575BE3">
        <w:t>-built</w:t>
      </w:r>
      <w:r w:rsidR="002547DC" w:rsidRPr="00D26373">
        <w:t xml:space="preserve"> templates and tools</w:t>
      </w:r>
    </w:p>
    <w:p w14:paraId="53BBDFDA" w14:textId="77777777" w:rsidR="002547DC" w:rsidRPr="00D26373" w:rsidRDefault="002547DC" w:rsidP="00F62267">
      <w:pPr>
        <w:pStyle w:val="ListBullet"/>
      </w:pPr>
      <w:r w:rsidRPr="00D26373">
        <w:t>social media spaces for mutual support and collaboration</w:t>
      </w:r>
    </w:p>
    <w:p w14:paraId="69878B1B" w14:textId="032FC870" w:rsidR="002547DC" w:rsidRPr="00D26373" w:rsidRDefault="002547DC" w:rsidP="00F62267">
      <w:pPr>
        <w:pStyle w:val="ListBullet"/>
      </w:pPr>
      <w:r w:rsidRPr="00D26373">
        <w:t xml:space="preserve">links to other key sites </w:t>
      </w:r>
      <w:r w:rsidR="00A55F67" w:rsidRPr="00D26373">
        <w:t xml:space="preserve">and references </w:t>
      </w:r>
      <w:r w:rsidR="006F6FAA">
        <w:t>(</w:t>
      </w:r>
      <w:r w:rsidR="00C73694">
        <w:t>for example, the F</w:t>
      </w:r>
      <w:r w:rsidRPr="00D26373">
        <w:t xml:space="preserve">CLC, CLC Accreditation, Legal Services Board and Commission and other relevant stakeholders </w:t>
      </w:r>
      <w:r w:rsidR="00A55F67" w:rsidRPr="00D26373">
        <w:t>and regulators</w:t>
      </w:r>
      <w:r w:rsidR="006F6FAA">
        <w:t>)</w:t>
      </w:r>
    </w:p>
    <w:p w14:paraId="0FF06DA4" w14:textId="77777777" w:rsidR="002547DC" w:rsidRPr="00D26373" w:rsidRDefault="002547DC" w:rsidP="00F62267">
      <w:pPr>
        <w:pStyle w:val="ListBullet"/>
      </w:pPr>
      <w:r w:rsidRPr="00D26373">
        <w:t>notice of funding and other capacity building opportunities</w:t>
      </w:r>
      <w:r w:rsidR="006F6FAA">
        <w:t>,</w:t>
      </w:r>
      <w:r w:rsidRPr="00D26373">
        <w:t xml:space="preserve"> including access to pro bono assistance and support</w:t>
      </w:r>
    </w:p>
    <w:p w14:paraId="15AAF676" w14:textId="77777777" w:rsidR="002547DC" w:rsidRPr="00D26373" w:rsidRDefault="002547DC" w:rsidP="00F62267">
      <w:pPr>
        <w:pStyle w:val="ListBullet"/>
      </w:pPr>
      <w:r w:rsidRPr="00D26373">
        <w:lastRenderedPageBreak/>
        <w:t>access to training calendars and training modules</w:t>
      </w:r>
      <w:r w:rsidR="006F6FAA">
        <w:t>,</w:t>
      </w:r>
      <w:r w:rsidRPr="00D26373">
        <w:t xml:space="preserve"> with capacity to book online</w:t>
      </w:r>
    </w:p>
    <w:p w14:paraId="22969CF7" w14:textId="77777777" w:rsidR="00694B81" w:rsidRDefault="008A1396" w:rsidP="00694B81">
      <w:pPr>
        <w:pStyle w:val="ListBullet"/>
      </w:pPr>
      <w:r>
        <w:t xml:space="preserve">a combination of </w:t>
      </w:r>
      <w:r w:rsidR="002547DC" w:rsidRPr="00D26373">
        <w:t>public zone</w:t>
      </w:r>
      <w:r>
        <w:t>s</w:t>
      </w:r>
      <w:r w:rsidR="002547DC" w:rsidRPr="00D26373">
        <w:t xml:space="preserve"> accessible to a broad range of stakeholders</w:t>
      </w:r>
      <w:r w:rsidR="006F6FAA">
        <w:t xml:space="preserve">, </w:t>
      </w:r>
      <w:r>
        <w:t>and closed areas for more confidential commun</w:t>
      </w:r>
      <w:r w:rsidR="00694B81">
        <w:t>i</w:t>
      </w:r>
      <w:r>
        <w:t xml:space="preserve">cations. </w:t>
      </w:r>
      <w:bookmarkStart w:id="88" w:name="_Toc490159296"/>
    </w:p>
    <w:p w14:paraId="27966776" w14:textId="5C5E23F7" w:rsidR="0011555A" w:rsidRDefault="0011555A" w:rsidP="0011555A">
      <w:pPr>
        <w:pStyle w:val="Heading1"/>
      </w:pPr>
      <w:r>
        <w:t>Reform 10: Rationalising multiple-source funding and/or accountability</w:t>
      </w:r>
      <w:bookmarkEnd w:id="88"/>
      <w:r>
        <w:t xml:space="preserve"> </w:t>
      </w:r>
    </w:p>
    <w:p w14:paraId="500BCF24" w14:textId="77777777" w:rsidR="0011555A" w:rsidRDefault="0011555A" w:rsidP="0011555A">
      <w:r>
        <w:t xml:space="preserve">Most CLCs are funded through multiple sources, </w:t>
      </w:r>
      <w:r w:rsidR="009D6663">
        <w:t xml:space="preserve">and for </w:t>
      </w:r>
      <w:r w:rsidR="00C315B6">
        <w:t xml:space="preserve">some </w:t>
      </w:r>
      <w:r w:rsidR="00EB6B05">
        <w:t xml:space="preserve">centres </w:t>
      </w:r>
      <w:r>
        <w:t xml:space="preserve">VLA </w:t>
      </w:r>
      <w:r w:rsidR="009D6663">
        <w:t xml:space="preserve">is </w:t>
      </w:r>
      <w:r>
        <w:t>their minor funder</w:t>
      </w:r>
      <w:r w:rsidR="00EB6B05">
        <w:t>. O</w:t>
      </w:r>
      <w:r>
        <w:t>thers receiv</w:t>
      </w:r>
      <w:r w:rsidR="009A163E">
        <w:t>e</w:t>
      </w:r>
      <w:r>
        <w:t xml:space="preserve"> most of their funds through the CLSP (administered by VLA). Multiple sources of funding results in multiple reporting and compliance</w:t>
      </w:r>
      <w:r w:rsidR="009D6663">
        <w:t xml:space="preserve"> obligations</w:t>
      </w:r>
      <w:r>
        <w:t xml:space="preserve"> and</w:t>
      </w:r>
      <w:r w:rsidR="009D6663">
        <w:t>,</w:t>
      </w:r>
      <w:r>
        <w:t xml:space="preserve"> consequent</w:t>
      </w:r>
      <w:r w:rsidR="009D6663">
        <w:t>ly,</w:t>
      </w:r>
      <w:r>
        <w:t xml:space="preserve"> inefficiency. </w:t>
      </w:r>
    </w:p>
    <w:p w14:paraId="70167789" w14:textId="77777777" w:rsidR="0011555A" w:rsidRDefault="0011555A" w:rsidP="0011555A">
      <w:r>
        <w:t xml:space="preserve">The Access to Justice Review 2017 recommended that multi-source funding accountability be rationalised for efficiency and simplicity, including aligning the CLSP with the monitoring and accountability requirements and processes of other sources of CLC funding. </w:t>
      </w:r>
    </w:p>
    <w:p w14:paraId="28F4AC58" w14:textId="77777777" w:rsidR="0011555A" w:rsidRDefault="009D6663" w:rsidP="0011555A">
      <w:r>
        <w:t>Reforms proposed here</w:t>
      </w:r>
      <w:r w:rsidR="0011555A">
        <w:t xml:space="preserve"> are intended to </w:t>
      </w:r>
      <w:r>
        <w:t>improve</w:t>
      </w:r>
      <w:r w:rsidR="0011555A">
        <w:t xml:space="preserve"> efficiency and bring a closer focus on clients.</w:t>
      </w:r>
    </w:p>
    <w:p w14:paraId="4D848342" w14:textId="77777777" w:rsidR="0011555A" w:rsidRPr="0011555A" w:rsidRDefault="0011555A" w:rsidP="009A163E">
      <w:pPr>
        <w:pStyle w:val="Heading3"/>
      </w:pPr>
      <w:bookmarkStart w:id="89" w:name="_Toc490159297"/>
      <w:r w:rsidRPr="0011555A">
        <w:t>Key elements for consideration</w:t>
      </w:r>
      <w:bookmarkEnd w:id="89"/>
    </w:p>
    <w:p w14:paraId="0FB38162" w14:textId="77777777" w:rsidR="006F439C" w:rsidRDefault="0011555A" w:rsidP="0011555A">
      <w:r>
        <w:t xml:space="preserve">Each of the following proposals involves VLA acting as ‘agent’ for other funders – whether completely or </w:t>
      </w:r>
      <w:r w:rsidR="00C315B6">
        <w:t>with a</w:t>
      </w:r>
      <w:r>
        <w:t xml:space="preserve"> limited</w:t>
      </w:r>
      <w:r w:rsidR="00C315B6">
        <w:t xml:space="preserve"> role</w:t>
      </w:r>
      <w:r w:rsidR="006F439C">
        <w:t xml:space="preserve">. </w:t>
      </w:r>
    </w:p>
    <w:p w14:paraId="6FAC6C44" w14:textId="127E3B3E" w:rsidR="0011555A" w:rsidRDefault="006F439C" w:rsidP="0011555A">
      <w:r>
        <w:t>This may include</w:t>
      </w:r>
      <w:r w:rsidR="0011555A">
        <w:t>:</w:t>
      </w:r>
    </w:p>
    <w:p w14:paraId="44C25F1E" w14:textId="32562191" w:rsidR="0011555A" w:rsidRPr="00694B81" w:rsidRDefault="0011555A" w:rsidP="00F62267">
      <w:pPr>
        <w:pStyle w:val="ListBullet"/>
      </w:pPr>
      <w:r w:rsidRPr="00694B81">
        <w:t>administering funds</w:t>
      </w:r>
      <w:r w:rsidR="006F439C" w:rsidRPr="00694B81">
        <w:t xml:space="preserve"> to CLCs on behalf of other funders</w:t>
      </w:r>
      <w:r w:rsidRPr="00694B81">
        <w:t xml:space="preserve"> </w:t>
      </w:r>
      <w:r w:rsidR="006F439C" w:rsidRPr="00694B81">
        <w:t>i</w:t>
      </w:r>
      <w:r w:rsidR="00694B81" w:rsidRPr="00694B81">
        <w:t>n accordance with</w:t>
      </w:r>
      <w:r w:rsidRPr="00694B81">
        <w:t xml:space="preserve"> their instructions </w:t>
      </w:r>
      <w:r w:rsidR="006F439C" w:rsidRPr="00694B81">
        <w:t>and</w:t>
      </w:r>
      <w:r w:rsidRPr="00694B81">
        <w:t xml:space="preserve"> guidelines (like the current model for the Commonwealth)</w:t>
      </w:r>
    </w:p>
    <w:p w14:paraId="6FC7E9D2" w14:textId="5D36B455" w:rsidR="0011555A" w:rsidRPr="00694B81" w:rsidRDefault="0011555A" w:rsidP="00F62267">
      <w:pPr>
        <w:pStyle w:val="ListBullet"/>
      </w:pPr>
      <w:r w:rsidRPr="00694B81">
        <w:t xml:space="preserve">collecting data and accountability reports </w:t>
      </w:r>
      <w:r w:rsidR="006F439C" w:rsidRPr="00694B81">
        <w:t xml:space="preserve">on behalf of other funders, </w:t>
      </w:r>
      <w:r w:rsidRPr="00694B81">
        <w:t xml:space="preserve">so that CLCs have only one set of reports </w:t>
      </w:r>
    </w:p>
    <w:p w14:paraId="63621B04" w14:textId="77777777" w:rsidR="0011555A" w:rsidRPr="00694B81" w:rsidRDefault="0011555A" w:rsidP="00F62267">
      <w:pPr>
        <w:pStyle w:val="ListBullet"/>
      </w:pPr>
      <w:r w:rsidRPr="00694B81">
        <w:t>aligning CLSP reports timing and format/substance as much as possible (like the current model for some CLCs funded by multiple sources).</w:t>
      </w:r>
    </w:p>
    <w:p w14:paraId="45B360DD" w14:textId="77777777" w:rsidR="0011555A" w:rsidRDefault="0011555A" w:rsidP="0011555A">
      <w:r>
        <w:t>As noted earlier, initial consultation with other funders revealed limited scope for this reform now. Most funders expressed an interest in exploring this once there was a proposal for a new CLSP framework.</w:t>
      </w:r>
    </w:p>
    <w:p w14:paraId="0D97D428" w14:textId="77777777" w:rsidR="0011555A" w:rsidRDefault="0011555A" w:rsidP="0011555A">
      <w:r>
        <w:t xml:space="preserve">The work in </w:t>
      </w:r>
      <w:r w:rsidR="0007720B">
        <w:t>p</w:t>
      </w:r>
      <w:r>
        <w:t xml:space="preserve">hase 2 of the CLSP </w:t>
      </w:r>
      <w:r w:rsidR="00C315B6">
        <w:t>R</w:t>
      </w:r>
      <w:r>
        <w:t xml:space="preserve">eform </w:t>
      </w:r>
      <w:r w:rsidR="00C315B6">
        <w:t>P</w:t>
      </w:r>
      <w:r>
        <w:t xml:space="preserve">roject could explore timelines and the nature of reports to develop better compatibility. Individual centres could lead this by facilitating meetings with funders to discuss reforms. </w:t>
      </w:r>
    </w:p>
    <w:p w14:paraId="14B2BC27" w14:textId="77777777" w:rsidR="00080B9C" w:rsidRDefault="002547DC" w:rsidP="00F62267">
      <w:pPr>
        <w:pStyle w:val="Heading1"/>
        <w:pageBreakBefore/>
      </w:pPr>
      <w:bookmarkStart w:id="90" w:name="_Option_10:_Rationalising"/>
      <w:bookmarkStart w:id="91" w:name="_Toc490159298"/>
      <w:bookmarkEnd w:id="90"/>
      <w:r w:rsidRPr="001223CE">
        <w:lastRenderedPageBreak/>
        <w:t>Next steps</w:t>
      </w:r>
      <w:bookmarkEnd w:id="91"/>
    </w:p>
    <w:p w14:paraId="27E8F1CC" w14:textId="77777777" w:rsidR="00080B9C" w:rsidRPr="00D26373" w:rsidRDefault="00080B9C" w:rsidP="00F62267">
      <w:pPr>
        <w:pStyle w:val="ListBullet"/>
      </w:pPr>
      <w:r w:rsidRPr="00080B9C">
        <w:t xml:space="preserve">We will continue to gather and synthesise input from Stakeholders </w:t>
      </w:r>
      <w:r w:rsidRPr="00D26373">
        <w:rPr>
          <w:b/>
        </w:rPr>
        <w:t>August-October 2017</w:t>
      </w:r>
    </w:p>
    <w:p w14:paraId="2E90D97B" w14:textId="77777777" w:rsidR="00627A6C" w:rsidRPr="00D26373" w:rsidRDefault="00080B9C" w:rsidP="00F62267">
      <w:pPr>
        <w:pStyle w:val="ListBullet"/>
        <w:rPr>
          <w:b/>
        </w:rPr>
      </w:pPr>
      <w:r w:rsidRPr="00080B9C">
        <w:t>The Final Report will be drafted</w:t>
      </w:r>
      <w:r w:rsidR="00DC0CAB">
        <w:t xml:space="preserve"> </w:t>
      </w:r>
      <w:r w:rsidRPr="00D26373">
        <w:rPr>
          <w:b/>
        </w:rPr>
        <w:t>November-December 2017</w:t>
      </w:r>
    </w:p>
    <w:p w14:paraId="05F40A45" w14:textId="29F72796" w:rsidR="00080B9C" w:rsidRPr="00D26373" w:rsidRDefault="00080B9C" w:rsidP="00F62267">
      <w:pPr>
        <w:pStyle w:val="ListBullet"/>
      </w:pPr>
      <w:r w:rsidRPr="00627A6C">
        <w:t xml:space="preserve">The VLA Board reviews and decides on content and next Steps, (phase </w:t>
      </w:r>
      <w:r w:rsidR="00DC0CAB" w:rsidRPr="00627A6C">
        <w:t>2)</w:t>
      </w:r>
      <w:r w:rsidR="00DC0CAB" w:rsidRPr="00D26373">
        <w:t xml:space="preserve"> </w:t>
      </w:r>
      <w:r w:rsidR="008A1396">
        <w:rPr>
          <w:b/>
        </w:rPr>
        <w:t>early</w:t>
      </w:r>
      <w:r w:rsidR="008A1396" w:rsidRPr="00D26373">
        <w:rPr>
          <w:b/>
        </w:rPr>
        <w:t xml:space="preserve"> </w:t>
      </w:r>
      <w:r w:rsidRPr="00D26373">
        <w:rPr>
          <w:b/>
        </w:rPr>
        <w:t>2018</w:t>
      </w:r>
      <w:r w:rsidR="006F439C">
        <w:rPr>
          <w:b/>
        </w:rPr>
        <w:t>.</w:t>
      </w:r>
    </w:p>
    <w:p w14:paraId="7E3AB096" w14:textId="77777777" w:rsidR="009A163E" w:rsidRDefault="009A163E" w:rsidP="00F62267">
      <w:bookmarkStart w:id="92" w:name="_Toc490159299"/>
      <w:r>
        <w:t xml:space="preserve">This diagram below describes next steps leading into </w:t>
      </w:r>
      <w:r w:rsidR="0007720B">
        <w:t>p</w:t>
      </w:r>
      <w:r>
        <w:t>hase 2</w:t>
      </w:r>
      <w:bookmarkEnd w:id="92"/>
      <w:r>
        <w:t xml:space="preserve"> </w:t>
      </w:r>
    </w:p>
    <w:p w14:paraId="2C955B30" w14:textId="77777777" w:rsidR="00687244" w:rsidRPr="00DC0CAB" w:rsidRDefault="00687244" w:rsidP="00080B9C">
      <w:pPr>
        <w:rPr>
          <w:lang w:eastAsia="en-AU"/>
        </w:rPr>
      </w:pPr>
      <w:r>
        <w:rPr>
          <w:noProof/>
          <w:lang w:eastAsia="en-AU"/>
        </w:rPr>
        <w:drawing>
          <wp:inline distT="0" distB="0" distL="0" distR="0" wp14:anchorId="36CD3D18" wp14:editId="7AAD9004">
            <wp:extent cx="6777038" cy="4685665"/>
            <wp:effectExtent l="0" t="0" r="5080" b="635"/>
            <wp:docPr id="2" name="Picture 2" descr="C:\Users\an8947\AppData\Local\Microsoft\Windows\INetCache\Content.Word\next ste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8947\AppData\Local\Microsoft\Windows\INetCache\Content.Word\next step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83470" cy="4690112"/>
                    </a:xfrm>
                    <a:prstGeom prst="rect">
                      <a:avLst/>
                    </a:prstGeom>
                    <a:noFill/>
                    <a:ln>
                      <a:noFill/>
                    </a:ln>
                  </pic:spPr>
                </pic:pic>
              </a:graphicData>
            </a:graphic>
          </wp:inline>
        </w:drawing>
      </w:r>
    </w:p>
    <w:p w14:paraId="78D7FB1A" w14:textId="77777777" w:rsidR="002547DC" w:rsidRDefault="002547DC" w:rsidP="002547DC">
      <w:pPr>
        <w:rPr>
          <w:lang w:val="en-US"/>
        </w:rPr>
      </w:pPr>
    </w:p>
    <w:p w14:paraId="10C91D45" w14:textId="77777777" w:rsidR="002547DC" w:rsidRPr="0017482B" w:rsidRDefault="002547DC" w:rsidP="00B92895">
      <w:pPr>
        <w:pStyle w:val="Heading1"/>
      </w:pPr>
      <w:bookmarkStart w:id="93" w:name="_Toc490159300"/>
      <w:r w:rsidRPr="0017482B">
        <w:t>Further reading options</w:t>
      </w:r>
      <w:bookmarkEnd w:id="93"/>
      <w:r w:rsidRPr="0017482B">
        <w:t xml:space="preserve"> </w:t>
      </w:r>
    </w:p>
    <w:p w14:paraId="0E748742" w14:textId="2B802C2C" w:rsidR="002547DC" w:rsidRPr="0017482B" w:rsidRDefault="00965F09" w:rsidP="00B92895">
      <w:pPr>
        <w:pStyle w:val="ListBullet"/>
      </w:pPr>
      <w:hyperlink r:id="rId26" w:history="1">
        <w:r w:rsidR="002547DC" w:rsidRPr="00A061EE">
          <w:rPr>
            <w:rStyle w:val="Hyperlink"/>
          </w:rPr>
          <w:t>Community Legal Services Program Reform, Discussion paper</w:t>
        </w:r>
      </w:hyperlink>
      <w:r w:rsidR="002547DC" w:rsidRPr="0017482B">
        <w:t>, May 2017</w:t>
      </w:r>
    </w:p>
    <w:p w14:paraId="2775A261" w14:textId="77777777" w:rsidR="002547DC" w:rsidRPr="0017482B" w:rsidRDefault="002547DC" w:rsidP="00B92895">
      <w:pPr>
        <w:pStyle w:val="ListBullet"/>
      </w:pPr>
      <w:r w:rsidRPr="0017482B">
        <w:t xml:space="preserve">Victorian Access to Justice Review Report </w:t>
      </w:r>
      <w:r w:rsidR="00B92895">
        <w:t>–</w:t>
      </w:r>
      <w:r w:rsidRPr="0017482B">
        <w:t xml:space="preserve"> </w:t>
      </w:r>
      <w:hyperlink r:id="rId27" w:history="1">
        <w:r w:rsidRPr="0017482B">
          <w:rPr>
            <w:rStyle w:val="Hyperlink"/>
          </w:rPr>
          <w:t>https://engage.vic.gov.au/accesstojustice</w:t>
        </w:r>
      </w:hyperlink>
      <w:r w:rsidRPr="0017482B">
        <w:t xml:space="preserve"> - Chapters 1, 2, 3 &amp; 6</w:t>
      </w:r>
    </w:p>
    <w:p w14:paraId="66E32DF1" w14:textId="77777777" w:rsidR="002547DC" w:rsidRPr="0017482B" w:rsidRDefault="002547DC" w:rsidP="00B92895">
      <w:pPr>
        <w:pStyle w:val="ListBullet"/>
      </w:pPr>
      <w:r w:rsidRPr="0017482B">
        <w:t xml:space="preserve">Productivity Commission 2014, Access to Justice Arrangements, Inquiry Report No.72, Canberra </w:t>
      </w:r>
      <w:r w:rsidR="00B92895">
        <w:t>–</w:t>
      </w:r>
      <w:r w:rsidRPr="0017482B">
        <w:t xml:space="preserve"> </w:t>
      </w:r>
      <w:hyperlink r:id="rId28" w:history="1">
        <w:r w:rsidRPr="0017482B">
          <w:rPr>
            <w:rStyle w:val="Hyperlink"/>
          </w:rPr>
          <w:t>http://www.pc.gov.au/inquiries/completed/access-justice/report</w:t>
        </w:r>
      </w:hyperlink>
      <w:r w:rsidRPr="0017482B">
        <w:t xml:space="preserve"> </w:t>
      </w:r>
      <w:r w:rsidR="00B92895">
        <w:t>–</w:t>
      </w:r>
      <w:r w:rsidRPr="0017482B">
        <w:t xml:space="preserve"> Chapter 20 The legal assistance landscape (pp665-702) and Chapter 21 Reforming legal assistance services (pp703-760); pp728-733 in particular.</w:t>
      </w:r>
    </w:p>
    <w:p w14:paraId="34665410" w14:textId="77777777" w:rsidR="002547DC" w:rsidRPr="0017482B" w:rsidRDefault="00965F09" w:rsidP="00D26373">
      <w:pPr>
        <w:pStyle w:val="ListBullet"/>
      </w:pPr>
      <w:hyperlink r:id="rId29" w:history="1">
        <w:r w:rsidR="002547DC" w:rsidRPr="0017482B">
          <w:rPr>
            <w:rStyle w:val="Hyperlink"/>
          </w:rPr>
          <w:t>Reshaping legal assistance services: building on the evidence base; a discussion paper</w:t>
        </w:r>
      </w:hyperlink>
      <w:r w:rsidR="002547DC" w:rsidRPr="0017482B">
        <w:t>, Law and Justice Foundation of NSW, April 2014</w:t>
      </w:r>
    </w:p>
    <w:p w14:paraId="54B3B7A9" w14:textId="77777777" w:rsidR="002547DC" w:rsidRPr="0017482B" w:rsidRDefault="00965F09" w:rsidP="00B92895">
      <w:pPr>
        <w:pStyle w:val="ListBullet"/>
      </w:pPr>
      <w:hyperlink r:id="rId30" w:history="1">
        <w:r w:rsidR="002547DC" w:rsidRPr="0017482B">
          <w:rPr>
            <w:rStyle w:val="Hyperlink"/>
          </w:rPr>
          <w:t>Lawyering for Change: seven principles of strategic legal practice; a VLF CLC Fellowship report</w:t>
        </w:r>
      </w:hyperlink>
      <w:r w:rsidR="002547DC" w:rsidRPr="0017482B">
        <w:t>, Agata Wierzbowski, Victoria Law Foundation, November 2015</w:t>
      </w:r>
    </w:p>
    <w:p w14:paraId="0D99C409" w14:textId="77777777" w:rsidR="002547DC" w:rsidRPr="0017482B" w:rsidRDefault="00965F09" w:rsidP="00B92895">
      <w:pPr>
        <w:pStyle w:val="ListBullet"/>
      </w:pPr>
      <w:hyperlink r:id="rId31" w:history="1">
        <w:r w:rsidR="002547DC" w:rsidRPr="0017482B">
          <w:rPr>
            <w:rStyle w:val="Hyperlink"/>
          </w:rPr>
          <w:t>Reclaiming community legal centres: maximising our potential so we can help our clients reach theirs</w:t>
        </w:r>
      </w:hyperlink>
      <w:r w:rsidR="002547DC" w:rsidRPr="0017482B">
        <w:rPr>
          <w:i/>
          <w:iCs/>
        </w:rPr>
        <w:t>; VLF CLC Fellowship report</w:t>
      </w:r>
      <w:r w:rsidR="002547DC" w:rsidRPr="0017482B">
        <w:t>, Nicole Rich, Victoria Law Foundation, 2008</w:t>
      </w:r>
    </w:p>
    <w:p w14:paraId="5F02477D" w14:textId="77777777" w:rsidR="002547DC" w:rsidRPr="001223CE" w:rsidRDefault="002547DC" w:rsidP="002547DC"/>
    <w:p w14:paraId="6E0EE9A7" w14:textId="77777777" w:rsidR="00B92895" w:rsidRPr="00B92895" w:rsidRDefault="00B92895" w:rsidP="00B92895">
      <w:pPr>
        <w:pStyle w:val="Heading1"/>
      </w:pPr>
      <w:bookmarkStart w:id="94" w:name="_Toc490159301"/>
      <w:r w:rsidRPr="00B92895">
        <w:t>Appendices</w:t>
      </w:r>
      <w:bookmarkEnd w:id="94"/>
    </w:p>
    <w:p w14:paraId="4D269AB6" w14:textId="77777777" w:rsidR="00A33C80" w:rsidRPr="00672953" w:rsidRDefault="00A33C80" w:rsidP="002547DC">
      <w:r w:rsidRPr="00672953">
        <w:t>The following appendices support this paper:</w:t>
      </w:r>
    </w:p>
    <w:p w14:paraId="5D0A1973" w14:textId="5B02EA4E" w:rsidR="00A33C80" w:rsidRDefault="00672953" w:rsidP="00672953">
      <w:pPr>
        <w:pStyle w:val="ListBullet"/>
      </w:pPr>
      <w:r w:rsidRPr="00672953">
        <w:t xml:space="preserve">Appendix 1: </w:t>
      </w:r>
      <w:hyperlink r:id="rId32" w:history="1">
        <w:r w:rsidRPr="00A061EE">
          <w:rPr>
            <w:rStyle w:val="Hyperlink"/>
          </w:rPr>
          <w:t xml:space="preserve">Community Legal Services Program Reform </w:t>
        </w:r>
        <w:r w:rsidR="0092404C" w:rsidRPr="00A061EE">
          <w:rPr>
            <w:rStyle w:val="Hyperlink"/>
          </w:rPr>
          <w:t>Discussion Paper</w:t>
        </w:r>
      </w:hyperlink>
      <w:r w:rsidR="0092404C">
        <w:t>, May 2017</w:t>
      </w:r>
    </w:p>
    <w:p w14:paraId="677F28BE" w14:textId="77777777" w:rsidR="00672953" w:rsidRPr="00672953" w:rsidRDefault="00672953" w:rsidP="00672953">
      <w:pPr>
        <w:pStyle w:val="ListBullet"/>
      </w:pPr>
      <w:r w:rsidRPr="00672953">
        <w:fldChar w:fldCharType="begin"/>
      </w:r>
      <w:r w:rsidRPr="00672953">
        <w:instrText xml:space="preserve"> REF _Ref489259836 \h </w:instrText>
      </w:r>
      <w:r w:rsidRPr="00672953">
        <w:fldChar w:fldCharType="separate"/>
      </w:r>
      <w:r w:rsidR="006A74BA">
        <w:t xml:space="preserve">Appendix 2: </w:t>
      </w:r>
      <w:r w:rsidR="006A74BA" w:rsidRPr="00AA6395">
        <w:t>CLSP Reform consultation findings – a summary</w:t>
      </w:r>
      <w:r w:rsidRPr="00672953">
        <w:fldChar w:fldCharType="end"/>
      </w:r>
    </w:p>
    <w:p w14:paraId="144AE44E" w14:textId="77777777" w:rsidR="00672953" w:rsidRPr="00672953" w:rsidRDefault="00672953" w:rsidP="00672953">
      <w:pPr>
        <w:pStyle w:val="ListBullet"/>
      </w:pPr>
      <w:r w:rsidRPr="00672953">
        <w:fldChar w:fldCharType="begin"/>
      </w:r>
      <w:r w:rsidRPr="00672953">
        <w:instrText xml:space="preserve"> REF _Ref489259845 \h </w:instrText>
      </w:r>
      <w:r w:rsidRPr="00672953">
        <w:fldChar w:fldCharType="separate"/>
      </w:r>
      <w:r w:rsidR="006A74BA">
        <w:t xml:space="preserve">Appendix 3: </w:t>
      </w:r>
      <w:r w:rsidR="006A74BA" w:rsidRPr="00AA6395">
        <w:t>CLSP Reform</w:t>
      </w:r>
      <w:r w:rsidR="006A74BA">
        <w:t xml:space="preserve"> </w:t>
      </w:r>
      <w:r w:rsidR="006A74BA" w:rsidRPr="00AA6395">
        <w:t xml:space="preserve">– </w:t>
      </w:r>
      <w:r w:rsidR="006A74BA">
        <w:t>different options for financial accountability</w:t>
      </w:r>
      <w:r w:rsidRPr="00672953">
        <w:fldChar w:fldCharType="end"/>
      </w:r>
    </w:p>
    <w:p w14:paraId="182551AA" w14:textId="77777777" w:rsidR="00672953" w:rsidRPr="00672953" w:rsidRDefault="00672953" w:rsidP="00672953">
      <w:pPr>
        <w:pStyle w:val="ListBullet"/>
      </w:pPr>
      <w:r w:rsidRPr="00672953">
        <w:fldChar w:fldCharType="begin"/>
      </w:r>
      <w:r w:rsidRPr="00672953">
        <w:instrText xml:space="preserve"> REF _Ref489259850 \h </w:instrText>
      </w:r>
      <w:r w:rsidRPr="00672953">
        <w:fldChar w:fldCharType="separate"/>
      </w:r>
      <w:r w:rsidR="006A74BA">
        <w:t xml:space="preserve">Appendix 4: </w:t>
      </w:r>
      <w:r w:rsidR="006A74BA" w:rsidRPr="00E94700">
        <w:t xml:space="preserve">CLSP Reform – possible provisions for elevated reporting and compliance </w:t>
      </w:r>
      <w:r w:rsidRPr="00672953">
        <w:fldChar w:fldCharType="end"/>
      </w:r>
    </w:p>
    <w:p w14:paraId="6ABAAB9D" w14:textId="77777777" w:rsidR="00672953" w:rsidRPr="00672953" w:rsidRDefault="00672953" w:rsidP="00672953">
      <w:pPr>
        <w:pStyle w:val="ListBullet"/>
      </w:pPr>
      <w:r w:rsidRPr="00672953">
        <w:fldChar w:fldCharType="begin"/>
      </w:r>
      <w:r w:rsidRPr="00672953">
        <w:instrText xml:space="preserve"> REF _Ref489259857 \h </w:instrText>
      </w:r>
      <w:r w:rsidRPr="00672953">
        <w:fldChar w:fldCharType="separate"/>
      </w:r>
      <w:r w:rsidR="006A74BA">
        <w:t xml:space="preserve">Appendix 5: </w:t>
      </w:r>
      <w:r w:rsidR="006A74BA" w:rsidRPr="00AA6395">
        <w:t>CLSP Reform</w:t>
      </w:r>
      <w:r w:rsidR="006A74BA">
        <w:t xml:space="preserve"> </w:t>
      </w:r>
      <w:r w:rsidR="006A74BA" w:rsidRPr="00AA6395">
        <w:t xml:space="preserve">– </w:t>
      </w:r>
      <w:r w:rsidR="006A74BA">
        <w:t>a second stream of funding to support specific and short term programs and projects</w:t>
      </w:r>
      <w:r w:rsidRPr="00672953">
        <w:fldChar w:fldCharType="end"/>
      </w:r>
    </w:p>
    <w:p w14:paraId="1656A378" w14:textId="77777777" w:rsidR="00A33C80" w:rsidRDefault="00A33C80" w:rsidP="002547DC">
      <w:pPr>
        <w:rPr>
          <w:b/>
          <w:highlight w:val="yellow"/>
        </w:rPr>
      </w:pPr>
    </w:p>
    <w:p w14:paraId="14C9E89F" w14:textId="77777777" w:rsidR="00A33C80" w:rsidRPr="00AA6395" w:rsidRDefault="00A33C80" w:rsidP="00694B81">
      <w:pPr>
        <w:pStyle w:val="Heading1"/>
        <w:pageBreakBefore/>
      </w:pPr>
      <w:bookmarkStart w:id="95" w:name="_Appendix_2:_CLSP"/>
      <w:bookmarkStart w:id="96" w:name="_Ref489259836"/>
      <w:bookmarkStart w:id="97" w:name="_Toc490159302"/>
      <w:bookmarkEnd w:id="95"/>
      <w:r>
        <w:lastRenderedPageBreak/>
        <w:t xml:space="preserve">Appendix 2: </w:t>
      </w:r>
      <w:r w:rsidRPr="00AA6395">
        <w:t>CLSP Reform consultation findings – a summary</w:t>
      </w:r>
      <w:bookmarkEnd w:id="96"/>
      <w:bookmarkEnd w:id="97"/>
    </w:p>
    <w:p w14:paraId="20EDCDD1" w14:textId="1034759D" w:rsidR="00A33C80" w:rsidRPr="00AA6395" w:rsidRDefault="00A33C80" w:rsidP="00A33C80">
      <w:r>
        <w:t xml:space="preserve">We </w:t>
      </w:r>
      <w:r w:rsidR="00181F21">
        <w:t>consulted stakeholders</w:t>
      </w:r>
      <w:r w:rsidRPr="00AA6395">
        <w:t xml:space="preserve"> during May and June </w:t>
      </w:r>
      <w:r w:rsidR="00181F21">
        <w:t>on</w:t>
      </w:r>
      <w:r w:rsidR="00181F21" w:rsidRPr="00AA6395">
        <w:t xml:space="preserve"> </w:t>
      </w:r>
      <w:r w:rsidRPr="00AA6395">
        <w:t xml:space="preserve">the issues raised in the </w:t>
      </w:r>
      <w:hyperlink r:id="rId33" w:history="1">
        <w:r w:rsidRPr="00A061EE">
          <w:rPr>
            <w:rStyle w:val="Hyperlink"/>
          </w:rPr>
          <w:t>CLSP Reform discussion paper</w:t>
        </w:r>
      </w:hyperlink>
      <w:r w:rsidRPr="00AA6395">
        <w:t>.</w:t>
      </w:r>
      <w:r w:rsidR="00935E71">
        <w:t xml:space="preserve"> </w:t>
      </w:r>
      <w:r w:rsidR="008D58D4">
        <w:t>The range of consultation platforms has given all CLCs the opportunity to engage with the project, and the vast majority of centres participate</w:t>
      </w:r>
      <w:r w:rsidR="005931CE">
        <w:t>d</w:t>
      </w:r>
      <w:r w:rsidR="008D58D4">
        <w:t>. This high level of engagement has significant benefits for development of the proposed reforms.</w:t>
      </w:r>
      <w:bookmarkStart w:id="98" w:name="_GoBack"/>
      <w:bookmarkEnd w:id="98"/>
    </w:p>
    <w:p w14:paraId="5DFD8B4A" w14:textId="77777777" w:rsidR="00A33C80" w:rsidRPr="00AA6395" w:rsidRDefault="00A33C80" w:rsidP="00A33C80">
      <w:r w:rsidRPr="00AA6395">
        <w:t xml:space="preserve">We used </w:t>
      </w:r>
      <w:r w:rsidR="00181F21">
        <w:t>the following</w:t>
      </w:r>
      <w:r w:rsidR="00181F21" w:rsidRPr="00AA6395">
        <w:t xml:space="preserve"> </w:t>
      </w:r>
      <w:r w:rsidRPr="00AA6395">
        <w:t>methods of consultation:</w:t>
      </w:r>
    </w:p>
    <w:p w14:paraId="62D570D8" w14:textId="624CC36A" w:rsidR="00A33C80" w:rsidRPr="00AA6395" w:rsidRDefault="00A33C80" w:rsidP="00DB60C7">
      <w:pPr>
        <w:pStyle w:val="VLA1"/>
        <w:numPr>
          <w:ilvl w:val="0"/>
          <w:numId w:val="9"/>
        </w:numPr>
      </w:pPr>
      <w:r w:rsidRPr="00AA6395">
        <w:t>Two workshops</w:t>
      </w:r>
      <w:r w:rsidR="00254C4F">
        <w:t>, attended by a range of CLC participants representing a variety of large, small, regional, metro</w:t>
      </w:r>
      <w:r w:rsidR="001D6FFE">
        <w:t>politan</w:t>
      </w:r>
      <w:r w:rsidR="00254C4F">
        <w:t>, specialist and generalist centres</w:t>
      </w:r>
    </w:p>
    <w:p w14:paraId="3156FBF1" w14:textId="77777777" w:rsidR="00A33C80" w:rsidRPr="00AA6395" w:rsidRDefault="00A33C80" w:rsidP="00A33C80">
      <w:pPr>
        <w:pStyle w:val="VLA1"/>
      </w:pPr>
      <w:r w:rsidRPr="00AA6395">
        <w:rPr>
          <w:lang w:val="en-US"/>
        </w:rPr>
        <w:t>Yammer (social media) discussion groups</w:t>
      </w:r>
    </w:p>
    <w:p w14:paraId="710C0E7C" w14:textId="77777777" w:rsidR="00A33C80" w:rsidRPr="00AA6395" w:rsidRDefault="00A33C80" w:rsidP="00A33C80">
      <w:pPr>
        <w:pStyle w:val="VLA1"/>
      </w:pPr>
      <w:r w:rsidRPr="00AA6395">
        <w:rPr>
          <w:lang w:val="en-US"/>
        </w:rPr>
        <w:t>Eight centre visits to gain an on-the-ground perspective of the CLSP compliance requirements and how they could be improved</w:t>
      </w:r>
    </w:p>
    <w:p w14:paraId="7694A540" w14:textId="77777777" w:rsidR="00A33C80" w:rsidRPr="003808AE" w:rsidRDefault="00A33C80" w:rsidP="00A33C80">
      <w:pPr>
        <w:pStyle w:val="VLA1"/>
      </w:pPr>
      <w:r w:rsidRPr="00AA6395">
        <w:rPr>
          <w:lang w:val="en-US"/>
        </w:rPr>
        <w:t xml:space="preserve">Interviews </w:t>
      </w:r>
      <w:r w:rsidR="00181F21">
        <w:rPr>
          <w:lang w:val="en-US"/>
        </w:rPr>
        <w:t>with</w:t>
      </w:r>
      <w:r w:rsidR="00181F21" w:rsidRPr="00AA6395">
        <w:rPr>
          <w:lang w:val="en-US"/>
        </w:rPr>
        <w:t xml:space="preserve"> </w:t>
      </w:r>
      <w:r w:rsidRPr="00AA6395">
        <w:rPr>
          <w:lang w:val="en-US"/>
        </w:rPr>
        <w:t>five other funders of CLCs</w:t>
      </w:r>
    </w:p>
    <w:p w14:paraId="3F949258" w14:textId="77777777" w:rsidR="00A33C80" w:rsidRPr="00086E36" w:rsidRDefault="00A33C80" w:rsidP="00A33C80">
      <w:pPr>
        <w:pStyle w:val="VLA1"/>
      </w:pPr>
      <w:r>
        <w:rPr>
          <w:lang w:val="en-US"/>
        </w:rPr>
        <w:t xml:space="preserve">Interviews </w:t>
      </w:r>
      <w:r w:rsidR="00181F21">
        <w:rPr>
          <w:lang w:val="en-US"/>
        </w:rPr>
        <w:t xml:space="preserve">with </w:t>
      </w:r>
      <w:r>
        <w:rPr>
          <w:lang w:val="en-US"/>
        </w:rPr>
        <w:t>four other CLSP State Program Managers</w:t>
      </w:r>
    </w:p>
    <w:p w14:paraId="41BF0AD1" w14:textId="5866E9D6" w:rsidR="00A33C80" w:rsidRPr="00AA6395" w:rsidRDefault="00A33C80" w:rsidP="00A33C80">
      <w:pPr>
        <w:pStyle w:val="VLA1"/>
      </w:pPr>
      <w:r>
        <w:rPr>
          <w:lang w:val="en-US"/>
        </w:rPr>
        <w:t xml:space="preserve">Internal interviews with VLA </w:t>
      </w:r>
      <w:r w:rsidR="00254C4F">
        <w:rPr>
          <w:lang w:val="en-US"/>
        </w:rPr>
        <w:t xml:space="preserve">stakeholders, including </w:t>
      </w:r>
      <w:r>
        <w:rPr>
          <w:lang w:val="en-US"/>
        </w:rPr>
        <w:t>program areas</w:t>
      </w:r>
      <w:r w:rsidR="00254C4F">
        <w:rPr>
          <w:lang w:val="en-US"/>
        </w:rPr>
        <w:t>,</w:t>
      </w:r>
      <w:r>
        <w:rPr>
          <w:lang w:val="en-US"/>
        </w:rPr>
        <w:t xml:space="preserve"> finance and legal practice</w:t>
      </w:r>
    </w:p>
    <w:p w14:paraId="590ECD64" w14:textId="77777777" w:rsidR="00A33C80" w:rsidRPr="00AA6395" w:rsidRDefault="00A33C80" w:rsidP="00A33C80">
      <w:pPr>
        <w:pStyle w:val="VLA1"/>
      </w:pPr>
      <w:r w:rsidRPr="00AA6395">
        <w:rPr>
          <w:lang w:val="en-US"/>
        </w:rPr>
        <w:t>Direct submissions from three contributors.</w:t>
      </w:r>
    </w:p>
    <w:p w14:paraId="27EA4A86" w14:textId="77777777" w:rsidR="00A33C80" w:rsidRPr="00AA6395" w:rsidRDefault="00A33C80" w:rsidP="00A33C80">
      <w:r w:rsidRPr="00AA6395">
        <w:t xml:space="preserve">A summary of the findings from each of those methods is </w:t>
      </w:r>
      <w:r>
        <w:t xml:space="preserve">now provided below. </w:t>
      </w:r>
      <w:r w:rsidRPr="00AA6395">
        <w:rPr>
          <w:bCs/>
        </w:rPr>
        <w:t xml:space="preserve">Please contact us if you would like more detail about the consultation and its outcomes. </w:t>
      </w:r>
    </w:p>
    <w:p w14:paraId="6239BE4F" w14:textId="77777777" w:rsidR="00A33C80" w:rsidRDefault="00A33C80" w:rsidP="00A33C80">
      <w:pPr>
        <w:pStyle w:val="Heading2"/>
      </w:pPr>
      <w:bookmarkStart w:id="99" w:name="_Toc490159303"/>
      <w:r>
        <w:t>Workshops</w:t>
      </w:r>
      <w:bookmarkEnd w:id="99"/>
    </w:p>
    <w:p w14:paraId="5C46CF6A" w14:textId="77777777" w:rsidR="00A33C80" w:rsidRPr="00A33C80" w:rsidRDefault="00A33C80" w:rsidP="00A33C80">
      <w:r w:rsidRPr="00A33C80">
        <w:t>The two workshops considered</w:t>
      </w:r>
      <w:r w:rsidR="00181F21">
        <w:t xml:space="preserve"> a range of consultation questions</w:t>
      </w:r>
      <w:r w:rsidR="00F33680">
        <w:t xml:space="preserve"> and topics</w:t>
      </w:r>
      <w:r w:rsidR="00181F21">
        <w:t>.</w:t>
      </w:r>
    </w:p>
    <w:p w14:paraId="238FF2DF" w14:textId="77777777" w:rsidR="00A33C80" w:rsidRDefault="00A33C80" w:rsidP="00F62267">
      <w:pPr>
        <w:pStyle w:val="Heading3"/>
      </w:pPr>
      <w:bookmarkStart w:id="100" w:name="_Toc490159304"/>
      <w:r w:rsidRPr="00AA6395">
        <w:t>What is wrong with the current CLSP?</w:t>
      </w:r>
      <w:bookmarkEnd w:id="100"/>
    </w:p>
    <w:p w14:paraId="646514EC" w14:textId="77777777" w:rsidR="00A33C80" w:rsidRPr="00AA6395" w:rsidRDefault="00A33C80" w:rsidP="00A33C80">
      <w:pPr>
        <w:pStyle w:val="ListBullet"/>
      </w:pPr>
      <w:r w:rsidRPr="00AA6395">
        <w:rPr>
          <w:lang w:val="en-US"/>
        </w:rPr>
        <w:t>Funds reporting under CLSIS/CLSP format</w:t>
      </w:r>
      <w:r w:rsidR="00181F21">
        <w:rPr>
          <w:lang w:val="en-US"/>
        </w:rPr>
        <w:t>.</w:t>
      </w:r>
    </w:p>
    <w:p w14:paraId="14E09F9E" w14:textId="77777777" w:rsidR="00A33C80" w:rsidRPr="00AA6395" w:rsidRDefault="00A33C80" w:rsidP="00A33C80">
      <w:pPr>
        <w:pStyle w:val="ListBullet"/>
      </w:pPr>
      <w:r w:rsidRPr="00AA6395">
        <w:rPr>
          <w:lang w:val="en-US"/>
        </w:rPr>
        <w:t xml:space="preserve">Timing of reports submissions and budgets. Maybe need proactive communication of process and timelines </w:t>
      </w:r>
      <w:r w:rsidR="00181F21">
        <w:rPr>
          <w:lang w:val="en-US"/>
        </w:rPr>
        <w:t>about</w:t>
      </w:r>
      <w:r w:rsidR="00181F21" w:rsidRPr="00AA6395">
        <w:rPr>
          <w:lang w:val="en-US"/>
        </w:rPr>
        <w:t xml:space="preserve"> </w:t>
      </w:r>
      <w:r w:rsidRPr="00AA6395">
        <w:rPr>
          <w:lang w:val="en-US"/>
        </w:rPr>
        <w:t>funding decisions</w:t>
      </w:r>
      <w:r w:rsidR="00181F21">
        <w:rPr>
          <w:lang w:val="en-US"/>
        </w:rPr>
        <w:t>, including</w:t>
      </w:r>
      <w:r w:rsidRPr="00AA6395">
        <w:rPr>
          <w:lang w:val="en-US"/>
        </w:rPr>
        <w:t xml:space="preserve"> transparent communications </w:t>
      </w:r>
      <w:r w:rsidR="00181F21" w:rsidRPr="00AA6395">
        <w:rPr>
          <w:lang w:val="en-US"/>
        </w:rPr>
        <w:t>a</w:t>
      </w:r>
      <w:r w:rsidR="00181F21">
        <w:rPr>
          <w:lang w:val="en-US"/>
        </w:rPr>
        <w:t>bout</w:t>
      </w:r>
      <w:r w:rsidR="00181F21" w:rsidRPr="00AA6395">
        <w:rPr>
          <w:lang w:val="en-US"/>
        </w:rPr>
        <w:t xml:space="preserve"> </w:t>
      </w:r>
      <w:r w:rsidRPr="00AA6395">
        <w:rPr>
          <w:lang w:val="en-US"/>
        </w:rPr>
        <w:t>the process ahead of time.</w:t>
      </w:r>
    </w:p>
    <w:p w14:paraId="085829DF" w14:textId="77777777" w:rsidR="00A33C80" w:rsidRPr="00AA6395" w:rsidRDefault="00A33C80" w:rsidP="00A33C80">
      <w:pPr>
        <w:pStyle w:val="ListBullet"/>
      </w:pPr>
      <w:r w:rsidRPr="00AA6395">
        <w:rPr>
          <w:lang w:val="en-US"/>
        </w:rPr>
        <w:t>Not getting data from all CLCs</w:t>
      </w:r>
      <w:r w:rsidR="00181F21">
        <w:rPr>
          <w:lang w:val="en-US"/>
        </w:rPr>
        <w:t>,</w:t>
      </w:r>
      <w:r w:rsidRPr="00AA6395">
        <w:rPr>
          <w:lang w:val="en-US"/>
        </w:rPr>
        <w:t xml:space="preserve"> then trying to aggregate State data.</w:t>
      </w:r>
    </w:p>
    <w:p w14:paraId="394B0FB4" w14:textId="77777777" w:rsidR="00A33C80" w:rsidRPr="00AA6395" w:rsidRDefault="00A33C80" w:rsidP="00A33C80">
      <w:pPr>
        <w:pStyle w:val="ListBullet"/>
      </w:pPr>
      <w:r w:rsidRPr="00AA6395">
        <w:rPr>
          <w:lang w:val="en-US"/>
        </w:rPr>
        <w:t xml:space="preserve">Tension in the relationship – VLA as funder and provider/competitor; VLA as </w:t>
      </w:r>
      <w:r w:rsidR="00181F21">
        <w:rPr>
          <w:lang w:val="en-US"/>
        </w:rPr>
        <w:t>‘</w:t>
      </w:r>
      <w:r w:rsidRPr="00AA6395">
        <w:rPr>
          <w:lang w:val="en-US"/>
        </w:rPr>
        <w:t>big brother</w:t>
      </w:r>
      <w:r w:rsidR="00181F21">
        <w:rPr>
          <w:lang w:val="en-US"/>
        </w:rPr>
        <w:t>’</w:t>
      </w:r>
      <w:r w:rsidRPr="00AA6395">
        <w:rPr>
          <w:lang w:val="en-US"/>
        </w:rPr>
        <w:t>; VLA doesn’t always understand the power differential that it being a funder creates; need greater clarification of roles.</w:t>
      </w:r>
    </w:p>
    <w:p w14:paraId="0FA62F01" w14:textId="77777777" w:rsidR="00A33C80" w:rsidRPr="00AA6395" w:rsidRDefault="00A33C80" w:rsidP="00A33C80">
      <w:pPr>
        <w:pStyle w:val="ListBullet"/>
      </w:pPr>
      <w:r w:rsidRPr="00AA6395">
        <w:t xml:space="preserve">Communication </w:t>
      </w:r>
      <w:r w:rsidR="00181F21" w:rsidRPr="00AA6395">
        <w:rPr>
          <w:lang w:val="en-US"/>
        </w:rPr>
        <w:t>–</w:t>
      </w:r>
      <w:r w:rsidRPr="00AA6395">
        <w:t xml:space="preserve"> </w:t>
      </w:r>
      <w:r>
        <w:t>notably</w:t>
      </w:r>
      <w:r w:rsidRPr="00AA6395">
        <w:rPr>
          <w:lang w:val="en-US"/>
        </w:rPr>
        <w:t xml:space="preserve"> of expectations; </w:t>
      </w:r>
      <w:r w:rsidR="00181F21">
        <w:rPr>
          <w:lang w:val="en-US"/>
        </w:rPr>
        <w:t>in</w:t>
      </w:r>
      <w:r w:rsidRPr="00AA6395">
        <w:rPr>
          <w:lang w:val="en-US"/>
        </w:rPr>
        <w:t>consistent messaging – e.g. from multiple players in VLA; appropriateness of communications – respect</w:t>
      </w:r>
      <w:r w:rsidR="00181F21">
        <w:rPr>
          <w:lang w:val="en-US"/>
        </w:rPr>
        <w:t>,</w:t>
      </w:r>
      <w:r w:rsidRPr="00AA6395">
        <w:rPr>
          <w:lang w:val="en-US"/>
        </w:rPr>
        <w:t xml:space="preserve"> language, tone.</w:t>
      </w:r>
    </w:p>
    <w:p w14:paraId="7565FF32" w14:textId="534A8C38" w:rsidR="00A33C80" w:rsidRPr="00AA6395" w:rsidRDefault="00A33C80" w:rsidP="00A33C80">
      <w:pPr>
        <w:pStyle w:val="ListBullet"/>
      </w:pPr>
      <w:r w:rsidRPr="00AA6395">
        <w:rPr>
          <w:lang w:val="en-US"/>
        </w:rPr>
        <w:t xml:space="preserve">Lack of flexibility </w:t>
      </w:r>
      <w:r w:rsidR="00181F21" w:rsidRPr="00AA6395">
        <w:rPr>
          <w:lang w:val="en-US"/>
        </w:rPr>
        <w:t>–</w:t>
      </w:r>
      <w:r w:rsidRPr="00AA6395">
        <w:rPr>
          <w:lang w:val="en-US"/>
        </w:rPr>
        <w:t xml:space="preserve"> </w:t>
      </w:r>
      <w:r w:rsidR="00181F21">
        <w:rPr>
          <w:lang w:val="en-US"/>
        </w:rPr>
        <w:t>in</w:t>
      </w:r>
      <w:r w:rsidRPr="00AA6395">
        <w:rPr>
          <w:lang w:val="en-US"/>
        </w:rPr>
        <w:t xml:space="preserve">ability to support CLCs at different stages of maturity; </w:t>
      </w:r>
      <w:r w:rsidR="00694B81">
        <w:rPr>
          <w:lang w:val="en-US"/>
        </w:rPr>
        <w:t>u</w:t>
      </w:r>
      <w:r w:rsidRPr="00AA6395">
        <w:rPr>
          <w:lang w:val="en-US"/>
        </w:rPr>
        <w:t>sing the CLSP to help CLCs develop – CLSP doesn’t allow for this; doesn’t allow for highlighting centre independence, centre uniqueness.</w:t>
      </w:r>
    </w:p>
    <w:p w14:paraId="64FC0617" w14:textId="77777777" w:rsidR="00A33C80" w:rsidRPr="00AA6395" w:rsidRDefault="00A33C80" w:rsidP="00A33C80">
      <w:pPr>
        <w:pStyle w:val="ListBullet"/>
      </w:pPr>
      <w:r w:rsidRPr="00AA6395">
        <w:rPr>
          <w:lang w:val="en-US"/>
        </w:rPr>
        <w:t xml:space="preserve">Reporting </w:t>
      </w:r>
      <w:r w:rsidR="00181F21" w:rsidRPr="00AA6395">
        <w:rPr>
          <w:lang w:val="en-US"/>
        </w:rPr>
        <w:t>–</w:t>
      </w:r>
      <w:r w:rsidRPr="00AA6395">
        <w:rPr>
          <w:lang w:val="en-US"/>
        </w:rPr>
        <w:t xml:space="preserve"> completely outputs based; tedious; plans uninspiring and underwhelming; workplans </w:t>
      </w:r>
      <w:r w:rsidR="00181F21" w:rsidRPr="00AA6395">
        <w:rPr>
          <w:lang w:val="en-US"/>
        </w:rPr>
        <w:t>–</w:t>
      </w:r>
      <w:r w:rsidRPr="00AA6395">
        <w:rPr>
          <w:lang w:val="en-US"/>
        </w:rPr>
        <w:t xml:space="preserve"> lack of consistency; applies uniformity.</w:t>
      </w:r>
    </w:p>
    <w:p w14:paraId="338293F9" w14:textId="77777777" w:rsidR="00A33C80" w:rsidRPr="00AA6395" w:rsidRDefault="00A33C80" w:rsidP="00A33C80">
      <w:pPr>
        <w:pStyle w:val="ListBullet"/>
      </w:pPr>
      <w:r w:rsidRPr="00AA6395">
        <w:rPr>
          <w:lang w:val="en-US"/>
        </w:rPr>
        <w:t xml:space="preserve">Planning </w:t>
      </w:r>
      <w:r w:rsidR="00181F21" w:rsidRPr="00AA6395">
        <w:rPr>
          <w:lang w:val="en-US"/>
        </w:rPr>
        <w:t>–</w:t>
      </w:r>
      <w:r w:rsidRPr="00AA6395">
        <w:rPr>
          <w:lang w:val="en-US"/>
        </w:rPr>
        <w:t xml:space="preserve"> need to understand client needs/expectations; improved negotiations at planning stage.</w:t>
      </w:r>
    </w:p>
    <w:p w14:paraId="33737559" w14:textId="77777777" w:rsidR="00A33C80" w:rsidRPr="00AA6395" w:rsidRDefault="00A33C80" w:rsidP="00A33C80">
      <w:pPr>
        <w:pStyle w:val="ListBullet"/>
      </w:pPr>
      <w:r w:rsidRPr="00AA6395">
        <w:rPr>
          <w:lang w:val="en-US"/>
        </w:rPr>
        <w:lastRenderedPageBreak/>
        <w:t>Focus on innovation can be at expense of core services.</w:t>
      </w:r>
    </w:p>
    <w:p w14:paraId="6F69B284" w14:textId="77777777" w:rsidR="00A33C80" w:rsidRPr="00AA6395" w:rsidRDefault="00A33C80" w:rsidP="00A33C80">
      <w:pPr>
        <w:pStyle w:val="ListBullet"/>
      </w:pPr>
      <w:r w:rsidRPr="00AA6395">
        <w:rPr>
          <w:lang w:val="en-US"/>
        </w:rPr>
        <w:t>Overlaps with other accountability arrangements – other funders; CLC accreditation.</w:t>
      </w:r>
    </w:p>
    <w:p w14:paraId="44F27454" w14:textId="77777777" w:rsidR="00A33C80" w:rsidRPr="00AA6395" w:rsidRDefault="00A33C80" w:rsidP="00F62267">
      <w:pPr>
        <w:pStyle w:val="Heading3"/>
      </w:pPr>
      <w:bookmarkStart w:id="101" w:name="_Toc490159305"/>
      <w:r w:rsidRPr="00AA6395">
        <w:t>What is right with the current CLSP?</w:t>
      </w:r>
      <w:bookmarkEnd w:id="101"/>
    </w:p>
    <w:p w14:paraId="24659674" w14:textId="77777777" w:rsidR="00A33C80" w:rsidRPr="00AA6395" w:rsidRDefault="00A33C80" w:rsidP="00A33C80">
      <w:pPr>
        <w:pStyle w:val="ListBullet"/>
      </w:pPr>
      <w:r w:rsidRPr="00AA6395">
        <w:rPr>
          <w:lang w:val="en-US"/>
        </w:rPr>
        <w:t>Trust, despite frustration.</w:t>
      </w:r>
    </w:p>
    <w:p w14:paraId="6849B51B" w14:textId="77777777" w:rsidR="00A33C80" w:rsidRPr="00AA6395" w:rsidRDefault="00A33C80" w:rsidP="00A33C80">
      <w:pPr>
        <w:pStyle w:val="ListBullet"/>
      </w:pPr>
      <w:r w:rsidRPr="00AA6395">
        <w:rPr>
          <w:lang w:val="en-US"/>
        </w:rPr>
        <w:t>Relationships based on collaboration and communication. People talk to each other. This needs to be maintained and nurtured.</w:t>
      </w:r>
    </w:p>
    <w:p w14:paraId="6EB5CC42" w14:textId="77777777" w:rsidR="00A33C80" w:rsidRPr="00AA6395" w:rsidRDefault="00A33C80" w:rsidP="00A33C80">
      <w:pPr>
        <w:pStyle w:val="ListBullet"/>
      </w:pPr>
      <w:r w:rsidRPr="00AA6395">
        <w:rPr>
          <w:lang w:val="en-US"/>
        </w:rPr>
        <w:t>VLA is not there to make life difficult.</w:t>
      </w:r>
    </w:p>
    <w:p w14:paraId="4F69FF0E" w14:textId="77777777" w:rsidR="00A33C80" w:rsidRPr="00AA6395" w:rsidRDefault="00A33C80" w:rsidP="00A33C80">
      <w:pPr>
        <w:pStyle w:val="ListBullet"/>
      </w:pPr>
      <w:r w:rsidRPr="00AA6395">
        <w:rPr>
          <w:lang w:val="en-US"/>
        </w:rPr>
        <w:t>Maturity through the sector.</w:t>
      </w:r>
    </w:p>
    <w:p w14:paraId="306A9853" w14:textId="77777777" w:rsidR="00A33C80" w:rsidRPr="00AA6395" w:rsidRDefault="00A33C80" w:rsidP="00A33C80">
      <w:pPr>
        <w:pStyle w:val="ListBullet"/>
      </w:pPr>
      <w:r w:rsidRPr="00AA6395">
        <w:rPr>
          <w:lang w:val="en-US"/>
        </w:rPr>
        <w:t>Feedback comes when asked for.</w:t>
      </w:r>
    </w:p>
    <w:p w14:paraId="046272A3" w14:textId="77777777" w:rsidR="00A33C80" w:rsidRPr="00AA6395" w:rsidRDefault="00A33C80" w:rsidP="00A33C80">
      <w:pPr>
        <w:pStyle w:val="ListBullet"/>
      </w:pPr>
      <w:r w:rsidRPr="00AA6395">
        <w:rPr>
          <w:lang w:val="en-US"/>
        </w:rPr>
        <w:t>Flexibility in workplans format. Centres can create one that works for them based on their needs.</w:t>
      </w:r>
    </w:p>
    <w:p w14:paraId="4FD47975" w14:textId="77777777" w:rsidR="00A33C80" w:rsidRPr="00AA6395" w:rsidRDefault="00A33C80" w:rsidP="00A33C80">
      <w:pPr>
        <w:pStyle w:val="ListBullet"/>
      </w:pPr>
      <w:r w:rsidRPr="00AA6395">
        <w:rPr>
          <w:lang w:val="en-US"/>
        </w:rPr>
        <w:t>VLA’s commitment to the mixed model.</w:t>
      </w:r>
    </w:p>
    <w:p w14:paraId="254457B8" w14:textId="77777777" w:rsidR="00A33C80" w:rsidRPr="00AA6395" w:rsidRDefault="00A33C80" w:rsidP="00A33C80">
      <w:pPr>
        <w:pStyle w:val="ListBullet"/>
      </w:pPr>
      <w:r w:rsidRPr="00AA6395">
        <w:rPr>
          <w:lang w:val="en-US"/>
        </w:rPr>
        <w:t>Relatively simple allocation of additional funding.</w:t>
      </w:r>
    </w:p>
    <w:p w14:paraId="49E5FBFE" w14:textId="77777777" w:rsidR="00A33C80" w:rsidRPr="00AA6395" w:rsidRDefault="00A33C80" w:rsidP="00A33C80">
      <w:pPr>
        <w:pStyle w:val="ListBullet"/>
      </w:pPr>
      <w:r w:rsidRPr="00AA6395">
        <w:rPr>
          <w:lang w:val="en-US"/>
        </w:rPr>
        <w:t>Level of trust in ability to do work.</w:t>
      </w:r>
    </w:p>
    <w:p w14:paraId="17012A6C" w14:textId="77777777" w:rsidR="00A33C80" w:rsidRPr="00AA6395" w:rsidRDefault="00A33C80" w:rsidP="00A33C80">
      <w:pPr>
        <w:pStyle w:val="ListBullet"/>
      </w:pPr>
      <w:r w:rsidRPr="00AA6395">
        <w:rPr>
          <w:lang w:val="en-US"/>
        </w:rPr>
        <w:t xml:space="preserve">Existing system </w:t>
      </w:r>
      <w:r>
        <w:rPr>
          <w:lang w:val="en-US"/>
        </w:rPr>
        <w:t xml:space="preserve">is </w:t>
      </w:r>
      <w:r w:rsidRPr="00AA6395">
        <w:rPr>
          <w:lang w:val="en-US"/>
        </w:rPr>
        <w:t>fairly reliable – can predict income; like the stability.</w:t>
      </w:r>
    </w:p>
    <w:p w14:paraId="22C54156" w14:textId="77777777" w:rsidR="00A33C80" w:rsidRPr="00AA6395" w:rsidRDefault="00A33C80" w:rsidP="00F62267">
      <w:pPr>
        <w:pStyle w:val="Heading3"/>
      </w:pPr>
      <w:bookmarkStart w:id="102" w:name="_Toc490159306"/>
      <w:r w:rsidRPr="00AA6395">
        <w:t>Ideas for how the system could be made better</w:t>
      </w:r>
      <w:bookmarkEnd w:id="102"/>
    </w:p>
    <w:p w14:paraId="04683A64" w14:textId="77777777" w:rsidR="00A33C80" w:rsidRPr="00AA6395" w:rsidRDefault="00A33C80" w:rsidP="00A33C80">
      <w:pPr>
        <w:pStyle w:val="ListBullet"/>
      </w:pPr>
      <w:r w:rsidRPr="00AA6395">
        <w:rPr>
          <w:lang w:val="en-US"/>
        </w:rPr>
        <w:t>Should a new funding program compel people to use a database?</w:t>
      </w:r>
    </w:p>
    <w:p w14:paraId="2D94C002" w14:textId="77777777" w:rsidR="00A33C80" w:rsidRPr="00AA6395" w:rsidRDefault="00A33C80" w:rsidP="00A33C80">
      <w:pPr>
        <w:pStyle w:val="ListBullet"/>
      </w:pPr>
      <w:r w:rsidRPr="00AA6395">
        <w:rPr>
          <w:lang w:val="en-US"/>
        </w:rPr>
        <w:t>Why is data needed? So, that we can read</w:t>
      </w:r>
      <w:r w:rsidR="00F33680">
        <w:rPr>
          <w:lang w:val="en-US"/>
        </w:rPr>
        <w:t>,</w:t>
      </w:r>
      <w:r w:rsidRPr="00AA6395">
        <w:rPr>
          <w:lang w:val="en-US"/>
        </w:rPr>
        <w:t xml:space="preserve"> interpret and pass on to government and for making decisions re</w:t>
      </w:r>
      <w:r>
        <w:rPr>
          <w:lang w:val="en-US"/>
        </w:rPr>
        <w:t>gard</w:t>
      </w:r>
      <w:r w:rsidRPr="00AA6395">
        <w:rPr>
          <w:lang w:val="en-US"/>
        </w:rPr>
        <w:t xml:space="preserve"> funding. It’s a necessary evil.</w:t>
      </w:r>
    </w:p>
    <w:p w14:paraId="3E96D09D" w14:textId="77777777" w:rsidR="00A33C80" w:rsidRPr="00AA6395" w:rsidRDefault="00A33C80" w:rsidP="00A33C80">
      <w:pPr>
        <w:pStyle w:val="ListBullet"/>
      </w:pPr>
      <w:r w:rsidRPr="00AA6395">
        <w:rPr>
          <w:lang w:val="en-US"/>
        </w:rPr>
        <w:t>No duplication. Compatible data.</w:t>
      </w:r>
    </w:p>
    <w:p w14:paraId="3ACDE03E" w14:textId="77777777" w:rsidR="00A33C80" w:rsidRPr="00AA6395" w:rsidRDefault="00A33C80" w:rsidP="00A33C80">
      <w:pPr>
        <w:pStyle w:val="ListBullet"/>
      </w:pPr>
      <w:r w:rsidRPr="00AA6395">
        <w:rPr>
          <w:lang w:val="en-US"/>
        </w:rPr>
        <w:t xml:space="preserve">Consistency </w:t>
      </w:r>
      <w:r w:rsidR="00F33680">
        <w:rPr>
          <w:lang w:val="en-US"/>
        </w:rPr>
        <w:t>about</w:t>
      </w:r>
      <w:r w:rsidR="00F33680" w:rsidRPr="00AA6395">
        <w:rPr>
          <w:lang w:val="en-US"/>
        </w:rPr>
        <w:t xml:space="preserve"> </w:t>
      </w:r>
      <w:r w:rsidRPr="00AA6395">
        <w:rPr>
          <w:lang w:val="en-US"/>
        </w:rPr>
        <w:t>what reports are used to come with the data for reports.</w:t>
      </w:r>
    </w:p>
    <w:p w14:paraId="07206FC3" w14:textId="77777777" w:rsidR="00A33C80" w:rsidRPr="00AA6395" w:rsidRDefault="00A33C80" w:rsidP="00A33C80">
      <w:pPr>
        <w:pStyle w:val="ListBullet"/>
      </w:pPr>
      <w:r w:rsidRPr="00AA6395">
        <w:rPr>
          <w:lang w:val="en-US"/>
        </w:rPr>
        <w:t xml:space="preserve">Some reports duplicate </w:t>
      </w:r>
      <w:r w:rsidR="00F33680">
        <w:rPr>
          <w:lang w:val="en-US"/>
        </w:rPr>
        <w:t>information that is</w:t>
      </w:r>
      <w:r w:rsidRPr="00AA6395">
        <w:rPr>
          <w:lang w:val="en-US"/>
        </w:rPr>
        <w:t xml:space="preserve"> available from other sources or required by other sources. We need to look at eliminating this as much as we can.</w:t>
      </w:r>
    </w:p>
    <w:p w14:paraId="026C3907" w14:textId="77777777" w:rsidR="00A33C80" w:rsidRPr="00AA6395" w:rsidRDefault="00A33C80" w:rsidP="00A33C80">
      <w:pPr>
        <w:pStyle w:val="ListBullet"/>
      </w:pPr>
      <w:r w:rsidRPr="00AA6395">
        <w:rPr>
          <w:lang w:val="en-US"/>
        </w:rPr>
        <w:t>Trajectory is towards outcomes rather than outputs.</w:t>
      </w:r>
    </w:p>
    <w:p w14:paraId="0CD462F7" w14:textId="77777777" w:rsidR="00A33C80" w:rsidRPr="00AA6395" w:rsidRDefault="00A33C80" w:rsidP="00A33C80">
      <w:pPr>
        <w:pStyle w:val="ListBullet"/>
      </w:pPr>
      <w:r w:rsidRPr="00AA6395">
        <w:rPr>
          <w:lang w:val="en-US"/>
        </w:rPr>
        <w:t>De-couple financial, organisational and performance accountability.</w:t>
      </w:r>
    </w:p>
    <w:p w14:paraId="4AE551A8" w14:textId="77777777" w:rsidR="00A33C80" w:rsidRPr="00AA6395" w:rsidRDefault="00A33C80" w:rsidP="00A33C80">
      <w:pPr>
        <w:pStyle w:val="ListBullet"/>
      </w:pPr>
      <w:r w:rsidRPr="00AA6395">
        <w:rPr>
          <w:lang w:val="en-US"/>
        </w:rPr>
        <w:t>Theory of change – but being realistic so that you’re not creating a theory of change based on dressed-up widgets.</w:t>
      </w:r>
    </w:p>
    <w:p w14:paraId="5A7A8624" w14:textId="77777777" w:rsidR="00A33C80" w:rsidRPr="00AA6395" w:rsidRDefault="00A33C80" w:rsidP="00A33C80">
      <w:pPr>
        <w:pStyle w:val="ListBullet"/>
      </w:pPr>
      <w:r w:rsidRPr="00AA6395">
        <w:rPr>
          <w:lang w:val="en-US"/>
        </w:rPr>
        <w:t xml:space="preserve">Reporting timelines matching reality. Shift </w:t>
      </w:r>
      <w:r w:rsidR="00F33680">
        <w:rPr>
          <w:lang w:val="en-US"/>
        </w:rPr>
        <w:t xml:space="preserve">start of the </w:t>
      </w:r>
      <w:r w:rsidRPr="00AA6395">
        <w:rPr>
          <w:lang w:val="en-US"/>
        </w:rPr>
        <w:t>funding year to October?</w:t>
      </w:r>
    </w:p>
    <w:p w14:paraId="2979081E" w14:textId="77777777" w:rsidR="00A33C80" w:rsidRPr="00AA6395" w:rsidRDefault="00A33C80" w:rsidP="00A33C80">
      <w:pPr>
        <w:pStyle w:val="ListBullet"/>
      </w:pPr>
      <w:r w:rsidRPr="00AA6395">
        <w:rPr>
          <w:lang w:val="en-US"/>
        </w:rPr>
        <w:t>Meaningful reporting – that works for the CLC in the first instance rather than the funder.</w:t>
      </w:r>
    </w:p>
    <w:p w14:paraId="2339361A" w14:textId="77777777" w:rsidR="00A33C80" w:rsidRPr="00AA6395" w:rsidRDefault="00A33C80" w:rsidP="00A33C80">
      <w:pPr>
        <w:pStyle w:val="ListBullet"/>
      </w:pPr>
      <w:r w:rsidRPr="00AA6395">
        <w:rPr>
          <w:lang w:val="en-US"/>
        </w:rPr>
        <w:t>Multiple funders for the same category of activity. How to split?</w:t>
      </w:r>
    </w:p>
    <w:p w14:paraId="64DD36B2" w14:textId="77777777" w:rsidR="00A33C80" w:rsidRPr="00AA6395" w:rsidRDefault="00A33C80" w:rsidP="00A33C80">
      <w:pPr>
        <w:pStyle w:val="ListBullet"/>
      </w:pPr>
      <w:r w:rsidRPr="00AA6395">
        <w:rPr>
          <w:lang w:val="en-US"/>
        </w:rPr>
        <w:t>Genuine multi-year funding; certainty of funding.</w:t>
      </w:r>
    </w:p>
    <w:p w14:paraId="15882DCC" w14:textId="77777777" w:rsidR="00A33C80" w:rsidRPr="00AA6395" w:rsidRDefault="00A33C80" w:rsidP="00A33C80">
      <w:pPr>
        <w:pStyle w:val="ListBullet"/>
      </w:pPr>
      <w:r w:rsidRPr="00AA6395">
        <w:rPr>
          <w:lang w:val="en-US"/>
        </w:rPr>
        <w:t>Attitude of ‘in this together’.</w:t>
      </w:r>
    </w:p>
    <w:p w14:paraId="2451AA80" w14:textId="77777777" w:rsidR="00A33C80" w:rsidRPr="00AA6395" w:rsidRDefault="00A33C80" w:rsidP="00A33C80">
      <w:pPr>
        <w:pStyle w:val="ListBullet"/>
      </w:pPr>
      <w:r w:rsidRPr="00AA6395">
        <w:rPr>
          <w:lang w:val="en-US"/>
        </w:rPr>
        <w:t xml:space="preserve">A program that has the capacity to accommodate things like outcomes focus/planning or collaborative planning and resource administration etc. Not necessarily </w:t>
      </w:r>
      <w:r w:rsidR="00F33680">
        <w:rPr>
          <w:lang w:val="en-US"/>
        </w:rPr>
        <w:t>‘</w:t>
      </w:r>
      <w:r w:rsidRPr="00AA6395">
        <w:rPr>
          <w:lang w:val="en-US"/>
        </w:rPr>
        <w:t>deliver all of this now</w:t>
      </w:r>
      <w:r w:rsidR="00F33680">
        <w:rPr>
          <w:lang w:val="en-US"/>
        </w:rPr>
        <w:t>’</w:t>
      </w:r>
      <w:r w:rsidRPr="00AA6395">
        <w:rPr>
          <w:lang w:val="en-US"/>
        </w:rPr>
        <w:t>.</w:t>
      </w:r>
    </w:p>
    <w:p w14:paraId="6C06BD99" w14:textId="3D07E7BF" w:rsidR="00A33C80" w:rsidRPr="00AA6395" w:rsidRDefault="00A33C80" w:rsidP="00A33C80">
      <w:pPr>
        <w:pStyle w:val="ListBullet"/>
      </w:pPr>
      <w:r w:rsidRPr="00AA6395">
        <w:rPr>
          <w:lang w:val="en-US"/>
        </w:rPr>
        <w:lastRenderedPageBreak/>
        <w:t xml:space="preserve">A package that provides for compatible data requirements, no duplication of reporting, outcomes planning and accountability using outcomes-based plans and reports, supported by agreed meaningful outputs measures and access to data, i.e. dashboard outputs measurement matched by/supported by narrative reporting on outcomes and individual contributions to change, against a theory of change </w:t>
      </w:r>
      <w:r w:rsidR="00F33680">
        <w:rPr>
          <w:lang w:val="en-US"/>
        </w:rPr>
        <w:t>(</w:t>
      </w:r>
      <w:r w:rsidR="0092404C" w:rsidRPr="00AA6395">
        <w:rPr>
          <w:lang w:val="en-US"/>
        </w:rPr>
        <w:t>i.e.</w:t>
      </w:r>
      <w:r w:rsidRPr="00AA6395">
        <w:rPr>
          <w:lang w:val="en-US"/>
        </w:rPr>
        <w:t xml:space="preserve"> outcomes</w:t>
      </w:r>
      <w:r w:rsidR="00F33680">
        <w:rPr>
          <w:lang w:val="en-US"/>
        </w:rPr>
        <w:t>)</w:t>
      </w:r>
      <w:r w:rsidRPr="00AA6395">
        <w:rPr>
          <w:lang w:val="en-US"/>
        </w:rPr>
        <w:t xml:space="preserve"> </w:t>
      </w:r>
    </w:p>
    <w:p w14:paraId="59A49343" w14:textId="77777777" w:rsidR="00A33C80" w:rsidRPr="00AA6395" w:rsidRDefault="00A33C80" w:rsidP="00A33C80">
      <w:pPr>
        <w:pStyle w:val="ListBullet"/>
      </w:pPr>
      <w:r w:rsidRPr="00AA6395">
        <w:rPr>
          <w:lang w:val="en-US"/>
        </w:rPr>
        <w:t>Could there be different sorts of funding models for different scenarios – fully directed, tender, negotiated, peer/regional, project-based?</w:t>
      </w:r>
    </w:p>
    <w:p w14:paraId="19B254C6" w14:textId="77777777" w:rsidR="00A33C80" w:rsidRPr="00AA6395" w:rsidRDefault="00A33C80" w:rsidP="00A33C80">
      <w:pPr>
        <w:pStyle w:val="ListBullet"/>
      </w:pPr>
      <w:r w:rsidRPr="00AA6395">
        <w:rPr>
          <w:lang w:val="en-US"/>
        </w:rPr>
        <w:t>Negotiation over agreement.</w:t>
      </w:r>
    </w:p>
    <w:p w14:paraId="696AE4D4" w14:textId="77777777" w:rsidR="00A33C80" w:rsidRPr="00AA6395" w:rsidRDefault="00A33C80" w:rsidP="00F62267">
      <w:pPr>
        <w:pStyle w:val="Heading3"/>
      </w:pPr>
      <w:bookmarkStart w:id="103" w:name="_Toc490159307"/>
      <w:r w:rsidRPr="00AA6395">
        <w:t>Key design elements for any new CLSP</w:t>
      </w:r>
      <w:bookmarkEnd w:id="103"/>
      <w:r w:rsidRPr="00AA6395">
        <w:t xml:space="preserve"> </w:t>
      </w:r>
    </w:p>
    <w:tbl>
      <w:tblPr>
        <w:tblStyle w:val="TableGrid"/>
        <w:tblW w:w="0" w:type="auto"/>
        <w:tblLook w:val="04A0" w:firstRow="1" w:lastRow="0" w:firstColumn="1" w:lastColumn="0" w:noHBand="0" w:noVBand="1"/>
      </w:tblPr>
      <w:tblGrid>
        <w:gridCol w:w="3005"/>
        <w:gridCol w:w="3005"/>
        <w:gridCol w:w="3006"/>
      </w:tblGrid>
      <w:tr w:rsidR="00A33C80" w14:paraId="54F8D350" w14:textId="77777777" w:rsidTr="00FB2929">
        <w:tc>
          <w:tcPr>
            <w:tcW w:w="3005" w:type="dxa"/>
          </w:tcPr>
          <w:p w14:paraId="44D97BFF" w14:textId="77777777" w:rsidR="00A33C80" w:rsidRDefault="00A33C80" w:rsidP="00FB2929">
            <w:pPr>
              <w:jc w:val="center"/>
            </w:pPr>
          </w:p>
          <w:p w14:paraId="6676BD73" w14:textId="77777777" w:rsidR="00A33C80" w:rsidRDefault="00A33C80" w:rsidP="00FB2929">
            <w:pPr>
              <w:jc w:val="center"/>
            </w:pPr>
            <w:r>
              <w:t>CLC independence</w:t>
            </w:r>
          </w:p>
          <w:p w14:paraId="744EE07B" w14:textId="77777777" w:rsidR="00A33C80" w:rsidRDefault="00A33C80" w:rsidP="00FB2929">
            <w:pPr>
              <w:jc w:val="center"/>
            </w:pPr>
          </w:p>
        </w:tc>
        <w:tc>
          <w:tcPr>
            <w:tcW w:w="3005" w:type="dxa"/>
          </w:tcPr>
          <w:p w14:paraId="1106CA9E" w14:textId="77777777" w:rsidR="00A33C80" w:rsidRDefault="00A33C80" w:rsidP="00FB2929">
            <w:pPr>
              <w:jc w:val="center"/>
            </w:pPr>
          </w:p>
          <w:p w14:paraId="4C97D3A8" w14:textId="77777777" w:rsidR="00A33C80" w:rsidRDefault="00A33C80" w:rsidP="00FB2929">
            <w:pPr>
              <w:jc w:val="center"/>
            </w:pPr>
            <w:r>
              <w:t>Evidence-based decision making and planning</w:t>
            </w:r>
          </w:p>
          <w:p w14:paraId="779FC013" w14:textId="77777777" w:rsidR="00A33C80" w:rsidRDefault="00A33C80" w:rsidP="00FB2929">
            <w:pPr>
              <w:jc w:val="center"/>
            </w:pPr>
          </w:p>
        </w:tc>
        <w:tc>
          <w:tcPr>
            <w:tcW w:w="3006" w:type="dxa"/>
          </w:tcPr>
          <w:p w14:paraId="46989642" w14:textId="77777777" w:rsidR="00A33C80" w:rsidRDefault="00A33C80" w:rsidP="00FB2929">
            <w:pPr>
              <w:jc w:val="center"/>
            </w:pPr>
          </w:p>
          <w:p w14:paraId="66C93778" w14:textId="77777777" w:rsidR="00A33C80" w:rsidRDefault="00A33C80" w:rsidP="00FB2929">
            <w:pPr>
              <w:jc w:val="center"/>
            </w:pPr>
            <w:r>
              <w:t>Impact/outcomes</w:t>
            </w:r>
          </w:p>
          <w:p w14:paraId="5061DA19" w14:textId="77777777" w:rsidR="00A33C80" w:rsidRDefault="00A33C80" w:rsidP="00FB2929">
            <w:pPr>
              <w:jc w:val="center"/>
            </w:pPr>
          </w:p>
        </w:tc>
      </w:tr>
      <w:tr w:rsidR="00A33C80" w14:paraId="1FB1FCFE" w14:textId="77777777" w:rsidTr="00FB2929">
        <w:tc>
          <w:tcPr>
            <w:tcW w:w="3005" w:type="dxa"/>
          </w:tcPr>
          <w:p w14:paraId="68CF82EB" w14:textId="77777777" w:rsidR="00A33C80" w:rsidRDefault="00A33C80" w:rsidP="00FB2929">
            <w:pPr>
              <w:jc w:val="center"/>
            </w:pPr>
          </w:p>
          <w:p w14:paraId="7BDE6FEC" w14:textId="77777777" w:rsidR="00A33C80" w:rsidRDefault="00A33C80" w:rsidP="00FB2929">
            <w:pPr>
              <w:jc w:val="center"/>
            </w:pPr>
            <w:r>
              <w:t>Collaboration</w:t>
            </w:r>
          </w:p>
          <w:p w14:paraId="1F78A8EC" w14:textId="77777777" w:rsidR="00A33C80" w:rsidRDefault="00A33C80" w:rsidP="00FB2929">
            <w:pPr>
              <w:jc w:val="center"/>
            </w:pPr>
          </w:p>
        </w:tc>
        <w:tc>
          <w:tcPr>
            <w:tcW w:w="3005" w:type="dxa"/>
          </w:tcPr>
          <w:p w14:paraId="72F526B2" w14:textId="77777777" w:rsidR="00A33C80" w:rsidRDefault="00A33C80" w:rsidP="00FB2929">
            <w:pPr>
              <w:jc w:val="center"/>
            </w:pPr>
          </w:p>
          <w:p w14:paraId="41DA6703" w14:textId="77777777" w:rsidR="00A33C80" w:rsidRDefault="00A33C80" w:rsidP="00FB2929">
            <w:pPr>
              <w:jc w:val="center"/>
            </w:pPr>
            <w:r>
              <w:t>Partnership</w:t>
            </w:r>
          </w:p>
          <w:p w14:paraId="72AEAABD" w14:textId="77777777" w:rsidR="00A33C80" w:rsidRDefault="00A33C80" w:rsidP="00FB2929">
            <w:pPr>
              <w:jc w:val="center"/>
            </w:pPr>
          </w:p>
        </w:tc>
        <w:tc>
          <w:tcPr>
            <w:tcW w:w="3006" w:type="dxa"/>
          </w:tcPr>
          <w:p w14:paraId="31D90DE5" w14:textId="77777777" w:rsidR="00A33C80" w:rsidRDefault="00A33C80" w:rsidP="00FB2929">
            <w:pPr>
              <w:jc w:val="center"/>
            </w:pPr>
          </w:p>
          <w:p w14:paraId="6EF6E022" w14:textId="77777777" w:rsidR="00A33C80" w:rsidRDefault="00A33C80" w:rsidP="00FB2929">
            <w:pPr>
              <w:jc w:val="center"/>
            </w:pPr>
            <w:r>
              <w:t>Respect</w:t>
            </w:r>
          </w:p>
          <w:p w14:paraId="10015F4E" w14:textId="77777777" w:rsidR="00A33C80" w:rsidRDefault="00A33C80" w:rsidP="00FB2929">
            <w:pPr>
              <w:jc w:val="center"/>
            </w:pPr>
          </w:p>
        </w:tc>
      </w:tr>
      <w:tr w:rsidR="00A33C80" w14:paraId="42CD76E6" w14:textId="77777777" w:rsidTr="00FB2929">
        <w:tc>
          <w:tcPr>
            <w:tcW w:w="3005" w:type="dxa"/>
          </w:tcPr>
          <w:p w14:paraId="0A4364F5" w14:textId="77777777" w:rsidR="00A33C80" w:rsidRDefault="00A33C80" w:rsidP="00FB2929">
            <w:pPr>
              <w:jc w:val="center"/>
            </w:pPr>
          </w:p>
          <w:p w14:paraId="5684C5D2" w14:textId="77777777" w:rsidR="00A33C80" w:rsidRDefault="00A33C80" w:rsidP="00FB2929">
            <w:pPr>
              <w:jc w:val="center"/>
            </w:pPr>
            <w:r>
              <w:t>Transparency</w:t>
            </w:r>
          </w:p>
          <w:p w14:paraId="3EA5F9AF" w14:textId="77777777" w:rsidR="00A33C80" w:rsidRDefault="00A33C80" w:rsidP="00FB2929">
            <w:pPr>
              <w:jc w:val="center"/>
            </w:pPr>
          </w:p>
        </w:tc>
        <w:tc>
          <w:tcPr>
            <w:tcW w:w="3005" w:type="dxa"/>
          </w:tcPr>
          <w:p w14:paraId="006873BD" w14:textId="77777777" w:rsidR="00A33C80" w:rsidRDefault="00A33C80" w:rsidP="00FB2929">
            <w:pPr>
              <w:jc w:val="center"/>
            </w:pPr>
          </w:p>
          <w:p w14:paraId="422CBFE0" w14:textId="77777777" w:rsidR="00A33C80" w:rsidRDefault="00A33C80" w:rsidP="00FB2929">
            <w:pPr>
              <w:jc w:val="center"/>
            </w:pPr>
            <w:r>
              <w:t>Flexibility</w:t>
            </w:r>
          </w:p>
          <w:p w14:paraId="49C9C047" w14:textId="77777777" w:rsidR="00A33C80" w:rsidRDefault="00A33C80" w:rsidP="00FB2929">
            <w:pPr>
              <w:jc w:val="center"/>
            </w:pPr>
          </w:p>
        </w:tc>
        <w:tc>
          <w:tcPr>
            <w:tcW w:w="3006" w:type="dxa"/>
          </w:tcPr>
          <w:p w14:paraId="5BE24C17" w14:textId="77777777" w:rsidR="00A33C80" w:rsidRDefault="00A33C80" w:rsidP="00FB2929">
            <w:pPr>
              <w:jc w:val="center"/>
            </w:pPr>
          </w:p>
          <w:p w14:paraId="138E0891" w14:textId="77777777" w:rsidR="00A33C80" w:rsidRDefault="00A33C80" w:rsidP="00FB2929">
            <w:pPr>
              <w:jc w:val="center"/>
            </w:pPr>
            <w:r>
              <w:t>Efficiency &amp; Simplicity</w:t>
            </w:r>
          </w:p>
          <w:p w14:paraId="4AEB5FF7" w14:textId="77777777" w:rsidR="00A33C80" w:rsidRDefault="00A33C80" w:rsidP="00FB2929">
            <w:pPr>
              <w:jc w:val="center"/>
            </w:pPr>
          </w:p>
        </w:tc>
      </w:tr>
      <w:tr w:rsidR="00A33C80" w14:paraId="57952FFF" w14:textId="77777777" w:rsidTr="00FB2929">
        <w:tc>
          <w:tcPr>
            <w:tcW w:w="3005" w:type="dxa"/>
          </w:tcPr>
          <w:p w14:paraId="5F572C2C" w14:textId="77777777" w:rsidR="00A33C80" w:rsidRDefault="00A33C80" w:rsidP="00FB2929">
            <w:pPr>
              <w:jc w:val="center"/>
            </w:pPr>
          </w:p>
          <w:p w14:paraId="2E466CED" w14:textId="77777777" w:rsidR="00A33C80" w:rsidRDefault="00A33C80" w:rsidP="00FB2929">
            <w:pPr>
              <w:jc w:val="center"/>
            </w:pPr>
            <w:r>
              <w:t>Clarity of shared purpose</w:t>
            </w:r>
          </w:p>
          <w:p w14:paraId="5ECD8AE0" w14:textId="77777777" w:rsidR="00A33C80" w:rsidRDefault="00A33C80" w:rsidP="00FB2929">
            <w:pPr>
              <w:jc w:val="center"/>
            </w:pPr>
          </w:p>
        </w:tc>
        <w:tc>
          <w:tcPr>
            <w:tcW w:w="3005" w:type="dxa"/>
            <w:shd w:val="clear" w:color="auto" w:fill="auto"/>
          </w:tcPr>
          <w:p w14:paraId="0E5597DB" w14:textId="77777777" w:rsidR="00A33C80" w:rsidRPr="009B42F8" w:rsidRDefault="00A33C80" w:rsidP="00FB2929">
            <w:pPr>
              <w:jc w:val="center"/>
            </w:pPr>
          </w:p>
          <w:p w14:paraId="04AF764B" w14:textId="77777777" w:rsidR="00A33C80" w:rsidRPr="009B42F8" w:rsidRDefault="00A33C80" w:rsidP="00FB2929">
            <w:pPr>
              <w:jc w:val="center"/>
            </w:pPr>
            <w:r w:rsidRPr="009B42F8">
              <w:t>Certainty</w:t>
            </w:r>
          </w:p>
        </w:tc>
        <w:tc>
          <w:tcPr>
            <w:tcW w:w="3006" w:type="dxa"/>
            <w:shd w:val="clear" w:color="auto" w:fill="auto"/>
          </w:tcPr>
          <w:p w14:paraId="5A59C488" w14:textId="77777777" w:rsidR="00A33C80" w:rsidRPr="009B42F8" w:rsidRDefault="00A33C80" w:rsidP="00FB2929">
            <w:pPr>
              <w:jc w:val="center"/>
            </w:pPr>
          </w:p>
          <w:p w14:paraId="40D57278" w14:textId="77777777" w:rsidR="00A33C80" w:rsidRPr="009B42F8" w:rsidRDefault="00A33C80" w:rsidP="00FB2929">
            <w:pPr>
              <w:jc w:val="center"/>
            </w:pPr>
            <w:r w:rsidRPr="009B42F8">
              <w:t>Accountability</w:t>
            </w:r>
          </w:p>
        </w:tc>
      </w:tr>
    </w:tbl>
    <w:p w14:paraId="115F31A4" w14:textId="77777777" w:rsidR="00A33C80" w:rsidRDefault="00F33680" w:rsidP="00F62267">
      <w:pPr>
        <w:pStyle w:val="Heading3"/>
      </w:pPr>
      <w:bookmarkStart w:id="104" w:name="_Toc490159308"/>
      <w:r>
        <w:t>Other feedback</w:t>
      </w:r>
      <w:bookmarkEnd w:id="104"/>
    </w:p>
    <w:p w14:paraId="0C00188E" w14:textId="77777777" w:rsidR="00A33C80" w:rsidRPr="00AA6395" w:rsidRDefault="00A33C80" w:rsidP="00F62267">
      <w:r w:rsidRPr="00AA6395">
        <w:t xml:space="preserve">One workshop came up with a statement about the CLSP Reform project:                                     </w:t>
      </w:r>
    </w:p>
    <w:p w14:paraId="7ABAA6FF" w14:textId="77777777" w:rsidR="00A33C80" w:rsidRPr="00AA6395" w:rsidRDefault="00F33680" w:rsidP="00A33C80">
      <w:r>
        <w:rPr>
          <w:lang w:val="en-US"/>
        </w:rPr>
        <w:t>“</w:t>
      </w:r>
      <w:r w:rsidR="00A33C80" w:rsidRPr="00AA6395">
        <w:rPr>
          <w:lang w:val="en-US"/>
        </w:rPr>
        <w:t>Any new administrative program for managing funding to CLCs needs to provide for the accountability and support of CLCs, with a focus on:</w:t>
      </w:r>
    </w:p>
    <w:p w14:paraId="65A5734E" w14:textId="77777777" w:rsidR="00A33C80" w:rsidRPr="00AA6395" w:rsidRDefault="00A33C80" w:rsidP="00A33C80">
      <w:pPr>
        <w:pStyle w:val="ListBullet"/>
      </w:pPr>
      <w:r w:rsidRPr="00AA6395">
        <w:rPr>
          <w:lang w:val="en-US"/>
        </w:rPr>
        <w:t>transparency</w:t>
      </w:r>
    </w:p>
    <w:p w14:paraId="17455C1E" w14:textId="77777777" w:rsidR="00A33C80" w:rsidRPr="00AA6395" w:rsidRDefault="00A33C80" w:rsidP="00A33C80">
      <w:pPr>
        <w:pStyle w:val="ListBullet"/>
      </w:pPr>
      <w:r w:rsidRPr="00AA6395">
        <w:rPr>
          <w:lang w:val="en-US"/>
        </w:rPr>
        <w:t>efficiency</w:t>
      </w:r>
    </w:p>
    <w:p w14:paraId="5AEBAA23" w14:textId="77777777" w:rsidR="00A33C80" w:rsidRPr="00AA6395" w:rsidRDefault="00A33C80" w:rsidP="00A33C80">
      <w:pPr>
        <w:pStyle w:val="ListBullet"/>
      </w:pPr>
      <w:r w:rsidRPr="00AA6395">
        <w:rPr>
          <w:lang w:val="en-US"/>
        </w:rPr>
        <w:t xml:space="preserve">outcomes and </w:t>
      </w:r>
    </w:p>
    <w:p w14:paraId="1DEAE63F" w14:textId="77777777" w:rsidR="00A33C80" w:rsidRPr="00AA6395" w:rsidRDefault="00A33C80" w:rsidP="00A33C80">
      <w:pPr>
        <w:pStyle w:val="ListBullet"/>
      </w:pPr>
      <w:r w:rsidRPr="00AA6395">
        <w:rPr>
          <w:lang w:val="en-US"/>
        </w:rPr>
        <w:t>collaboration,</w:t>
      </w:r>
    </w:p>
    <w:p w14:paraId="578FB715" w14:textId="77777777" w:rsidR="00A33C80" w:rsidRPr="00AA6395" w:rsidRDefault="00A33C80" w:rsidP="00A33C80">
      <w:r w:rsidRPr="00AA6395">
        <w:rPr>
          <w:lang w:val="en-US"/>
        </w:rPr>
        <w:t>with mutual respect and mutual responsibility to underpin and ensure the delivery of these things.</w:t>
      </w:r>
      <w:r w:rsidR="00F33680">
        <w:rPr>
          <w:lang w:val="en-US"/>
        </w:rPr>
        <w:t>”</w:t>
      </w:r>
    </w:p>
    <w:p w14:paraId="3F6F834F" w14:textId="77777777" w:rsidR="00A33C80" w:rsidRPr="00AA6395" w:rsidRDefault="00A33C80" w:rsidP="00F33680">
      <w:r w:rsidRPr="00AA6395">
        <w:rPr>
          <w:lang w:val="en-US"/>
        </w:rPr>
        <w:t>The other workshop voted on their key</w:t>
      </w:r>
      <w:r w:rsidR="00F33680">
        <w:rPr>
          <w:lang w:val="en-US"/>
        </w:rPr>
        <w:t>, p</w:t>
      </w:r>
      <w:r w:rsidRPr="00AA6395">
        <w:rPr>
          <w:lang w:val="en-US"/>
        </w:rPr>
        <w:t xml:space="preserve"> design principles, which were:</w:t>
      </w:r>
    </w:p>
    <w:p w14:paraId="340D5002" w14:textId="77777777" w:rsidR="00A33C80" w:rsidRPr="00AA6395" w:rsidRDefault="00A33C80" w:rsidP="00A33C80">
      <w:pPr>
        <w:pStyle w:val="ListBullet"/>
      </w:pPr>
      <w:r w:rsidRPr="00AA6395">
        <w:rPr>
          <w:lang w:val="en-US"/>
        </w:rPr>
        <w:t>impact</w:t>
      </w:r>
    </w:p>
    <w:p w14:paraId="7DC31C30" w14:textId="77777777" w:rsidR="00A33C80" w:rsidRPr="00AA6395" w:rsidRDefault="00A33C80" w:rsidP="00A33C80">
      <w:pPr>
        <w:pStyle w:val="ListBullet"/>
      </w:pPr>
      <w:r w:rsidRPr="00AA6395">
        <w:rPr>
          <w:lang w:val="en-US"/>
        </w:rPr>
        <w:t>independence</w:t>
      </w:r>
    </w:p>
    <w:p w14:paraId="411D57DF" w14:textId="77777777" w:rsidR="00A33C80" w:rsidRPr="00AA6395" w:rsidRDefault="00A33C80" w:rsidP="00A33C80">
      <w:pPr>
        <w:pStyle w:val="ListBullet"/>
      </w:pPr>
      <w:r w:rsidRPr="00AA6395">
        <w:rPr>
          <w:lang w:val="en-US"/>
        </w:rPr>
        <w:lastRenderedPageBreak/>
        <w:t>trust</w:t>
      </w:r>
    </w:p>
    <w:p w14:paraId="1DC0D85C" w14:textId="77777777" w:rsidR="00A33C80" w:rsidRPr="00AA6395" w:rsidRDefault="00A33C80" w:rsidP="00A33C80">
      <w:pPr>
        <w:pStyle w:val="ListBullet"/>
      </w:pPr>
      <w:r w:rsidRPr="00AA6395">
        <w:rPr>
          <w:lang w:val="en-US"/>
        </w:rPr>
        <w:t>flexibility</w:t>
      </w:r>
      <w:r w:rsidR="00F33680">
        <w:rPr>
          <w:lang w:val="en-US"/>
        </w:rPr>
        <w:t>.</w:t>
      </w:r>
    </w:p>
    <w:p w14:paraId="0A390CCE" w14:textId="77777777" w:rsidR="00A33C80" w:rsidRPr="00AA6395" w:rsidRDefault="00A33C80" w:rsidP="00A33C80">
      <w:pPr>
        <w:pStyle w:val="Heading2"/>
      </w:pPr>
      <w:bookmarkStart w:id="105" w:name="_Toc490159309"/>
      <w:r w:rsidRPr="00AA6395">
        <w:t>Centre visits and interviews</w:t>
      </w:r>
      <w:bookmarkEnd w:id="105"/>
    </w:p>
    <w:p w14:paraId="49ACE3F9" w14:textId="77777777" w:rsidR="00A33C80" w:rsidRPr="00AA6395" w:rsidRDefault="00A33C80" w:rsidP="00A33C80">
      <w:r w:rsidRPr="00AA6395">
        <w:rPr>
          <w:lang w:val="en-US"/>
        </w:rPr>
        <w:t xml:space="preserve">We visited eight centres to gain an on-the-ground perspective of the CLSP compliance requirements and how they could be improved. We received the following </w:t>
      </w:r>
      <w:r w:rsidR="00CE1116">
        <w:rPr>
          <w:lang w:val="en-US"/>
        </w:rPr>
        <w:t>feedback</w:t>
      </w:r>
      <w:r w:rsidRPr="00AA6395">
        <w:rPr>
          <w:lang w:val="en-US"/>
        </w:rPr>
        <w:t>:</w:t>
      </w:r>
    </w:p>
    <w:p w14:paraId="08B29696" w14:textId="77777777" w:rsidR="00A33C80" w:rsidRPr="00AA6395" w:rsidRDefault="00A33C80" w:rsidP="00F62267">
      <w:pPr>
        <w:pStyle w:val="Heading3"/>
      </w:pPr>
      <w:bookmarkStart w:id="106" w:name="_Toc490159310"/>
      <w:r w:rsidRPr="00AA6395">
        <w:rPr>
          <w:lang w:val="en-US"/>
        </w:rPr>
        <w:t>Administrative burden</w:t>
      </w:r>
      <w:bookmarkEnd w:id="106"/>
    </w:p>
    <w:p w14:paraId="4647A4C6" w14:textId="77777777" w:rsidR="00A33C80" w:rsidRPr="00AA6395" w:rsidRDefault="00A33C80" w:rsidP="00F62267">
      <w:pPr>
        <w:pStyle w:val="ListBullet"/>
      </w:pPr>
      <w:r w:rsidRPr="00AA6395">
        <w:rPr>
          <w:lang w:val="en-US"/>
        </w:rPr>
        <w:t>Preparing workplans takes &lt;2 working days; not burdensome</w:t>
      </w:r>
    </w:p>
    <w:p w14:paraId="4589272E" w14:textId="77777777" w:rsidR="00A33C80" w:rsidRPr="00AA6395" w:rsidRDefault="00A33C80" w:rsidP="00F62267">
      <w:pPr>
        <w:pStyle w:val="ListBullet"/>
      </w:pPr>
      <w:r w:rsidRPr="00AA6395">
        <w:rPr>
          <w:lang w:val="en-US"/>
        </w:rPr>
        <w:t>Preparing progress reports takes</w:t>
      </w:r>
      <w:r w:rsidRPr="00AA6395">
        <w:t xml:space="preserve"> </w:t>
      </w:r>
      <w:r w:rsidRPr="00AA6395">
        <w:rPr>
          <w:lang w:val="en-US"/>
        </w:rPr>
        <w:t>&lt;1 working day; not burdensome</w:t>
      </w:r>
    </w:p>
    <w:p w14:paraId="39B0F517" w14:textId="77777777" w:rsidR="00A33C80" w:rsidRPr="00AA6395" w:rsidRDefault="00A33C80" w:rsidP="00F62267">
      <w:pPr>
        <w:pStyle w:val="ListBullet"/>
      </w:pPr>
      <w:r w:rsidRPr="00AA6395">
        <w:rPr>
          <w:lang w:val="en-US"/>
        </w:rPr>
        <w:t>Preparing the budget takes &lt;1 working day; not burdensome</w:t>
      </w:r>
    </w:p>
    <w:p w14:paraId="54B743FA" w14:textId="77777777" w:rsidR="00A33C80" w:rsidRPr="00AA6395" w:rsidRDefault="00A33C80" w:rsidP="00F62267">
      <w:pPr>
        <w:pStyle w:val="ListBullet"/>
      </w:pPr>
      <w:r w:rsidRPr="00AA6395">
        <w:rPr>
          <w:lang w:val="en-US"/>
        </w:rPr>
        <w:t>Preparing funds reports takes approx. 1 hour; not burdensome</w:t>
      </w:r>
    </w:p>
    <w:p w14:paraId="15B7B8BF" w14:textId="77777777" w:rsidR="00A33C80" w:rsidRPr="00AA6395" w:rsidRDefault="00A33C80" w:rsidP="00F62267">
      <w:pPr>
        <w:pStyle w:val="ListBullet"/>
      </w:pPr>
      <w:r w:rsidRPr="00AA6395">
        <w:rPr>
          <w:lang w:val="en-US"/>
        </w:rPr>
        <w:t>Preparing audited financial statements takes &lt;3 working days; not burdensome</w:t>
      </w:r>
    </w:p>
    <w:p w14:paraId="44373295" w14:textId="77777777" w:rsidR="00A33C80" w:rsidRPr="00AA6395" w:rsidRDefault="00A33C80" w:rsidP="00F62267">
      <w:pPr>
        <w:pStyle w:val="ListBullet"/>
      </w:pPr>
      <w:r w:rsidRPr="00AA6395">
        <w:rPr>
          <w:lang w:val="en-US"/>
        </w:rPr>
        <w:t xml:space="preserve">Preparing the organisational annual report takes 6 weeks; burdensome but necessary </w:t>
      </w:r>
    </w:p>
    <w:p w14:paraId="149C44A4" w14:textId="77777777" w:rsidR="00A33C80" w:rsidRPr="00AA6395" w:rsidRDefault="00A33C80" w:rsidP="00F62267">
      <w:pPr>
        <w:pStyle w:val="ListBullet"/>
      </w:pPr>
      <w:r w:rsidRPr="00AA6395">
        <w:rPr>
          <w:lang w:val="en-US"/>
        </w:rPr>
        <w:t>Data collection and recording takes 30 minutes – mainly for intake form data capture; not burdensome</w:t>
      </w:r>
    </w:p>
    <w:p w14:paraId="4A01F822" w14:textId="77777777" w:rsidR="00A33C80" w:rsidRPr="00AA6395" w:rsidRDefault="00A33C80" w:rsidP="00F62267">
      <w:pPr>
        <w:pStyle w:val="Heading3"/>
      </w:pPr>
      <w:bookmarkStart w:id="107" w:name="_Toc490159311"/>
      <w:r w:rsidRPr="00AA6395">
        <w:rPr>
          <w:lang w:val="en-US"/>
        </w:rPr>
        <w:t>General comments</w:t>
      </w:r>
      <w:bookmarkEnd w:id="107"/>
    </w:p>
    <w:p w14:paraId="4898FECD" w14:textId="77777777" w:rsidR="00A33C80" w:rsidRPr="00AA6395" w:rsidRDefault="00A33C80" w:rsidP="00A33C80">
      <w:r w:rsidRPr="00AA6395">
        <w:rPr>
          <w:lang w:val="en-US"/>
        </w:rPr>
        <w:t>CLSP accountability is not as burdensome as the accountability required by other funders</w:t>
      </w:r>
      <w:r w:rsidR="006264FB">
        <w:rPr>
          <w:lang w:val="en-US"/>
        </w:rPr>
        <w:t>.</w:t>
      </w:r>
    </w:p>
    <w:p w14:paraId="3073DF22" w14:textId="77777777" w:rsidR="00A33C80" w:rsidRPr="00AA6395" w:rsidRDefault="00A33C80" w:rsidP="00A33C80">
      <w:r w:rsidRPr="00AA6395">
        <w:rPr>
          <w:i/>
          <w:iCs/>
          <w:lang w:val="en-US"/>
        </w:rPr>
        <w:t>What could be improved and how?</w:t>
      </w:r>
    </w:p>
    <w:p w14:paraId="6843DAF7" w14:textId="77777777" w:rsidR="00A33C80" w:rsidRPr="00AA6395" w:rsidRDefault="00A33C80" w:rsidP="00A33C80">
      <w:pPr>
        <w:pStyle w:val="ListBullet"/>
      </w:pPr>
      <w:r w:rsidRPr="00AA6395">
        <w:rPr>
          <w:lang w:val="en-US"/>
        </w:rPr>
        <w:t xml:space="preserve">Workplans </w:t>
      </w:r>
      <w:r w:rsidR="006264FB" w:rsidRPr="00AA6395">
        <w:rPr>
          <w:lang w:val="en-US"/>
        </w:rPr>
        <w:t>–</w:t>
      </w:r>
      <w:r w:rsidRPr="00AA6395">
        <w:rPr>
          <w:lang w:val="en-US"/>
        </w:rPr>
        <w:t xml:space="preserve"> template </w:t>
      </w:r>
      <w:r w:rsidR="006264FB">
        <w:rPr>
          <w:lang w:val="en-US"/>
        </w:rPr>
        <w:t xml:space="preserve">should be </w:t>
      </w:r>
      <w:r w:rsidRPr="00AA6395">
        <w:rPr>
          <w:lang w:val="en-US"/>
        </w:rPr>
        <w:t>consistent across sector; clarity across sector about purpose of workplan, what it is; should be reflective of what centres actually do, but is largely an accountability tool</w:t>
      </w:r>
    </w:p>
    <w:p w14:paraId="0E3417BD" w14:textId="77777777" w:rsidR="00A33C80" w:rsidRPr="00AA6395" w:rsidRDefault="00A33C80" w:rsidP="00A33C80">
      <w:pPr>
        <w:pStyle w:val="ListBullet"/>
      </w:pPr>
      <w:r w:rsidRPr="00AA6395">
        <w:rPr>
          <w:lang w:val="en-US"/>
        </w:rPr>
        <w:t xml:space="preserve">Progress reports </w:t>
      </w:r>
      <w:r w:rsidR="006264FB" w:rsidRPr="00AA6395">
        <w:rPr>
          <w:lang w:val="en-US"/>
        </w:rPr>
        <w:t>–</w:t>
      </w:r>
      <w:r w:rsidRPr="00AA6395">
        <w:rPr>
          <w:lang w:val="en-US"/>
        </w:rPr>
        <w:t xml:space="preserve"> easier format would be good; VLA needs to be clear about what it’s looking for/needing</w:t>
      </w:r>
    </w:p>
    <w:p w14:paraId="7F7F779C" w14:textId="77777777" w:rsidR="00A33C80" w:rsidRPr="00AA6395" w:rsidRDefault="00A33C80" w:rsidP="00A33C80">
      <w:pPr>
        <w:pStyle w:val="ListBullet"/>
      </w:pPr>
      <w:r w:rsidRPr="00AA6395">
        <w:rPr>
          <w:lang w:val="en-US"/>
        </w:rPr>
        <w:t xml:space="preserve">Financial accountability (budget, funds reports, audited statements) </w:t>
      </w:r>
      <w:r w:rsidR="006264FB" w:rsidRPr="00AA6395">
        <w:rPr>
          <w:lang w:val="en-US"/>
        </w:rPr>
        <w:t>–</w:t>
      </w:r>
      <w:r w:rsidRPr="00AA6395">
        <w:rPr>
          <w:lang w:val="en-US"/>
        </w:rPr>
        <w:t xml:space="preserve"> make them more compatible with Australian Accounting Standards</w:t>
      </w:r>
    </w:p>
    <w:p w14:paraId="581CA696" w14:textId="77777777" w:rsidR="00A33C80" w:rsidRPr="00AA6395" w:rsidRDefault="00A33C80" w:rsidP="00A33C80">
      <w:pPr>
        <w:pStyle w:val="ListBullet"/>
      </w:pPr>
      <w:r w:rsidRPr="00AA6395">
        <w:rPr>
          <w:lang w:val="en-US"/>
        </w:rPr>
        <w:t xml:space="preserve">Data collection and use </w:t>
      </w:r>
      <w:r w:rsidR="006264FB" w:rsidRPr="00AA6395">
        <w:rPr>
          <w:lang w:val="en-US"/>
        </w:rPr>
        <w:t>–</w:t>
      </w:r>
      <w:r w:rsidRPr="00AA6395">
        <w:rPr>
          <w:lang w:val="en-US"/>
        </w:rPr>
        <w:t xml:space="preserve"> be clear about who it’s for </w:t>
      </w:r>
      <w:r w:rsidR="006264FB">
        <w:rPr>
          <w:lang w:val="en-US"/>
        </w:rPr>
        <w:t>(</w:t>
      </w:r>
      <w:r w:rsidRPr="00AA6395">
        <w:rPr>
          <w:lang w:val="en-US"/>
        </w:rPr>
        <w:t>i</w:t>
      </w:r>
      <w:r>
        <w:rPr>
          <w:lang w:val="en-US"/>
        </w:rPr>
        <w:t>.</w:t>
      </w:r>
      <w:r w:rsidRPr="00AA6395">
        <w:rPr>
          <w:lang w:val="en-US"/>
        </w:rPr>
        <w:t>e</w:t>
      </w:r>
      <w:r>
        <w:rPr>
          <w:lang w:val="en-US"/>
        </w:rPr>
        <w:t>.</w:t>
      </w:r>
      <w:r w:rsidRPr="00AA6395">
        <w:rPr>
          <w:lang w:val="en-US"/>
        </w:rPr>
        <w:t xml:space="preserve"> clients and case management</w:t>
      </w:r>
      <w:r w:rsidR="006264FB">
        <w:rPr>
          <w:lang w:val="en-US"/>
        </w:rPr>
        <w:t>)</w:t>
      </w:r>
      <w:r w:rsidRPr="00AA6395">
        <w:rPr>
          <w:lang w:val="en-US"/>
        </w:rPr>
        <w:t>; the centre’s service planning and monitoring; sector planning; accountability to funder; link the CLSP accountabilities to data as much as possible</w:t>
      </w:r>
    </w:p>
    <w:p w14:paraId="5E2FBFB4" w14:textId="77777777" w:rsidR="00A33C80" w:rsidRPr="00AA6395" w:rsidRDefault="00A33C80" w:rsidP="00A33C80">
      <w:pPr>
        <w:pStyle w:val="Heading2"/>
      </w:pPr>
      <w:bookmarkStart w:id="108" w:name="_Toc490159312"/>
      <w:r w:rsidRPr="00AA6395">
        <w:t>Interviews of other funders of CLCs</w:t>
      </w:r>
      <w:bookmarkEnd w:id="108"/>
    </w:p>
    <w:p w14:paraId="68DA35DA" w14:textId="77777777" w:rsidR="00A33C80" w:rsidRPr="00AA6395" w:rsidRDefault="00A33C80" w:rsidP="00A33C80">
      <w:r w:rsidRPr="00AA6395">
        <w:rPr>
          <w:lang w:val="en-US"/>
        </w:rPr>
        <w:t>We interviewed six other CLC funders, all programs of State Government, to gauge the scope for greater integration between their accountability processes and expectations of CLCs and those of a new CLSP. We made the following observations:</w:t>
      </w:r>
    </w:p>
    <w:p w14:paraId="1650E7C1" w14:textId="77777777" w:rsidR="00A33C80" w:rsidRPr="00AA6395" w:rsidRDefault="00A33C80" w:rsidP="00A33C80">
      <w:pPr>
        <w:pStyle w:val="ListBullet"/>
      </w:pPr>
      <w:r w:rsidRPr="00AA6395">
        <w:rPr>
          <w:lang w:val="en-US"/>
        </w:rPr>
        <w:t>At present, there is limited interest in VLA acting as an agent of those other funders by administering the CLC funding on their behalf or by collecting data and accountability reports so that CLCs have only one set of reports to make.</w:t>
      </w:r>
    </w:p>
    <w:p w14:paraId="38D79EBF" w14:textId="77777777" w:rsidR="00A33C80" w:rsidRPr="00AA6395" w:rsidRDefault="00A33C80" w:rsidP="00A33C80">
      <w:pPr>
        <w:pStyle w:val="ListBullet"/>
      </w:pPr>
      <w:r w:rsidRPr="00AA6395">
        <w:rPr>
          <w:lang w:val="en-US"/>
        </w:rPr>
        <w:t xml:space="preserve">There may be scope for adjusting the timing of CLSP accountability reports to match the accountability timings of some funders but not all, because where a CLC is funded by </w:t>
      </w:r>
      <w:r w:rsidR="006264FB" w:rsidRPr="00AA6395">
        <w:rPr>
          <w:lang w:val="en-US"/>
        </w:rPr>
        <w:t>m</w:t>
      </w:r>
      <w:r w:rsidR="006264FB">
        <w:rPr>
          <w:lang w:val="en-US"/>
        </w:rPr>
        <w:t xml:space="preserve">ultiple </w:t>
      </w:r>
      <w:r w:rsidR="006264FB">
        <w:rPr>
          <w:lang w:val="en-US"/>
        </w:rPr>
        <w:lastRenderedPageBreak/>
        <w:t>funders in addition to</w:t>
      </w:r>
      <w:r w:rsidRPr="00AA6395">
        <w:rPr>
          <w:lang w:val="en-US"/>
        </w:rPr>
        <w:t xml:space="preserve"> CLSP, the accountability timings of </w:t>
      </w:r>
      <w:r w:rsidR="006264FB">
        <w:rPr>
          <w:lang w:val="en-US"/>
        </w:rPr>
        <w:t>the</w:t>
      </w:r>
      <w:r w:rsidRPr="00AA6395">
        <w:rPr>
          <w:lang w:val="en-US"/>
        </w:rPr>
        <w:t xml:space="preserve"> funders would have to be adjusted to make them match.</w:t>
      </w:r>
    </w:p>
    <w:p w14:paraId="42F1D1BD" w14:textId="77777777" w:rsidR="00A33C80" w:rsidRPr="00AA6395" w:rsidRDefault="00A33C80" w:rsidP="00A33C80">
      <w:pPr>
        <w:pStyle w:val="ListBullet"/>
      </w:pPr>
      <w:r w:rsidRPr="00AA6395">
        <w:t>M</w:t>
      </w:r>
      <w:r w:rsidRPr="00AA6395">
        <w:rPr>
          <w:lang w:val="en-US"/>
        </w:rPr>
        <w:t>ore discussion and negotiation is needed before any substantive progress on these two areas for potential reform can take place. Most other funders felt that this will be more possible once a proposed model is available.</w:t>
      </w:r>
    </w:p>
    <w:p w14:paraId="52081D05" w14:textId="77777777" w:rsidR="00A33C80" w:rsidRPr="00AA6395" w:rsidRDefault="00A33C80" w:rsidP="00A33C80">
      <w:pPr>
        <w:pStyle w:val="ListBullet"/>
      </w:pPr>
      <w:r w:rsidRPr="00AA6395">
        <w:rPr>
          <w:lang w:val="en-US"/>
        </w:rPr>
        <w:t>The DHHS desktop review process provides significant scope for ‘flipping’ the responsibility for initiating and framing reporting.</w:t>
      </w:r>
    </w:p>
    <w:p w14:paraId="1C4E2F19" w14:textId="77777777" w:rsidR="00A33C80" w:rsidRPr="00AA6395" w:rsidRDefault="00A33C80" w:rsidP="00A33C80">
      <w:pPr>
        <w:pStyle w:val="ListBullet"/>
      </w:pPr>
      <w:r w:rsidRPr="00AA6395">
        <w:rPr>
          <w:lang w:val="en-US"/>
        </w:rPr>
        <w:t>The standard State Government grant agreements don’t provide much scope for substantive reform of the CLSP processes. They could replace, or improve, the existing CLSP Service Agreement but the experience of other State Government funding programs is that purpose-built accountability processes and related reports are needed to allow for meaningful accountability and relationships with funded centres.</w:t>
      </w:r>
    </w:p>
    <w:p w14:paraId="7E71833B" w14:textId="77777777" w:rsidR="00A33C80" w:rsidRPr="00AA6395" w:rsidRDefault="00A33C80" w:rsidP="00A33C80">
      <w:pPr>
        <w:pStyle w:val="Heading2"/>
      </w:pPr>
      <w:bookmarkStart w:id="109" w:name="_Toc490159313"/>
      <w:r w:rsidRPr="00AA6395">
        <w:t>Yammer (social media) discussions</w:t>
      </w:r>
      <w:bookmarkEnd w:id="109"/>
    </w:p>
    <w:p w14:paraId="63C474A1" w14:textId="77777777" w:rsidR="00A33C80" w:rsidRPr="00AA6395" w:rsidRDefault="00A33C80" w:rsidP="00A33C80">
      <w:r w:rsidRPr="00AA6395">
        <w:rPr>
          <w:lang w:val="en-US"/>
        </w:rPr>
        <w:t xml:space="preserve">To date, there has been limited engagement by stakeholders with the Yammer groups. However, some useful discussions have emerged and are continuing. </w:t>
      </w:r>
    </w:p>
    <w:p w14:paraId="02BB2A9F" w14:textId="77777777" w:rsidR="00A33C80" w:rsidRPr="00AA6395" w:rsidRDefault="00A33C80" w:rsidP="00A33C80">
      <w:r w:rsidRPr="00AA6395">
        <w:rPr>
          <w:lang w:val="en-US"/>
        </w:rPr>
        <w:t>The discussions have considered:</w:t>
      </w:r>
    </w:p>
    <w:p w14:paraId="615EB8FA" w14:textId="77777777" w:rsidR="00A33C80" w:rsidRPr="00AA6395" w:rsidRDefault="00A33C80" w:rsidP="00A33C80">
      <w:pPr>
        <w:pStyle w:val="ListBullet"/>
      </w:pPr>
      <w:r w:rsidRPr="00AA6395">
        <w:rPr>
          <w:lang w:val="en-US"/>
        </w:rPr>
        <w:t xml:space="preserve">the key </w:t>
      </w:r>
      <w:r w:rsidR="00A1675E">
        <w:rPr>
          <w:lang w:val="en-US"/>
        </w:rPr>
        <w:t>elements</w:t>
      </w:r>
      <w:r w:rsidRPr="00AA6395">
        <w:rPr>
          <w:lang w:val="en-US"/>
        </w:rPr>
        <w:t xml:space="preserve"> of a typical CLC</w:t>
      </w:r>
    </w:p>
    <w:p w14:paraId="09EB36E7" w14:textId="77777777" w:rsidR="00A33C80" w:rsidRPr="00AA6395" w:rsidRDefault="00A33C80" w:rsidP="00A33C80">
      <w:pPr>
        <w:pStyle w:val="ListBullet"/>
      </w:pPr>
      <w:r w:rsidRPr="00AA6395">
        <w:rPr>
          <w:lang w:val="en-US"/>
        </w:rPr>
        <w:t>fostering a culture of quality in CLCs</w:t>
      </w:r>
    </w:p>
    <w:p w14:paraId="1FA5EB80" w14:textId="77777777" w:rsidR="00A33C80" w:rsidRPr="00AA6395" w:rsidRDefault="00A33C80" w:rsidP="00A33C80">
      <w:pPr>
        <w:pStyle w:val="ListBullet"/>
      </w:pPr>
      <w:r w:rsidRPr="00AA6395">
        <w:rPr>
          <w:lang w:val="en-US"/>
        </w:rPr>
        <w:t>financial accountability requirements for CLCs depending on their circumstances.</w:t>
      </w:r>
    </w:p>
    <w:p w14:paraId="3B484E17" w14:textId="77777777" w:rsidR="00A33C80" w:rsidRPr="00AA6395" w:rsidRDefault="00A33C80" w:rsidP="00A33C80">
      <w:r w:rsidRPr="00AA6395">
        <w:rPr>
          <w:lang w:val="en-US"/>
        </w:rPr>
        <w:t>For more detail on these discussions go to the four Yammer pages set up for CLSP Reform discussions.</w:t>
      </w:r>
    </w:p>
    <w:p w14:paraId="5FE891DC" w14:textId="77777777" w:rsidR="00A33C80" w:rsidRPr="00AA6395" w:rsidRDefault="00A33C80" w:rsidP="00A33C80">
      <w:pPr>
        <w:pStyle w:val="Heading2"/>
      </w:pPr>
      <w:bookmarkStart w:id="110" w:name="_Toc490159314"/>
      <w:r w:rsidRPr="00AA6395">
        <w:t>Direct submissions by email</w:t>
      </w:r>
      <w:bookmarkEnd w:id="110"/>
    </w:p>
    <w:p w14:paraId="78308607" w14:textId="77777777" w:rsidR="00A33C80" w:rsidRPr="00AA6395" w:rsidRDefault="00A33C80" w:rsidP="00A33C80">
      <w:r w:rsidRPr="00AA6395">
        <w:t xml:space="preserve">We received three direct submissions. </w:t>
      </w:r>
      <w:r w:rsidR="006264FB">
        <w:t xml:space="preserve">Overall feedback </w:t>
      </w:r>
      <w:r w:rsidR="00D12792">
        <w:t xml:space="preserve">from these three contributions </w:t>
      </w:r>
      <w:r w:rsidR="006264FB">
        <w:t xml:space="preserve">was that </w:t>
      </w:r>
      <w:r w:rsidR="006264FB">
        <w:rPr>
          <w:lang w:val="en-US"/>
        </w:rPr>
        <w:t>t</w:t>
      </w:r>
      <w:r w:rsidRPr="00AA6395">
        <w:rPr>
          <w:lang w:val="en-US"/>
        </w:rPr>
        <w:t xml:space="preserve">he CLSP should be based on a clear understanding of the need for and work of </w:t>
      </w:r>
      <w:r w:rsidRPr="00AA6395">
        <w:rPr>
          <w:i/>
          <w:iCs/>
          <w:lang w:val="en-US"/>
        </w:rPr>
        <w:t xml:space="preserve">each </w:t>
      </w:r>
      <w:r w:rsidRPr="00AA6395">
        <w:rPr>
          <w:lang w:val="en-US"/>
        </w:rPr>
        <w:t>CLC, mutual trust and flexibility to support:</w:t>
      </w:r>
    </w:p>
    <w:p w14:paraId="7892A3F7" w14:textId="77777777" w:rsidR="00A33C80" w:rsidRPr="00AA6395" w:rsidRDefault="00A33C80" w:rsidP="00A33C80">
      <w:pPr>
        <w:pStyle w:val="ListBullet"/>
      </w:pPr>
      <w:r w:rsidRPr="00AA6395">
        <w:rPr>
          <w:lang w:val="en-US"/>
        </w:rPr>
        <w:t>determining community need specific to area of law</w:t>
      </w:r>
    </w:p>
    <w:p w14:paraId="2CA92A73" w14:textId="77777777" w:rsidR="00A33C80" w:rsidRPr="00AA6395" w:rsidRDefault="00A33C80" w:rsidP="00A33C80">
      <w:pPr>
        <w:pStyle w:val="ListBullet"/>
      </w:pPr>
      <w:r w:rsidRPr="00AA6395">
        <w:rPr>
          <w:lang w:val="en-US"/>
        </w:rPr>
        <w:t>targeting assistance to meet the need</w:t>
      </w:r>
    </w:p>
    <w:p w14:paraId="70CE5105" w14:textId="77777777" w:rsidR="00A33C80" w:rsidRPr="00AA6395" w:rsidRDefault="00A33C80" w:rsidP="00A33C80">
      <w:pPr>
        <w:pStyle w:val="ListBullet"/>
      </w:pPr>
      <w:r w:rsidRPr="00AA6395">
        <w:rPr>
          <w:lang w:val="en-US"/>
        </w:rPr>
        <w:t>setting KPIs to address the need</w:t>
      </w:r>
    </w:p>
    <w:p w14:paraId="36072574" w14:textId="77777777" w:rsidR="00A33C80" w:rsidRPr="00AA6395" w:rsidRDefault="00A33C80" w:rsidP="00A33C80">
      <w:pPr>
        <w:pStyle w:val="ListBullet"/>
      </w:pPr>
      <w:r w:rsidRPr="00AA6395">
        <w:rPr>
          <w:lang w:val="en-US"/>
        </w:rPr>
        <w:t>reporting on how they have been met</w:t>
      </w:r>
      <w:r w:rsidR="00D12792">
        <w:rPr>
          <w:lang w:val="en-US"/>
        </w:rPr>
        <w:t>.</w:t>
      </w:r>
    </w:p>
    <w:p w14:paraId="4B3497B3" w14:textId="77777777" w:rsidR="00A33C80" w:rsidRPr="00AA6395" w:rsidRDefault="00A33C80" w:rsidP="00A33C80">
      <w:r w:rsidRPr="00AA6395">
        <w:rPr>
          <w:lang w:val="en-US"/>
        </w:rPr>
        <w:t>Other ideas</w:t>
      </w:r>
      <w:r w:rsidR="00D12792">
        <w:rPr>
          <w:lang w:val="en-US"/>
        </w:rPr>
        <w:t xml:space="preserve"> and feedback</w:t>
      </w:r>
      <w:r w:rsidRPr="00AA6395">
        <w:rPr>
          <w:lang w:val="en-US"/>
        </w:rPr>
        <w:t xml:space="preserve"> included: </w:t>
      </w:r>
    </w:p>
    <w:p w14:paraId="3BAC8F96" w14:textId="77777777" w:rsidR="00A33C80" w:rsidRPr="00AA6395" w:rsidRDefault="00A33C80" w:rsidP="00A33C80">
      <w:pPr>
        <w:pStyle w:val="ListBullet"/>
      </w:pPr>
      <w:r w:rsidRPr="00AA6395">
        <w:rPr>
          <w:lang w:val="en-US"/>
        </w:rPr>
        <w:t>An agreement with overarching clauses common to all</w:t>
      </w:r>
      <w:r w:rsidR="00D12792">
        <w:rPr>
          <w:lang w:val="en-US"/>
        </w:rPr>
        <w:t>,</w:t>
      </w:r>
      <w:r w:rsidRPr="00AA6395">
        <w:rPr>
          <w:lang w:val="en-US"/>
        </w:rPr>
        <w:t xml:space="preserve"> but tailored schedules particular to each CLC, developed in consultation with CLCs.</w:t>
      </w:r>
    </w:p>
    <w:p w14:paraId="660D33FF" w14:textId="77777777" w:rsidR="00A33C80" w:rsidRPr="00AA6395" w:rsidRDefault="00A33C80" w:rsidP="00A33C80">
      <w:pPr>
        <w:pStyle w:val="ListBullet"/>
      </w:pPr>
      <w:r w:rsidRPr="00AA6395">
        <w:rPr>
          <w:lang w:val="en-US"/>
        </w:rPr>
        <w:t>Share KPIs and outcomes based reports with other centres; not financials.</w:t>
      </w:r>
    </w:p>
    <w:p w14:paraId="2390BAEB" w14:textId="77777777" w:rsidR="00A33C80" w:rsidRPr="00AA6395" w:rsidRDefault="00A33C80" w:rsidP="00A33C80">
      <w:pPr>
        <w:pStyle w:val="ListBullet"/>
      </w:pPr>
      <w:r w:rsidRPr="00AA6395">
        <w:rPr>
          <w:lang w:val="en-US"/>
        </w:rPr>
        <w:t>Workplans to cover 2 years; reporting annually not six</w:t>
      </w:r>
      <w:r w:rsidR="00D12792">
        <w:rPr>
          <w:lang w:val="en-US"/>
        </w:rPr>
        <w:t>-</w:t>
      </w:r>
      <w:r w:rsidRPr="00AA6395">
        <w:rPr>
          <w:lang w:val="en-US"/>
        </w:rPr>
        <w:t>monthly.</w:t>
      </w:r>
    </w:p>
    <w:p w14:paraId="025F97D3" w14:textId="77777777" w:rsidR="00A33C80" w:rsidRPr="00AA6395" w:rsidRDefault="00A33C80" w:rsidP="00A33C80">
      <w:pPr>
        <w:pStyle w:val="ListBullet"/>
      </w:pPr>
      <w:r w:rsidRPr="00AA6395">
        <w:rPr>
          <w:lang w:val="en-US"/>
        </w:rPr>
        <w:t>At least 4-year funding.</w:t>
      </w:r>
    </w:p>
    <w:p w14:paraId="285033F3" w14:textId="77777777" w:rsidR="00A33C80" w:rsidRPr="00AA6395" w:rsidRDefault="00A33C80" w:rsidP="00A33C80">
      <w:pPr>
        <w:pStyle w:val="ListBullet"/>
      </w:pPr>
      <w:r w:rsidRPr="00AA6395">
        <w:rPr>
          <w:lang w:val="en-US"/>
        </w:rPr>
        <w:t>Financial reports created using a centre’s financial management format.</w:t>
      </w:r>
    </w:p>
    <w:p w14:paraId="27E5B0E5" w14:textId="77777777" w:rsidR="00A33C80" w:rsidRPr="00AA6395" w:rsidRDefault="00A33C80" w:rsidP="00A33C80">
      <w:pPr>
        <w:pStyle w:val="ListBullet"/>
      </w:pPr>
      <w:r w:rsidRPr="00AA6395">
        <w:rPr>
          <w:lang w:val="en-US"/>
        </w:rPr>
        <w:t>Synchronised reporting schedules and requirements with other funders.</w:t>
      </w:r>
    </w:p>
    <w:p w14:paraId="31C013D7" w14:textId="77777777" w:rsidR="00A33C80" w:rsidRPr="00AA6395" w:rsidRDefault="00A33C80" w:rsidP="00A33C80">
      <w:pPr>
        <w:pStyle w:val="ListBullet"/>
      </w:pPr>
      <w:r w:rsidRPr="00AA6395">
        <w:rPr>
          <w:lang w:val="en-US"/>
        </w:rPr>
        <w:lastRenderedPageBreak/>
        <w:t>Current format of service agreement works.</w:t>
      </w:r>
    </w:p>
    <w:p w14:paraId="30C5DFFF" w14:textId="77777777" w:rsidR="00A33C80" w:rsidRPr="00AA6395" w:rsidRDefault="00A33C80" w:rsidP="00A33C80">
      <w:pPr>
        <w:pStyle w:val="ListBullet"/>
      </w:pPr>
      <w:r w:rsidRPr="00AA6395">
        <w:rPr>
          <w:lang w:val="en-US"/>
        </w:rPr>
        <w:t>Encourage and support centres to develop logic models/theories of change or other similar outcome focused tools to support major projects.</w:t>
      </w:r>
    </w:p>
    <w:p w14:paraId="322EF8A7" w14:textId="77777777" w:rsidR="00A33C80" w:rsidRPr="00AA6395" w:rsidRDefault="00A33C80" w:rsidP="00A33C80">
      <w:pPr>
        <w:pStyle w:val="ListBullet"/>
      </w:pPr>
      <w:r w:rsidRPr="00AA6395">
        <w:rPr>
          <w:lang w:val="en-US"/>
        </w:rPr>
        <w:t>The requirement to consult with other services during service planning.</w:t>
      </w:r>
    </w:p>
    <w:p w14:paraId="4F05EF4A" w14:textId="77777777" w:rsidR="00A33C80" w:rsidRPr="00AA6395" w:rsidRDefault="00A33C80" w:rsidP="00A33C80">
      <w:pPr>
        <w:pStyle w:val="ListBullet"/>
      </w:pPr>
      <w:r w:rsidRPr="00AA6395">
        <w:rPr>
          <w:lang w:val="en-US"/>
        </w:rPr>
        <w:t xml:space="preserve">A formal process for regular feedback to canvass what is going well, what could be improved and how a </w:t>
      </w:r>
      <w:r w:rsidR="00D12792">
        <w:rPr>
          <w:lang w:val="en-US"/>
        </w:rPr>
        <w:t>c</w:t>
      </w:r>
      <w:r w:rsidR="00D12792" w:rsidRPr="00AA6395">
        <w:rPr>
          <w:lang w:val="en-US"/>
        </w:rPr>
        <w:t xml:space="preserve">entre </w:t>
      </w:r>
      <w:r w:rsidRPr="00AA6395">
        <w:rPr>
          <w:lang w:val="en-US"/>
        </w:rPr>
        <w:t>sits in relation to others.</w:t>
      </w:r>
    </w:p>
    <w:p w14:paraId="31B9D4CF" w14:textId="77777777" w:rsidR="00A33C80" w:rsidRPr="00AA6395" w:rsidRDefault="00A33C80" w:rsidP="00A33C80">
      <w:pPr>
        <w:pStyle w:val="ListBullet"/>
      </w:pPr>
      <w:r w:rsidRPr="00AA6395">
        <w:t xml:space="preserve">Updating standard forms </w:t>
      </w:r>
      <w:r w:rsidR="00D12792">
        <w:t>and</w:t>
      </w:r>
      <w:r w:rsidR="00D12792" w:rsidRPr="00AA6395">
        <w:t xml:space="preserve"> </w:t>
      </w:r>
      <w:r w:rsidRPr="00AA6395">
        <w:t>resources provided by the VLA</w:t>
      </w:r>
      <w:r w:rsidR="00D12792">
        <w:t>,</w:t>
      </w:r>
      <w:r w:rsidRPr="00AA6395">
        <w:t xml:space="preserve"> as many forms are out of date and not easy to use. </w:t>
      </w:r>
    </w:p>
    <w:p w14:paraId="4125C465" w14:textId="77777777" w:rsidR="00A33C80" w:rsidRPr="00AA6395" w:rsidRDefault="00A33C80" w:rsidP="00A33C80">
      <w:pPr>
        <w:pStyle w:val="ListBullet"/>
      </w:pPr>
      <w:r w:rsidRPr="00AA6395">
        <w:t xml:space="preserve">Planning </w:t>
      </w:r>
      <w:r w:rsidR="00D12792">
        <w:t>and</w:t>
      </w:r>
      <w:r w:rsidR="00D12792" w:rsidRPr="00AA6395">
        <w:t xml:space="preserve"> </w:t>
      </w:r>
      <w:r w:rsidRPr="00AA6395">
        <w:t>needs analysis requirements need to</w:t>
      </w:r>
      <w:r w:rsidR="00D12792">
        <w:t xml:space="preserve"> be</w:t>
      </w:r>
      <w:r w:rsidRPr="00AA6395">
        <w:t xml:space="preserve"> kept in perspective according to the size and funding of a centre.</w:t>
      </w:r>
    </w:p>
    <w:p w14:paraId="60EC1D32" w14:textId="77777777" w:rsidR="00A33C80" w:rsidRDefault="00A33C80" w:rsidP="00A33C80"/>
    <w:p w14:paraId="5D290471" w14:textId="77777777" w:rsidR="00BF2778" w:rsidRDefault="00BF2778" w:rsidP="00A33C80"/>
    <w:p w14:paraId="099C57DE" w14:textId="77777777" w:rsidR="00BF2778" w:rsidRPr="00AA6395" w:rsidRDefault="00BF2778" w:rsidP="00BF2778">
      <w:pPr>
        <w:pStyle w:val="Heading1"/>
        <w:pageBreakBefore/>
      </w:pPr>
      <w:bookmarkStart w:id="111" w:name="_Appendix_3:_CLSP"/>
      <w:bookmarkStart w:id="112" w:name="_Ref489259845"/>
      <w:bookmarkStart w:id="113" w:name="_Toc490159315"/>
      <w:bookmarkEnd w:id="111"/>
      <w:r>
        <w:lastRenderedPageBreak/>
        <w:t xml:space="preserve">Appendix 3: </w:t>
      </w:r>
      <w:r w:rsidRPr="00AA6395">
        <w:t>CLSP Reform</w:t>
      </w:r>
      <w:r>
        <w:t xml:space="preserve"> </w:t>
      </w:r>
      <w:r w:rsidRPr="00AA6395">
        <w:t>–</w:t>
      </w:r>
      <w:r w:rsidR="00152BF4">
        <w:t xml:space="preserve"> </w:t>
      </w:r>
      <w:r>
        <w:t>options for financial accountability</w:t>
      </w:r>
      <w:bookmarkEnd w:id="112"/>
      <w:bookmarkEnd w:id="113"/>
    </w:p>
    <w:p w14:paraId="4DE399F1" w14:textId="77777777" w:rsidR="00BF2778" w:rsidRDefault="00BF2778" w:rsidP="00BF2778">
      <w:pPr>
        <w:rPr>
          <w:bCs/>
          <w:lang w:val="en-US"/>
        </w:rPr>
      </w:pPr>
      <w:r w:rsidRPr="00DC008B">
        <w:rPr>
          <w:bCs/>
          <w:lang w:val="en-US"/>
        </w:rPr>
        <w:t xml:space="preserve">This is the most frequently raised area for reform. </w:t>
      </w:r>
    </w:p>
    <w:p w14:paraId="2F959888" w14:textId="77777777" w:rsidR="00BF2778" w:rsidRDefault="00BF2778" w:rsidP="00BF2778">
      <w:pPr>
        <w:rPr>
          <w:bCs/>
          <w:lang w:val="en-US"/>
        </w:rPr>
      </w:pPr>
      <w:r>
        <w:rPr>
          <w:bCs/>
          <w:lang w:val="en-US"/>
        </w:rPr>
        <w:t>Regardless of which option is preferred and adopted, i</w:t>
      </w:r>
      <w:r w:rsidRPr="00DC008B">
        <w:rPr>
          <w:bCs/>
          <w:lang w:val="en-US"/>
        </w:rPr>
        <w:t xml:space="preserve">t would be useful to involve centre auditors and finance officers in discussion in </w:t>
      </w:r>
      <w:r w:rsidR="00783689">
        <w:rPr>
          <w:bCs/>
          <w:lang w:val="en-US"/>
        </w:rPr>
        <w:t>Phase 2</w:t>
      </w:r>
      <w:r w:rsidRPr="00DC008B">
        <w:rPr>
          <w:bCs/>
          <w:lang w:val="en-US"/>
        </w:rPr>
        <w:t xml:space="preserve"> of this project, to design these accountability requirements so that they are as user-friendly and AAS-compatible as possible.</w:t>
      </w:r>
    </w:p>
    <w:p w14:paraId="1909550D" w14:textId="77777777" w:rsidR="00BF2778" w:rsidRDefault="00BF2778" w:rsidP="00BF2778">
      <w:pPr>
        <w:rPr>
          <w:bCs/>
          <w:lang w:val="en-US"/>
        </w:rPr>
      </w:pPr>
      <w:r w:rsidRPr="00DC008B">
        <w:rPr>
          <w:bCs/>
          <w:lang w:val="en-US"/>
        </w:rPr>
        <w:t>There are three basic levels of reform of this area of CLC accountability:</w:t>
      </w:r>
    </w:p>
    <w:p w14:paraId="16109DAE" w14:textId="7CEBA823" w:rsidR="00BF2778" w:rsidRPr="00DC008B" w:rsidRDefault="00BF2778" w:rsidP="00DB60C7">
      <w:pPr>
        <w:pStyle w:val="VLA1"/>
        <w:numPr>
          <w:ilvl w:val="0"/>
          <w:numId w:val="11"/>
        </w:numPr>
      </w:pPr>
      <w:r w:rsidRPr="00BF2778">
        <w:rPr>
          <w:lang w:val="en-US"/>
        </w:rPr>
        <w:t xml:space="preserve">Agree </w:t>
      </w:r>
      <w:r w:rsidR="004E3D17">
        <w:rPr>
          <w:lang w:val="en-US"/>
        </w:rPr>
        <w:t xml:space="preserve">to </w:t>
      </w:r>
      <w:r w:rsidRPr="00BF2778">
        <w:rPr>
          <w:lang w:val="en-US"/>
        </w:rPr>
        <w:t xml:space="preserve">a </w:t>
      </w:r>
      <w:r w:rsidR="004E3D17" w:rsidRPr="00BF2778">
        <w:rPr>
          <w:lang w:val="en-US"/>
        </w:rPr>
        <w:t xml:space="preserve">set format </w:t>
      </w:r>
      <w:r w:rsidR="004E3D17">
        <w:rPr>
          <w:lang w:val="en-US"/>
        </w:rPr>
        <w:t xml:space="preserve">that is </w:t>
      </w:r>
      <w:r w:rsidRPr="00BF2778">
        <w:rPr>
          <w:lang w:val="en-US"/>
        </w:rPr>
        <w:t xml:space="preserve">more </w:t>
      </w:r>
      <w:r w:rsidR="004E3D17">
        <w:rPr>
          <w:lang w:val="en-US"/>
        </w:rPr>
        <w:t xml:space="preserve">compatible with </w:t>
      </w:r>
      <w:r w:rsidRPr="00BF2778">
        <w:rPr>
          <w:lang w:val="en-US"/>
        </w:rPr>
        <w:t xml:space="preserve">AAS (Australian Accounting </w:t>
      </w:r>
      <w:r w:rsidR="006F439C" w:rsidRPr="00BF2778">
        <w:rPr>
          <w:lang w:val="en-US"/>
        </w:rPr>
        <w:t>Standards) for</w:t>
      </w:r>
      <w:r w:rsidRPr="00BF2778">
        <w:rPr>
          <w:lang w:val="en-US"/>
        </w:rPr>
        <w:t xml:space="preserve"> separate CLSP financial reports – budgets and reports against those budgets – for six</w:t>
      </w:r>
      <w:r w:rsidR="004E3D17">
        <w:rPr>
          <w:lang w:val="en-US"/>
        </w:rPr>
        <w:t>-</w:t>
      </w:r>
      <w:r w:rsidRPr="00BF2778">
        <w:rPr>
          <w:lang w:val="en-US"/>
        </w:rPr>
        <w:t>monthly (or quarterly) CLSP financial reports.</w:t>
      </w:r>
    </w:p>
    <w:p w14:paraId="167DDA67" w14:textId="77777777" w:rsidR="00BF2778" w:rsidRPr="00DC008B" w:rsidRDefault="00BF2778" w:rsidP="00BF2778">
      <w:pPr>
        <w:pStyle w:val="VLA1"/>
      </w:pPr>
      <w:r w:rsidRPr="00DC008B">
        <w:rPr>
          <w:lang w:val="en-US"/>
        </w:rPr>
        <w:t xml:space="preserve">Still require separate, </w:t>
      </w:r>
      <w:r w:rsidR="004E3D17" w:rsidRPr="00DC008B">
        <w:rPr>
          <w:lang w:val="en-US"/>
        </w:rPr>
        <w:t>six</w:t>
      </w:r>
      <w:r w:rsidR="004E3D17">
        <w:rPr>
          <w:lang w:val="en-US"/>
        </w:rPr>
        <w:t>-</w:t>
      </w:r>
      <w:r w:rsidRPr="00DC008B">
        <w:rPr>
          <w:lang w:val="en-US"/>
        </w:rPr>
        <w:t>monthly or quarterly CLSP financial reports (budgets and funds reports) but allow centres to submit them in a format that is familiar to them and administratively easy for them to use</w:t>
      </w:r>
      <w:r w:rsidR="004E3D17">
        <w:rPr>
          <w:lang w:val="en-US"/>
        </w:rPr>
        <w:t>.</w:t>
      </w:r>
    </w:p>
    <w:p w14:paraId="7530721D" w14:textId="77777777" w:rsidR="00BF2778" w:rsidRPr="00DC008B" w:rsidRDefault="00BF2778" w:rsidP="00BF2778">
      <w:pPr>
        <w:pStyle w:val="VLA1"/>
      </w:pPr>
      <w:r w:rsidRPr="00DC008B">
        <w:rPr>
          <w:lang w:val="en-US"/>
        </w:rPr>
        <w:t xml:space="preserve">Dispense with separate CLSP financial reports, relying instead on annual audited financial statements. </w:t>
      </w:r>
    </w:p>
    <w:p w14:paraId="5E96B46D" w14:textId="77777777" w:rsidR="00BF2778" w:rsidRPr="00DC008B" w:rsidRDefault="00BF2778" w:rsidP="00BF2778">
      <w:pPr>
        <w:pStyle w:val="ListBullet"/>
      </w:pPr>
      <w:r w:rsidRPr="00DC008B">
        <w:rPr>
          <w:lang w:val="en-US"/>
        </w:rPr>
        <w:t>This might require agreement on how CLSP information is to be presented in these audited financial statements.</w:t>
      </w:r>
    </w:p>
    <w:p w14:paraId="56949708" w14:textId="77777777" w:rsidR="00BF2778" w:rsidRDefault="00BF2778" w:rsidP="00BF2778">
      <w:pPr>
        <w:pStyle w:val="ListBullet"/>
      </w:pPr>
      <w:r w:rsidRPr="00DC008B">
        <w:rPr>
          <w:lang w:val="en-US"/>
        </w:rPr>
        <w:t>It might also include the use of ‘spot checks’</w:t>
      </w:r>
      <w:r>
        <w:rPr>
          <w:lang w:val="en-US"/>
        </w:rPr>
        <w:t xml:space="preserve">, using a process that </w:t>
      </w:r>
      <w:r w:rsidR="004E3D17">
        <w:rPr>
          <w:lang w:val="en-US"/>
        </w:rPr>
        <w:t xml:space="preserve">could </w:t>
      </w:r>
      <w:r>
        <w:rPr>
          <w:lang w:val="en-US"/>
        </w:rPr>
        <w:t>be developed with the CLC sector</w:t>
      </w:r>
      <w:r w:rsidRPr="00DC008B">
        <w:rPr>
          <w:lang w:val="en-US"/>
        </w:rPr>
        <w:t>.</w:t>
      </w:r>
    </w:p>
    <w:p w14:paraId="1D72FB27" w14:textId="77777777" w:rsidR="00BF2778" w:rsidRPr="00212716" w:rsidRDefault="00BF2778" w:rsidP="00BF2778">
      <w:pPr>
        <w:pStyle w:val="ListContinue"/>
      </w:pPr>
      <w:r w:rsidRPr="00212716">
        <w:rPr>
          <w:lang w:val="en-US"/>
        </w:rPr>
        <w:t>NB: Queensland has adopted this simplified approach.</w:t>
      </w:r>
    </w:p>
    <w:p w14:paraId="5F19DA90" w14:textId="77777777" w:rsidR="00BF2778" w:rsidRDefault="00BF2778" w:rsidP="00BF2778">
      <w:pPr>
        <w:rPr>
          <w:bCs/>
          <w:lang w:val="en-US"/>
        </w:rPr>
      </w:pPr>
      <w:r>
        <w:rPr>
          <w:bCs/>
          <w:lang w:val="en-US"/>
        </w:rPr>
        <w:t>In Victoria, this third level of reform might result in the following:</w:t>
      </w:r>
    </w:p>
    <w:tbl>
      <w:tblPr>
        <w:tblStyle w:val="TableGrid"/>
        <w:tblW w:w="0" w:type="auto"/>
        <w:tblLook w:val="04A0" w:firstRow="1" w:lastRow="0" w:firstColumn="1" w:lastColumn="0" w:noHBand="0" w:noVBand="1"/>
      </w:tblPr>
      <w:tblGrid>
        <w:gridCol w:w="4885"/>
        <w:gridCol w:w="4885"/>
      </w:tblGrid>
      <w:tr w:rsidR="00BF2778" w14:paraId="273CA2B5" w14:textId="77777777" w:rsidTr="00BF2778">
        <w:tc>
          <w:tcPr>
            <w:tcW w:w="4885" w:type="dxa"/>
          </w:tcPr>
          <w:p w14:paraId="7DE2A684" w14:textId="77777777" w:rsidR="00BF2778" w:rsidRDefault="00BF2778" w:rsidP="00BF2778">
            <w:pPr>
              <w:rPr>
                <w:b/>
                <w:bCs/>
                <w:lang w:val="en-US"/>
              </w:rPr>
            </w:pPr>
            <w:r w:rsidRPr="009F2405">
              <w:rPr>
                <w:b/>
                <w:bCs/>
                <w:lang w:val="en-US"/>
              </w:rPr>
              <w:t>CLCs receiving long</w:t>
            </w:r>
            <w:r>
              <w:rPr>
                <w:b/>
                <w:bCs/>
                <w:lang w:val="en-US"/>
              </w:rPr>
              <w:t>er</w:t>
            </w:r>
            <w:r w:rsidRPr="009F2405">
              <w:rPr>
                <w:b/>
                <w:bCs/>
                <w:lang w:val="en-US"/>
              </w:rPr>
              <w:t xml:space="preserve">-term funding </w:t>
            </w:r>
            <w:r>
              <w:rPr>
                <w:b/>
                <w:bCs/>
                <w:lang w:val="en-US"/>
              </w:rPr>
              <w:t>might</w:t>
            </w:r>
            <w:r w:rsidRPr="009F2405">
              <w:rPr>
                <w:b/>
                <w:bCs/>
                <w:lang w:val="en-US"/>
              </w:rPr>
              <w:t xml:space="preserve"> be</w:t>
            </w:r>
            <w:r>
              <w:rPr>
                <w:b/>
                <w:bCs/>
                <w:lang w:val="en-US"/>
              </w:rPr>
              <w:t xml:space="preserve"> required to do the following:</w:t>
            </w:r>
          </w:p>
          <w:p w14:paraId="7B1B1ED8" w14:textId="77777777" w:rsidR="00BF2778" w:rsidRPr="009F2405" w:rsidRDefault="00BF2778" w:rsidP="00DB60C7">
            <w:pPr>
              <w:pStyle w:val="VLA1"/>
              <w:numPr>
                <w:ilvl w:val="0"/>
                <w:numId w:val="12"/>
              </w:numPr>
            </w:pPr>
            <w:r w:rsidRPr="00BF2778">
              <w:rPr>
                <w:lang w:val="en-US"/>
              </w:rPr>
              <w:t>At the start of a funding period, provide a budget for how the CLSP funds will be spent</w:t>
            </w:r>
          </w:p>
          <w:p w14:paraId="5A7B3F46" w14:textId="77777777" w:rsidR="00BF2778" w:rsidRPr="009F2405" w:rsidRDefault="00BF2778" w:rsidP="00BF2778">
            <w:pPr>
              <w:pStyle w:val="VLA1"/>
            </w:pPr>
            <w:r w:rsidRPr="009F2405">
              <w:rPr>
                <w:lang w:val="en-US"/>
              </w:rPr>
              <w:t>Ensure that accounting adequately reflects and records CLSP funding and how it is being spent</w:t>
            </w:r>
          </w:p>
          <w:p w14:paraId="4537558B" w14:textId="77777777" w:rsidR="00BF2778" w:rsidRPr="009F2405" w:rsidRDefault="00BF2778" w:rsidP="00BF2778">
            <w:pPr>
              <w:pStyle w:val="VLA1"/>
            </w:pPr>
            <w:r w:rsidRPr="009F2405">
              <w:rPr>
                <w:lang w:val="en-US"/>
              </w:rPr>
              <w:t>Annually, provide VLA with audited organisational financial statements</w:t>
            </w:r>
          </w:p>
          <w:p w14:paraId="76D98BA9" w14:textId="77777777" w:rsidR="00BF2778" w:rsidRPr="009F2405" w:rsidRDefault="00BF2778" w:rsidP="00BF2778">
            <w:pPr>
              <w:pStyle w:val="VLA1"/>
            </w:pPr>
            <w:r w:rsidRPr="009F2405">
              <w:rPr>
                <w:lang w:val="en-US"/>
              </w:rPr>
              <w:t xml:space="preserve">Respond to VLA’s feedback on its analysis of these audited organisational financial statements, engaging with VLA to address any issues that arise </w:t>
            </w:r>
          </w:p>
          <w:p w14:paraId="12CFCE41" w14:textId="77777777" w:rsidR="00BF2778" w:rsidRPr="009F2405" w:rsidRDefault="00BF2778" w:rsidP="00BF2778">
            <w:pPr>
              <w:pStyle w:val="VLA1"/>
            </w:pPr>
            <w:r w:rsidRPr="009F2405">
              <w:rPr>
                <w:lang w:val="en-US"/>
              </w:rPr>
              <w:t>Provide VLA with copies of internal organi</w:t>
            </w:r>
            <w:r w:rsidR="00783689">
              <w:rPr>
                <w:lang w:val="en-US"/>
              </w:rPr>
              <w:t>s</w:t>
            </w:r>
            <w:r w:rsidRPr="009F2405">
              <w:rPr>
                <w:lang w:val="en-US"/>
              </w:rPr>
              <w:t>ational financial reports (or just those related to CLSP funding) when requested by VLA</w:t>
            </w:r>
          </w:p>
          <w:p w14:paraId="492850D4" w14:textId="77777777" w:rsidR="00BF2778" w:rsidRPr="009F2405" w:rsidRDefault="00BF2778" w:rsidP="00BF2778">
            <w:pPr>
              <w:pStyle w:val="VLA1"/>
            </w:pPr>
            <w:r w:rsidRPr="009F2405">
              <w:rPr>
                <w:lang w:val="en-US"/>
              </w:rPr>
              <w:lastRenderedPageBreak/>
              <w:t>Engage with VLA to address any issues that arise from VLA financial ‘spot checks’</w:t>
            </w:r>
          </w:p>
          <w:p w14:paraId="2AB1BE37" w14:textId="77777777" w:rsidR="00BF2778" w:rsidRPr="009F2405" w:rsidRDefault="00BF2778" w:rsidP="00BF2778">
            <w:pPr>
              <w:pStyle w:val="VLA1"/>
            </w:pPr>
            <w:r w:rsidRPr="009F2405">
              <w:rPr>
                <w:lang w:val="en-US"/>
              </w:rPr>
              <w:t>At the end of a funding period, provide a full audited financial acquittal for the use of the CLSP funds</w:t>
            </w:r>
            <w:r w:rsidR="004E3D17">
              <w:rPr>
                <w:lang w:val="en-US"/>
              </w:rPr>
              <w:t>.</w:t>
            </w:r>
          </w:p>
          <w:p w14:paraId="7FDB1EB7" w14:textId="77777777" w:rsidR="00BF2778" w:rsidRDefault="00BF2778" w:rsidP="00BF2778">
            <w:pPr>
              <w:rPr>
                <w:bCs/>
              </w:rPr>
            </w:pPr>
          </w:p>
        </w:tc>
        <w:tc>
          <w:tcPr>
            <w:tcW w:w="4885" w:type="dxa"/>
          </w:tcPr>
          <w:p w14:paraId="14365169" w14:textId="77777777" w:rsidR="00BF2778" w:rsidRPr="009F2405" w:rsidRDefault="00BF2778" w:rsidP="00BF2778">
            <w:r>
              <w:rPr>
                <w:b/>
                <w:bCs/>
                <w:lang w:val="en-US"/>
              </w:rPr>
              <w:lastRenderedPageBreak/>
              <w:t>w</w:t>
            </w:r>
            <w:r w:rsidRPr="009F2405">
              <w:rPr>
                <w:b/>
                <w:bCs/>
                <w:lang w:val="en-US"/>
              </w:rPr>
              <w:t>hile VLA would be required to:</w:t>
            </w:r>
          </w:p>
          <w:p w14:paraId="02DDF799" w14:textId="77777777" w:rsidR="00BF2778" w:rsidRPr="009F2405" w:rsidRDefault="004E3D17" w:rsidP="00F62267">
            <w:pPr>
              <w:pStyle w:val="VLA1"/>
              <w:numPr>
                <w:ilvl w:val="0"/>
                <w:numId w:val="26"/>
              </w:numPr>
            </w:pPr>
            <w:r w:rsidRPr="005A7D2F">
              <w:rPr>
                <w:lang w:val="en-US"/>
              </w:rPr>
              <w:t xml:space="preserve">Consider </w:t>
            </w:r>
            <w:r w:rsidR="00BF2778" w:rsidRPr="005A7D2F">
              <w:rPr>
                <w:lang w:val="en-US"/>
              </w:rPr>
              <w:t>and approve the CLC’s budget for the use of the funding</w:t>
            </w:r>
            <w:r w:rsidRPr="00C65FAC">
              <w:rPr>
                <w:lang w:val="en-US"/>
              </w:rPr>
              <w:t xml:space="preserve"> </w:t>
            </w:r>
            <w:r w:rsidRPr="00A9498E">
              <w:rPr>
                <w:lang w:val="en-US"/>
              </w:rPr>
              <w:t>a</w:t>
            </w:r>
            <w:r w:rsidRPr="00F62267">
              <w:rPr>
                <w:lang w:val="en-US"/>
              </w:rPr>
              <w:t>t the start of a funding period</w:t>
            </w:r>
          </w:p>
          <w:p w14:paraId="187062E1" w14:textId="77777777" w:rsidR="00BF2778" w:rsidRPr="009F2405" w:rsidRDefault="004E3D17" w:rsidP="00F62267">
            <w:pPr>
              <w:pStyle w:val="VLA1"/>
            </w:pPr>
            <w:r>
              <w:rPr>
                <w:lang w:val="en-US"/>
              </w:rPr>
              <w:t>R</w:t>
            </w:r>
            <w:r w:rsidR="00BF2778" w:rsidRPr="009F2405">
              <w:rPr>
                <w:lang w:val="en-US"/>
              </w:rPr>
              <w:t>eview and provide feedback on the CLC’s audited organisational financial statements,</w:t>
            </w:r>
            <w:r>
              <w:rPr>
                <w:lang w:val="en-US"/>
              </w:rPr>
              <w:t xml:space="preserve"> annually,</w:t>
            </w:r>
            <w:r w:rsidR="00BF2778" w:rsidRPr="009F2405">
              <w:rPr>
                <w:lang w:val="en-US"/>
              </w:rPr>
              <w:t xml:space="preserve"> engaging with the CLC to address any issues that arise from that feedback</w:t>
            </w:r>
          </w:p>
          <w:p w14:paraId="2A8E115B" w14:textId="77777777" w:rsidR="00BF2778" w:rsidRDefault="00BF2778" w:rsidP="00F62267">
            <w:pPr>
              <w:pStyle w:val="VLA1"/>
              <w:rPr>
                <w:bCs/>
              </w:rPr>
            </w:pPr>
            <w:r w:rsidRPr="009F2405">
              <w:rPr>
                <w:lang w:val="en-US"/>
              </w:rPr>
              <w:t>Conduct random financial spot-checks by reviewing the CLC’s most recent relevant financial report(s) to its Board, engaging with the CLC to address any issues that arise</w:t>
            </w:r>
            <w:r w:rsidRPr="00212716">
              <w:rPr>
                <w:lang w:val="en-US"/>
              </w:rPr>
              <w:t>.</w:t>
            </w:r>
          </w:p>
        </w:tc>
      </w:tr>
    </w:tbl>
    <w:p w14:paraId="5C3ABAA4" w14:textId="77777777" w:rsidR="00BF2778" w:rsidRPr="00DC008B" w:rsidRDefault="00BF2778" w:rsidP="00BF2778">
      <w:pPr>
        <w:rPr>
          <w:bCs/>
        </w:rPr>
      </w:pPr>
    </w:p>
    <w:p w14:paraId="54170AF5" w14:textId="77777777" w:rsidR="00A33C80" w:rsidRDefault="00A33C80" w:rsidP="002547DC">
      <w:pPr>
        <w:rPr>
          <w:b/>
          <w:highlight w:val="yellow"/>
        </w:rPr>
      </w:pPr>
    </w:p>
    <w:p w14:paraId="130C29A1" w14:textId="77777777" w:rsidR="009F0905" w:rsidRPr="00AA6395" w:rsidRDefault="009F0905" w:rsidP="009F0905">
      <w:pPr>
        <w:pStyle w:val="Heading1"/>
        <w:pageBreakBefore/>
        <w:rPr>
          <w:b w:val="0"/>
          <w:sz w:val="28"/>
          <w:szCs w:val="28"/>
        </w:rPr>
      </w:pPr>
      <w:bookmarkStart w:id="114" w:name="_Appendix_4:_CLSP"/>
      <w:bookmarkStart w:id="115" w:name="_Toc490159316"/>
      <w:bookmarkStart w:id="116" w:name="_Ref489259850"/>
      <w:bookmarkEnd w:id="114"/>
      <w:r>
        <w:lastRenderedPageBreak/>
        <w:t xml:space="preserve">Appendix 4: </w:t>
      </w:r>
      <w:r w:rsidRPr="00E94700">
        <w:t>CLSP Reform – possible provisions for elevated reporting and compliance</w:t>
      </w:r>
      <w:bookmarkEnd w:id="115"/>
      <w:r w:rsidRPr="00E94700">
        <w:t xml:space="preserve"> </w:t>
      </w:r>
      <w:bookmarkEnd w:id="116"/>
    </w:p>
    <w:p w14:paraId="54A5CA0C" w14:textId="77777777" w:rsidR="009F0905" w:rsidRPr="00796A0C" w:rsidRDefault="009F0905" w:rsidP="009F0905">
      <w:r w:rsidRPr="00796A0C">
        <w:rPr>
          <w:lang w:val="en-US"/>
        </w:rPr>
        <w:t>Elevated reporting and compliance might be applied when a centre is experiencing persistent difficulties in:</w:t>
      </w:r>
    </w:p>
    <w:p w14:paraId="77450FEA" w14:textId="77777777" w:rsidR="009F0905" w:rsidRPr="00796A0C" w:rsidRDefault="009F0905" w:rsidP="009F0905">
      <w:pPr>
        <w:pStyle w:val="ListBullet"/>
      </w:pPr>
      <w:r w:rsidRPr="00796A0C">
        <w:rPr>
          <w:lang w:val="en-US"/>
        </w:rPr>
        <w:t>achieving its agreed outputs</w:t>
      </w:r>
      <w:r w:rsidR="00783689">
        <w:rPr>
          <w:lang w:val="en-US"/>
        </w:rPr>
        <w:t xml:space="preserve"> </w:t>
      </w:r>
      <w:r w:rsidR="003962AF">
        <w:rPr>
          <w:lang w:val="en-US"/>
        </w:rPr>
        <w:t>and</w:t>
      </w:r>
      <w:r w:rsidR="003962AF" w:rsidRPr="00796A0C">
        <w:rPr>
          <w:lang w:val="en-US"/>
        </w:rPr>
        <w:t xml:space="preserve"> </w:t>
      </w:r>
      <w:r w:rsidRPr="00796A0C">
        <w:rPr>
          <w:lang w:val="en-US"/>
        </w:rPr>
        <w:t>targets</w:t>
      </w:r>
    </w:p>
    <w:p w14:paraId="2F8070E1" w14:textId="3E162829" w:rsidR="009F0905" w:rsidRPr="00796A0C" w:rsidRDefault="009F0905" w:rsidP="009F0905">
      <w:pPr>
        <w:pStyle w:val="ListBullet"/>
      </w:pPr>
      <w:r w:rsidRPr="00796A0C">
        <w:rPr>
          <w:lang w:val="en-US"/>
        </w:rPr>
        <w:t xml:space="preserve">managing its CLSP </w:t>
      </w:r>
      <w:r w:rsidR="006F439C" w:rsidRPr="00796A0C">
        <w:rPr>
          <w:lang w:val="en-US"/>
        </w:rPr>
        <w:t>funds or</w:t>
      </w:r>
      <w:r w:rsidRPr="00796A0C">
        <w:rPr>
          <w:lang w:val="en-US"/>
        </w:rPr>
        <w:t xml:space="preserve"> its finances generally</w:t>
      </w:r>
      <w:r w:rsidR="003962AF">
        <w:rPr>
          <w:lang w:val="en-US"/>
        </w:rPr>
        <w:t>,</w:t>
      </w:r>
      <w:r w:rsidRPr="00796A0C">
        <w:rPr>
          <w:lang w:val="en-US"/>
        </w:rPr>
        <w:t xml:space="preserve"> or not being able to clearly show how its CLSP funds have been used</w:t>
      </w:r>
    </w:p>
    <w:p w14:paraId="6D773EBA" w14:textId="77777777" w:rsidR="009F0905" w:rsidRPr="00796A0C" w:rsidRDefault="009F0905" w:rsidP="009F0905">
      <w:pPr>
        <w:pStyle w:val="ListBullet"/>
      </w:pPr>
      <w:r w:rsidRPr="00796A0C">
        <w:rPr>
          <w:lang w:val="en-US"/>
        </w:rPr>
        <w:t>managing its staff, including retaining a stable staff base and recruiting staff in a timely fashion</w:t>
      </w:r>
    </w:p>
    <w:p w14:paraId="12AE615B" w14:textId="77777777" w:rsidR="009F0905" w:rsidRPr="00796A0C" w:rsidRDefault="009F0905" w:rsidP="009F0905">
      <w:pPr>
        <w:pStyle w:val="ListBullet"/>
      </w:pPr>
      <w:r w:rsidRPr="00796A0C">
        <w:rPr>
          <w:lang w:val="en-US"/>
        </w:rPr>
        <w:t>managing special projects, to a point where its overall management capacity is questionable</w:t>
      </w:r>
    </w:p>
    <w:p w14:paraId="46D9963B" w14:textId="77777777" w:rsidR="009F0905" w:rsidRPr="00796A0C" w:rsidRDefault="009F0905" w:rsidP="009F0905">
      <w:pPr>
        <w:pStyle w:val="ListBullet"/>
      </w:pPr>
      <w:r w:rsidRPr="00796A0C">
        <w:rPr>
          <w:lang w:val="en-US"/>
        </w:rPr>
        <w:t>governing itself</w:t>
      </w:r>
      <w:r w:rsidR="003962AF">
        <w:rPr>
          <w:lang w:val="en-US"/>
        </w:rPr>
        <w:t>.</w:t>
      </w:r>
      <w:r w:rsidRPr="00796A0C">
        <w:rPr>
          <w:lang w:val="en-US"/>
        </w:rPr>
        <w:t xml:space="preserve"> </w:t>
      </w:r>
    </w:p>
    <w:p w14:paraId="24653BCA" w14:textId="77777777" w:rsidR="009F0905" w:rsidRPr="00796A0C" w:rsidRDefault="003962AF" w:rsidP="009F0905">
      <w:r>
        <w:rPr>
          <w:lang w:val="en-US"/>
        </w:rPr>
        <w:t xml:space="preserve">Elevated reporting and compliance </w:t>
      </w:r>
      <w:r w:rsidR="009F0905" w:rsidRPr="00796A0C">
        <w:rPr>
          <w:lang w:val="en-US"/>
        </w:rPr>
        <w:t>might involve:</w:t>
      </w:r>
    </w:p>
    <w:p w14:paraId="5AB36C81" w14:textId="77777777" w:rsidR="00334546" w:rsidRPr="00334546" w:rsidRDefault="003962AF" w:rsidP="009F0905">
      <w:pPr>
        <w:pStyle w:val="ListBullet"/>
      </w:pPr>
      <w:r>
        <w:t xml:space="preserve">additional </w:t>
      </w:r>
      <w:r w:rsidR="00334546" w:rsidRPr="00334546">
        <w:t>support of centres experiencing difficulties in their management or performance</w:t>
      </w:r>
    </w:p>
    <w:p w14:paraId="30566C94" w14:textId="77777777" w:rsidR="009F0905" w:rsidRPr="00796A0C" w:rsidRDefault="009F0905" w:rsidP="009F0905">
      <w:pPr>
        <w:pStyle w:val="ListBullet"/>
      </w:pPr>
      <w:r w:rsidRPr="00796A0C">
        <w:rPr>
          <w:lang w:val="en-US"/>
        </w:rPr>
        <w:t>more frequent performance or financial monitoring</w:t>
      </w:r>
    </w:p>
    <w:p w14:paraId="7E9029D3" w14:textId="77777777" w:rsidR="009F0905" w:rsidRPr="00796A0C" w:rsidRDefault="009F0905" w:rsidP="009F0905">
      <w:pPr>
        <w:pStyle w:val="ListBullet"/>
      </w:pPr>
      <w:r w:rsidRPr="00796A0C">
        <w:rPr>
          <w:lang w:val="en-US"/>
        </w:rPr>
        <w:t>performance or financial reporting in a more structured form</w:t>
      </w:r>
    </w:p>
    <w:p w14:paraId="7BA18F77" w14:textId="50AF0248" w:rsidR="009F0905" w:rsidRPr="00694B81" w:rsidRDefault="009F0905" w:rsidP="009F0905">
      <w:pPr>
        <w:pStyle w:val="ListBullet"/>
      </w:pPr>
      <w:r w:rsidRPr="00796A0C">
        <w:rPr>
          <w:lang w:val="en-US"/>
        </w:rPr>
        <w:t>formal meetings and in-person collaboration between the CLC and VLA</w:t>
      </w:r>
    </w:p>
    <w:p w14:paraId="64F76CE7" w14:textId="30ACA76F" w:rsidR="003273B6" w:rsidRPr="00796A0C" w:rsidRDefault="003273B6" w:rsidP="009F0905">
      <w:pPr>
        <w:pStyle w:val="ListBullet"/>
      </w:pPr>
      <w:r>
        <w:rPr>
          <w:lang w:val="en-US"/>
        </w:rPr>
        <w:t>ability to check quality of specific services such as through file audits or reviews of services</w:t>
      </w:r>
    </w:p>
    <w:p w14:paraId="0009C657" w14:textId="77777777" w:rsidR="009F0905" w:rsidRPr="00796A0C" w:rsidRDefault="009F0905" w:rsidP="009F0905">
      <w:pPr>
        <w:pStyle w:val="ListBullet"/>
      </w:pPr>
      <w:r w:rsidRPr="00796A0C">
        <w:rPr>
          <w:lang w:val="en-US"/>
        </w:rPr>
        <w:t>the development and application of a Performance Improvement Plan</w:t>
      </w:r>
    </w:p>
    <w:p w14:paraId="120A9FB2" w14:textId="77777777" w:rsidR="009F0905" w:rsidRPr="00796A0C" w:rsidRDefault="009F0905" w:rsidP="009F0905">
      <w:pPr>
        <w:pStyle w:val="ListBullet"/>
      </w:pPr>
      <w:r w:rsidRPr="00796A0C">
        <w:rPr>
          <w:lang w:val="en-US"/>
        </w:rPr>
        <w:t>VLA visibility of and/or involvement in any performance or organisational improvement in the CLC’s CLC Accreditation Scheme workplan</w:t>
      </w:r>
    </w:p>
    <w:p w14:paraId="3C9D29F6" w14:textId="77777777" w:rsidR="009F0905" w:rsidRPr="00796A0C" w:rsidRDefault="009F0905" w:rsidP="009F0905">
      <w:pPr>
        <w:pStyle w:val="ListBullet"/>
      </w:pPr>
      <w:r w:rsidRPr="00796A0C">
        <w:rPr>
          <w:lang w:val="en-US"/>
        </w:rPr>
        <w:t>any combination of the above options.</w:t>
      </w:r>
    </w:p>
    <w:p w14:paraId="745F8FA2" w14:textId="77777777" w:rsidR="009F0905" w:rsidRPr="00796A0C" w:rsidRDefault="009F0905" w:rsidP="009F0905">
      <w:r w:rsidRPr="00796A0C">
        <w:rPr>
          <w:lang w:val="en-US"/>
        </w:rPr>
        <w:t>Th</w:t>
      </w:r>
      <w:r>
        <w:rPr>
          <w:lang w:val="en-US"/>
        </w:rPr>
        <w:t>e</w:t>
      </w:r>
      <w:r w:rsidRPr="00796A0C">
        <w:rPr>
          <w:lang w:val="en-US"/>
        </w:rPr>
        <w:t xml:space="preserve"> aim would be for this more rigorous regime to be temporary, so that the CLC returns to the regular long-term funding accountability regime in an improved, more capable state.</w:t>
      </w:r>
    </w:p>
    <w:p w14:paraId="11163C9B" w14:textId="6C993CF0" w:rsidR="00CC25EC" w:rsidRPr="00796A0C" w:rsidRDefault="009F0905" w:rsidP="00F62267">
      <w:pPr>
        <w:rPr>
          <w:i/>
          <w:sz w:val="21"/>
          <w:szCs w:val="21"/>
        </w:rPr>
      </w:pPr>
      <w:r w:rsidRPr="00796A0C">
        <w:rPr>
          <w:lang w:val="en-US"/>
        </w:rPr>
        <w:t xml:space="preserve">The detail around these processes (including when and how they might be applied) could be </w:t>
      </w:r>
      <w:r w:rsidRPr="00796A0C">
        <w:t>settled with the sector in phase 2, with specific reflection on VLA’s existing policy framework</w:t>
      </w:r>
      <w:r w:rsidR="00CC25EC">
        <w:t xml:space="preserve"> </w:t>
      </w:r>
      <w:r w:rsidR="00CC25EC" w:rsidRPr="00CC25EC">
        <w:t>(</w:t>
      </w:r>
      <w:r w:rsidR="00CC25EC" w:rsidRPr="00CC25EC">
        <w:rPr>
          <w:i/>
        </w:rPr>
        <w:t>Victoria Legal Aid Policy Fra</w:t>
      </w:r>
      <w:r w:rsidR="00CC25EC" w:rsidRPr="00694B81">
        <w:rPr>
          <w:i/>
        </w:rPr>
        <w:t>mework: responding to concerns about CLC operations or performance</w:t>
      </w:r>
      <w:r w:rsidR="00CC25EC" w:rsidRPr="00694B81">
        <w:t>)</w:t>
      </w:r>
      <w:r w:rsidR="00694B81">
        <w:t>.</w:t>
      </w:r>
    </w:p>
    <w:p w14:paraId="1D1FB870" w14:textId="77777777" w:rsidR="009F0905" w:rsidRPr="00796A0C" w:rsidRDefault="009F0905" w:rsidP="009F0905">
      <w:pPr>
        <w:pStyle w:val="VLADocumentText"/>
        <w:spacing w:before="360"/>
        <w:rPr>
          <w:i/>
          <w:sz w:val="21"/>
          <w:szCs w:val="21"/>
        </w:rPr>
      </w:pPr>
    </w:p>
    <w:p w14:paraId="64F36804" w14:textId="77777777" w:rsidR="009F0905" w:rsidRDefault="009F0905" w:rsidP="009F0905">
      <w:pPr>
        <w:pStyle w:val="Heading1"/>
        <w:pageBreakBefore/>
        <w:rPr>
          <w:lang w:val="en-US"/>
        </w:rPr>
      </w:pPr>
      <w:bookmarkStart w:id="117" w:name="_Appendix_5:_CLSP"/>
      <w:bookmarkStart w:id="118" w:name="_Ref489259857"/>
      <w:bookmarkStart w:id="119" w:name="_Toc490159317"/>
      <w:bookmarkEnd w:id="117"/>
      <w:r>
        <w:lastRenderedPageBreak/>
        <w:t xml:space="preserve">Appendix 5: </w:t>
      </w:r>
      <w:r w:rsidRPr="00AA6395">
        <w:t>CLSP Reform</w:t>
      </w:r>
      <w:r>
        <w:t xml:space="preserve"> </w:t>
      </w:r>
      <w:r w:rsidRPr="00AA6395">
        <w:t xml:space="preserve">– </w:t>
      </w:r>
      <w:r>
        <w:t>a second stream of funding to support specific and short term programs and projects</w:t>
      </w:r>
      <w:bookmarkEnd w:id="118"/>
      <w:bookmarkEnd w:id="119"/>
    </w:p>
    <w:p w14:paraId="68EA5EA8" w14:textId="77777777" w:rsidR="009F0905" w:rsidRDefault="009F0905" w:rsidP="009F0905">
      <w:pPr>
        <w:rPr>
          <w:lang w:val="en-US"/>
        </w:rPr>
      </w:pPr>
      <w:r>
        <w:rPr>
          <w:lang w:val="en-US"/>
        </w:rPr>
        <w:t>The current CLSP does not have a structure that allows for robust and meaningful accountability for specific programs and short-term, specific projects.</w:t>
      </w:r>
    </w:p>
    <w:p w14:paraId="294BB628" w14:textId="15461D8F" w:rsidR="009F0905" w:rsidRPr="00BD3AC2" w:rsidRDefault="009F0905" w:rsidP="009F0905">
      <w:r>
        <w:rPr>
          <w:lang w:val="en-US"/>
        </w:rPr>
        <w:t>T</w:t>
      </w:r>
      <w:r w:rsidRPr="00BD3AC2">
        <w:t>here could be a second stream of funding for specific programs</w:t>
      </w:r>
      <w:r>
        <w:t xml:space="preserve"> (that might also be funded longer-term)</w:t>
      </w:r>
      <w:r w:rsidRPr="00BD3AC2">
        <w:t xml:space="preserve"> and </w:t>
      </w:r>
      <w:r>
        <w:t xml:space="preserve">specific, time-limited </w:t>
      </w:r>
      <w:r w:rsidR="00F9539A">
        <w:t xml:space="preserve">projects. </w:t>
      </w:r>
      <w:r w:rsidRPr="00BD3AC2">
        <w:t>These might include:</w:t>
      </w:r>
    </w:p>
    <w:p w14:paraId="5897DBC6" w14:textId="77777777" w:rsidR="009F0905" w:rsidRPr="00BD3AC2" w:rsidRDefault="009F0905" w:rsidP="009F0905">
      <w:pPr>
        <w:pStyle w:val="ListBullet"/>
      </w:pPr>
      <w:r w:rsidRPr="00BD3AC2">
        <w:t>family violence duty lawyer funding, and similar funding</w:t>
      </w:r>
      <w:r w:rsidR="005728ED">
        <w:t>,</w:t>
      </w:r>
      <w:r w:rsidRPr="00BD3AC2">
        <w:t xml:space="preserve"> that comes with specific requirements or expectations of external parties (including other sections or costs-centres/funding sources within VLA) who are not involved in the long-term funding service agreement and/or time-limits</w:t>
      </w:r>
    </w:p>
    <w:p w14:paraId="54D71119" w14:textId="77777777" w:rsidR="009F0905" w:rsidRPr="00BD3AC2" w:rsidRDefault="009F0905" w:rsidP="009F0905">
      <w:pPr>
        <w:pStyle w:val="ListBullet"/>
      </w:pPr>
      <w:r w:rsidRPr="00BD3AC2">
        <w:t>pilot projects that seek to test service delivery methods, approaches, locations, focusses or theories. These could be conceived of or initiated by VLA as funder, the organisation as service provider or others. They fit into this second, specific funding stream because they might require more rigor around planning, monitoring and evaluation that might benefit from VLA involvement, support or oversight</w:t>
      </w:r>
    </w:p>
    <w:p w14:paraId="59B7C193" w14:textId="77777777" w:rsidR="009F0905" w:rsidRPr="00BD3AC2" w:rsidRDefault="009F0905" w:rsidP="009F0905">
      <w:pPr>
        <w:pStyle w:val="ListBullet"/>
      </w:pPr>
      <w:r w:rsidRPr="00BD3AC2">
        <w:t>innovation and transformation or other development, special focus projects</w:t>
      </w:r>
    </w:p>
    <w:p w14:paraId="798A07E7" w14:textId="77777777" w:rsidR="009F0905" w:rsidRPr="00BD3AC2" w:rsidRDefault="009F0905" w:rsidP="009F0905">
      <w:pPr>
        <w:pStyle w:val="ListBullet"/>
      </w:pPr>
      <w:r w:rsidRPr="00BD3AC2">
        <w:t>one-off, time-limited development, pilot or exploratory projects that other funders wish to explore with CLCs.</w:t>
      </w:r>
    </w:p>
    <w:p w14:paraId="3F5E3183" w14:textId="77777777" w:rsidR="009F0905" w:rsidRPr="00BD3AC2" w:rsidRDefault="009F0905" w:rsidP="009F0905">
      <w:r w:rsidRPr="00BD3AC2">
        <w:t xml:space="preserve">This second stream could accommodate and support the engagement of other funders with CLCs. Effectively, VLA </w:t>
      </w:r>
      <w:r>
        <w:t>might</w:t>
      </w:r>
      <w:r w:rsidRPr="00BD3AC2">
        <w:t xml:space="preserve"> offer or provide grants program management services (in part or in full) to other funders. This addresses at least two key recommendations of the Access to Justice Review.</w:t>
      </w:r>
    </w:p>
    <w:p w14:paraId="1B9E4D87" w14:textId="77777777" w:rsidR="009F0905" w:rsidRPr="00BD3AC2" w:rsidRDefault="009F0905" w:rsidP="009F0905">
      <w:r w:rsidRPr="00BD3AC2">
        <w:t xml:space="preserve">This second, specific stream could be open to a broader range of organisations than </w:t>
      </w:r>
      <w:r>
        <w:t>just CLCs funded through the CLSP for longer-term, more general funding</w:t>
      </w:r>
      <w:r w:rsidRPr="00BD3AC2">
        <w:t>.</w:t>
      </w:r>
    </w:p>
    <w:p w14:paraId="2310ECD7" w14:textId="77777777" w:rsidR="009F0905" w:rsidRPr="00BD3AC2" w:rsidRDefault="009F0905" w:rsidP="009F0905">
      <w:r w:rsidRPr="00BD3AC2">
        <w:t>For CLCs that are long</w:t>
      </w:r>
      <w:r>
        <w:t>er</w:t>
      </w:r>
      <w:r w:rsidRPr="00BD3AC2">
        <w:t xml:space="preserve">-term funded, their existing service agreement could be used to establish the legal basis and terms for the provision of specific funding. This could apply to specific funds provided by VLA or other funders. </w:t>
      </w:r>
    </w:p>
    <w:p w14:paraId="5B5AC1CE" w14:textId="77777777" w:rsidR="009F0905" w:rsidRPr="00BD3AC2" w:rsidRDefault="009F0905" w:rsidP="009F0905">
      <w:r w:rsidRPr="00BD3AC2">
        <w:t>The difference between this funding stream for those centres and the long</w:t>
      </w:r>
      <w:r>
        <w:t>er</w:t>
      </w:r>
      <w:r w:rsidRPr="00BD3AC2">
        <w:t>-term funding stream would be the service commitment and reporting arrangements</w:t>
      </w:r>
      <w:r>
        <w:t xml:space="preserve"> for this specific or shorter-term funding</w:t>
      </w:r>
      <w:r w:rsidRPr="00BD3AC2">
        <w:t xml:space="preserve">. These would be </w:t>
      </w:r>
      <w:r>
        <w:t>specific to each funding stream, but use a general process</w:t>
      </w:r>
      <w:r w:rsidRPr="00BD3AC2">
        <w:t>. This may result in a single organisation having one service agreement (the long</w:t>
      </w:r>
      <w:r>
        <w:t>er</w:t>
      </w:r>
      <w:r w:rsidRPr="00BD3AC2">
        <w:t>-term agreement) with several commitment schedules – a general service one and others for each specific, time-limited grant. This is similar to the current arrangements, but could clarify and formalise that process.</w:t>
      </w:r>
    </w:p>
    <w:p w14:paraId="43C9E389" w14:textId="7B5B5F4F" w:rsidR="009F0905" w:rsidRPr="00BD3AC2" w:rsidRDefault="009F0905" w:rsidP="009F0905">
      <w:r w:rsidRPr="00BD3AC2">
        <w:t>For organisations that are not funded with long</w:t>
      </w:r>
      <w:r>
        <w:t>er</w:t>
      </w:r>
      <w:r w:rsidRPr="00BD3AC2">
        <w:t xml:space="preserve">-term </w:t>
      </w:r>
      <w:r w:rsidR="003273B6">
        <w:t xml:space="preserve">general </w:t>
      </w:r>
      <w:r w:rsidRPr="00BD3AC2">
        <w:t>CLSP funding, there could be a different and simpler service agreement to support these grants</w:t>
      </w:r>
      <w:r>
        <w:t>. Th</w:t>
      </w:r>
      <w:r w:rsidRPr="00BD3AC2">
        <w:t xml:space="preserve">ey may receive multiple specific grants over time, but just have one updatable service agreement to reflect and record the contractual relationship between VLA and the organisation. </w:t>
      </w:r>
    </w:p>
    <w:p w14:paraId="332AE798" w14:textId="77777777" w:rsidR="009F0905" w:rsidRPr="00BD3AC2" w:rsidRDefault="009F0905" w:rsidP="009F0905">
      <w:r w:rsidRPr="00BD3AC2">
        <w:t>The planning and reporting under this stream could be specific to each funding purpose, but could include:</w:t>
      </w:r>
    </w:p>
    <w:p w14:paraId="1003907B" w14:textId="77777777" w:rsidR="009F0905" w:rsidRPr="00BD3AC2" w:rsidRDefault="009F0905" w:rsidP="009F0905">
      <w:pPr>
        <w:pStyle w:val="ListBullet"/>
      </w:pPr>
      <w:r w:rsidRPr="00BD3AC2">
        <w:t>a project/program plan, ideally based on program logic</w:t>
      </w:r>
    </w:p>
    <w:p w14:paraId="73CA857D" w14:textId="77777777" w:rsidR="009F0905" w:rsidRPr="00BD3AC2" w:rsidRDefault="009F0905" w:rsidP="009F0905">
      <w:pPr>
        <w:pStyle w:val="ListBullet"/>
      </w:pPr>
      <w:r w:rsidRPr="00BD3AC2">
        <w:t xml:space="preserve">at least </w:t>
      </w:r>
      <w:r w:rsidR="005728ED">
        <w:t>six-</w:t>
      </w:r>
      <w:r w:rsidRPr="00BD3AC2">
        <w:t xml:space="preserve">monthly performance reporting, in a set format </w:t>
      </w:r>
    </w:p>
    <w:p w14:paraId="3B6FFF33" w14:textId="77777777" w:rsidR="009F0905" w:rsidRPr="00BD3AC2" w:rsidRDefault="009F0905" w:rsidP="009F0905">
      <w:pPr>
        <w:pStyle w:val="ListBullet"/>
      </w:pPr>
      <w:r w:rsidRPr="00BD3AC2">
        <w:t>simple but clear financial accountability built around an agreed budget and reports.</w:t>
      </w:r>
    </w:p>
    <w:sectPr w:rsidR="009F0905" w:rsidRPr="00BD3AC2" w:rsidSect="007C05C3">
      <w:headerReference w:type="even" r:id="rId34"/>
      <w:headerReference w:type="first" r:id="rId35"/>
      <w:footerReference w:type="first" r:id="rId36"/>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805BB" w14:textId="77777777" w:rsidR="00965F09" w:rsidRDefault="00965F09">
      <w:r>
        <w:separator/>
      </w:r>
    </w:p>
    <w:p w14:paraId="66809B57" w14:textId="77777777" w:rsidR="00965F09" w:rsidRDefault="00965F09"/>
    <w:p w14:paraId="6ED45296" w14:textId="77777777" w:rsidR="00965F09" w:rsidRDefault="00965F09"/>
  </w:endnote>
  <w:endnote w:type="continuationSeparator" w:id="0">
    <w:p w14:paraId="2CBBC58D" w14:textId="77777777" w:rsidR="00965F09" w:rsidRDefault="00965F09">
      <w:r>
        <w:continuationSeparator/>
      </w:r>
    </w:p>
    <w:p w14:paraId="3A968EAF" w14:textId="77777777" w:rsidR="00965F09" w:rsidRDefault="00965F09"/>
    <w:p w14:paraId="3CECAEF5" w14:textId="77777777" w:rsidR="00965F09" w:rsidRDefault="00965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3697" w14:textId="77777777" w:rsidR="00792C0C" w:rsidRDefault="00792C0C"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F1EF" w14:textId="77777777" w:rsidR="00792C0C" w:rsidRDefault="00792C0C" w:rsidP="00B378A2">
    <w:pPr>
      <w:pStyle w:val="VLAdivision"/>
    </w:pPr>
    <w:r>
      <w:t>Community Legal Centres Program – 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CB3C" w14:textId="77777777" w:rsidR="00792C0C" w:rsidRPr="00C97428" w:rsidRDefault="00792C0C"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E9E4" w14:textId="77777777" w:rsidR="00792C0C" w:rsidRDefault="00792C0C" w:rsidP="00674E45">
    <w:pPr>
      <w:pStyle w:val="Filename"/>
      <w:pBdr>
        <w:top w:val="single" w:sz="4" w:space="1" w:color="971A4B"/>
      </w:pBdr>
      <w:tabs>
        <w:tab w:val="clear" w:pos="9240"/>
      </w:tabs>
    </w:pPr>
    <w:r>
      <w:t>Victoria Legal Aid – Community Legal Services Program Reform Project Options Paper– August 2017</w:t>
    </w:r>
  </w:p>
  <w:p w14:paraId="3F759703" w14:textId="145016D2" w:rsidR="00792C0C" w:rsidRPr="002B4970" w:rsidRDefault="00792C0C"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173AB">
      <w:rPr>
        <w:rStyle w:val="PageNumber"/>
        <w:noProof/>
      </w:rPr>
      <w:t>27</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3A37D" w14:textId="77777777" w:rsidR="00792C0C" w:rsidRDefault="00792C0C" w:rsidP="00674E45">
    <w:pPr>
      <w:pStyle w:val="Filename"/>
      <w:pBdr>
        <w:top w:val="single" w:sz="4" w:space="1" w:color="971A4B"/>
      </w:pBdr>
      <w:tabs>
        <w:tab w:val="clear" w:pos="9240"/>
      </w:tabs>
    </w:pPr>
    <w:r>
      <w:t>Victoria Legal Aid –Community Legal Services Program Reform Project Options Paper – August 2017</w:t>
    </w:r>
  </w:p>
  <w:p w14:paraId="1433AB95" w14:textId="00AFAA7D" w:rsidR="00792C0C" w:rsidRPr="002B4970" w:rsidRDefault="00792C0C"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173AB">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DB001" w14:textId="77777777" w:rsidR="00965F09" w:rsidRPr="00E9228F" w:rsidRDefault="00965F09" w:rsidP="00E9228F">
      <w:pPr>
        <w:rPr>
          <w:sz w:val="18"/>
          <w:szCs w:val="18"/>
        </w:rPr>
      </w:pPr>
      <w:r w:rsidRPr="006831FC">
        <w:rPr>
          <w:sz w:val="18"/>
        </w:rPr>
        <w:separator/>
      </w:r>
    </w:p>
  </w:footnote>
  <w:footnote w:type="continuationSeparator" w:id="0">
    <w:p w14:paraId="3D246904" w14:textId="77777777" w:rsidR="00965F09" w:rsidRDefault="00965F09">
      <w:r>
        <w:continuationSeparator/>
      </w:r>
    </w:p>
    <w:p w14:paraId="38DD89C2" w14:textId="77777777" w:rsidR="00965F09" w:rsidRDefault="00965F09"/>
    <w:p w14:paraId="25FAA002" w14:textId="77777777" w:rsidR="00965F09" w:rsidRDefault="00965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83E7" w14:textId="77777777" w:rsidR="00792C0C" w:rsidRDefault="00965F09">
    <w:pPr>
      <w:pStyle w:val="Header"/>
    </w:pPr>
    <w:r>
      <w:rPr>
        <w:noProof/>
      </w:rPr>
      <w:pict w14:anchorId="6D89A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85.5pt;height:56.25pt;rotation:315;z-index:-251658752;mso-position-horizontal:center;mso-position-horizontal-relative:margin;mso-position-vertical:center;mso-position-vertical-relative:margin" o:allowincell="f" fillcolor="silver" stroked="f">
          <v:fill opacity=".5"/>
          <v:textpath style="font-family:&quot;Arial Narrow&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52397" w14:textId="77777777" w:rsidR="00792C0C" w:rsidRPr="009F7B2D" w:rsidRDefault="00792C0C" w:rsidP="004E0688">
    <w:pPr>
      <w:pStyle w:val="Header"/>
      <w:jc w:val="right"/>
    </w:pPr>
    <w:r>
      <w:rPr>
        <w:noProof/>
        <w:lang w:eastAsia="en-AU"/>
      </w:rPr>
      <w:drawing>
        <wp:inline distT="0" distB="0" distL="0" distR="0" wp14:anchorId="53DD0211" wp14:editId="60A5191F">
          <wp:extent cx="1806575" cy="1445260"/>
          <wp:effectExtent l="0" t="0" r="3175" b="2540"/>
          <wp:docPr id="6" name="Picture 6"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70270" w14:textId="77777777" w:rsidR="00792C0C" w:rsidRDefault="00792C0C" w:rsidP="006E2882">
    <w:pPr>
      <w:spacing w:before="400"/>
      <w:jc w:val="right"/>
    </w:pPr>
    <w:r>
      <w:rPr>
        <w:noProof/>
        <w:lang w:eastAsia="en-AU"/>
      </w:rPr>
      <w:drawing>
        <wp:inline distT="0" distB="0" distL="0" distR="0" wp14:anchorId="38C19706" wp14:editId="75CB9612">
          <wp:extent cx="2691765" cy="427990"/>
          <wp:effectExtent l="0" t="0" r="0" b="0"/>
          <wp:docPr id="7" name="Picture 7"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6AB3" w14:textId="77777777" w:rsidR="00792C0C" w:rsidRPr="009F7B2D" w:rsidRDefault="00792C0C"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DB579" w14:textId="77777777" w:rsidR="00792C0C" w:rsidRPr="00D355D8" w:rsidRDefault="00792C0C" w:rsidP="00D355D8">
    <w:pPr>
      <w:pStyle w:val="Header"/>
      <w:pBdr>
        <w:bottom w:val="single" w:sz="4" w:space="1" w:color="971A4B"/>
      </w:pBd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2045D" w14:textId="77777777" w:rsidR="00792C0C" w:rsidRDefault="00792C0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256C" w14:textId="77777777" w:rsidR="00792C0C" w:rsidRPr="00665568" w:rsidRDefault="00792C0C"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F63E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008B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9402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0253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2BADC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6974F87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456320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72A9D"/>
    <w:multiLevelType w:val="hybridMultilevel"/>
    <w:tmpl w:val="0540A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9" w15:restartNumberingAfterBreak="0">
    <w:nsid w:val="216E3E38"/>
    <w:multiLevelType w:val="hybridMultilevel"/>
    <w:tmpl w:val="5D6C7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1"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87531ED"/>
    <w:multiLevelType w:val="hybridMultilevel"/>
    <w:tmpl w:val="3B50E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1F14935"/>
    <w:multiLevelType w:val="hybridMultilevel"/>
    <w:tmpl w:val="79A2C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19"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0" w15:restartNumberingAfterBreak="0">
    <w:nsid w:val="680C7403"/>
    <w:multiLevelType w:val="hybridMultilevel"/>
    <w:tmpl w:val="3D2082D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729C1A51"/>
    <w:multiLevelType w:val="hybridMultilevel"/>
    <w:tmpl w:val="7B1AF878"/>
    <w:lvl w:ilvl="0" w:tplc="A3B617E6">
      <w:start w:val="1"/>
      <w:numFmt w:val="decimal"/>
      <w:lvlText w:val="%1."/>
      <w:lvlJc w:val="left"/>
      <w:pPr>
        <w:tabs>
          <w:tab w:val="num" w:pos="720"/>
        </w:tabs>
        <w:ind w:left="720" w:hanging="360"/>
      </w:pPr>
    </w:lvl>
    <w:lvl w:ilvl="1" w:tplc="3CD8769A" w:tentative="1">
      <w:start w:val="1"/>
      <w:numFmt w:val="decimal"/>
      <w:lvlText w:val="%2."/>
      <w:lvlJc w:val="left"/>
      <w:pPr>
        <w:tabs>
          <w:tab w:val="num" w:pos="1440"/>
        </w:tabs>
        <w:ind w:left="1440" w:hanging="360"/>
      </w:pPr>
    </w:lvl>
    <w:lvl w:ilvl="2" w:tplc="68C02B74" w:tentative="1">
      <w:start w:val="1"/>
      <w:numFmt w:val="decimal"/>
      <w:lvlText w:val="%3."/>
      <w:lvlJc w:val="left"/>
      <w:pPr>
        <w:tabs>
          <w:tab w:val="num" w:pos="2160"/>
        </w:tabs>
        <w:ind w:left="2160" w:hanging="360"/>
      </w:pPr>
    </w:lvl>
    <w:lvl w:ilvl="3" w:tplc="6E042222" w:tentative="1">
      <w:start w:val="1"/>
      <w:numFmt w:val="decimal"/>
      <w:lvlText w:val="%4."/>
      <w:lvlJc w:val="left"/>
      <w:pPr>
        <w:tabs>
          <w:tab w:val="num" w:pos="2880"/>
        </w:tabs>
        <w:ind w:left="2880" w:hanging="360"/>
      </w:pPr>
    </w:lvl>
    <w:lvl w:ilvl="4" w:tplc="CB2049EA" w:tentative="1">
      <w:start w:val="1"/>
      <w:numFmt w:val="decimal"/>
      <w:lvlText w:val="%5."/>
      <w:lvlJc w:val="left"/>
      <w:pPr>
        <w:tabs>
          <w:tab w:val="num" w:pos="3600"/>
        </w:tabs>
        <w:ind w:left="3600" w:hanging="360"/>
      </w:pPr>
    </w:lvl>
    <w:lvl w:ilvl="5" w:tplc="26FABB6E" w:tentative="1">
      <w:start w:val="1"/>
      <w:numFmt w:val="decimal"/>
      <w:lvlText w:val="%6."/>
      <w:lvlJc w:val="left"/>
      <w:pPr>
        <w:tabs>
          <w:tab w:val="num" w:pos="4320"/>
        </w:tabs>
        <w:ind w:left="4320" w:hanging="360"/>
      </w:pPr>
    </w:lvl>
    <w:lvl w:ilvl="6" w:tplc="12FE1D98" w:tentative="1">
      <w:start w:val="1"/>
      <w:numFmt w:val="decimal"/>
      <w:lvlText w:val="%7."/>
      <w:lvlJc w:val="left"/>
      <w:pPr>
        <w:tabs>
          <w:tab w:val="num" w:pos="5040"/>
        </w:tabs>
        <w:ind w:left="5040" w:hanging="360"/>
      </w:pPr>
    </w:lvl>
    <w:lvl w:ilvl="7" w:tplc="C4884FE4" w:tentative="1">
      <w:start w:val="1"/>
      <w:numFmt w:val="decimal"/>
      <w:lvlText w:val="%8."/>
      <w:lvlJc w:val="left"/>
      <w:pPr>
        <w:tabs>
          <w:tab w:val="num" w:pos="5760"/>
        </w:tabs>
        <w:ind w:left="5760" w:hanging="360"/>
      </w:pPr>
    </w:lvl>
    <w:lvl w:ilvl="8" w:tplc="33500074" w:tentative="1">
      <w:start w:val="1"/>
      <w:numFmt w:val="decimal"/>
      <w:lvlText w:val="%9."/>
      <w:lvlJc w:val="left"/>
      <w:pPr>
        <w:tabs>
          <w:tab w:val="num" w:pos="6480"/>
        </w:tabs>
        <w:ind w:left="6480" w:hanging="360"/>
      </w:pPr>
    </w:lvl>
  </w:abstractNum>
  <w:abstractNum w:abstractNumId="22" w15:restartNumberingAfterBreak="0">
    <w:nsid w:val="78495AED"/>
    <w:multiLevelType w:val="hybridMultilevel"/>
    <w:tmpl w:val="03DA0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4" w15:restartNumberingAfterBreak="0">
    <w:nsid w:val="7A0D0BC3"/>
    <w:multiLevelType w:val="hybridMultilevel"/>
    <w:tmpl w:val="EC5C05B2"/>
    <w:lvl w:ilvl="0" w:tplc="F154E02A">
      <w:start w:val="1"/>
      <w:numFmt w:val="bullet"/>
      <w:lvlText w:val="•"/>
      <w:lvlJc w:val="left"/>
      <w:pPr>
        <w:tabs>
          <w:tab w:val="num" w:pos="720"/>
        </w:tabs>
        <w:ind w:left="720" w:hanging="360"/>
      </w:pPr>
      <w:rPr>
        <w:rFonts w:ascii="Arial" w:hAnsi="Arial" w:hint="default"/>
      </w:rPr>
    </w:lvl>
    <w:lvl w:ilvl="1" w:tplc="6712B1E6">
      <w:start w:val="1"/>
      <w:numFmt w:val="bullet"/>
      <w:lvlText w:val="•"/>
      <w:lvlJc w:val="left"/>
      <w:pPr>
        <w:tabs>
          <w:tab w:val="num" w:pos="1440"/>
        </w:tabs>
        <w:ind w:left="1440" w:hanging="360"/>
      </w:pPr>
      <w:rPr>
        <w:rFonts w:ascii="Arial" w:hAnsi="Arial" w:hint="default"/>
      </w:rPr>
    </w:lvl>
    <w:lvl w:ilvl="2" w:tplc="60E821AA" w:tentative="1">
      <w:start w:val="1"/>
      <w:numFmt w:val="bullet"/>
      <w:lvlText w:val="•"/>
      <w:lvlJc w:val="left"/>
      <w:pPr>
        <w:tabs>
          <w:tab w:val="num" w:pos="2160"/>
        </w:tabs>
        <w:ind w:left="2160" w:hanging="360"/>
      </w:pPr>
      <w:rPr>
        <w:rFonts w:ascii="Arial" w:hAnsi="Arial" w:hint="default"/>
      </w:rPr>
    </w:lvl>
    <w:lvl w:ilvl="3" w:tplc="D7A2F1A6" w:tentative="1">
      <w:start w:val="1"/>
      <w:numFmt w:val="bullet"/>
      <w:lvlText w:val="•"/>
      <w:lvlJc w:val="left"/>
      <w:pPr>
        <w:tabs>
          <w:tab w:val="num" w:pos="2880"/>
        </w:tabs>
        <w:ind w:left="2880" w:hanging="360"/>
      </w:pPr>
      <w:rPr>
        <w:rFonts w:ascii="Arial" w:hAnsi="Arial" w:hint="default"/>
      </w:rPr>
    </w:lvl>
    <w:lvl w:ilvl="4" w:tplc="34D64D8C" w:tentative="1">
      <w:start w:val="1"/>
      <w:numFmt w:val="bullet"/>
      <w:lvlText w:val="•"/>
      <w:lvlJc w:val="left"/>
      <w:pPr>
        <w:tabs>
          <w:tab w:val="num" w:pos="3600"/>
        </w:tabs>
        <w:ind w:left="3600" w:hanging="360"/>
      </w:pPr>
      <w:rPr>
        <w:rFonts w:ascii="Arial" w:hAnsi="Arial" w:hint="default"/>
      </w:rPr>
    </w:lvl>
    <w:lvl w:ilvl="5" w:tplc="862E099A" w:tentative="1">
      <w:start w:val="1"/>
      <w:numFmt w:val="bullet"/>
      <w:lvlText w:val="•"/>
      <w:lvlJc w:val="left"/>
      <w:pPr>
        <w:tabs>
          <w:tab w:val="num" w:pos="4320"/>
        </w:tabs>
        <w:ind w:left="4320" w:hanging="360"/>
      </w:pPr>
      <w:rPr>
        <w:rFonts w:ascii="Arial" w:hAnsi="Arial" w:hint="default"/>
      </w:rPr>
    </w:lvl>
    <w:lvl w:ilvl="6" w:tplc="AC525DB6" w:tentative="1">
      <w:start w:val="1"/>
      <w:numFmt w:val="bullet"/>
      <w:lvlText w:val="•"/>
      <w:lvlJc w:val="left"/>
      <w:pPr>
        <w:tabs>
          <w:tab w:val="num" w:pos="5040"/>
        </w:tabs>
        <w:ind w:left="5040" w:hanging="360"/>
      </w:pPr>
      <w:rPr>
        <w:rFonts w:ascii="Arial" w:hAnsi="Arial" w:hint="default"/>
      </w:rPr>
    </w:lvl>
    <w:lvl w:ilvl="7" w:tplc="7D70ADA8" w:tentative="1">
      <w:start w:val="1"/>
      <w:numFmt w:val="bullet"/>
      <w:lvlText w:val="•"/>
      <w:lvlJc w:val="left"/>
      <w:pPr>
        <w:tabs>
          <w:tab w:val="num" w:pos="5760"/>
        </w:tabs>
        <w:ind w:left="5760" w:hanging="360"/>
      </w:pPr>
      <w:rPr>
        <w:rFonts w:ascii="Arial" w:hAnsi="Arial" w:hint="default"/>
      </w:rPr>
    </w:lvl>
    <w:lvl w:ilvl="8" w:tplc="94A40442"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1"/>
  </w:num>
  <w:num w:numId="3">
    <w:abstractNumId w:val="17"/>
  </w:num>
  <w:num w:numId="4">
    <w:abstractNumId w:val="15"/>
  </w:num>
  <w:num w:numId="5">
    <w:abstractNumId w:val="2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9"/>
  </w:num>
  <w:num w:numId="16">
    <w:abstractNumId w:val="7"/>
  </w:num>
  <w:num w:numId="17">
    <w:abstractNumId w:val="16"/>
  </w:num>
  <w:num w:numId="18">
    <w:abstractNumId w:val="11"/>
  </w:num>
  <w:num w:numId="19">
    <w:abstractNumId w:val="4"/>
  </w:num>
  <w:num w:numId="20">
    <w:abstractNumId w:val="5"/>
  </w:num>
  <w:num w:numId="21">
    <w:abstractNumId w:val="3"/>
  </w:num>
  <w:num w:numId="22">
    <w:abstractNumId w:val="2"/>
  </w:num>
  <w:num w:numId="23">
    <w:abstractNumId w:val="1"/>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AU" w:vendorID="64" w:dllVersion="0" w:nlCheck="1" w:checkStyle="0"/>
  <w:activeWritingStyle w:appName="MSWord" w:lang="en-US" w:vendorID="64" w:dllVersion="0" w:nlCheck="1" w:checkStyle="1"/>
  <w:activeWritingStyle w:appName="MSWord" w:lang="en-GB" w:vendorID="64" w:dllVersion="0" w:nlCheck="1" w:checkStyle="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DA"/>
    <w:rsid w:val="00005175"/>
    <w:rsid w:val="00007914"/>
    <w:rsid w:val="00012881"/>
    <w:rsid w:val="000155A6"/>
    <w:rsid w:val="00022C70"/>
    <w:rsid w:val="00022C83"/>
    <w:rsid w:val="00022F62"/>
    <w:rsid w:val="000240FD"/>
    <w:rsid w:val="000257F4"/>
    <w:rsid w:val="00032AF3"/>
    <w:rsid w:val="00034D51"/>
    <w:rsid w:val="00037357"/>
    <w:rsid w:val="000450AC"/>
    <w:rsid w:val="0005492F"/>
    <w:rsid w:val="00055B69"/>
    <w:rsid w:val="000560DE"/>
    <w:rsid w:val="00056D16"/>
    <w:rsid w:val="000579AC"/>
    <w:rsid w:val="000610FC"/>
    <w:rsid w:val="00061235"/>
    <w:rsid w:val="00061609"/>
    <w:rsid w:val="00062699"/>
    <w:rsid w:val="00064B2A"/>
    <w:rsid w:val="00067F35"/>
    <w:rsid w:val="000708AD"/>
    <w:rsid w:val="0007720B"/>
    <w:rsid w:val="0007759F"/>
    <w:rsid w:val="00080B9C"/>
    <w:rsid w:val="00083740"/>
    <w:rsid w:val="00084C6C"/>
    <w:rsid w:val="00085DC6"/>
    <w:rsid w:val="000A05FB"/>
    <w:rsid w:val="000A5051"/>
    <w:rsid w:val="000A711A"/>
    <w:rsid w:val="000B02D8"/>
    <w:rsid w:val="000B0AB6"/>
    <w:rsid w:val="000B278C"/>
    <w:rsid w:val="000B3766"/>
    <w:rsid w:val="000B3A9F"/>
    <w:rsid w:val="000B6048"/>
    <w:rsid w:val="000C0B84"/>
    <w:rsid w:val="000C3898"/>
    <w:rsid w:val="000D41D7"/>
    <w:rsid w:val="000D4F97"/>
    <w:rsid w:val="000D51D7"/>
    <w:rsid w:val="000D63B1"/>
    <w:rsid w:val="000E4B9B"/>
    <w:rsid w:val="000E7142"/>
    <w:rsid w:val="00101CBD"/>
    <w:rsid w:val="001042A4"/>
    <w:rsid w:val="00107D90"/>
    <w:rsid w:val="001148B4"/>
    <w:rsid w:val="00114C38"/>
    <w:rsid w:val="00114EE2"/>
    <w:rsid w:val="0011555A"/>
    <w:rsid w:val="0011572E"/>
    <w:rsid w:val="001249FE"/>
    <w:rsid w:val="00130286"/>
    <w:rsid w:val="00137909"/>
    <w:rsid w:val="00140F1B"/>
    <w:rsid w:val="0014270F"/>
    <w:rsid w:val="001479F2"/>
    <w:rsid w:val="00152BF4"/>
    <w:rsid w:val="0015565C"/>
    <w:rsid w:val="00156D25"/>
    <w:rsid w:val="00164B85"/>
    <w:rsid w:val="001676F0"/>
    <w:rsid w:val="00175D56"/>
    <w:rsid w:val="00181F21"/>
    <w:rsid w:val="00193845"/>
    <w:rsid w:val="001A17AA"/>
    <w:rsid w:val="001B0F3E"/>
    <w:rsid w:val="001B270D"/>
    <w:rsid w:val="001B3E51"/>
    <w:rsid w:val="001C272F"/>
    <w:rsid w:val="001C4BC6"/>
    <w:rsid w:val="001D220F"/>
    <w:rsid w:val="001D4E68"/>
    <w:rsid w:val="001D6FFE"/>
    <w:rsid w:val="001E0A52"/>
    <w:rsid w:val="001E2CF8"/>
    <w:rsid w:val="001E30A9"/>
    <w:rsid w:val="001E5143"/>
    <w:rsid w:val="001E730B"/>
    <w:rsid w:val="001F2EC2"/>
    <w:rsid w:val="001F5717"/>
    <w:rsid w:val="001F6FFA"/>
    <w:rsid w:val="001F7353"/>
    <w:rsid w:val="0020250C"/>
    <w:rsid w:val="00204002"/>
    <w:rsid w:val="0021585A"/>
    <w:rsid w:val="002228E1"/>
    <w:rsid w:val="00241904"/>
    <w:rsid w:val="002435C9"/>
    <w:rsid w:val="002475E9"/>
    <w:rsid w:val="00250B2F"/>
    <w:rsid w:val="002547DC"/>
    <w:rsid w:val="00254C4F"/>
    <w:rsid w:val="002574E0"/>
    <w:rsid w:val="00262D02"/>
    <w:rsid w:val="0026649B"/>
    <w:rsid w:val="002769FB"/>
    <w:rsid w:val="00285AD4"/>
    <w:rsid w:val="00290B35"/>
    <w:rsid w:val="00294136"/>
    <w:rsid w:val="0029727E"/>
    <w:rsid w:val="002A3D1D"/>
    <w:rsid w:val="002A7402"/>
    <w:rsid w:val="002A7F0B"/>
    <w:rsid w:val="002B052F"/>
    <w:rsid w:val="002B11E4"/>
    <w:rsid w:val="002B4279"/>
    <w:rsid w:val="002B4970"/>
    <w:rsid w:val="002D1D38"/>
    <w:rsid w:val="002D5B04"/>
    <w:rsid w:val="002E1724"/>
    <w:rsid w:val="002E64B6"/>
    <w:rsid w:val="002F2109"/>
    <w:rsid w:val="002F3181"/>
    <w:rsid w:val="002F6145"/>
    <w:rsid w:val="0030591D"/>
    <w:rsid w:val="00307C02"/>
    <w:rsid w:val="00310AB6"/>
    <w:rsid w:val="003273B6"/>
    <w:rsid w:val="00332048"/>
    <w:rsid w:val="00333F26"/>
    <w:rsid w:val="00334546"/>
    <w:rsid w:val="0034204B"/>
    <w:rsid w:val="00343DAA"/>
    <w:rsid w:val="00354A85"/>
    <w:rsid w:val="0036511B"/>
    <w:rsid w:val="00371282"/>
    <w:rsid w:val="00372327"/>
    <w:rsid w:val="00376112"/>
    <w:rsid w:val="003775EB"/>
    <w:rsid w:val="00377DB6"/>
    <w:rsid w:val="00383710"/>
    <w:rsid w:val="00384660"/>
    <w:rsid w:val="00392CC4"/>
    <w:rsid w:val="00394801"/>
    <w:rsid w:val="003962AF"/>
    <w:rsid w:val="003A2302"/>
    <w:rsid w:val="003A35BD"/>
    <w:rsid w:val="003A5726"/>
    <w:rsid w:val="003B6366"/>
    <w:rsid w:val="003C05C1"/>
    <w:rsid w:val="003C25F3"/>
    <w:rsid w:val="003C7A7F"/>
    <w:rsid w:val="003D2C88"/>
    <w:rsid w:val="003E17D1"/>
    <w:rsid w:val="003E31D1"/>
    <w:rsid w:val="003E409C"/>
    <w:rsid w:val="003E5D82"/>
    <w:rsid w:val="003F1C1E"/>
    <w:rsid w:val="003F2E25"/>
    <w:rsid w:val="003F36B1"/>
    <w:rsid w:val="003F48A9"/>
    <w:rsid w:val="003F55A5"/>
    <w:rsid w:val="003F6005"/>
    <w:rsid w:val="004019C4"/>
    <w:rsid w:val="00404C31"/>
    <w:rsid w:val="00410633"/>
    <w:rsid w:val="0041181E"/>
    <w:rsid w:val="00416BD4"/>
    <w:rsid w:val="00421773"/>
    <w:rsid w:val="00422E9C"/>
    <w:rsid w:val="00423C73"/>
    <w:rsid w:val="00423CC7"/>
    <w:rsid w:val="00423DE6"/>
    <w:rsid w:val="00431FA6"/>
    <w:rsid w:val="004340D8"/>
    <w:rsid w:val="004365C6"/>
    <w:rsid w:val="00441E77"/>
    <w:rsid w:val="00442DBC"/>
    <w:rsid w:val="004478C7"/>
    <w:rsid w:val="00452BCA"/>
    <w:rsid w:val="0045435F"/>
    <w:rsid w:val="0046074A"/>
    <w:rsid w:val="00461265"/>
    <w:rsid w:val="00461AE2"/>
    <w:rsid w:val="00462633"/>
    <w:rsid w:val="00462BA5"/>
    <w:rsid w:val="00462C13"/>
    <w:rsid w:val="00463047"/>
    <w:rsid w:val="004637BC"/>
    <w:rsid w:val="0046417A"/>
    <w:rsid w:val="0046548B"/>
    <w:rsid w:val="0047066E"/>
    <w:rsid w:val="00471E5F"/>
    <w:rsid w:val="00471FFC"/>
    <w:rsid w:val="00473CF2"/>
    <w:rsid w:val="00476047"/>
    <w:rsid w:val="00480038"/>
    <w:rsid w:val="0048037C"/>
    <w:rsid w:val="00481371"/>
    <w:rsid w:val="00481B6E"/>
    <w:rsid w:val="00486EDD"/>
    <w:rsid w:val="00493B23"/>
    <w:rsid w:val="00495490"/>
    <w:rsid w:val="00496242"/>
    <w:rsid w:val="004A382A"/>
    <w:rsid w:val="004A5F6C"/>
    <w:rsid w:val="004B0398"/>
    <w:rsid w:val="004B12B4"/>
    <w:rsid w:val="004D3B12"/>
    <w:rsid w:val="004E0688"/>
    <w:rsid w:val="004E2C5B"/>
    <w:rsid w:val="004E37E8"/>
    <w:rsid w:val="004E3D17"/>
    <w:rsid w:val="004E511B"/>
    <w:rsid w:val="004F1880"/>
    <w:rsid w:val="004F2CD9"/>
    <w:rsid w:val="004F50A4"/>
    <w:rsid w:val="00501ABF"/>
    <w:rsid w:val="00513557"/>
    <w:rsid w:val="0051548C"/>
    <w:rsid w:val="00516064"/>
    <w:rsid w:val="00520FB3"/>
    <w:rsid w:val="00521801"/>
    <w:rsid w:val="00522AD8"/>
    <w:rsid w:val="005272D5"/>
    <w:rsid w:val="00527F4B"/>
    <w:rsid w:val="005314CA"/>
    <w:rsid w:val="005375A4"/>
    <w:rsid w:val="00542834"/>
    <w:rsid w:val="00543E46"/>
    <w:rsid w:val="00544900"/>
    <w:rsid w:val="0054738D"/>
    <w:rsid w:val="0056148F"/>
    <w:rsid w:val="00570DD8"/>
    <w:rsid w:val="005728ED"/>
    <w:rsid w:val="005731B6"/>
    <w:rsid w:val="00575BE3"/>
    <w:rsid w:val="0058426F"/>
    <w:rsid w:val="005931CE"/>
    <w:rsid w:val="005950D2"/>
    <w:rsid w:val="005A01BE"/>
    <w:rsid w:val="005A192D"/>
    <w:rsid w:val="005A2BA8"/>
    <w:rsid w:val="005A5B9C"/>
    <w:rsid w:val="005A7D2F"/>
    <w:rsid w:val="005A7F72"/>
    <w:rsid w:val="005B2676"/>
    <w:rsid w:val="005B4BAD"/>
    <w:rsid w:val="005B7B60"/>
    <w:rsid w:val="005C2E73"/>
    <w:rsid w:val="005C7544"/>
    <w:rsid w:val="005D103A"/>
    <w:rsid w:val="005D1354"/>
    <w:rsid w:val="005E248A"/>
    <w:rsid w:val="005E3CA0"/>
    <w:rsid w:val="005E47FE"/>
    <w:rsid w:val="005F193F"/>
    <w:rsid w:val="005F355D"/>
    <w:rsid w:val="005F4D36"/>
    <w:rsid w:val="005F7D8E"/>
    <w:rsid w:val="0060449D"/>
    <w:rsid w:val="00604558"/>
    <w:rsid w:val="00605C95"/>
    <w:rsid w:val="00605E0E"/>
    <w:rsid w:val="00607A4E"/>
    <w:rsid w:val="00611815"/>
    <w:rsid w:val="006260BB"/>
    <w:rsid w:val="006264FB"/>
    <w:rsid w:val="00627A6C"/>
    <w:rsid w:val="00635091"/>
    <w:rsid w:val="00635188"/>
    <w:rsid w:val="00636C54"/>
    <w:rsid w:val="00640994"/>
    <w:rsid w:val="00644CA1"/>
    <w:rsid w:val="00650712"/>
    <w:rsid w:val="00650F90"/>
    <w:rsid w:val="00653753"/>
    <w:rsid w:val="00653D29"/>
    <w:rsid w:val="00653DD4"/>
    <w:rsid w:val="00657BC3"/>
    <w:rsid w:val="0066180F"/>
    <w:rsid w:val="00665568"/>
    <w:rsid w:val="00665EEA"/>
    <w:rsid w:val="00672953"/>
    <w:rsid w:val="0067340A"/>
    <w:rsid w:val="00674E45"/>
    <w:rsid w:val="00675BF8"/>
    <w:rsid w:val="006819A3"/>
    <w:rsid w:val="006831FC"/>
    <w:rsid w:val="00683F81"/>
    <w:rsid w:val="00684E98"/>
    <w:rsid w:val="00687244"/>
    <w:rsid w:val="00687605"/>
    <w:rsid w:val="00687C36"/>
    <w:rsid w:val="00693FE1"/>
    <w:rsid w:val="00694B81"/>
    <w:rsid w:val="006A5F7D"/>
    <w:rsid w:val="006A69EF"/>
    <w:rsid w:val="006A74BA"/>
    <w:rsid w:val="006B081F"/>
    <w:rsid w:val="006B2384"/>
    <w:rsid w:val="006B2E39"/>
    <w:rsid w:val="006B47DD"/>
    <w:rsid w:val="006B7DD2"/>
    <w:rsid w:val="006C2041"/>
    <w:rsid w:val="006C3D4C"/>
    <w:rsid w:val="006C4CA7"/>
    <w:rsid w:val="006D25FA"/>
    <w:rsid w:val="006D4062"/>
    <w:rsid w:val="006E2882"/>
    <w:rsid w:val="006E2AD6"/>
    <w:rsid w:val="006E2FA2"/>
    <w:rsid w:val="006E3195"/>
    <w:rsid w:val="006E4E08"/>
    <w:rsid w:val="006F23BC"/>
    <w:rsid w:val="006F439C"/>
    <w:rsid w:val="006F5A52"/>
    <w:rsid w:val="006F6FAA"/>
    <w:rsid w:val="007027D5"/>
    <w:rsid w:val="0070349B"/>
    <w:rsid w:val="00703A2C"/>
    <w:rsid w:val="0071324F"/>
    <w:rsid w:val="00714771"/>
    <w:rsid w:val="007151C8"/>
    <w:rsid w:val="00716188"/>
    <w:rsid w:val="007173AB"/>
    <w:rsid w:val="00717887"/>
    <w:rsid w:val="0072015C"/>
    <w:rsid w:val="00720AE7"/>
    <w:rsid w:val="00721563"/>
    <w:rsid w:val="00733602"/>
    <w:rsid w:val="00736267"/>
    <w:rsid w:val="0073766E"/>
    <w:rsid w:val="00737719"/>
    <w:rsid w:val="00747074"/>
    <w:rsid w:val="0075285A"/>
    <w:rsid w:val="007550FB"/>
    <w:rsid w:val="00756788"/>
    <w:rsid w:val="00760556"/>
    <w:rsid w:val="00761BE1"/>
    <w:rsid w:val="00762FBE"/>
    <w:rsid w:val="007718DA"/>
    <w:rsid w:val="00771BA2"/>
    <w:rsid w:val="00774F94"/>
    <w:rsid w:val="007767BD"/>
    <w:rsid w:val="0078022B"/>
    <w:rsid w:val="00783185"/>
    <w:rsid w:val="00783689"/>
    <w:rsid w:val="00792C0C"/>
    <w:rsid w:val="007933F4"/>
    <w:rsid w:val="0079665C"/>
    <w:rsid w:val="007966A5"/>
    <w:rsid w:val="007A5FC3"/>
    <w:rsid w:val="007C05C3"/>
    <w:rsid w:val="007C1D34"/>
    <w:rsid w:val="007C3502"/>
    <w:rsid w:val="007D08B2"/>
    <w:rsid w:val="007E4CB8"/>
    <w:rsid w:val="007E54F6"/>
    <w:rsid w:val="007F52A9"/>
    <w:rsid w:val="007F7A68"/>
    <w:rsid w:val="00800301"/>
    <w:rsid w:val="00805675"/>
    <w:rsid w:val="00821512"/>
    <w:rsid w:val="00824D05"/>
    <w:rsid w:val="00826EB9"/>
    <w:rsid w:val="0083009F"/>
    <w:rsid w:val="00835928"/>
    <w:rsid w:val="00835DCC"/>
    <w:rsid w:val="008377A1"/>
    <w:rsid w:val="008425B2"/>
    <w:rsid w:val="008450E7"/>
    <w:rsid w:val="00845268"/>
    <w:rsid w:val="00850401"/>
    <w:rsid w:val="00853BDA"/>
    <w:rsid w:val="00854997"/>
    <w:rsid w:val="00855D9B"/>
    <w:rsid w:val="0085710F"/>
    <w:rsid w:val="008636CA"/>
    <w:rsid w:val="00885238"/>
    <w:rsid w:val="008857DE"/>
    <w:rsid w:val="00887BA4"/>
    <w:rsid w:val="008A1396"/>
    <w:rsid w:val="008B6507"/>
    <w:rsid w:val="008B6EEB"/>
    <w:rsid w:val="008C072E"/>
    <w:rsid w:val="008C4B50"/>
    <w:rsid w:val="008C4E01"/>
    <w:rsid w:val="008C5E92"/>
    <w:rsid w:val="008C72D0"/>
    <w:rsid w:val="008D58D4"/>
    <w:rsid w:val="008F1F0B"/>
    <w:rsid w:val="008F2771"/>
    <w:rsid w:val="008F36EC"/>
    <w:rsid w:val="008F726E"/>
    <w:rsid w:val="00911151"/>
    <w:rsid w:val="009118C9"/>
    <w:rsid w:val="0091527F"/>
    <w:rsid w:val="0091712D"/>
    <w:rsid w:val="0091770D"/>
    <w:rsid w:val="00917DE9"/>
    <w:rsid w:val="0092404C"/>
    <w:rsid w:val="00925672"/>
    <w:rsid w:val="0093361D"/>
    <w:rsid w:val="00935E71"/>
    <w:rsid w:val="00944965"/>
    <w:rsid w:val="00945E43"/>
    <w:rsid w:val="00946548"/>
    <w:rsid w:val="00953ADC"/>
    <w:rsid w:val="0095636C"/>
    <w:rsid w:val="009642AF"/>
    <w:rsid w:val="009644AF"/>
    <w:rsid w:val="0096512D"/>
    <w:rsid w:val="009655A0"/>
    <w:rsid w:val="00965F09"/>
    <w:rsid w:val="009833B3"/>
    <w:rsid w:val="009922E5"/>
    <w:rsid w:val="00994D13"/>
    <w:rsid w:val="009A12A2"/>
    <w:rsid w:val="009A163E"/>
    <w:rsid w:val="009A227B"/>
    <w:rsid w:val="009A23DB"/>
    <w:rsid w:val="009A2930"/>
    <w:rsid w:val="009C0556"/>
    <w:rsid w:val="009C1230"/>
    <w:rsid w:val="009C12DD"/>
    <w:rsid w:val="009D3968"/>
    <w:rsid w:val="009D6663"/>
    <w:rsid w:val="009D76AD"/>
    <w:rsid w:val="009D7CC0"/>
    <w:rsid w:val="009E5B44"/>
    <w:rsid w:val="009F0905"/>
    <w:rsid w:val="009F2795"/>
    <w:rsid w:val="009F2F9E"/>
    <w:rsid w:val="009F2FA6"/>
    <w:rsid w:val="009F7A4E"/>
    <w:rsid w:val="009F7A60"/>
    <w:rsid w:val="00A0284E"/>
    <w:rsid w:val="00A05370"/>
    <w:rsid w:val="00A061EE"/>
    <w:rsid w:val="00A1675E"/>
    <w:rsid w:val="00A171DA"/>
    <w:rsid w:val="00A22F18"/>
    <w:rsid w:val="00A23E8B"/>
    <w:rsid w:val="00A25235"/>
    <w:rsid w:val="00A27413"/>
    <w:rsid w:val="00A275B3"/>
    <w:rsid w:val="00A30C8A"/>
    <w:rsid w:val="00A33C80"/>
    <w:rsid w:val="00A438BD"/>
    <w:rsid w:val="00A44661"/>
    <w:rsid w:val="00A448DA"/>
    <w:rsid w:val="00A551BE"/>
    <w:rsid w:val="00A55F67"/>
    <w:rsid w:val="00A6249E"/>
    <w:rsid w:val="00A63371"/>
    <w:rsid w:val="00A66786"/>
    <w:rsid w:val="00A6782A"/>
    <w:rsid w:val="00A7087F"/>
    <w:rsid w:val="00A710AA"/>
    <w:rsid w:val="00A712DE"/>
    <w:rsid w:val="00A74B66"/>
    <w:rsid w:val="00A7595D"/>
    <w:rsid w:val="00A80FFC"/>
    <w:rsid w:val="00A82893"/>
    <w:rsid w:val="00A82BCA"/>
    <w:rsid w:val="00A83310"/>
    <w:rsid w:val="00A940C0"/>
    <w:rsid w:val="00A94752"/>
    <w:rsid w:val="00A9498E"/>
    <w:rsid w:val="00A960DE"/>
    <w:rsid w:val="00AA13B7"/>
    <w:rsid w:val="00AA2CCE"/>
    <w:rsid w:val="00AA5335"/>
    <w:rsid w:val="00AA6848"/>
    <w:rsid w:val="00AB2933"/>
    <w:rsid w:val="00AB430D"/>
    <w:rsid w:val="00AB6BFF"/>
    <w:rsid w:val="00AC27A1"/>
    <w:rsid w:val="00AC2B72"/>
    <w:rsid w:val="00AC464A"/>
    <w:rsid w:val="00AD160B"/>
    <w:rsid w:val="00AD694E"/>
    <w:rsid w:val="00AE146B"/>
    <w:rsid w:val="00AE4060"/>
    <w:rsid w:val="00AE6CEE"/>
    <w:rsid w:val="00AF0B6D"/>
    <w:rsid w:val="00AF56AB"/>
    <w:rsid w:val="00AF5D4C"/>
    <w:rsid w:val="00B0000B"/>
    <w:rsid w:val="00B01519"/>
    <w:rsid w:val="00B07747"/>
    <w:rsid w:val="00B10A7F"/>
    <w:rsid w:val="00B12AA1"/>
    <w:rsid w:val="00B1619F"/>
    <w:rsid w:val="00B22672"/>
    <w:rsid w:val="00B23F19"/>
    <w:rsid w:val="00B25486"/>
    <w:rsid w:val="00B3060C"/>
    <w:rsid w:val="00B3125C"/>
    <w:rsid w:val="00B378A2"/>
    <w:rsid w:val="00B37955"/>
    <w:rsid w:val="00B41378"/>
    <w:rsid w:val="00B52C70"/>
    <w:rsid w:val="00B56F07"/>
    <w:rsid w:val="00B57AB7"/>
    <w:rsid w:val="00B60A4B"/>
    <w:rsid w:val="00B61348"/>
    <w:rsid w:val="00B647BB"/>
    <w:rsid w:val="00B6684A"/>
    <w:rsid w:val="00B70E99"/>
    <w:rsid w:val="00B728AE"/>
    <w:rsid w:val="00B9248C"/>
    <w:rsid w:val="00B92895"/>
    <w:rsid w:val="00B93DDD"/>
    <w:rsid w:val="00B97EFB"/>
    <w:rsid w:val="00B97EFF"/>
    <w:rsid w:val="00BA6D49"/>
    <w:rsid w:val="00BB1351"/>
    <w:rsid w:val="00BC42BB"/>
    <w:rsid w:val="00BC4D4B"/>
    <w:rsid w:val="00BD1123"/>
    <w:rsid w:val="00BD76D6"/>
    <w:rsid w:val="00BE0E09"/>
    <w:rsid w:val="00BE0E40"/>
    <w:rsid w:val="00BE63A6"/>
    <w:rsid w:val="00BE7E1D"/>
    <w:rsid w:val="00BE7FD7"/>
    <w:rsid w:val="00BF073A"/>
    <w:rsid w:val="00BF1BDA"/>
    <w:rsid w:val="00BF2778"/>
    <w:rsid w:val="00BF5420"/>
    <w:rsid w:val="00C01D35"/>
    <w:rsid w:val="00C06AF7"/>
    <w:rsid w:val="00C11727"/>
    <w:rsid w:val="00C148F9"/>
    <w:rsid w:val="00C16A13"/>
    <w:rsid w:val="00C171FB"/>
    <w:rsid w:val="00C20338"/>
    <w:rsid w:val="00C22FC4"/>
    <w:rsid w:val="00C27D47"/>
    <w:rsid w:val="00C315B6"/>
    <w:rsid w:val="00C3201C"/>
    <w:rsid w:val="00C349DD"/>
    <w:rsid w:val="00C4614D"/>
    <w:rsid w:val="00C524C0"/>
    <w:rsid w:val="00C548E9"/>
    <w:rsid w:val="00C564C2"/>
    <w:rsid w:val="00C568E5"/>
    <w:rsid w:val="00C578A3"/>
    <w:rsid w:val="00C627F5"/>
    <w:rsid w:val="00C65FAC"/>
    <w:rsid w:val="00C67A13"/>
    <w:rsid w:val="00C70818"/>
    <w:rsid w:val="00C73694"/>
    <w:rsid w:val="00C74806"/>
    <w:rsid w:val="00C76ACB"/>
    <w:rsid w:val="00C85061"/>
    <w:rsid w:val="00C8537B"/>
    <w:rsid w:val="00C915FE"/>
    <w:rsid w:val="00C96789"/>
    <w:rsid w:val="00CA4F9B"/>
    <w:rsid w:val="00CA5BC6"/>
    <w:rsid w:val="00CA6D36"/>
    <w:rsid w:val="00CA7422"/>
    <w:rsid w:val="00CB20EA"/>
    <w:rsid w:val="00CB46B8"/>
    <w:rsid w:val="00CB5042"/>
    <w:rsid w:val="00CB6506"/>
    <w:rsid w:val="00CC0C03"/>
    <w:rsid w:val="00CC25EC"/>
    <w:rsid w:val="00CC77B0"/>
    <w:rsid w:val="00CD4D58"/>
    <w:rsid w:val="00CE1116"/>
    <w:rsid w:val="00CE23CD"/>
    <w:rsid w:val="00CE29C1"/>
    <w:rsid w:val="00CE4C2F"/>
    <w:rsid w:val="00CE52ED"/>
    <w:rsid w:val="00CE6C67"/>
    <w:rsid w:val="00CF1809"/>
    <w:rsid w:val="00CF7865"/>
    <w:rsid w:val="00D02B68"/>
    <w:rsid w:val="00D12792"/>
    <w:rsid w:val="00D2112B"/>
    <w:rsid w:val="00D26373"/>
    <w:rsid w:val="00D3008A"/>
    <w:rsid w:val="00D30105"/>
    <w:rsid w:val="00D355D8"/>
    <w:rsid w:val="00D42E2A"/>
    <w:rsid w:val="00D43920"/>
    <w:rsid w:val="00D439E8"/>
    <w:rsid w:val="00D43E78"/>
    <w:rsid w:val="00D47B4C"/>
    <w:rsid w:val="00D51B10"/>
    <w:rsid w:val="00D540C1"/>
    <w:rsid w:val="00D557D0"/>
    <w:rsid w:val="00D60A46"/>
    <w:rsid w:val="00D622EF"/>
    <w:rsid w:val="00D64351"/>
    <w:rsid w:val="00D64F22"/>
    <w:rsid w:val="00D66592"/>
    <w:rsid w:val="00D6760F"/>
    <w:rsid w:val="00D7143E"/>
    <w:rsid w:val="00D77FC5"/>
    <w:rsid w:val="00D867C7"/>
    <w:rsid w:val="00D86BA1"/>
    <w:rsid w:val="00D86C2C"/>
    <w:rsid w:val="00D87556"/>
    <w:rsid w:val="00D90DD6"/>
    <w:rsid w:val="00D917C3"/>
    <w:rsid w:val="00DA00A9"/>
    <w:rsid w:val="00DA3F04"/>
    <w:rsid w:val="00DA47FE"/>
    <w:rsid w:val="00DA7AB8"/>
    <w:rsid w:val="00DB3599"/>
    <w:rsid w:val="00DB51EF"/>
    <w:rsid w:val="00DB60C7"/>
    <w:rsid w:val="00DB7701"/>
    <w:rsid w:val="00DC0CAB"/>
    <w:rsid w:val="00DC12F9"/>
    <w:rsid w:val="00DC2052"/>
    <w:rsid w:val="00DC3C22"/>
    <w:rsid w:val="00DD40DB"/>
    <w:rsid w:val="00DD6C7D"/>
    <w:rsid w:val="00DD6DAD"/>
    <w:rsid w:val="00DD721D"/>
    <w:rsid w:val="00DE3E46"/>
    <w:rsid w:val="00DF3646"/>
    <w:rsid w:val="00DF4036"/>
    <w:rsid w:val="00E00F9A"/>
    <w:rsid w:val="00E068B2"/>
    <w:rsid w:val="00E12697"/>
    <w:rsid w:val="00E12E21"/>
    <w:rsid w:val="00E1488D"/>
    <w:rsid w:val="00E15C73"/>
    <w:rsid w:val="00E15F96"/>
    <w:rsid w:val="00E24A08"/>
    <w:rsid w:val="00E26E09"/>
    <w:rsid w:val="00E36631"/>
    <w:rsid w:val="00E36CAF"/>
    <w:rsid w:val="00E42BD1"/>
    <w:rsid w:val="00E61A54"/>
    <w:rsid w:val="00E72E37"/>
    <w:rsid w:val="00E73F11"/>
    <w:rsid w:val="00E778F0"/>
    <w:rsid w:val="00E9228F"/>
    <w:rsid w:val="00E94700"/>
    <w:rsid w:val="00E96F91"/>
    <w:rsid w:val="00EA1560"/>
    <w:rsid w:val="00EA60A5"/>
    <w:rsid w:val="00EB04CE"/>
    <w:rsid w:val="00EB1B22"/>
    <w:rsid w:val="00EB6B05"/>
    <w:rsid w:val="00EB7966"/>
    <w:rsid w:val="00EC6B29"/>
    <w:rsid w:val="00ED3EC6"/>
    <w:rsid w:val="00ED5FF7"/>
    <w:rsid w:val="00EE1259"/>
    <w:rsid w:val="00EE5DC2"/>
    <w:rsid w:val="00EF0EE1"/>
    <w:rsid w:val="00EF33CF"/>
    <w:rsid w:val="00EF537A"/>
    <w:rsid w:val="00EF7DDD"/>
    <w:rsid w:val="00F03063"/>
    <w:rsid w:val="00F116E5"/>
    <w:rsid w:val="00F125E0"/>
    <w:rsid w:val="00F244BF"/>
    <w:rsid w:val="00F2554F"/>
    <w:rsid w:val="00F25B9E"/>
    <w:rsid w:val="00F31F4C"/>
    <w:rsid w:val="00F320FD"/>
    <w:rsid w:val="00F33680"/>
    <w:rsid w:val="00F3505A"/>
    <w:rsid w:val="00F44C8C"/>
    <w:rsid w:val="00F46E9E"/>
    <w:rsid w:val="00F470AF"/>
    <w:rsid w:val="00F526FE"/>
    <w:rsid w:val="00F57097"/>
    <w:rsid w:val="00F61931"/>
    <w:rsid w:val="00F62267"/>
    <w:rsid w:val="00F63AA4"/>
    <w:rsid w:val="00F667C0"/>
    <w:rsid w:val="00F730C8"/>
    <w:rsid w:val="00F773E8"/>
    <w:rsid w:val="00F81B85"/>
    <w:rsid w:val="00F8263C"/>
    <w:rsid w:val="00F82AB6"/>
    <w:rsid w:val="00F8381F"/>
    <w:rsid w:val="00F83EC1"/>
    <w:rsid w:val="00F92EA5"/>
    <w:rsid w:val="00F9539A"/>
    <w:rsid w:val="00F96C67"/>
    <w:rsid w:val="00FA7A45"/>
    <w:rsid w:val="00FB2929"/>
    <w:rsid w:val="00FB7C15"/>
    <w:rsid w:val="00FC2237"/>
    <w:rsid w:val="00FC7073"/>
    <w:rsid w:val="00FE24F9"/>
    <w:rsid w:val="00FF36F6"/>
    <w:rsid w:val="00FF3C89"/>
    <w:rsid w:val="00FF4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955A93"/>
  <w15:chartTrackingRefBased/>
  <w15:docId w15:val="{943123B4-86D3-4687-9CCD-AEF39CC2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A7F0B"/>
    <w:pPr>
      <w:numPr>
        <w:numId w:val="2"/>
      </w:numPr>
      <w:spacing w:after="120" w:line="300" w:lineRule="atLeast"/>
    </w:pPr>
    <w:rPr>
      <w:rFonts w:ascii="Arial" w:hAnsi="Arial"/>
      <w:sz w:val="22"/>
      <w:szCs w:val="24"/>
      <w:lang w:eastAsia="en-US"/>
    </w:rPr>
  </w:style>
  <w:style w:type="paragraph" w:styleId="ListBullet2">
    <w:name w:val="List Bullet 2"/>
    <w:rsid w:val="002A7F0B"/>
    <w:pPr>
      <w:numPr>
        <w:ilvl w:val="1"/>
        <w:numId w:val="3"/>
      </w:numPr>
      <w:spacing w:after="120" w:line="300" w:lineRule="atLeast"/>
    </w:pPr>
    <w:rPr>
      <w:rFonts w:ascii="Arial" w:hAnsi="Arial"/>
      <w:sz w:val="22"/>
      <w:szCs w:val="24"/>
      <w:lang w:eastAsia="en-US"/>
    </w:rPr>
  </w:style>
  <w:style w:type="paragraph" w:styleId="ListBullet3">
    <w:name w:val="List Bullet 3"/>
    <w:rsid w:val="002A7F0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2A7F0B"/>
    <w:pPr>
      <w:numPr>
        <w:numId w:val="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uiPriority w:val="39"/>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character" w:styleId="PlaceholderText">
    <w:name w:val="Placeholder Text"/>
    <w:basedOn w:val="DefaultParagraphFont"/>
    <w:uiPriority w:val="99"/>
    <w:semiHidden/>
    <w:rsid w:val="007718DA"/>
    <w:rPr>
      <w:color w:val="808080"/>
    </w:rPr>
  </w:style>
  <w:style w:type="character" w:customStyle="1" w:styleId="FootnoteTextChar">
    <w:name w:val="Footnote Text Char"/>
    <w:basedOn w:val="DefaultParagraphFont"/>
    <w:link w:val="FootnoteText"/>
    <w:rsid w:val="002547DC"/>
    <w:rPr>
      <w:rFonts w:ascii="Arial" w:hAnsi="Arial"/>
      <w:sz w:val="18"/>
      <w:lang w:eastAsia="en-US"/>
    </w:rPr>
  </w:style>
  <w:style w:type="paragraph" w:styleId="ListParagraph">
    <w:name w:val="List Paragraph"/>
    <w:basedOn w:val="Normal"/>
    <w:uiPriority w:val="34"/>
    <w:qFormat/>
    <w:rsid w:val="002547DC"/>
    <w:pPr>
      <w:spacing w:after="160" w:line="259" w:lineRule="auto"/>
      <w:ind w:left="720"/>
      <w:contextualSpacing/>
    </w:pPr>
    <w:rPr>
      <w:rFonts w:asciiTheme="minorHAnsi" w:eastAsiaTheme="minorHAnsi" w:hAnsiTheme="minorHAnsi" w:cstheme="minorBidi"/>
      <w:szCs w:val="22"/>
    </w:rPr>
  </w:style>
  <w:style w:type="paragraph" w:styleId="List">
    <w:name w:val="List"/>
    <w:basedOn w:val="Normal"/>
    <w:rsid w:val="005C7544"/>
    <w:pPr>
      <w:ind w:left="283" w:hanging="283"/>
      <w:contextualSpacing/>
    </w:pPr>
  </w:style>
  <w:style w:type="character" w:styleId="CommentReference">
    <w:name w:val="annotation reference"/>
    <w:basedOn w:val="DefaultParagraphFont"/>
    <w:rsid w:val="00471E5F"/>
    <w:rPr>
      <w:sz w:val="16"/>
      <w:szCs w:val="16"/>
    </w:rPr>
  </w:style>
  <w:style w:type="paragraph" w:styleId="CommentText">
    <w:name w:val="annotation text"/>
    <w:basedOn w:val="Normal"/>
    <w:link w:val="CommentTextChar"/>
    <w:rsid w:val="00471E5F"/>
    <w:pPr>
      <w:spacing w:line="240" w:lineRule="auto"/>
    </w:pPr>
    <w:rPr>
      <w:sz w:val="20"/>
      <w:szCs w:val="20"/>
    </w:rPr>
  </w:style>
  <w:style w:type="character" w:customStyle="1" w:styleId="CommentTextChar">
    <w:name w:val="Comment Text Char"/>
    <w:basedOn w:val="DefaultParagraphFont"/>
    <w:link w:val="CommentText"/>
    <w:rsid w:val="00471E5F"/>
    <w:rPr>
      <w:rFonts w:ascii="Arial" w:hAnsi="Arial"/>
      <w:lang w:eastAsia="en-US"/>
    </w:rPr>
  </w:style>
  <w:style w:type="paragraph" w:styleId="CommentSubject">
    <w:name w:val="annotation subject"/>
    <w:basedOn w:val="CommentText"/>
    <w:next w:val="CommentText"/>
    <w:link w:val="CommentSubjectChar"/>
    <w:rsid w:val="00471E5F"/>
    <w:rPr>
      <w:b/>
      <w:bCs/>
    </w:rPr>
  </w:style>
  <w:style w:type="character" w:customStyle="1" w:styleId="CommentSubjectChar">
    <w:name w:val="Comment Subject Char"/>
    <w:basedOn w:val="CommentTextChar"/>
    <w:link w:val="CommentSubject"/>
    <w:rsid w:val="00471E5F"/>
    <w:rPr>
      <w:rFonts w:ascii="Arial" w:hAnsi="Arial"/>
      <w:b/>
      <w:bCs/>
      <w:lang w:eastAsia="en-US"/>
    </w:rPr>
  </w:style>
  <w:style w:type="paragraph" w:styleId="BalloonText">
    <w:name w:val="Balloon Text"/>
    <w:basedOn w:val="Normal"/>
    <w:link w:val="BalloonTextChar"/>
    <w:semiHidden/>
    <w:unhideWhenUsed/>
    <w:rsid w:val="00471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71E5F"/>
    <w:rPr>
      <w:rFonts w:ascii="Segoe UI" w:hAnsi="Segoe UI" w:cs="Segoe UI"/>
      <w:sz w:val="18"/>
      <w:szCs w:val="18"/>
      <w:lang w:eastAsia="en-US"/>
    </w:rPr>
  </w:style>
  <w:style w:type="character" w:styleId="FollowedHyperlink">
    <w:name w:val="FollowedHyperlink"/>
    <w:basedOn w:val="DefaultParagraphFont"/>
    <w:rsid w:val="005C2E73"/>
    <w:rPr>
      <w:color w:val="954F72" w:themeColor="followedHyperlink"/>
      <w:u w:val="single"/>
    </w:rPr>
  </w:style>
  <w:style w:type="paragraph" w:styleId="ListContinue">
    <w:name w:val="List Continue"/>
    <w:basedOn w:val="Normal"/>
    <w:rsid w:val="00BF2778"/>
    <w:pPr>
      <w:ind w:left="283"/>
      <w:contextualSpacing/>
    </w:pPr>
  </w:style>
  <w:style w:type="paragraph" w:customStyle="1" w:styleId="VLADocumentText">
    <w:name w:val="VLA Document Text"/>
    <w:rsid w:val="00BF2778"/>
    <w:pPr>
      <w:spacing w:after="120" w:line="300" w:lineRule="atLeast"/>
    </w:pPr>
    <w:rPr>
      <w:rFonts w:ascii="Arial" w:hAnsi="Arial"/>
      <w:sz w:val="22"/>
      <w:szCs w:val="24"/>
      <w:lang w:eastAsia="en-US"/>
    </w:rPr>
  </w:style>
  <w:style w:type="paragraph" w:styleId="Revision">
    <w:name w:val="Revision"/>
    <w:hidden/>
    <w:uiPriority w:val="99"/>
    <w:semiHidden/>
    <w:rsid w:val="00EA60A5"/>
    <w:rPr>
      <w:rFonts w:ascii="Arial" w:hAnsi="Arial"/>
      <w:sz w:val="22"/>
      <w:szCs w:val="24"/>
      <w:lang w:eastAsia="en-US"/>
    </w:rPr>
  </w:style>
  <w:style w:type="character" w:styleId="Mention">
    <w:name w:val="Mention"/>
    <w:basedOn w:val="DefaultParagraphFont"/>
    <w:uiPriority w:val="99"/>
    <w:semiHidden/>
    <w:unhideWhenUsed/>
    <w:rsid w:val="00F81B85"/>
    <w:rPr>
      <w:color w:val="2B579A"/>
      <w:shd w:val="clear" w:color="auto" w:fill="E6E6E6"/>
    </w:rPr>
  </w:style>
  <w:style w:type="paragraph" w:styleId="ListNumber2">
    <w:name w:val="List Number 2"/>
    <w:basedOn w:val="Normal"/>
    <w:rsid w:val="00290B35"/>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clspreform@vla.vic.gov.au" TargetMode="External"/><Relationship Id="rId26" Type="http://schemas.openxmlformats.org/officeDocument/2006/relationships/hyperlink" Target="http://www.legalaid.vic.gov.au/clsp" TargetMode="External"/><Relationship Id="rId3" Type="http://schemas.openxmlformats.org/officeDocument/2006/relationships/styles" Target="styles.xml"/><Relationship Id="rId21" Type="http://schemas.openxmlformats.org/officeDocument/2006/relationships/hyperlink" Target="mailto:clspreform@vla.vic.gov.au"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alaid.vic.gov.au/clsp" TargetMode="External"/><Relationship Id="rId25" Type="http://schemas.openxmlformats.org/officeDocument/2006/relationships/image" Target="media/image4.png"/><Relationship Id="rId33" Type="http://schemas.openxmlformats.org/officeDocument/2006/relationships/hyperlink" Target="http://www.legalaid.vic.gov.au/cls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yammer.com" TargetMode="External"/><Relationship Id="rId29" Type="http://schemas.openxmlformats.org/officeDocument/2006/relationships/hyperlink" Target="http://www.lawfoundation.net.au/ljf/app/&amp;id=D76E53BB842CB7B1CA257D7B000D51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audit.vic.gov.au/records-management-checklist" TargetMode="External"/><Relationship Id="rId32" Type="http://schemas.openxmlformats.org/officeDocument/2006/relationships/hyperlink" Target="http://www.legalaid.vic.gov.au/cls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alaid.vic.gov.au/clsp" TargetMode="External"/><Relationship Id="rId28" Type="http://schemas.openxmlformats.org/officeDocument/2006/relationships/hyperlink" Target="http://www.pc.gov.au/inquiries/completed/access-justice/report"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clspreform@vla.vic.gov.au" TargetMode="External"/><Relationship Id="rId31" Type="http://schemas.openxmlformats.org/officeDocument/2006/relationships/hyperlink" Target="http://consumeraction.org.au/wp-content/uploads/2012/04/Reclaiming-community-legal-centre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yperlink" Target="https://engage.vic.gov.au/accesstojustice" TargetMode="External"/><Relationship Id="rId30" Type="http://schemas.openxmlformats.org/officeDocument/2006/relationships/hyperlink" Target="https://www.victorialawfoundation.org.au/sites/default/files/attachments/2015_web_CLCReport_final.pdf" TargetMode="External"/><Relationship Id="rId35"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35B2-5C00-45B1-91CE-2DD95B61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8898</Words>
  <Characters>50724</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Community Legal Services Program Reform Project</vt:lpstr>
    </vt:vector>
  </TitlesOfParts>
  <Company>Victoria Legal Aid</Company>
  <LinksUpToDate>false</LinksUpToDate>
  <CharactersWithSpaces>59503</CharactersWithSpaces>
  <SharedDoc>false</SharedDoc>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Legal Services Program Reform Project</dc:title>
  <dc:subject/>
  <dc:creator>Roy Reekie and Annie Nash</dc:creator>
  <cp:keywords/>
  <dc:description/>
  <cp:lastModifiedBy/>
  <cp:revision>1</cp:revision>
  <dcterms:created xsi:type="dcterms:W3CDTF">2021-04-29T23:27:00Z</dcterms:created>
  <dcterms:modified xsi:type="dcterms:W3CDTF">2021-04-29T23:27:00Z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Date completed">
    <vt:lpwstr>August 2017</vt:lpwstr>
  </op:property>
  <op:property fmtid="{D5CDD505-2E9C-101B-9397-08002B2CF9AE}" pid="4" name="_MarkAsFinal">
    <vt:bool>true</vt:bool>
  </op:property>
</op:Properties>
</file>