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5BB24" w14:textId="69B3E5B8" w:rsidR="0047677D" w:rsidRPr="00B7374D" w:rsidRDefault="0047677D" w:rsidP="0047677D">
      <w:pPr>
        <w:pStyle w:val="Heading1"/>
      </w:pPr>
      <w:r>
        <w:t xml:space="preserve">Victoria Legal Aid </w:t>
      </w:r>
      <w:r w:rsidRPr="00F03770">
        <w:t>2016–17</w:t>
      </w:r>
      <w:r>
        <w:t xml:space="preserve"> </w:t>
      </w:r>
      <w:r w:rsidR="009A43AD">
        <w:t>end year</w:t>
      </w:r>
      <w:r>
        <w:t xml:space="preserve"> report</w:t>
      </w:r>
    </w:p>
    <w:p w14:paraId="04B93C4F" w14:textId="23C8E67D" w:rsidR="0047677D" w:rsidRDefault="0047677D" w:rsidP="0047677D">
      <w:r>
        <w:t xml:space="preserve">This report provides a snapshot of </w:t>
      </w:r>
      <w:r w:rsidR="009A43AD">
        <w:t xml:space="preserve">our full year </w:t>
      </w:r>
      <w:r w:rsidR="004A6148">
        <w:t xml:space="preserve">of </w:t>
      </w:r>
      <w:r>
        <w:t>operations in 2016–17.</w:t>
      </w:r>
    </w:p>
    <w:p w14:paraId="34D491D0" w14:textId="77777777" w:rsidR="0047677D" w:rsidRDefault="0047677D" w:rsidP="0047677D">
      <w:pPr>
        <w:pStyle w:val="Heading2"/>
      </w:pPr>
      <w:r>
        <w:t xml:space="preserve">Snapshot of service delivery   </w:t>
      </w:r>
    </w:p>
    <w:p w14:paraId="59EA969A" w14:textId="219F39F3" w:rsidR="0047677D" w:rsidRDefault="009A43AD" w:rsidP="0047677D">
      <w:r>
        <w:t xml:space="preserve">In 2016–17, </w:t>
      </w:r>
      <w:r w:rsidR="0047677D">
        <w:t xml:space="preserve">we </w:t>
      </w:r>
      <w:r w:rsidR="00FA3904">
        <w:t xml:space="preserve">delivered more services and helped more </w:t>
      </w:r>
      <w:r w:rsidR="004A6148">
        <w:t>people</w:t>
      </w:r>
      <w:r w:rsidR="00FA3904">
        <w:t xml:space="preserve"> experiencing disadvantage.</w:t>
      </w:r>
      <w:r w:rsidR="000A5C64">
        <w:t xml:space="preserve"> </w:t>
      </w:r>
    </w:p>
    <w:tbl>
      <w:tblPr>
        <w:tblStyle w:val="TableGrid"/>
        <w:tblW w:w="5000" w:type="pct"/>
        <w:tblLook w:val="04A0" w:firstRow="1" w:lastRow="0" w:firstColumn="1" w:lastColumn="0" w:noHBand="0" w:noVBand="1"/>
      </w:tblPr>
      <w:tblGrid>
        <w:gridCol w:w="5664"/>
        <w:gridCol w:w="1560"/>
        <w:gridCol w:w="1717"/>
        <w:gridCol w:w="1135"/>
      </w:tblGrid>
      <w:tr w:rsidR="0047677D" w:rsidRPr="0047677D" w14:paraId="7375E310" w14:textId="77777777" w:rsidTr="001D0AC3">
        <w:trPr>
          <w:tblHeader/>
        </w:trPr>
        <w:tc>
          <w:tcPr>
            <w:tcW w:w="2811" w:type="pct"/>
            <w:shd w:val="clear" w:color="auto" w:fill="D9D9D9" w:themeFill="background1" w:themeFillShade="D9"/>
          </w:tcPr>
          <w:p w14:paraId="17A07B13" w14:textId="77777777" w:rsidR="0047677D" w:rsidRPr="0047677D" w:rsidRDefault="0047677D" w:rsidP="0047677D">
            <w:pPr>
              <w:rPr>
                <w:b/>
              </w:rPr>
            </w:pPr>
            <w:r w:rsidRPr="0047677D">
              <w:rPr>
                <w:b/>
              </w:rPr>
              <w:t>Clients</w:t>
            </w:r>
            <w:r w:rsidR="001D0AC3">
              <w:rPr>
                <w:b/>
              </w:rPr>
              <w:t xml:space="preserve"> as at</w:t>
            </w:r>
          </w:p>
        </w:tc>
        <w:tc>
          <w:tcPr>
            <w:tcW w:w="774" w:type="pct"/>
            <w:shd w:val="clear" w:color="auto" w:fill="D9D9D9" w:themeFill="background1" w:themeFillShade="D9"/>
          </w:tcPr>
          <w:p w14:paraId="029E3550" w14:textId="549D77AF" w:rsidR="0047677D" w:rsidRPr="0047677D" w:rsidRDefault="0085624B" w:rsidP="0047677D">
            <w:pPr>
              <w:rPr>
                <w:b/>
              </w:rPr>
            </w:pPr>
            <w:r>
              <w:rPr>
                <w:b/>
              </w:rPr>
              <w:t>2016–17</w:t>
            </w:r>
          </w:p>
        </w:tc>
        <w:tc>
          <w:tcPr>
            <w:tcW w:w="852" w:type="pct"/>
            <w:shd w:val="clear" w:color="auto" w:fill="D9D9D9" w:themeFill="background1" w:themeFillShade="D9"/>
          </w:tcPr>
          <w:p w14:paraId="0A6FF464" w14:textId="4DC06377" w:rsidR="0047677D" w:rsidRPr="0047677D" w:rsidRDefault="0085624B" w:rsidP="0047677D">
            <w:pPr>
              <w:rPr>
                <w:b/>
              </w:rPr>
            </w:pPr>
            <w:r>
              <w:rPr>
                <w:b/>
              </w:rPr>
              <w:t>2015–16</w:t>
            </w:r>
          </w:p>
        </w:tc>
        <w:tc>
          <w:tcPr>
            <w:tcW w:w="563" w:type="pct"/>
            <w:shd w:val="clear" w:color="auto" w:fill="D9D9D9" w:themeFill="background1" w:themeFillShade="D9"/>
          </w:tcPr>
          <w:p w14:paraId="03FF47E6" w14:textId="77777777" w:rsidR="0047677D" w:rsidRPr="0047677D" w:rsidRDefault="0047677D" w:rsidP="0047677D">
            <w:pPr>
              <w:rPr>
                <w:b/>
              </w:rPr>
            </w:pPr>
            <w:r w:rsidRPr="0047677D">
              <w:rPr>
                <w:b/>
              </w:rPr>
              <w:t>Variance</w:t>
            </w:r>
          </w:p>
        </w:tc>
      </w:tr>
      <w:tr w:rsidR="0085624B" w14:paraId="3DFB3CBE" w14:textId="77777777" w:rsidTr="001D0AC3">
        <w:tc>
          <w:tcPr>
            <w:tcW w:w="2811" w:type="pct"/>
          </w:tcPr>
          <w:p w14:paraId="0C94C751" w14:textId="77777777" w:rsidR="0085624B" w:rsidRDefault="0085624B" w:rsidP="0085624B">
            <w:r>
              <w:t>Unique clients</w:t>
            </w:r>
          </w:p>
        </w:tc>
        <w:tc>
          <w:tcPr>
            <w:tcW w:w="774" w:type="pct"/>
          </w:tcPr>
          <w:p w14:paraId="42AF2D97" w14:textId="36CC9891" w:rsidR="0085624B" w:rsidRDefault="0085624B" w:rsidP="0085624B">
            <w:r w:rsidRPr="0075674E">
              <w:t>90,649</w:t>
            </w:r>
          </w:p>
        </w:tc>
        <w:tc>
          <w:tcPr>
            <w:tcW w:w="852" w:type="pct"/>
          </w:tcPr>
          <w:p w14:paraId="5574D86A" w14:textId="10F4531D" w:rsidR="0085624B" w:rsidRDefault="0085624B" w:rsidP="0085624B">
            <w:r w:rsidRPr="0075674E">
              <w:t>86,847</w:t>
            </w:r>
          </w:p>
        </w:tc>
        <w:tc>
          <w:tcPr>
            <w:tcW w:w="563" w:type="pct"/>
          </w:tcPr>
          <w:p w14:paraId="7E9F3D2F" w14:textId="18E5EBF3" w:rsidR="0085624B" w:rsidRDefault="0085624B" w:rsidP="0085624B">
            <w:r w:rsidRPr="0075674E">
              <w:t>4%</w:t>
            </w:r>
          </w:p>
        </w:tc>
      </w:tr>
      <w:tr w:rsidR="0085624B" w14:paraId="3DB5072A" w14:textId="77777777" w:rsidTr="001D0AC3">
        <w:tc>
          <w:tcPr>
            <w:tcW w:w="2811" w:type="pct"/>
          </w:tcPr>
          <w:p w14:paraId="6A562AD9" w14:textId="77777777" w:rsidR="0085624B" w:rsidRDefault="0085624B" w:rsidP="0085624B">
            <w:r>
              <w:t>Calls dealt with by our Legal Help telephone service</w:t>
            </w:r>
          </w:p>
        </w:tc>
        <w:tc>
          <w:tcPr>
            <w:tcW w:w="774" w:type="pct"/>
          </w:tcPr>
          <w:p w14:paraId="06B6C145" w14:textId="185BC084" w:rsidR="0085624B" w:rsidRDefault="0085624B" w:rsidP="0085624B">
            <w:r w:rsidRPr="00637457">
              <w:t>125,512</w:t>
            </w:r>
          </w:p>
        </w:tc>
        <w:tc>
          <w:tcPr>
            <w:tcW w:w="852" w:type="pct"/>
          </w:tcPr>
          <w:p w14:paraId="2C211FE7" w14:textId="64494464" w:rsidR="0085624B" w:rsidRDefault="0085624B" w:rsidP="0085624B">
            <w:r w:rsidRPr="00637457">
              <w:t>111,504</w:t>
            </w:r>
          </w:p>
        </w:tc>
        <w:tc>
          <w:tcPr>
            <w:tcW w:w="563" w:type="pct"/>
          </w:tcPr>
          <w:p w14:paraId="0DD19E5D" w14:textId="292C8896" w:rsidR="0085624B" w:rsidRDefault="0085624B" w:rsidP="0085624B">
            <w:r w:rsidRPr="00637457">
              <w:t>13%</w:t>
            </w:r>
          </w:p>
        </w:tc>
      </w:tr>
      <w:tr w:rsidR="00074127" w:rsidRPr="0047677D" w14:paraId="541D6AA7" w14:textId="77777777" w:rsidTr="001D0AC3">
        <w:trPr>
          <w:tblHeader/>
        </w:trPr>
        <w:tc>
          <w:tcPr>
            <w:tcW w:w="2811" w:type="pct"/>
            <w:shd w:val="clear" w:color="auto" w:fill="D9D9D9" w:themeFill="background1" w:themeFillShade="D9"/>
          </w:tcPr>
          <w:p w14:paraId="64E0A4A2" w14:textId="77777777" w:rsidR="00074127" w:rsidRPr="0047677D" w:rsidRDefault="00074127" w:rsidP="00074127">
            <w:pPr>
              <w:rPr>
                <w:b/>
              </w:rPr>
            </w:pPr>
            <w:r>
              <w:rPr>
                <w:b/>
              </w:rPr>
              <w:t>Preventative and early intervention services</w:t>
            </w:r>
          </w:p>
        </w:tc>
        <w:tc>
          <w:tcPr>
            <w:tcW w:w="774" w:type="pct"/>
            <w:shd w:val="clear" w:color="auto" w:fill="D9D9D9" w:themeFill="background1" w:themeFillShade="D9"/>
          </w:tcPr>
          <w:p w14:paraId="1918B48B" w14:textId="1DB41F97" w:rsidR="00074127" w:rsidRPr="0047677D" w:rsidRDefault="00074127" w:rsidP="00074127">
            <w:pPr>
              <w:rPr>
                <w:b/>
              </w:rPr>
            </w:pPr>
            <w:r>
              <w:rPr>
                <w:b/>
              </w:rPr>
              <w:t>2016–17</w:t>
            </w:r>
          </w:p>
        </w:tc>
        <w:tc>
          <w:tcPr>
            <w:tcW w:w="852" w:type="pct"/>
            <w:shd w:val="clear" w:color="auto" w:fill="D9D9D9" w:themeFill="background1" w:themeFillShade="D9"/>
          </w:tcPr>
          <w:p w14:paraId="63D2FC3B" w14:textId="2822F699" w:rsidR="00074127" w:rsidRPr="0047677D" w:rsidRDefault="00074127" w:rsidP="00074127">
            <w:pPr>
              <w:rPr>
                <w:b/>
              </w:rPr>
            </w:pPr>
            <w:r>
              <w:rPr>
                <w:b/>
              </w:rPr>
              <w:t>2015–16</w:t>
            </w:r>
          </w:p>
        </w:tc>
        <w:tc>
          <w:tcPr>
            <w:tcW w:w="563" w:type="pct"/>
            <w:shd w:val="clear" w:color="auto" w:fill="D9D9D9" w:themeFill="background1" w:themeFillShade="D9"/>
          </w:tcPr>
          <w:p w14:paraId="30234511" w14:textId="21C90827" w:rsidR="00074127" w:rsidRPr="0047677D" w:rsidRDefault="00074127" w:rsidP="00074127">
            <w:pPr>
              <w:rPr>
                <w:b/>
              </w:rPr>
            </w:pPr>
            <w:r w:rsidRPr="0047677D">
              <w:rPr>
                <w:b/>
              </w:rPr>
              <w:t>Variance</w:t>
            </w:r>
          </w:p>
        </w:tc>
      </w:tr>
      <w:tr w:rsidR="0085624B" w14:paraId="1EDBD405" w14:textId="77777777" w:rsidTr="001D0AC3">
        <w:tc>
          <w:tcPr>
            <w:tcW w:w="2811" w:type="pct"/>
          </w:tcPr>
          <w:p w14:paraId="07915B78" w14:textId="77777777" w:rsidR="0085624B" w:rsidRDefault="0085624B" w:rsidP="0085624B">
            <w:r>
              <w:t>Calls to our Legal Help telephone service</w:t>
            </w:r>
          </w:p>
        </w:tc>
        <w:tc>
          <w:tcPr>
            <w:tcW w:w="774" w:type="pct"/>
          </w:tcPr>
          <w:p w14:paraId="6E6EB30D" w14:textId="562DF163" w:rsidR="0085624B" w:rsidRDefault="0085624B" w:rsidP="0085624B">
            <w:r w:rsidRPr="00637457">
              <w:t>191,030</w:t>
            </w:r>
          </w:p>
        </w:tc>
        <w:tc>
          <w:tcPr>
            <w:tcW w:w="852" w:type="pct"/>
          </w:tcPr>
          <w:p w14:paraId="27D7FD39" w14:textId="769D80B3" w:rsidR="0085624B" w:rsidRDefault="0085624B" w:rsidP="0085624B">
            <w:r w:rsidRPr="00637457">
              <w:t>186,389</w:t>
            </w:r>
          </w:p>
        </w:tc>
        <w:tc>
          <w:tcPr>
            <w:tcW w:w="563" w:type="pct"/>
          </w:tcPr>
          <w:p w14:paraId="241A4528" w14:textId="4A6AB738" w:rsidR="0085624B" w:rsidRDefault="0085624B" w:rsidP="0085624B">
            <w:r w:rsidRPr="00637457">
              <w:t>2.5%</w:t>
            </w:r>
          </w:p>
        </w:tc>
      </w:tr>
      <w:tr w:rsidR="0047677D" w14:paraId="120E499F" w14:textId="77777777" w:rsidTr="001D0AC3">
        <w:tc>
          <w:tcPr>
            <w:tcW w:w="2811" w:type="pct"/>
          </w:tcPr>
          <w:p w14:paraId="7261780A" w14:textId="77777777" w:rsidR="0047677D" w:rsidRDefault="0047677D" w:rsidP="00A40CEB">
            <w:r>
              <w:t>Information and community legal education services</w:t>
            </w:r>
          </w:p>
        </w:tc>
        <w:tc>
          <w:tcPr>
            <w:tcW w:w="774" w:type="pct"/>
          </w:tcPr>
          <w:p w14:paraId="204708A0" w14:textId="216CD2B2" w:rsidR="0047677D" w:rsidRPr="00074127" w:rsidRDefault="00074127" w:rsidP="00A40CEB">
            <w:pPr>
              <w:rPr>
                <w:highlight w:val="yellow"/>
              </w:rPr>
            </w:pPr>
            <w:r>
              <w:t>129,260</w:t>
            </w:r>
          </w:p>
        </w:tc>
        <w:tc>
          <w:tcPr>
            <w:tcW w:w="852" w:type="pct"/>
          </w:tcPr>
          <w:p w14:paraId="6022B8AA" w14:textId="5FA27F3A" w:rsidR="0047677D" w:rsidRPr="00074127" w:rsidRDefault="00074127" w:rsidP="00A40CEB">
            <w:pPr>
              <w:rPr>
                <w:highlight w:val="yellow"/>
              </w:rPr>
            </w:pPr>
            <w:r w:rsidRPr="00396C80">
              <w:t>126,284</w:t>
            </w:r>
          </w:p>
        </w:tc>
        <w:tc>
          <w:tcPr>
            <w:tcW w:w="563" w:type="pct"/>
          </w:tcPr>
          <w:p w14:paraId="2F134A18" w14:textId="4DB1684D" w:rsidR="0047677D" w:rsidRPr="00074127" w:rsidRDefault="00074127" w:rsidP="00A40CEB">
            <w:pPr>
              <w:rPr>
                <w:highlight w:val="yellow"/>
              </w:rPr>
            </w:pPr>
            <w:r w:rsidRPr="00074127">
              <w:t>2%</w:t>
            </w:r>
            <w:r w:rsidR="002D0843" w:rsidRPr="00074127">
              <w:t xml:space="preserve"> </w:t>
            </w:r>
          </w:p>
        </w:tc>
      </w:tr>
      <w:tr w:rsidR="00074127" w14:paraId="1899190E" w14:textId="77777777" w:rsidTr="001D0AC3">
        <w:tc>
          <w:tcPr>
            <w:tcW w:w="2811" w:type="pct"/>
            <w:tcBorders>
              <w:bottom w:val="single" w:sz="4" w:space="0" w:color="auto"/>
            </w:tcBorders>
          </w:tcPr>
          <w:p w14:paraId="492B1681" w14:textId="77777777" w:rsidR="00074127" w:rsidRDefault="00074127" w:rsidP="00074127">
            <w:r>
              <w:t>Sessions on our website</w:t>
            </w:r>
          </w:p>
        </w:tc>
        <w:tc>
          <w:tcPr>
            <w:tcW w:w="774" w:type="pct"/>
            <w:tcBorders>
              <w:bottom w:val="single" w:sz="4" w:space="0" w:color="auto"/>
            </w:tcBorders>
          </w:tcPr>
          <w:p w14:paraId="150B201E" w14:textId="7E2969A9" w:rsidR="00074127" w:rsidRDefault="00074127" w:rsidP="00074127">
            <w:r w:rsidRPr="00C36B68">
              <w:t>2,034,706</w:t>
            </w:r>
          </w:p>
        </w:tc>
        <w:tc>
          <w:tcPr>
            <w:tcW w:w="852" w:type="pct"/>
            <w:tcBorders>
              <w:bottom w:val="single" w:sz="4" w:space="0" w:color="auto"/>
            </w:tcBorders>
          </w:tcPr>
          <w:p w14:paraId="66DBDCCA" w14:textId="1DD81506" w:rsidR="00074127" w:rsidRDefault="00074127" w:rsidP="00074127">
            <w:r w:rsidRPr="00FA1E5A">
              <w:t>1,760,227</w:t>
            </w:r>
          </w:p>
        </w:tc>
        <w:tc>
          <w:tcPr>
            <w:tcW w:w="563" w:type="pct"/>
            <w:tcBorders>
              <w:bottom w:val="single" w:sz="4" w:space="0" w:color="auto"/>
            </w:tcBorders>
          </w:tcPr>
          <w:p w14:paraId="1BB20C93" w14:textId="14AE33F0" w:rsidR="00074127" w:rsidRDefault="00074127" w:rsidP="00074127">
            <w:r>
              <w:t>16%</w:t>
            </w:r>
          </w:p>
        </w:tc>
      </w:tr>
      <w:tr w:rsidR="00074127" w:rsidRPr="0047677D" w14:paraId="7166F397" w14:textId="77777777" w:rsidTr="001D0AC3">
        <w:tc>
          <w:tcPr>
            <w:tcW w:w="2811" w:type="pct"/>
            <w:shd w:val="clear" w:color="auto" w:fill="D9D9D9" w:themeFill="background1" w:themeFillShade="D9"/>
          </w:tcPr>
          <w:p w14:paraId="4462E3A9" w14:textId="77777777" w:rsidR="00074127" w:rsidRPr="0047677D" w:rsidRDefault="00074127" w:rsidP="00074127">
            <w:pPr>
              <w:rPr>
                <w:b/>
              </w:rPr>
            </w:pPr>
            <w:r w:rsidRPr="0047677D">
              <w:rPr>
                <w:b/>
              </w:rPr>
              <w:t>Duty lawyer services</w:t>
            </w:r>
          </w:p>
        </w:tc>
        <w:tc>
          <w:tcPr>
            <w:tcW w:w="774" w:type="pct"/>
            <w:shd w:val="clear" w:color="auto" w:fill="D9D9D9" w:themeFill="background1" w:themeFillShade="D9"/>
          </w:tcPr>
          <w:p w14:paraId="20C49F5E" w14:textId="1498476F" w:rsidR="00074127" w:rsidRPr="0047677D" w:rsidRDefault="00074127" w:rsidP="00074127">
            <w:pPr>
              <w:rPr>
                <w:b/>
              </w:rPr>
            </w:pPr>
            <w:r>
              <w:rPr>
                <w:b/>
              </w:rPr>
              <w:t>2016–17</w:t>
            </w:r>
          </w:p>
        </w:tc>
        <w:tc>
          <w:tcPr>
            <w:tcW w:w="852" w:type="pct"/>
            <w:shd w:val="clear" w:color="auto" w:fill="D9D9D9" w:themeFill="background1" w:themeFillShade="D9"/>
          </w:tcPr>
          <w:p w14:paraId="32228BE0" w14:textId="61801DBA" w:rsidR="00074127" w:rsidRPr="0047677D" w:rsidRDefault="00074127" w:rsidP="00074127">
            <w:pPr>
              <w:rPr>
                <w:b/>
              </w:rPr>
            </w:pPr>
            <w:r>
              <w:rPr>
                <w:b/>
              </w:rPr>
              <w:t>2015–16</w:t>
            </w:r>
          </w:p>
        </w:tc>
        <w:tc>
          <w:tcPr>
            <w:tcW w:w="563" w:type="pct"/>
            <w:shd w:val="clear" w:color="auto" w:fill="D9D9D9" w:themeFill="background1" w:themeFillShade="D9"/>
          </w:tcPr>
          <w:p w14:paraId="725CE916" w14:textId="4E401B12" w:rsidR="00074127" w:rsidRPr="0047677D" w:rsidRDefault="00074127" w:rsidP="00074127">
            <w:pPr>
              <w:rPr>
                <w:b/>
              </w:rPr>
            </w:pPr>
            <w:r w:rsidRPr="0047677D">
              <w:rPr>
                <w:b/>
              </w:rPr>
              <w:t>Variance</w:t>
            </w:r>
          </w:p>
        </w:tc>
      </w:tr>
      <w:tr w:rsidR="0047677D" w14:paraId="2B7B7CF3" w14:textId="77777777" w:rsidTr="001D0AC3">
        <w:tc>
          <w:tcPr>
            <w:tcW w:w="2811" w:type="pct"/>
            <w:tcBorders>
              <w:bottom w:val="single" w:sz="4" w:space="0" w:color="auto"/>
            </w:tcBorders>
          </w:tcPr>
          <w:p w14:paraId="159BD8C6" w14:textId="77777777" w:rsidR="0047677D" w:rsidRDefault="0047677D" w:rsidP="00A40CEB">
            <w:r>
              <w:t>In-house and private practitioners</w:t>
            </w:r>
          </w:p>
        </w:tc>
        <w:tc>
          <w:tcPr>
            <w:tcW w:w="774" w:type="pct"/>
            <w:tcBorders>
              <w:bottom w:val="single" w:sz="4" w:space="0" w:color="auto"/>
            </w:tcBorders>
          </w:tcPr>
          <w:p w14:paraId="16D7F395" w14:textId="2A9A00BD" w:rsidR="0047677D" w:rsidRDefault="00074127" w:rsidP="00A40CEB">
            <w:r>
              <w:t>93,697</w:t>
            </w:r>
          </w:p>
        </w:tc>
        <w:tc>
          <w:tcPr>
            <w:tcW w:w="852" w:type="pct"/>
            <w:tcBorders>
              <w:bottom w:val="single" w:sz="4" w:space="0" w:color="auto"/>
            </w:tcBorders>
          </w:tcPr>
          <w:p w14:paraId="75A851D3" w14:textId="1DAE4FD1" w:rsidR="0047677D" w:rsidRDefault="00074127" w:rsidP="00A40CEB">
            <w:r>
              <w:t>87,162</w:t>
            </w:r>
          </w:p>
        </w:tc>
        <w:tc>
          <w:tcPr>
            <w:tcW w:w="563" w:type="pct"/>
            <w:tcBorders>
              <w:bottom w:val="single" w:sz="4" w:space="0" w:color="auto"/>
            </w:tcBorders>
          </w:tcPr>
          <w:p w14:paraId="5557FC6B" w14:textId="28F0B13A" w:rsidR="0047677D" w:rsidRDefault="00074127" w:rsidP="00A40CEB">
            <w:r>
              <w:t>7%</w:t>
            </w:r>
          </w:p>
        </w:tc>
      </w:tr>
      <w:tr w:rsidR="00074127" w:rsidRPr="0047677D" w14:paraId="7588C3B8" w14:textId="77777777" w:rsidTr="001D0AC3">
        <w:tc>
          <w:tcPr>
            <w:tcW w:w="2811" w:type="pct"/>
            <w:shd w:val="clear" w:color="auto" w:fill="D9D9D9" w:themeFill="background1" w:themeFillShade="D9"/>
          </w:tcPr>
          <w:p w14:paraId="3B753538" w14:textId="77777777" w:rsidR="00074127" w:rsidRPr="0047677D" w:rsidRDefault="00074127" w:rsidP="00074127">
            <w:pPr>
              <w:rPr>
                <w:b/>
              </w:rPr>
            </w:pPr>
            <w:r w:rsidRPr="0047677D">
              <w:rPr>
                <w:b/>
              </w:rPr>
              <w:t>Grants of legal assistance</w:t>
            </w:r>
          </w:p>
        </w:tc>
        <w:tc>
          <w:tcPr>
            <w:tcW w:w="774" w:type="pct"/>
            <w:shd w:val="clear" w:color="auto" w:fill="D9D9D9" w:themeFill="background1" w:themeFillShade="D9"/>
          </w:tcPr>
          <w:p w14:paraId="1A876F00" w14:textId="20E90F4E" w:rsidR="00074127" w:rsidRPr="0047677D" w:rsidRDefault="00074127" w:rsidP="00074127">
            <w:pPr>
              <w:rPr>
                <w:b/>
              </w:rPr>
            </w:pPr>
            <w:r>
              <w:rPr>
                <w:b/>
              </w:rPr>
              <w:t>2016–17</w:t>
            </w:r>
          </w:p>
        </w:tc>
        <w:tc>
          <w:tcPr>
            <w:tcW w:w="852" w:type="pct"/>
            <w:shd w:val="clear" w:color="auto" w:fill="D9D9D9" w:themeFill="background1" w:themeFillShade="D9"/>
          </w:tcPr>
          <w:p w14:paraId="58BA1BAE" w14:textId="2A92F22F" w:rsidR="00074127" w:rsidRPr="0047677D" w:rsidRDefault="00074127" w:rsidP="00074127">
            <w:pPr>
              <w:rPr>
                <w:b/>
              </w:rPr>
            </w:pPr>
            <w:r>
              <w:rPr>
                <w:b/>
              </w:rPr>
              <w:t>2015–16</w:t>
            </w:r>
          </w:p>
        </w:tc>
        <w:tc>
          <w:tcPr>
            <w:tcW w:w="563" w:type="pct"/>
            <w:shd w:val="clear" w:color="auto" w:fill="D9D9D9" w:themeFill="background1" w:themeFillShade="D9"/>
          </w:tcPr>
          <w:p w14:paraId="76C4C364" w14:textId="5A3DDBDB" w:rsidR="00074127" w:rsidRPr="0047677D" w:rsidRDefault="00074127" w:rsidP="00074127">
            <w:pPr>
              <w:rPr>
                <w:b/>
              </w:rPr>
            </w:pPr>
            <w:r w:rsidRPr="0047677D">
              <w:rPr>
                <w:b/>
              </w:rPr>
              <w:t>Variance</w:t>
            </w:r>
          </w:p>
        </w:tc>
      </w:tr>
      <w:tr w:rsidR="00074127" w14:paraId="4DD2D4DB" w14:textId="77777777" w:rsidTr="001D0AC3">
        <w:tc>
          <w:tcPr>
            <w:tcW w:w="2811" w:type="pct"/>
          </w:tcPr>
          <w:p w14:paraId="1AC9555E" w14:textId="77777777" w:rsidR="00074127" w:rsidRDefault="00074127" w:rsidP="00074127">
            <w:r>
              <w:t>In-house, private practitioners and community legal centres</w:t>
            </w:r>
          </w:p>
        </w:tc>
        <w:tc>
          <w:tcPr>
            <w:tcW w:w="774" w:type="pct"/>
          </w:tcPr>
          <w:p w14:paraId="38DCC3CD" w14:textId="6358D83F" w:rsidR="00074127" w:rsidRDefault="00074127" w:rsidP="00074127">
            <w:r>
              <w:t>41,638</w:t>
            </w:r>
          </w:p>
        </w:tc>
        <w:tc>
          <w:tcPr>
            <w:tcW w:w="852" w:type="pct"/>
          </w:tcPr>
          <w:p w14:paraId="08506259" w14:textId="481E0A10" w:rsidR="00074127" w:rsidRDefault="00074127" w:rsidP="00074127">
            <w:r w:rsidRPr="00FA1E5A">
              <w:t>38,345</w:t>
            </w:r>
          </w:p>
        </w:tc>
        <w:tc>
          <w:tcPr>
            <w:tcW w:w="563" w:type="pct"/>
          </w:tcPr>
          <w:p w14:paraId="0ED99FC4" w14:textId="75B9B892" w:rsidR="00074127" w:rsidRDefault="00074127" w:rsidP="00074127">
            <w:r w:rsidRPr="00201DC1">
              <w:t>9%</w:t>
            </w:r>
          </w:p>
        </w:tc>
      </w:tr>
    </w:tbl>
    <w:p w14:paraId="6C777A53" w14:textId="0371FAA4" w:rsidR="00391CE1" w:rsidRDefault="00301763" w:rsidP="00D067C2">
      <w:r>
        <w:t>We have</w:t>
      </w:r>
      <w:r w:rsidRPr="00301763">
        <w:t xml:space="preserve"> seen an increase in the number of socially and economically di</w:t>
      </w:r>
      <w:r>
        <w:t xml:space="preserve">sadvantaged people seeking help. </w:t>
      </w:r>
      <w:r w:rsidR="00CB7625">
        <w:t>Our ability and capacity to help those most in need is at its peak</w:t>
      </w:r>
      <w:r w:rsidR="007935A5">
        <w:t xml:space="preserve">—we </w:t>
      </w:r>
      <w:r w:rsidR="00CB7625">
        <w:t>are unable to keep up with the growing community need. This end year report explains how the increasing</w:t>
      </w:r>
      <w:r w:rsidR="00CB7625" w:rsidRPr="00CB7625">
        <w:t xml:space="preserve"> demand </w:t>
      </w:r>
      <w:r w:rsidR="00CB7625">
        <w:t xml:space="preserve">for our services </w:t>
      </w:r>
      <w:r w:rsidR="00CB7625" w:rsidRPr="00CB7625">
        <w:t xml:space="preserve">is </w:t>
      </w:r>
      <w:r w:rsidR="00CB7625">
        <w:t>a result of the external environment—a combination of more p</w:t>
      </w:r>
      <w:r w:rsidR="00CB7625" w:rsidRPr="004C5A51">
        <w:t>olice</w:t>
      </w:r>
      <w:r w:rsidR="00CB7625">
        <w:t xml:space="preserve">, additional </w:t>
      </w:r>
      <w:r w:rsidR="00CB7625" w:rsidRPr="004C5A51">
        <w:t xml:space="preserve">child protection workers, </w:t>
      </w:r>
      <w:r w:rsidR="00CB7625">
        <w:t>changes to sentencing and bail laws,</w:t>
      </w:r>
      <w:r w:rsidR="00CB7625" w:rsidRPr="004C5A51">
        <w:t xml:space="preserve"> add</w:t>
      </w:r>
      <w:r w:rsidR="00CB7625">
        <w:t xml:space="preserve">itional family violence reports, </w:t>
      </w:r>
      <w:r w:rsidR="00CB7625" w:rsidRPr="004C5A51">
        <w:t>changes in the law</w:t>
      </w:r>
      <w:r w:rsidR="00CB7625">
        <w:t xml:space="preserve"> and </w:t>
      </w:r>
      <w:r w:rsidR="00A20083">
        <w:t xml:space="preserve">the impacts of drug use, </w:t>
      </w:r>
      <w:proofErr w:type="gramStart"/>
      <w:r w:rsidR="00A20083">
        <w:t>in particular the</w:t>
      </w:r>
      <w:proofErr w:type="gramEnd"/>
      <w:r w:rsidR="00A20083">
        <w:t xml:space="preserve"> drug ice. </w:t>
      </w:r>
    </w:p>
    <w:p w14:paraId="34BFB5A0" w14:textId="01269DD6" w:rsidR="004C5A51" w:rsidRDefault="00391CE1" w:rsidP="007935A5">
      <w:r>
        <w:t>In response to the</w:t>
      </w:r>
      <w:r w:rsidR="002D4086">
        <w:t xml:space="preserve"> external pressures and the</w:t>
      </w:r>
      <w:r>
        <w:t xml:space="preserve"> higher demand across</w:t>
      </w:r>
      <w:r w:rsidRPr="00391CE1">
        <w:t xml:space="preserve"> summary crime, family violence, child protection and indictable crime</w:t>
      </w:r>
      <w:r>
        <w:t xml:space="preserve">, </w:t>
      </w:r>
      <w:r w:rsidR="00D067C2" w:rsidRPr="00391CE1">
        <w:t xml:space="preserve">our expenditure grew by </w:t>
      </w:r>
      <w:r w:rsidR="00301763" w:rsidRPr="00BC5F46">
        <w:t>$18.9 million</w:t>
      </w:r>
      <w:r>
        <w:t xml:space="preserve">. </w:t>
      </w:r>
      <w:r w:rsidR="002D4086">
        <w:t>This was not unexpected</w:t>
      </w:r>
      <w:r w:rsidR="008361C4">
        <w:t xml:space="preserve"> as we </w:t>
      </w:r>
      <w:r w:rsidR="002D4086">
        <w:t>forecasted a surge in grants of legal assistance and duty lawyer services and a modest increase in calls to ou</w:t>
      </w:r>
      <w:r w:rsidR="008361C4">
        <w:t xml:space="preserve">r Legal Help telephone service. </w:t>
      </w:r>
    </w:p>
    <w:p w14:paraId="53281C6B" w14:textId="31822EA1" w:rsidR="00D067C2" w:rsidRDefault="00FE2065" w:rsidP="00D067C2">
      <w:r>
        <w:t xml:space="preserve">While we continue to monitor service levels and expenditure, and </w:t>
      </w:r>
      <w:r w:rsidRPr="008361C4">
        <w:t xml:space="preserve">are thankful for the additional investment announced by the Victorian Government throughout the year, we remain concerned about the current and growing demand on the justice system. Much of the new investment </w:t>
      </w:r>
      <w:r>
        <w:t xml:space="preserve">will go towards </w:t>
      </w:r>
      <w:r w:rsidRPr="008361C4">
        <w:t xml:space="preserve">new services such as expansion of family violence duty lawyer services or system reforms in youth justice and serious criminal matters, </w:t>
      </w:r>
      <w:r w:rsidR="00A20083">
        <w:t xml:space="preserve">which are welcome initiatives but do not </w:t>
      </w:r>
      <w:r>
        <w:t>address the current situation</w:t>
      </w:r>
      <w:r w:rsidR="00194462">
        <w:t xml:space="preserve"> particularly</w:t>
      </w:r>
      <w:r>
        <w:t xml:space="preserve"> </w:t>
      </w:r>
      <w:r w:rsidRPr="008361C4">
        <w:t>in the criminal j</w:t>
      </w:r>
      <w:r>
        <w:t xml:space="preserve">ustice system. </w:t>
      </w:r>
      <w:r w:rsidRPr="00FE2065">
        <w:t>We will continue to seek su</w:t>
      </w:r>
      <w:r>
        <w:t>pport for reform and investment, so we</w:t>
      </w:r>
      <w:r w:rsidR="00203894">
        <w:t xml:space="preserve"> continue </w:t>
      </w:r>
      <w:r>
        <w:t xml:space="preserve">to deliver high quality and sustainable services, ensuring Victorians have access to </w:t>
      </w:r>
      <w:r w:rsidRPr="00FE2065">
        <w:t>better justice, every day.</w:t>
      </w:r>
    </w:p>
    <w:p w14:paraId="4626DD3E" w14:textId="3403663E" w:rsidR="00D52F02" w:rsidRDefault="00FA3904" w:rsidP="00D52F02">
      <w:r>
        <w:lastRenderedPageBreak/>
        <w:t xml:space="preserve">In the coming year, </w:t>
      </w:r>
      <w:r w:rsidR="00301763">
        <w:t>our total revenue will increase by $21.7 million</w:t>
      </w:r>
      <w:r>
        <w:t xml:space="preserve"> </w:t>
      </w:r>
      <w:r w:rsidR="00301763">
        <w:t xml:space="preserve">while expenditure is forecast to grow by $23.9 million. The increase in expenditure will see expansion in </w:t>
      </w:r>
      <w:r w:rsidR="007011AA">
        <w:t xml:space="preserve">our </w:t>
      </w:r>
      <w:r w:rsidR="00470E14">
        <w:t>services, community legal centre services and private practitioner services</w:t>
      </w:r>
      <w:r w:rsidR="00301763">
        <w:t>. Community legal centres and the private profession will help meet growing demand for grants of aid in areas such as child protection, summary crime</w:t>
      </w:r>
      <w:r w:rsidR="00194462">
        <w:t>,</w:t>
      </w:r>
      <w:r w:rsidR="001C6061">
        <w:t xml:space="preserve"> </w:t>
      </w:r>
      <w:r w:rsidR="00301763">
        <w:t>youth crime</w:t>
      </w:r>
      <w:r w:rsidR="00194462">
        <w:t xml:space="preserve"> and independent children’s lawyers</w:t>
      </w:r>
      <w:r w:rsidR="00301763">
        <w:t xml:space="preserve">, while our staff practice will also receive much needed additional capacity across the state. </w:t>
      </w:r>
      <w:r w:rsidR="00D52F02">
        <w:t xml:space="preserve">We will keep innovating and we remain committed to preserving and improving eligibility over time so that more Victorians can access justice.  </w:t>
      </w:r>
    </w:p>
    <w:p w14:paraId="017B1148" w14:textId="77777777" w:rsidR="0047677D" w:rsidRDefault="0047677D" w:rsidP="00D37B73">
      <w:pPr>
        <w:pStyle w:val="Heading2"/>
      </w:pPr>
      <w:r>
        <w:t xml:space="preserve">Our clients </w:t>
      </w:r>
    </w:p>
    <w:p w14:paraId="6952B006" w14:textId="3BC4B75F" w:rsidR="0047677D" w:rsidRDefault="00C22C3C" w:rsidP="0047677D">
      <w:r>
        <w:t xml:space="preserve">In 2016–17, </w:t>
      </w:r>
      <w:r w:rsidR="00002822">
        <w:t xml:space="preserve">we helped </w:t>
      </w:r>
      <w:r w:rsidR="005D13B6" w:rsidRPr="00A65BB9">
        <w:t>90,649</w:t>
      </w:r>
      <w:r w:rsidR="005D13B6">
        <w:t xml:space="preserve"> </w:t>
      </w:r>
      <w:r w:rsidR="00D37B73">
        <w:t>unique clients</w:t>
      </w:r>
      <w:r w:rsidR="00A20861">
        <w:rPr>
          <w:rStyle w:val="FootnoteReference"/>
        </w:rPr>
        <w:footnoteReference w:id="1"/>
      </w:r>
      <w:r>
        <w:t xml:space="preserve">, </w:t>
      </w:r>
      <w:r w:rsidR="00002822" w:rsidRPr="00002822">
        <w:t>including clients seen by a private practitioner duty lawyer</w:t>
      </w:r>
      <w:r w:rsidR="00002822">
        <w:t>,</w:t>
      </w:r>
      <w:r w:rsidR="00002822" w:rsidRPr="00002822">
        <w:t xml:space="preserve"> </w:t>
      </w:r>
      <w:r w:rsidR="00764C22">
        <w:t>an increase of four</w:t>
      </w:r>
      <w:r>
        <w:t xml:space="preserve"> per cent.</w:t>
      </w:r>
    </w:p>
    <w:tbl>
      <w:tblPr>
        <w:tblStyle w:val="TableGrid"/>
        <w:tblW w:w="0" w:type="auto"/>
        <w:tblLook w:val="04A0" w:firstRow="1" w:lastRow="0" w:firstColumn="1" w:lastColumn="0" w:noHBand="0" w:noVBand="1"/>
      </w:tblPr>
      <w:tblGrid>
        <w:gridCol w:w="3682"/>
        <w:gridCol w:w="1600"/>
        <w:gridCol w:w="1600"/>
        <w:gridCol w:w="1597"/>
        <w:gridCol w:w="1597"/>
      </w:tblGrid>
      <w:tr w:rsidR="00D37B73" w14:paraId="71AA14B7" w14:textId="77777777" w:rsidTr="00C22C3C">
        <w:trPr>
          <w:trHeight w:val="480"/>
          <w:tblHeader/>
        </w:trPr>
        <w:tc>
          <w:tcPr>
            <w:tcW w:w="3682" w:type="dxa"/>
            <w:shd w:val="clear" w:color="auto" w:fill="D9D9D9" w:themeFill="background1" w:themeFillShade="D9"/>
          </w:tcPr>
          <w:p w14:paraId="2437D137" w14:textId="77777777" w:rsidR="00D37B73" w:rsidRPr="00D37B73" w:rsidRDefault="00D37B73" w:rsidP="0047677D">
            <w:pPr>
              <w:rPr>
                <w:b/>
              </w:rPr>
            </w:pPr>
            <w:r w:rsidRPr="00D37B73">
              <w:rPr>
                <w:b/>
              </w:rPr>
              <w:t>Unique clients as at</w:t>
            </w:r>
          </w:p>
        </w:tc>
        <w:tc>
          <w:tcPr>
            <w:tcW w:w="1600" w:type="dxa"/>
            <w:shd w:val="clear" w:color="auto" w:fill="D9D9D9" w:themeFill="background1" w:themeFillShade="D9"/>
          </w:tcPr>
          <w:p w14:paraId="0C61F3AA" w14:textId="280FFB9F" w:rsidR="00D37B73" w:rsidRPr="00D37B73" w:rsidRDefault="000A5C64" w:rsidP="0047677D">
            <w:pPr>
              <w:rPr>
                <w:b/>
              </w:rPr>
            </w:pPr>
            <w:r>
              <w:rPr>
                <w:b/>
              </w:rPr>
              <w:t>2013–14</w:t>
            </w:r>
          </w:p>
        </w:tc>
        <w:tc>
          <w:tcPr>
            <w:tcW w:w="1600" w:type="dxa"/>
            <w:shd w:val="clear" w:color="auto" w:fill="D9D9D9" w:themeFill="background1" w:themeFillShade="D9"/>
          </w:tcPr>
          <w:p w14:paraId="24CD7B94" w14:textId="2226E7BF" w:rsidR="00D37B73" w:rsidRPr="00D37B73" w:rsidRDefault="000A5C64" w:rsidP="0047677D">
            <w:pPr>
              <w:rPr>
                <w:b/>
              </w:rPr>
            </w:pPr>
            <w:r>
              <w:rPr>
                <w:b/>
              </w:rPr>
              <w:t>2014–15</w:t>
            </w:r>
          </w:p>
        </w:tc>
        <w:tc>
          <w:tcPr>
            <w:tcW w:w="1597" w:type="dxa"/>
            <w:shd w:val="clear" w:color="auto" w:fill="D9D9D9" w:themeFill="background1" w:themeFillShade="D9"/>
          </w:tcPr>
          <w:p w14:paraId="7A0AA6CB" w14:textId="2E1323DD" w:rsidR="00D37B73" w:rsidRPr="00D37B73" w:rsidRDefault="000A5C64" w:rsidP="0047677D">
            <w:pPr>
              <w:rPr>
                <w:b/>
              </w:rPr>
            </w:pPr>
            <w:r>
              <w:rPr>
                <w:b/>
              </w:rPr>
              <w:t>2015–16</w:t>
            </w:r>
          </w:p>
        </w:tc>
        <w:tc>
          <w:tcPr>
            <w:tcW w:w="1597" w:type="dxa"/>
            <w:shd w:val="clear" w:color="auto" w:fill="D9D9D9" w:themeFill="background1" w:themeFillShade="D9"/>
          </w:tcPr>
          <w:p w14:paraId="05ADA546" w14:textId="386E8097" w:rsidR="00D37B73" w:rsidRPr="00D37B73" w:rsidRDefault="000A5C64" w:rsidP="0047677D">
            <w:pPr>
              <w:rPr>
                <w:b/>
              </w:rPr>
            </w:pPr>
            <w:r>
              <w:rPr>
                <w:b/>
              </w:rPr>
              <w:t>2016–17</w:t>
            </w:r>
          </w:p>
        </w:tc>
      </w:tr>
      <w:tr w:rsidR="00D37B73" w14:paraId="6D826B74" w14:textId="77777777" w:rsidTr="00C22C3C">
        <w:trPr>
          <w:trHeight w:val="480"/>
        </w:trPr>
        <w:tc>
          <w:tcPr>
            <w:tcW w:w="3682" w:type="dxa"/>
            <w:tcBorders>
              <w:bottom w:val="single" w:sz="4" w:space="0" w:color="auto"/>
            </w:tcBorders>
          </w:tcPr>
          <w:p w14:paraId="24E9A9B7" w14:textId="77777777" w:rsidR="00D37B73" w:rsidRDefault="00D37B73" w:rsidP="0047677D">
            <w:r>
              <w:t>Unique clients</w:t>
            </w:r>
          </w:p>
        </w:tc>
        <w:tc>
          <w:tcPr>
            <w:tcW w:w="1600" w:type="dxa"/>
            <w:tcBorders>
              <w:bottom w:val="single" w:sz="4" w:space="0" w:color="auto"/>
            </w:tcBorders>
          </w:tcPr>
          <w:p w14:paraId="3320A76D" w14:textId="7C5C0303" w:rsidR="00D37B73" w:rsidRDefault="000A5C64" w:rsidP="0047677D">
            <w:r>
              <w:t>81,400</w:t>
            </w:r>
            <w:r w:rsidR="005D13B6" w:rsidRPr="005D13B6">
              <w:rPr>
                <w:rStyle w:val="FootnoteReference"/>
              </w:rPr>
              <w:fldChar w:fldCharType="begin"/>
            </w:r>
            <w:r w:rsidR="005D13B6" w:rsidRPr="005D13B6">
              <w:rPr>
                <w:rStyle w:val="FootnoteReference"/>
              </w:rPr>
              <w:instrText xml:space="preserve"> NOTEREF _Ref488051307 \h </w:instrText>
            </w:r>
            <w:r w:rsidR="005D13B6">
              <w:rPr>
                <w:rStyle w:val="FootnoteReference"/>
              </w:rPr>
              <w:instrText xml:space="preserve"> \* MERGEFORMAT </w:instrText>
            </w:r>
            <w:r w:rsidR="005D13B6" w:rsidRPr="005D13B6">
              <w:rPr>
                <w:rStyle w:val="FootnoteReference"/>
              </w:rPr>
            </w:r>
            <w:r w:rsidR="005D13B6" w:rsidRPr="005D13B6">
              <w:rPr>
                <w:rStyle w:val="FootnoteReference"/>
              </w:rPr>
              <w:fldChar w:fldCharType="separate"/>
            </w:r>
            <w:r w:rsidR="005D13B6" w:rsidRPr="005D13B6">
              <w:rPr>
                <w:rStyle w:val="FootnoteReference"/>
              </w:rPr>
              <w:t>2</w:t>
            </w:r>
            <w:r w:rsidR="005D13B6" w:rsidRPr="005D13B6">
              <w:rPr>
                <w:rStyle w:val="FootnoteReference"/>
              </w:rPr>
              <w:fldChar w:fldCharType="end"/>
            </w:r>
          </w:p>
        </w:tc>
        <w:tc>
          <w:tcPr>
            <w:tcW w:w="1600" w:type="dxa"/>
            <w:tcBorders>
              <w:bottom w:val="single" w:sz="4" w:space="0" w:color="auto"/>
            </w:tcBorders>
          </w:tcPr>
          <w:p w14:paraId="06C3C131" w14:textId="0BBA2D8D" w:rsidR="00D37B73" w:rsidRDefault="000A5C64" w:rsidP="0047677D">
            <w:r>
              <w:t>85,007</w:t>
            </w:r>
            <w:bookmarkStart w:id="0" w:name="_Ref488051307"/>
            <w:r w:rsidR="005D13B6">
              <w:rPr>
                <w:rStyle w:val="FootnoteReference"/>
              </w:rPr>
              <w:footnoteReference w:id="2"/>
            </w:r>
            <w:bookmarkEnd w:id="0"/>
          </w:p>
        </w:tc>
        <w:tc>
          <w:tcPr>
            <w:tcW w:w="1597" w:type="dxa"/>
            <w:tcBorders>
              <w:bottom w:val="single" w:sz="4" w:space="0" w:color="auto"/>
            </w:tcBorders>
          </w:tcPr>
          <w:p w14:paraId="1ED717F2" w14:textId="62DB46AE" w:rsidR="00D37B73" w:rsidRDefault="000A5C64" w:rsidP="0047677D">
            <w:r w:rsidRPr="00A65BB9">
              <w:t>86,847</w:t>
            </w:r>
          </w:p>
        </w:tc>
        <w:tc>
          <w:tcPr>
            <w:tcW w:w="1597" w:type="dxa"/>
            <w:tcBorders>
              <w:bottom w:val="single" w:sz="4" w:space="0" w:color="auto"/>
            </w:tcBorders>
          </w:tcPr>
          <w:p w14:paraId="3CBE59A9" w14:textId="606C0A72" w:rsidR="00D37B73" w:rsidRDefault="000A5C64" w:rsidP="0047677D">
            <w:r w:rsidRPr="00A65BB9">
              <w:t>90,649</w:t>
            </w:r>
          </w:p>
        </w:tc>
      </w:tr>
      <w:tr w:rsidR="00D37B73" w14:paraId="452BFFE3" w14:textId="77777777" w:rsidTr="00C22C3C">
        <w:trPr>
          <w:trHeight w:val="480"/>
        </w:trPr>
        <w:tc>
          <w:tcPr>
            <w:tcW w:w="3682" w:type="dxa"/>
            <w:shd w:val="clear" w:color="auto" w:fill="F2F2F2" w:themeFill="background1" w:themeFillShade="F2"/>
          </w:tcPr>
          <w:p w14:paraId="3F6130C9" w14:textId="77777777" w:rsidR="00D37B73" w:rsidRPr="00D37B73" w:rsidRDefault="00D37B73" w:rsidP="00D37B73">
            <w:pPr>
              <w:rPr>
                <w:b/>
              </w:rPr>
            </w:pPr>
            <w:r w:rsidRPr="00D37B73">
              <w:rPr>
                <w:b/>
              </w:rPr>
              <w:t>Growth</w:t>
            </w:r>
          </w:p>
        </w:tc>
        <w:tc>
          <w:tcPr>
            <w:tcW w:w="1600" w:type="dxa"/>
            <w:shd w:val="clear" w:color="auto" w:fill="F2F2F2" w:themeFill="background1" w:themeFillShade="F2"/>
          </w:tcPr>
          <w:p w14:paraId="0E995B60" w14:textId="77777777" w:rsidR="00D37B73" w:rsidRPr="00D37B73" w:rsidRDefault="0086035E" w:rsidP="0086035E">
            <w:r>
              <w:t>-</w:t>
            </w:r>
          </w:p>
        </w:tc>
        <w:tc>
          <w:tcPr>
            <w:tcW w:w="1600" w:type="dxa"/>
            <w:shd w:val="clear" w:color="auto" w:fill="F2F2F2" w:themeFill="background1" w:themeFillShade="F2"/>
          </w:tcPr>
          <w:p w14:paraId="2C5328E0" w14:textId="391E90F1" w:rsidR="00D37B73" w:rsidRDefault="000A5C64" w:rsidP="00D37B73">
            <w:r>
              <w:t>4</w:t>
            </w:r>
            <w:r w:rsidR="00D47D04">
              <w:t>.4</w:t>
            </w:r>
            <w:r>
              <w:t>%</w:t>
            </w:r>
          </w:p>
        </w:tc>
        <w:tc>
          <w:tcPr>
            <w:tcW w:w="1597" w:type="dxa"/>
            <w:shd w:val="clear" w:color="auto" w:fill="F2F2F2" w:themeFill="background1" w:themeFillShade="F2"/>
          </w:tcPr>
          <w:p w14:paraId="0D53D94B" w14:textId="14A139E5" w:rsidR="00D37B73" w:rsidRDefault="000A5C64" w:rsidP="00D37B73">
            <w:r>
              <w:t>2.2%</w:t>
            </w:r>
          </w:p>
        </w:tc>
        <w:tc>
          <w:tcPr>
            <w:tcW w:w="1597" w:type="dxa"/>
            <w:shd w:val="clear" w:color="auto" w:fill="F2F2F2" w:themeFill="background1" w:themeFillShade="F2"/>
          </w:tcPr>
          <w:p w14:paraId="64C3C366" w14:textId="36A78EF1" w:rsidR="00D37B73" w:rsidRDefault="000A5C64" w:rsidP="00D37B73">
            <w:r>
              <w:t>4</w:t>
            </w:r>
            <w:r w:rsidR="00D47D04">
              <w:t>.3</w:t>
            </w:r>
            <w:r>
              <w:t>%</w:t>
            </w:r>
          </w:p>
        </w:tc>
      </w:tr>
    </w:tbl>
    <w:p w14:paraId="7F81C11C" w14:textId="77777777" w:rsidR="00194462" w:rsidRDefault="00194462" w:rsidP="00194462">
      <w:r>
        <w:t xml:space="preserve">Our clients are </w:t>
      </w:r>
      <w:r w:rsidRPr="0006480E">
        <w:t>present</w:t>
      </w:r>
      <w:r>
        <w:t>ing</w:t>
      </w:r>
      <w:r w:rsidRPr="0006480E">
        <w:t xml:space="preserve"> with more serious legal and non-legal issues, and therefore </w:t>
      </w:r>
      <w:r>
        <w:t xml:space="preserve">more likely to need our most intensive service (grants of legal assistance, which pay for a lawyer to represent a client on an ongoing basis in their matter). </w:t>
      </w:r>
    </w:p>
    <w:p w14:paraId="0429C32E" w14:textId="4E6C366A" w:rsidR="0047677D" w:rsidRDefault="003A6D2D" w:rsidP="0047677D">
      <w:r>
        <w:t>We have seen a dramatic increase in the number of socially and economically disadvantaged Victorians needing our help.</w:t>
      </w:r>
      <w:r w:rsidR="00002822">
        <w:t xml:space="preserve"> </w:t>
      </w:r>
      <w:r w:rsidR="007935A5">
        <w:t>M</w:t>
      </w:r>
      <w:r w:rsidR="007935A5" w:rsidRPr="007935A5">
        <w:t>any of our clients experience language</w:t>
      </w:r>
      <w:r w:rsidR="007935A5">
        <w:t xml:space="preserve">, cultural </w:t>
      </w:r>
      <w:r w:rsidR="007935A5" w:rsidRPr="007935A5">
        <w:t>or literacy barriers, illness, disa</w:t>
      </w:r>
      <w:r w:rsidR="007935A5">
        <w:t xml:space="preserve">bility or geographic isolation, while </w:t>
      </w:r>
      <w:r w:rsidR="00194462">
        <w:t>most</w:t>
      </w:r>
      <w:r w:rsidR="00194462" w:rsidRPr="00B25FBB">
        <w:t xml:space="preserve"> </w:t>
      </w:r>
      <w:r w:rsidR="0047677D" w:rsidRPr="00B25FBB">
        <w:t xml:space="preserve">of our clients receive some form of government </w:t>
      </w:r>
      <w:r w:rsidR="00194462">
        <w:t xml:space="preserve">income </w:t>
      </w:r>
      <w:r w:rsidR="0047677D" w:rsidRPr="00B25FBB">
        <w:t>assistance or have no income at all.</w:t>
      </w:r>
      <w:r w:rsidR="0047677D">
        <w:t xml:space="preserve"> </w:t>
      </w:r>
    </w:p>
    <w:p w14:paraId="57DB53E3" w14:textId="20253773" w:rsidR="00412293" w:rsidRDefault="00412293" w:rsidP="0047677D">
      <w:r>
        <w:t>The</w:t>
      </w:r>
      <w:r w:rsidR="0047677D">
        <w:t xml:space="preserve"> level of disadvantage amongst our clients</w:t>
      </w:r>
      <w:r>
        <w:t xml:space="preserve"> has grown significantly, </w:t>
      </w:r>
      <w:r w:rsidR="002E3F43">
        <w:t>with increases in</w:t>
      </w:r>
      <w:r>
        <w:t>:</w:t>
      </w:r>
      <w:r w:rsidR="0047677D">
        <w:t xml:space="preserve"> </w:t>
      </w:r>
    </w:p>
    <w:p w14:paraId="12E1F9E0" w14:textId="22C8A73D" w:rsidR="00412293" w:rsidRPr="002E3F43" w:rsidRDefault="00412293" w:rsidP="002E3F43">
      <w:pPr>
        <w:pStyle w:val="ListParagraph"/>
        <w:numPr>
          <w:ilvl w:val="0"/>
          <w:numId w:val="36"/>
        </w:numPr>
      </w:pPr>
      <w:r w:rsidRPr="002E3F43">
        <w:t xml:space="preserve">clients </w:t>
      </w:r>
      <w:r w:rsidR="002E3F43">
        <w:t>reporting</w:t>
      </w:r>
      <w:r w:rsidRPr="002E3F43">
        <w:t xml:space="preserve"> no income, up </w:t>
      </w:r>
      <w:r w:rsidR="002E3F43">
        <w:t>7.6 per cent</w:t>
      </w:r>
    </w:p>
    <w:p w14:paraId="23EA455A" w14:textId="0F5E9C5C" w:rsidR="00412293" w:rsidRPr="002E3F43" w:rsidRDefault="0047677D" w:rsidP="002E3F43">
      <w:pPr>
        <w:pStyle w:val="ListParagraph"/>
        <w:numPr>
          <w:ilvl w:val="0"/>
          <w:numId w:val="36"/>
        </w:numPr>
      </w:pPr>
      <w:r w:rsidRPr="002E3F43">
        <w:t>c</w:t>
      </w:r>
      <w:r w:rsidR="00412293" w:rsidRPr="002E3F43">
        <w:t xml:space="preserve">lients who are homeless, up </w:t>
      </w:r>
      <w:r w:rsidR="002E3F43">
        <w:t>22.2 per cent</w:t>
      </w:r>
    </w:p>
    <w:p w14:paraId="138CF355" w14:textId="412301A0" w:rsidR="00412293" w:rsidRPr="002E3F43" w:rsidRDefault="0047677D" w:rsidP="00412293">
      <w:pPr>
        <w:pStyle w:val="ListParagraph"/>
        <w:numPr>
          <w:ilvl w:val="0"/>
          <w:numId w:val="36"/>
        </w:numPr>
      </w:pPr>
      <w:r w:rsidRPr="002E3F43">
        <w:t>clients in custody</w:t>
      </w:r>
      <w:r w:rsidR="00C97F3C" w:rsidRPr="002E3F43">
        <w:t>,</w:t>
      </w:r>
      <w:r w:rsidRPr="002E3F43">
        <w:t xml:space="preserve"> detention or psychiatric care, up </w:t>
      </w:r>
      <w:r w:rsidR="002E3F43">
        <w:t>11.3 per cent</w:t>
      </w:r>
    </w:p>
    <w:p w14:paraId="51316286" w14:textId="465C673F" w:rsidR="0047677D" w:rsidRDefault="0047677D" w:rsidP="00412293">
      <w:pPr>
        <w:pStyle w:val="ListParagraph"/>
        <w:numPr>
          <w:ilvl w:val="0"/>
          <w:numId w:val="36"/>
        </w:numPr>
      </w:pPr>
      <w:r w:rsidRPr="002E3F43">
        <w:t xml:space="preserve">Aboriginal or Torres Strait Islander clients, up </w:t>
      </w:r>
      <w:r w:rsidR="002E3F43">
        <w:t>19.3 per cent</w:t>
      </w:r>
    </w:p>
    <w:p w14:paraId="61F1A491" w14:textId="5F28AA74" w:rsidR="00BB3087" w:rsidRPr="002E3F43" w:rsidRDefault="00BB3087" w:rsidP="00BB3087">
      <w:pPr>
        <w:pStyle w:val="ListParagraph"/>
        <w:numPr>
          <w:ilvl w:val="0"/>
          <w:numId w:val="36"/>
        </w:numPr>
      </w:pPr>
      <w:r w:rsidRPr="00BB3087">
        <w:t>Culturally and Linguistically Diverse</w:t>
      </w:r>
      <w:r>
        <w:t xml:space="preserve"> clients, up 3.9 per cent.</w:t>
      </w:r>
    </w:p>
    <w:p w14:paraId="259AA704" w14:textId="34FC8388" w:rsidR="00412293" w:rsidRPr="002E3F43" w:rsidRDefault="0047677D" w:rsidP="0047677D">
      <w:r w:rsidRPr="002E3F43">
        <w:t xml:space="preserve">Of the </w:t>
      </w:r>
      <w:proofErr w:type="gramStart"/>
      <w:r w:rsidRPr="002E3F43">
        <w:t>clients</w:t>
      </w:r>
      <w:proofErr w:type="gramEnd"/>
      <w:r w:rsidRPr="002E3F43">
        <w:t xml:space="preserve"> </w:t>
      </w:r>
      <w:r w:rsidR="00002822">
        <w:t>we</w:t>
      </w:r>
      <w:r w:rsidR="00412293" w:rsidRPr="002E3F43">
        <w:t xml:space="preserve"> helped:</w:t>
      </w:r>
    </w:p>
    <w:p w14:paraId="1664BF31" w14:textId="4BB1469F" w:rsidR="00BB3087" w:rsidRDefault="00BB3087" w:rsidP="00BB3087">
      <w:pPr>
        <w:pStyle w:val="ListParagraph"/>
        <w:numPr>
          <w:ilvl w:val="0"/>
          <w:numId w:val="37"/>
        </w:numPr>
      </w:pPr>
      <w:r>
        <w:t xml:space="preserve">21 per cent or </w:t>
      </w:r>
      <w:r w:rsidRPr="00BB3087">
        <w:t>18</w:t>
      </w:r>
      <w:r>
        <w:t>,</w:t>
      </w:r>
      <w:r w:rsidRPr="00BB3087">
        <w:t>595</w:t>
      </w:r>
      <w:r>
        <w:t xml:space="preserve"> identified as being from a Culturally and Linguistically Diverse background</w:t>
      </w:r>
    </w:p>
    <w:p w14:paraId="5AF3271D" w14:textId="258305B2" w:rsidR="00412293" w:rsidRPr="002E3F43" w:rsidRDefault="00E24105" w:rsidP="00E24105">
      <w:pPr>
        <w:pStyle w:val="ListParagraph"/>
        <w:numPr>
          <w:ilvl w:val="0"/>
          <w:numId w:val="37"/>
        </w:numPr>
      </w:pPr>
      <w:r w:rsidRPr="002E3F43">
        <w:t>5 per cent</w:t>
      </w:r>
      <w:r w:rsidR="0047677D" w:rsidRPr="002E3F43">
        <w:t xml:space="preserve"> or </w:t>
      </w:r>
      <w:r w:rsidRPr="002E3F43">
        <w:t xml:space="preserve">4,102 </w:t>
      </w:r>
      <w:r w:rsidR="0047677D" w:rsidRPr="002E3F43">
        <w:t xml:space="preserve">identified as being from </w:t>
      </w:r>
      <w:r w:rsidR="00032B82">
        <w:t xml:space="preserve">an </w:t>
      </w:r>
      <w:r w:rsidR="0047677D" w:rsidRPr="002E3F43">
        <w:t>Aboriginal or Tor</w:t>
      </w:r>
      <w:r w:rsidR="00412293" w:rsidRPr="002E3F43">
        <w:t>res Strait Islander background</w:t>
      </w:r>
    </w:p>
    <w:p w14:paraId="057DC9E1" w14:textId="10905486" w:rsidR="00412293" w:rsidRPr="002E3F43" w:rsidRDefault="00E24105" w:rsidP="00E24105">
      <w:pPr>
        <w:pStyle w:val="ListParagraph"/>
        <w:numPr>
          <w:ilvl w:val="0"/>
          <w:numId w:val="37"/>
        </w:numPr>
      </w:pPr>
      <w:r w:rsidRPr="002E3F43">
        <w:t>11 per cent</w:t>
      </w:r>
      <w:r w:rsidR="0047677D" w:rsidRPr="002E3F43">
        <w:t xml:space="preserve"> or </w:t>
      </w:r>
      <w:r w:rsidRPr="002E3F43">
        <w:t xml:space="preserve">9,834 </w:t>
      </w:r>
      <w:r w:rsidR="0047677D" w:rsidRPr="002E3F43">
        <w:t>were in custody</w:t>
      </w:r>
      <w:r w:rsidR="00412293" w:rsidRPr="002E3F43">
        <w:t>, detention or psychiatric care</w:t>
      </w:r>
    </w:p>
    <w:p w14:paraId="2ECBEC02" w14:textId="3641022A" w:rsidR="00412293" w:rsidRPr="002E3F43" w:rsidRDefault="00E24105" w:rsidP="00E24105">
      <w:pPr>
        <w:pStyle w:val="ListParagraph"/>
        <w:numPr>
          <w:ilvl w:val="0"/>
          <w:numId w:val="37"/>
        </w:numPr>
      </w:pPr>
      <w:r w:rsidRPr="002E3F43">
        <w:t>5 per cent</w:t>
      </w:r>
      <w:r w:rsidR="0047677D" w:rsidRPr="002E3F43">
        <w:t xml:space="preserve"> or </w:t>
      </w:r>
      <w:r w:rsidRPr="002E3F43">
        <w:t xml:space="preserve">4,356 </w:t>
      </w:r>
      <w:r w:rsidR="0047677D" w:rsidRPr="002E3F43">
        <w:t xml:space="preserve">were homeless </w:t>
      </w:r>
    </w:p>
    <w:p w14:paraId="6E9D8BF7" w14:textId="0013296C" w:rsidR="0047677D" w:rsidRPr="002E3F43" w:rsidRDefault="0047677D" w:rsidP="00E24105">
      <w:pPr>
        <w:pStyle w:val="ListParagraph"/>
        <w:numPr>
          <w:ilvl w:val="0"/>
          <w:numId w:val="37"/>
        </w:numPr>
      </w:pPr>
      <w:r w:rsidRPr="002E3F43">
        <w:t>2</w:t>
      </w:r>
      <w:r w:rsidR="00E24105" w:rsidRPr="002E3F43">
        <w:t>8 per cent</w:t>
      </w:r>
      <w:r w:rsidRPr="002E3F43">
        <w:t xml:space="preserve"> or </w:t>
      </w:r>
      <w:r w:rsidR="00E24105" w:rsidRPr="002E3F43">
        <w:t>24,608</w:t>
      </w:r>
      <w:r w:rsidR="00BB3087">
        <w:t xml:space="preserve"> </w:t>
      </w:r>
      <w:r w:rsidRPr="002E3F43">
        <w:t>had no income.</w:t>
      </w:r>
    </w:p>
    <w:p w14:paraId="2D0F620A" w14:textId="77777777" w:rsidR="0047677D" w:rsidRDefault="0047677D" w:rsidP="00D37B73">
      <w:pPr>
        <w:pStyle w:val="Heading2"/>
      </w:pPr>
      <w:r>
        <w:lastRenderedPageBreak/>
        <w:t xml:space="preserve">Services we provide </w:t>
      </w:r>
    </w:p>
    <w:p w14:paraId="4230F545" w14:textId="77777777" w:rsidR="0047677D" w:rsidRDefault="0047677D" w:rsidP="00D37B73">
      <w:pPr>
        <w:pStyle w:val="Heading3"/>
      </w:pPr>
      <w:r>
        <w:t xml:space="preserve">Grants of legal assistance </w:t>
      </w:r>
    </w:p>
    <w:p w14:paraId="6B3E3786" w14:textId="3D018221" w:rsidR="0047677D" w:rsidRDefault="0047677D" w:rsidP="0047677D">
      <w:r>
        <w:t>We provide grants of legal assistance</w:t>
      </w:r>
      <w:r w:rsidR="00470E14">
        <w:t>—</w:t>
      </w:r>
      <w:r>
        <w:t>Victoria Legal Aid’s most intensive</w:t>
      </w:r>
      <w:r w:rsidR="00A20083">
        <w:t>, and expensive,</w:t>
      </w:r>
      <w:r>
        <w:t xml:space="preserve"> form of assistance</w:t>
      </w:r>
      <w:r w:rsidR="00470E14">
        <w:t>—</w:t>
      </w:r>
      <w:r>
        <w:t xml:space="preserve">to people who cannot afford a lawyer, who are experiencing a </w:t>
      </w:r>
      <w:r w:rsidR="00A20083">
        <w:t xml:space="preserve">significant </w:t>
      </w:r>
      <w:r>
        <w:t xml:space="preserve">legal problem that we can help with and who meet our eligibility criteria. Clients with a grant of legal assistance can be helped by a Victoria Legal Aid lawyer or a lawyer on one of our panels, including private practitioners and lawyers from </w:t>
      </w:r>
      <w:r w:rsidR="00A20083">
        <w:t xml:space="preserve">some </w:t>
      </w:r>
      <w:r>
        <w:t>community legal centres.</w:t>
      </w:r>
    </w:p>
    <w:p w14:paraId="6E31A949" w14:textId="04EC5317" w:rsidR="006F2363" w:rsidRDefault="00E17A82" w:rsidP="008D719F">
      <w:pPr>
        <w:rPr>
          <w:rFonts w:cs="Arial"/>
        </w:rPr>
      </w:pPr>
      <w:r>
        <w:t xml:space="preserve">There was a nine per cent increase in </w:t>
      </w:r>
      <w:r w:rsidR="0047677D" w:rsidRPr="008D719F">
        <w:t>grants</w:t>
      </w:r>
      <w:r>
        <w:t xml:space="preserve"> of legal assistance</w:t>
      </w:r>
      <w:r w:rsidR="00194462">
        <w:t xml:space="preserve">, </w:t>
      </w:r>
      <w:r>
        <w:t xml:space="preserve">coming off the back of an 11 per cent increase in 2015–16. The steady increases can be attributed to </w:t>
      </w:r>
      <w:r w:rsidR="001A6CC2">
        <w:rPr>
          <w:rFonts w:cs="Arial"/>
        </w:rPr>
        <w:t xml:space="preserve">the flow on effects of </w:t>
      </w:r>
      <w:r w:rsidR="001A6CC2" w:rsidRPr="00A52418">
        <w:rPr>
          <w:rFonts w:cs="Arial"/>
        </w:rPr>
        <w:t>addi</w:t>
      </w:r>
      <w:r w:rsidR="00F678AC">
        <w:rPr>
          <w:rFonts w:cs="Arial"/>
        </w:rPr>
        <w:t xml:space="preserve">tional </w:t>
      </w:r>
      <w:r w:rsidR="006F2363">
        <w:rPr>
          <w:rFonts w:cs="Arial"/>
        </w:rPr>
        <w:t xml:space="preserve">front line police, child protection workers and changes in government policy. </w:t>
      </w:r>
    </w:p>
    <w:p w14:paraId="100FA2BD" w14:textId="76F90E5E" w:rsidR="00E17A82" w:rsidRDefault="00E17A82" w:rsidP="008D719F">
      <w:r>
        <w:t xml:space="preserve">In 2016–17, there </w:t>
      </w:r>
      <w:r w:rsidR="000448C1">
        <w:t>were</w:t>
      </w:r>
      <w:r>
        <w:t>:</w:t>
      </w:r>
    </w:p>
    <w:p w14:paraId="1D3DD8D7" w14:textId="0A021230" w:rsidR="00E17A82" w:rsidRDefault="00E17A82" w:rsidP="00E17A82">
      <w:pPr>
        <w:pStyle w:val="ListParagraph"/>
        <w:numPr>
          <w:ilvl w:val="0"/>
          <w:numId w:val="38"/>
        </w:numPr>
      </w:pPr>
      <w:r w:rsidRPr="00E17A82">
        <w:t>16,502</w:t>
      </w:r>
      <w:r>
        <w:t xml:space="preserve"> grants for summary crime, up 13 per cent</w:t>
      </w:r>
    </w:p>
    <w:p w14:paraId="0C806806" w14:textId="25D95B9E" w:rsidR="00E17A82" w:rsidRDefault="00E17A82" w:rsidP="00E17A82">
      <w:pPr>
        <w:pStyle w:val="ListParagraph"/>
        <w:numPr>
          <w:ilvl w:val="0"/>
          <w:numId w:val="38"/>
        </w:numPr>
      </w:pPr>
      <w:r w:rsidRPr="00E17A82">
        <w:t>3,548</w:t>
      </w:r>
      <w:r>
        <w:t xml:space="preserve"> grants for i</w:t>
      </w:r>
      <w:r w:rsidRPr="00E17A82">
        <w:t xml:space="preserve">ndictable </w:t>
      </w:r>
      <w:r w:rsidR="00194462">
        <w:t>c</w:t>
      </w:r>
      <w:r w:rsidRPr="00E17A82">
        <w:t>rime (includes sexual offences)</w:t>
      </w:r>
      <w:r>
        <w:t xml:space="preserve">, up </w:t>
      </w:r>
      <w:r w:rsidR="00844071">
        <w:t>9</w:t>
      </w:r>
      <w:r>
        <w:t xml:space="preserve"> per cent</w:t>
      </w:r>
    </w:p>
    <w:p w14:paraId="145AD279" w14:textId="06F53AA8" w:rsidR="00E17A82" w:rsidRDefault="00E17A82" w:rsidP="00E17A82">
      <w:pPr>
        <w:pStyle w:val="ListParagraph"/>
        <w:numPr>
          <w:ilvl w:val="0"/>
          <w:numId w:val="38"/>
        </w:numPr>
      </w:pPr>
      <w:r>
        <w:t xml:space="preserve">8,206 grants for child protection matters, up 6 per cent </w:t>
      </w:r>
    </w:p>
    <w:p w14:paraId="08D8040B" w14:textId="33CF77E2" w:rsidR="00E17A82" w:rsidRDefault="00E17A82" w:rsidP="00E17A82">
      <w:pPr>
        <w:pStyle w:val="ListParagraph"/>
        <w:numPr>
          <w:ilvl w:val="0"/>
          <w:numId w:val="38"/>
        </w:numPr>
      </w:pPr>
      <w:r>
        <w:t xml:space="preserve">1,345 grants for </w:t>
      </w:r>
      <w:r w:rsidRPr="00E17A82">
        <w:t>Independent Children’s Lawyers</w:t>
      </w:r>
      <w:r>
        <w:t>, up 11 per cent</w:t>
      </w:r>
      <w:r w:rsidR="001769BA">
        <w:t>.</w:t>
      </w:r>
      <w:r>
        <w:t xml:space="preserve"> </w:t>
      </w:r>
    </w:p>
    <w:tbl>
      <w:tblPr>
        <w:tblStyle w:val="TableGrid"/>
        <w:tblW w:w="0" w:type="auto"/>
        <w:tblLook w:val="04A0" w:firstRow="1" w:lastRow="0" w:firstColumn="1" w:lastColumn="0" w:noHBand="0" w:noVBand="1"/>
      </w:tblPr>
      <w:tblGrid>
        <w:gridCol w:w="3692"/>
        <w:gridCol w:w="1596"/>
        <w:gridCol w:w="1596"/>
        <w:gridCol w:w="1596"/>
        <w:gridCol w:w="1596"/>
      </w:tblGrid>
      <w:tr w:rsidR="00454181" w:rsidRPr="00D37B73" w14:paraId="6D844A86" w14:textId="77777777" w:rsidTr="00454181">
        <w:trPr>
          <w:tblHeader/>
        </w:trPr>
        <w:tc>
          <w:tcPr>
            <w:tcW w:w="3692" w:type="dxa"/>
            <w:shd w:val="clear" w:color="auto" w:fill="D9D9D9" w:themeFill="background1" w:themeFillShade="D9"/>
          </w:tcPr>
          <w:p w14:paraId="7EF7D435" w14:textId="6DB55310" w:rsidR="00454181" w:rsidRPr="00D37B73" w:rsidRDefault="00454181" w:rsidP="00454181">
            <w:pPr>
              <w:jc w:val="both"/>
              <w:rPr>
                <w:b/>
              </w:rPr>
            </w:pPr>
            <w:r w:rsidRPr="00D37B73">
              <w:rPr>
                <w:b/>
              </w:rPr>
              <w:t xml:space="preserve">Grants of legal assistance </w:t>
            </w:r>
          </w:p>
        </w:tc>
        <w:tc>
          <w:tcPr>
            <w:tcW w:w="1596" w:type="dxa"/>
            <w:shd w:val="clear" w:color="auto" w:fill="D9D9D9" w:themeFill="background1" w:themeFillShade="D9"/>
          </w:tcPr>
          <w:p w14:paraId="0494E7AC" w14:textId="4A914B28" w:rsidR="00454181" w:rsidRPr="00D37B73" w:rsidRDefault="00454181" w:rsidP="00454181">
            <w:pPr>
              <w:jc w:val="both"/>
              <w:rPr>
                <w:b/>
              </w:rPr>
            </w:pPr>
            <w:r>
              <w:rPr>
                <w:b/>
              </w:rPr>
              <w:t>2013–14</w:t>
            </w:r>
          </w:p>
        </w:tc>
        <w:tc>
          <w:tcPr>
            <w:tcW w:w="1596" w:type="dxa"/>
            <w:shd w:val="clear" w:color="auto" w:fill="D9D9D9" w:themeFill="background1" w:themeFillShade="D9"/>
          </w:tcPr>
          <w:p w14:paraId="5F88730C" w14:textId="0536A981" w:rsidR="00454181" w:rsidRPr="00D37B73" w:rsidRDefault="00454181" w:rsidP="00454181">
            <w:pPr>
              <w:jc w:val="both"/>
              <w:rPr>
                <w:b/>
              </w:rPr>
            </w:pPr>
            <w:r>
              <w:rPr>
                <w:b/>
              </w:rPr>
              <w:t>2014–15</w:t>
            </w:r>
          </w:p>
        </w:tc>
        <w:tc>
          <w:tcPr>
            <w:tcW w:w="1596" w:type="dxa"/>
            <w:shd w:val="clear" w:color="auto" w:fill="D9D9D9" w:themeFill="background1" w:themeFillShade="D9"/>
          </w:tcPr>
          <w:p w14:paraId="10B26ABB" w14:textId="3EB6AA22" w:rsidR="00454181" w:rsidRPr="00D37B73" w:rsidRDefault="00454181" w:rsidP="00454181">
            <w:pPr>
              <w:jc w:val="both"/>
              <w:rPr>
                <w:b/>
              </w:rPr>
            </w:pPr>
            <w:r>
              <w:rPr>
                <w:b/>
              </w:rPr>
              <w:t>2015–16</w:t>
            </w:r>
          </w:p>
        </w:tc>
        <w:tc>
          <w:tcPr>
            <w:tcW w:w="1596" w:type="dxa"/>
            <w:shd w:val="clear" w:color="auto" w:fill="D9D9D9" w:themeFill="background1" w:themeFillShade="D9"/>
          </w:tcPr>
          <w:p w14:paraId="27B53378" w14:textId="0A446409" w:rsidR="00454181" w:rsidRPr="00D37B73" w:rsidRDefault="00454181" w:rsidP="00454181">
            <w:pPr>
              <w:jc w:val="both"/>
              <w:rPr>
                <w:b/>
              </w:rPr>
            </w:pPr>
            <w:r>
              <w:rPr>
                <w:b/>
              </w:rPr>
              <w:t>2016–17</w:t>
            </w:r>
          </w:p>
        </w:tc>
      </w:tr>
      <w:tr w:rsidR="00D37B73" w14:paraId="00C6B18B" w14:textId="77777777" w:rsidTr="00454181">
        <w:tc>
          <w:tcPr>
            <w:tcW w:w="3692" w:type="dxa"/>
          </w:tcPr>
          <w:p w14:paraId="072BDEE9" w14:textId="77777777" w:rsidR="00D37B73" w:rsidRDefault="00D37B73" w:rsidP="0047677D">
            <w:r>
              <w:t>Crime</w:t>
            </w:r>
          </w:p>
        </w:tc>
        <w:tc>
          <w:tcPr>
            <w:tcW w:w="1596" w:type="dxa"/>
          </w:tcPr>
          <w:p w14:paraId="3913373C" w14:textId="4CF255BB" w:rsidR="00D37B73" w:rsidRDefault="00C60C59" w:rsidP="0047677D">
            <w:r>
              <w:t>19,356</w:t>
            </w:r>
          </w:p>
        </w:tc>
        <w:tc>
          <w:tcPr>
            <w:tcW w:w="1596" w:type="dxa"/>
          </w:tcPr>
          <w:p w14:paraId="313AC12E" w14:textId="42338049" w:rsidR="00D37B73" w:rsidRDefault="00C60C59" w:rsidP="0047677D">
            <w:r>
              <w:t>20,126</w:t>
            </w:r>
          </w:p>
        </w:tc>
        <w:tc>
          <w:tcPr>
            <w:tcW w:w="1596" w:type="dxa"/>
          </w:tcPr>
          <w:p w14:paraId="3611C705" w14:textId="6BC2B271" w:rsidR="00D37B73" w:rsidRDefault="00C60C59" w:rsidP="0047677D">
            <w:r>
              <w:t>22,785</w:t>
            </w:r>
          </w:p>
        </w:tc>
        <w:tc>
          <w:tcPr>
            <w:tcW w:w="1596" w:type="dxa"/>
          </w:tcPr>
          <w:p w14:paraId="630CE554" w14:textId="38D06D1C" w:rsidR="00D37B73" w:rsidRPr="001D0AC3" w:rsidRDefault="00C60C59" w:rsidP="0047677D">
            <w:r w:rsidRPr="00C60C59">
              <w:t>25,302</w:t>
            </w:r>
          </w:p>
        </w:tc>
      </w:tr>
      <w:tr w:rsidR="00D37B73" w14:paraId="4CB7CA85" w14:textId="77777777" w:rsidTr="00454181">
        <w:tc>
          <w:tcPr>
            <w:tcW w:w="3692" w:type="dxa"/>
          </w:tcPr>
          <w:p w14:paraId="6195D5CB" w14:textId="3B1ECFC3" w:rsidR="00D37B73" w:rsidRDefault="00D37B73" w:rsidP="0047677D">
            <w:r>
              <w:t>Family</w:t>
            </w:r>
            <w:r w:rsidR="00C60C59">
              <w:t>, Youth</w:t>
            </w:r>
            <w:r w:rsidR="00AC0D29">
              <w:t xml:space="preserve"> and Children</w:t>
            </w:r>
          </w:p>
        </w:tc>
        <w:tc>
          <w:tcPr>
            <w:tcW w:w="1596" w:type="dxa"/>
          </w:tcPr>
          <w:p w14:paraId="4C37C4B5" w14:textId="4001A158" w:rsidR="00D37B73" w:rsidRDefault="00C60C59" w:rsidP="0047677D">
            <w:r>
              <w:t>12,995</w:t>
            </w:r>
          </w:p>
        </w:tc>
        <w:tc>
          <w:tcPr>
            <w:tcW w:w="1596" w:type="dxa"/>
          </w:tcPr>
          <w:p w14:paraId="128231A4" w14:textId="25C37A6A" w:rsidR="00D37B73" w:rsidRDefault="00C60C59" w:rsidP="0047677D">
            <w:r>
              <w:t>13,226</w:t>
            </w:r>
          </w:p>
        </w:tc>
        <w:tc>
          <w:tcPr>
            <w:tcW w:w="1596" w:type="dxa"/>
          </w:tcPr>
          <w:p w14:paraId="27B72AE9" w14:textId="58617EBA" w:rsidR="00D37B73" w:rsidRDefault="00C60C59" w:rsidP="0047677D">
            <w:r>
              <w:t>14,415</w:t>
            </w:r>
          </w:p>
        </w:tc>
        <w:tc>
          <w:tcPr>
            <w:tcW w:w="1596" w:type="dxa"/>
          </w:tcPr>
          <w:p w14:paraId="38F5E750" w14:textId="4E56E3ED" w:rsidR="00D37B73" w:rsidRPr="001D0AC3" w:rsidRDefault="00C60C59" w:rsidP="0047677D">
            <w:r w:rsidRPr="00C60C59">
              <w:t>15,178</w:t>
            </w:r>
          </w:p>
        </w:tc>
      </w:tr>
      <w:tr w:rsidR="00D37B73" w14:paraId="00EC6376" w14:textId="77777777" w:rsidTr="00454181">
        <w:tc>
          <w:tcPr>
            <w:tcW w:w="3692" w:type="dxa"/>
            <w:tcBorders>
              <w:bottom w:val="single" w:sz="4" w:space="0" w:color="auto"/>
            </w:tcBorders>
          </w:tcPr>
          <w:p w14:paraId="41E11DB8" w14:textId="77777777" w:rsidR="00D37B73" w:rsidRDefault="00D37B73" w:rsidP="0047677D">
            <w:r>
              <w:t>Civil</w:t>
            </w:r>
          </w:p>
        </w:tc>
        <w:tc>
          <w:tcPr>
            <w:tcW w:w="1596" w:type="dxa"/>
            <w:tcBorders>
              <w:bottom w:val="single" w:sz="4" w:space="0" w:color="auto"/>
            </w:tcBorders>
          </w:tcPr>
          <w:p w14:paraId="743DE7AB" w14:textId="3B1E7807" w:rsidR="00D37B73" w:rsidRDefault="00454181" w:rsidP="0047677D">
            <w:r>
              <w:t>1,112</w:t>
            </w:r>
          </w:p>
        </w:tc>
        <w:tc>
          <w:tcPr>
            <w:tcW w:w="1596" w:type="dxa"/>
            <w:tcBorders>
              <w:bottom w:val="single" w:sz="4" w:space="0" w:color="auto"/>
            </w:tcBorders>
          </w:tcPr>
          <w:p w14:paraId="05ED846F" w14:textId="49377361" w:rsidR="00D37B73" w:rsidRDefault="00454181" w:rsidP="0047677D">
            <w:r>
              <w:t>1,329</w:t>
            </w:r>
          </w:p>
        </w:tc>
        <w:tc>
          <w:tcPr>
            <w:tcW w:w="1596" w:type="dxa"/>
            <w:tcBorders>
              <w:bottom w:val="single" w:sz="4" w:space="0" w:color="auto"/>
            </w:tcBorders>
          </w:tcPr>
          <w:p w14:paraId="03FE4CCD" w14:textId="2F4E2AA3" w:rsidR="00D37B73" w:rsidRDefault="00454181" w:rsidP="0047677D">
            <w:r>
              <w:t>1,145</w:t>
            </w:r>
          </w:p>
        </w:tc>
        <w:tc>
          <w:tcPr>
            <w:tcW w:w="1596" w:type="dxa"/>
            <w:tcBorders>
              <w:bottom w:val="single" w:sz="4" w:space="0" w:color="auto"/>
            </w:tcBorders>
          </w:tcPr>
          <w:p w14:paraId="4DD509F9" w14:textId="00BF60DB" w:rsidR="00D37B73" w:rsidRPr="001D0AC3" w:rsidRDefault="00454181" w:rsidP="0047677D">
            <w:r w:rsidRPr="00454181">
              <w:t>1,158</w:t>
            </w:r>
          </w:p>
        </w:tc>
      </w:tr>
      <w:tr w:rsidR="00D37B73" w14:paraId="03489554" w14:textId="77777777" w:rsidTr="00454181">
        <w:tc>
          <w:tcPr>
            <w:tcW w:w="3692" w:type="dxa"/>
            <w:shd w:val="clear" w:color="auto" w:fill="F2F2F2" w:themeFill="background1" w:themeFillShade="F2"/>
          </w:tcPr>
          <w:p w14:paraId="07B05CB8" w14:textId="77777777" w:rsidR="00D37B73" w:rsidRPr="00D37B73" w:rsidRDefault="00D37B73" w:rsidP="0047677D">
            <w:pPr>
              <w:rPr>
                <w:b/>
              </w:rPr>
            </w:pPr>
            <w:r w:rsidRPr="00D37B73">
              <w:rPr>
                <w:b/>
              </w:rPr>
              <w:t>Totals</w:t>
            </w:r>
          </w:p>
        </w:tc>
        <w:tc>
          <w:tcPr>
            <w:tcW w:w="1596" w:type="dxa"/>
            <w:shd w:val="clear" w:color="auto" w:fill="F2F2F2" w:themeFill="background1" w:themeFillShade="F2"/>
          </w:tcPr>
          <w:p w14:paraId="13E1B0D3" w14:textId="4072B5E1" w:rsidR="00D37B73" w:rsidRDefault="00CC6203" w:rsidP="0047677D">
            <w:r>
              <w:t>33,463</w:t>
            </w:r>
          </w:p>
        </w:tc>
        <w:tc>
          <w:tcPr>
            <w:tcW w:w="1596" w:type="dxa"/>
            <w:shd w:val="clear" w:color="auto" w:fill="F2F2F2" w:themeFill="background1" w:themeFillShade="F2"/>
          </w:tcPr>
          <w:p w14:paraId="5449538C" w14:textId="25BD859E" w:rsidR="00D37B73" w:rsidRDefault="00CC6203" w:rsidP="0047677D">
            <w:r>
              <w:t>34,681</w:t>
            </w:r>
          </w:p>
        </w:tc>
        <w:tc>
          <w:tcPr>
            <w:tcW w:w="1596" w:type="dxa"/>
            <w:shd w:val="clear" w:color="auto" w:fill="F2F2F2" w:themeFill="background1" w:themeFillShade="F2"/>
          </w:tcPr>
          <w:p w14:paraId="1C170F98" w14:textId="4D0CF92D" w:rsidR="00D37B73" w:rsidRDefault="00D47D04" w:rsidP="0047677D">
            <w:r>
              <w:t>38,345</w:t>
            </w:r>
          </w:p>
        </w:tc>
        <w:tc>
          <w:tcPr>
            <w:tcW w:w="1596" w:type="dxa"/>
            <w:shd w:val="clear" w:color="auto" w:fill="F2F2F2" w:themeFill="background1" w:themeFillShade="F2"/>
          </w:tcPr>
          <w:p w14:paraId="3BBE0167" w14:textId="493590F0" w:rsidR="00D37B73" w:rsidRPr="001D0AC3" w:rsidRDefault="00D47D04" w:rsidP="0047677D">
            <w:r w:rsidRPr="00D47D04">
              <w:t>41,638</w:t>
            </w:r>
          </w:p>
        </w:tc>
      </w:tr>
      <w:tr w:rsidR="00D37B73" w14:paraId="497D7008" w14:textId="77777777" w:rsidTr="00454181">
        <w:tc>
          <w:tcPr>
            <w:tcW w:w="3692" w:type="dxa"/>
            <w:shd w:val="clear" w:color="auto" w:fill="F2F2F2" w:themeFill="background1" w:themeFillShade="F2"/>
          </w:tcPr>
          <w:p w14:paraId="129560E1" w14:textId="77777777" w:rsidR="00D37B73" w:rsidRPr="00D37B73" w:rsidRDefault="00D37B73" w:rsidP="0047677D">
            <w:pPr>
              <w:rPr>
                <w:b/>
              </w:rPr>
            </w:pPr>
            <w:r w:rsidRPr="00D37B73">
              <w:rPr>
                <w:b/>
              </w:rPr>
              <w:t>Growth</w:t>
            </w:r>
          </w:p>
        </w:tc>
        <w:tc>
          <w:tcPr>
            <w:tcW w:w="1596" w:type="dxa"/>
            <w:shd w:val="clear" w:color="auto" w:fill="F2F2F2" w:themeFill="background1" w:themeFillShade="F2"/>
          </w:tcPr>
          <w:p w14:paraId="07B25569" w14:textId="77777777" w:rsidR="00D37B73" w:rsidRPr="00D37B73" w:rsidRDefault="0086035E" w:rsidP="0047677D">
            <w:pPr>
              <w:rPr>
                <w:highlight w:val="yellow"/>
              </w:rPr>
            </w:pPr>
            <w:r w:rsidRPr="0086035E">
              <w:t>-</w:t>
            </w:r>
          </w:p>
        </w:tc>
        <w:tc>
          <w:tcPr>
            <w:tcW w:w="1596" w:type="dxa"/>
            <w:shd w:val="clear" w:color="auto" w:fill="F2F2F2" w:themeFill="background1" w:themeFillShade="F2"/>
          </w:tcPr>
          <w:p w14:paraId="5F835411" w14:textId="3D9C6E35" w:rsidR="00D37B73" w:rsidRDefault="00D47D04" w:rsidP="0047677D">
            <w:r>
              <w:t>3.6</w:t>
            </w:r>
            <w:r w:rsidR="00CC6203">
              <w:t>%</w:t>
            </w:r>
          </w:p>
        </w:tc>
        <w:tc>
          <w:tcPr>
            <w:tcW w:w="1596" w:type="dxa"/>
            <w:shd w:val="clear" w:color="auto" w:fill="F2F2F2" w:themeFill="background1" w:themeFillShade="F2"/>
          </w:tcPr>
          <w:p w14:paraId="4C3CEF7C" w14:textId="5BA04E1E" w:rsidR="00D37B73" w:rsidRDefault="00D47D04" w:rsidP="0047677D">
            <w:r>
              <w:t>10.6%</w:t>
            </w:r>
          </w:p>
        </w:tc>
        <w:tc>
          <w:tcPr>
            <w:tcW w:w="1596" w:type="dxa"/>
            <w:shd w:val="clear" w:color="auto" w:fill="F2F2F2" w:themeFill="background1" w:themeFillShade="F2"/>
          </w:tcPr>
          <w:p w14:paraId="58BC43AF" w14:textId="441814CD" w:rsidR="00D37B73" w:rsidRDefault="00D47D04" w:rsidP="0047677D">
            <w:r>
              <w:t>9%</w:t>
            </w:r>
          </w:p>
        </w:tc>
      </w:tr>
    </w:tbl>
    <w:p w14:paraId="6C3FCC7A" w14:textId="4C697A3B" w:rsidR="0047677D" w:rsidRPr="00B25FBB" w:rsidRDefault="00F678AC" w:rsidP="00D37B73">
      <w:pPr>
        <w:pStyle w:val="Heading4"/>
      </w:pPr>
      <w:r>
        <w:t>Spotlight</w:t>
      </w:r>
      <w:r w:rsidR="00A20083">
        <w:t>—</w:t>
      </w:r>
      <w:r w:rsidR="001B5704">
        <w:t xml:space="preserve">summary crime and child protection </w:t>
      </w:r>
    </w:p>
    <w:p w14:paraId="7587E97B" w14:textId="57CFBB2C" w:rsidR="005B369D" w:rsidRDefault="00181BEE" w:rsidP="0047677D">
      <w:r>
        <w:t>Table</w:t>
      </w:r>
      <w:r w:rsidR="001B5704" w:rsidRPr="001B5704">
        <w:rPr>
          <w:i/>
        </w:rPr>
        <w:t xml:space="preserve"> Spotlight</w:t>
      </w:r>
      <w:r w:rsidR="00A20083">
        <w:rPr>
          <w:i/>
        </w:rPr>
        <w:t>—</w:t>
      </w:r>
      <w:r w:rsidR="001B5704" w:rsidRPr="001B5704">
        <w:rPr>
          <w:i/>
        </w:rPr>
        <w:t>summary crime and child protection</w:t>
      </w:r>
      <w:r w:rsidR="001B5704" w:rsidRPr="001B5704">
        <w:t xml:space="preserve"> </w:t>
      </w:r>
      <w:r w:rsidR="001B5704">
        <w:t xml:space="preserve">illustrates the steep increases for grants of legal assistance in child protection and summary crime. </w:t>
      </w:r>
    </w:p>
    <w:p w14:paraId="6AF08C45" w14:textId="65040019" w:rsidR="002F33F4" w:rsidRDefault="005B369D" w:rsidP="002F33F4">
      <w:r>
        <w:t xml:space="preserve">The growth in summary crime </w:t>
      </w:r>
      <w:r w:rsidR="006F2363" w:rsidRPr="00A52418">
        <w:rPr>
          <w:rFonts w:cs="Arial"/>
        </w:rPr>
        <w:t>can be attributed to several factors, including higher crime rate</w:t>
      </w:r>
      <w:r w:rsidR="002F33F4">
        <w:rPr>
          <w:rFonts w:cs="Arial"/>
        </w:rPr>
        <w:t>s</w:t>
      </w:r>
      <w:r w:rsidR="006F2363" w:rsidRPr="00A52418">
        <w:rPr>
          <w:rFonts w:cs="Arial"/>
        </w:rPr>
        <w:t xml:space="preserve"> in the community, increases in front</w:t>
      </w:r>
      <w:r>
        <w:rPr>
          <w:rFonts w:cs="Arial"/>
        </w:rPr>
        <w:t xml:space="preserve"> </w:t>
      </w:r>
      <w:r w:rsidR="006F2363" w:rsidRPr="00A52418">
        <w:rPr>
          <w:rFonts w:cs="Arial"/>
        </w:rPr>
        <w:t xml:space="preserve">line police numbers, </w:t>
      </w:r>
      <w:r w:rsidR="00194462" w:rsidRPr="00A52418">
        <w:rPr>
          <w:rFonts w:cs="Arial"/>
        </w:rPr>
        <w:t xml:space="preserve">increases in </w:t>
      </w:r>
      <w:r w:rsidR="00194462">
        <w:rPr>
          <w:rFonts w:cs="Arial"/>
        </w:rPr>
        <w:t xml:space="preserve">prosecutions of </w:t>
      </w:r>
      <w:r w:rsidR="00194462" w:rsidRPr="00A52418">
        <w:rPr>
          <w:rFonts w:cs="Arial"/>
        </w:rPr>
        <w:t>breach</w:t>
      </w:r>
      <w:r w:rsidR="00194462">
        <w:rPr>
          <w:rFonts w:cs="Arial"/>
        </w:rPr>
        <w:t>es</w:t>
      </w:r>
      <w:r w:rsidR="00194462" w:rsidRPr="00A52418">
        <w:rPr>
          <w:rFonts w:cs="Arial"/>
        </w:rPr>
        <w:t xml:space="preserve"> </w:t>
      </w:r>
      <w:r w:rsidR="006F2363" w:rsidRPr="00A52418">
        <w:rPr>
          <w:rFonts w:cs="Arial"/>
        </w:rPr>
        <w:t>of family violence intervention order</w:t>
      </w:r>
      <w:r w:rsidR="006F2363">
        <w:rPr>
          <w:rFonts w:cs="Arial"/>
        </w:rPr>
        <w:t>s</w:t>
      </w:r>
      <w:r w:rsidR="006F2363" w:rsidRPr="00A52418">
        <w:rPr>
          <w:rFonts w:cs="Arial"/>
        </w:rPr>
        <w:t xml:space="preserve"> and family violence matters drawing harsher penalties at </w:t>
      </w:r>
      <w:r w:rsidR="006F2363">
        <w:rPr>
          <w:rFonts w:cs="Arial"/>
        </w:rPr>
        <w:t>c</w:t>
      </w:r>
      <w:r w:rsidR="006F2363" w:rsidRPr="00A52418">
        <w:rPr>
          <w:rFonts w:cs="Arial"/>
        </w:rPr>
        <w:t>ourt requiring grants of legal assistance.</w:t>
      </w:r>
      <w:r w:rsidR="00546EAF">
        <w:rPr>
          <w:rFonts w:cs="Arial"/>
        </w:rPr>
        <w:t xml:space="preserve"> </w:t>
      </w:r>
      <w:r w:rsidR="002F33F4">
        <w:t xml:space="preserve">In June, we released an independent review of our adult criminal law services in the Magistrates’ Court. </w:t>
      </w:r>
      <w:r w:rsidR="002F33F4" w:rsidRPr="006C59E1">
        <w:rPr>
          <w:color w:val="000000" w:themeColor="text1"/>
        </w:rPr>
        <w:t xml:space="preserve">The report makes 23 recommendations about what is required to repair the summary crime system and create a space for </w:t>
      </w:r>
      <w:r w:rsidR="002F33F4">
        <w:t xml:space="preserve">‘better justice, every day’. We are working closely with police, the courts and government to come together and make a concerted effort to reform the system for clients, victims and those who work in the system day in, day out. </w:t>
      </w:r>
    </w:p>
    <w:p w14:paraId="2673A4A4" w14:textId="77777777" w:rsidR="00194462" w:rsidRDefault="00194462" w:rsidP="00194462">
      <w:pPr>
        <w:pStyle w:val="Heading5"/>
        <w:rPr>
          <w:b w:val="0"/>
        </w:rPr>
      </w:pPr>
      <w:r>
        <w:rPr>
          <w:b w:val="0"/>
        </w:rPr>
        <w:t xml:space="preserve">The spike in child protection grants of legal assistance is a result </w:t>
      </w:r>
      <w:r w:rsidRPr="00546EAF">
        <w:rPr>
          <w:b w:val="0"/>
        </w:rPr>
        <w:t>of additional child protection workers and</w:t>
      </w:r>
      <w:r>
        <w:rPr>
          <w:b w:val="0"/>
        </w:rPr>
        <w:t xml:space="preserve"> additional child protection activity driven in part by the increased response to family violence incidents</w:t>
      </w:r>
      <w:r w:rsidRPr="00546EAF">
        <w:rPr>
          <w:b w:val="0"/>
        </w:rPr>
        <w:t xml:space="preserve">. We </w:t>
      </w:r>
      <w:r>
        <w:rPr>
          <w:b w:val="0"/>
        </w:rPr>
        <w:t xml:space="preserve">have </w:t>
      </w:r>
      <w:r w:rsidRPr="00546EAF">
        <w:rPr>
          <w:b w:val="0"/>
        </w:rPr>
        <w:t>finalis</w:t>
      </w:r>
      <w:r>
        <w:rPr>
          <w:b w:val="0"/>
        </w:rPr>
        <w:t>ed</w:t>
      </w:r>
      <w:r w:rsidRPr="00546EAF">
        <w:rPr>
          <w:b w:val="0"/>
        </w:rPr>
        <w:t xml:space="preserve"> a </w:t>
      </w:r>
      <w:r>
        <w:rPr>
          <w:b w:val="0"/>
        </w:rPr>
        <w:t xml:space="preserve">comprehensive </w:t>
      </w:r>
      <w:r w:rsidRPr="00546EAF">
        <w:rPr>
          <w:b w:val="0"/>
        </w:rPr>
        <w:t xml:space="preserve">review of child protection </w:t>
      </w:r>
      <w:r>
        <w:rPr>
          <w:b w:val="0"/>
        </w:rPr>
        <w:t xml:space="preserve">legal aid </w:t>
      </w:r>
      <w:r w:rsidRPr="00546EAF">
        <w:rPr>
          <w:b w:val="0"/>
        </w:rPr>
        <w:t>service</w:t>
      </w:r>
      <w:r>
        <w:rPr>
          <w:b w:val="0"/>
        </w:rPr>
        <w:t>s</w:t>
      </w:r>
      <w:r w:rsidRPr="00546EAF">
        <w:rPr>
          <w:b w:val="0"/>
        </w:rPr>
        <w:t xml:space="preserve"> and </w:t>
      </w:r>
      <w:r>
        <w:rPr>
          <w:b w:val="0"/>
        </w:rPr>
        <w:t xml:space="preserve">will </w:t>
      </w:r>
      <w:r w:rsidRPr="00546EAF">
        <w:rPr>
          <w:b w:val="0"/>
        </w:rPr>
        <w:t xml:space="preserve">begin implementation of the recommendations </w:t>
      </w:r>
      <w:r>
        <w:rPr>
          <w:b w:val="0"/>
        </w:rPr>
        <w:t xml:space="preserve">this </w:t>
      </w:r>
      <w:r w:rsidRPr="00546EAF">
        <w:rPr>
          <w:b w:val="0"/>
        </w:rPr>
        <w:t xml:space="preserve">year. </w:t>
      </w:r>
    </w:p>
    <w:p w14:paraId="75861BD6" w14:textId="528C4FD1" w:rsidR="00963878" w:rsidRDefault="00963878">
      <w:pPr>
        <w:spacing w:after="0" w:line="240" w:lineRule="auto"/>
      </w:pPr>
      <w:r>
        <w:rPr>
          <w:b/>
        </w:rPr>
        <w:br w:type="page"/>
      </w:r>
    </w:p>
    <w:p w14:paraId="23595C2B" w14:textId="2F89EDBC" w:rsidR="001B5704" w:rsidRPr="00B25FBB" w:rsidRDefault="001B5704" w:rsidP="001B5704">
      <w:pPr>
        <w:pStyle w:val="Heading5"/>
      </w:pPr>
      <w:r>
        <w:lastRenderedPageBreak/>
        <w:t xml:space="preserve">Table: </w:t>
      </w:r>
      <w:r w:rsidRPr="001B5704">
        <w:t>Spotlight</w:t>
      </w:r>
      <w:r w:rsidR="00A20083">
        <w:t>—</w:t>
      </w:r>
      <w:r w:rsidRPr="001B5704">
        <w:t>summary crime and child protection</w:t>
      </w:r>
    </w:p>
    <w:tbl>
      <w:tblPr>
        <w:tblStyle w:val="TableGrid"/>
        <w:tblW w:w="0" w:type="auto"/>
        <w:tblLook w:val="04A0" w:firstRow="1" w:lastRow="0" w:firstColumn="1" w:lastColumn="0" w:noHBand="0" w:noVBand="1"/>
      </w:tblPr>
      <w:tblGrid>
        <w:gridCol w:w="3692"/>
        <w:gridCol w:w="1596"/>
        <w:gridCol w:w="1596"/>
        <w:gridCol w:w="1596"/>
        <w:gridCol w:w="1596"/>
      </w:tblGrid>
      <w:tr w:rsidR="00B25FBB" w:rsidRPr="00B25FBB" w14:paraId="5E0EBDAF" w14:textId="77777777" w:rsidTr="00B25FBB">
        <w:trPr>
          <w:tblHeader/>
        </w:trPr>
        <w:tc>
          <w:tcPr>
            <w:tcW w:w="3692" w:type="dxa"/>
            <w:shd w:val="clear" w:color="auto" w:fill="D9D9D9" w:themeFill="background1" w:themeFillShade="D9"/>
          </w:tcPr>
          <w:p w14:paraId="657C9EE0" w14:textId="77777777" w:rsidR="00B25FBB" w:rsidRPr="00B25FBB" w:rsidRDefault="00B25FBB" w:rsidP="00B25FBB">
            <w:pPr>
              <w:rPr>
                <w:b/>
              </w:rPr>
            </w:pPr>
            <w:r w:rsidRPr="00B25FBB">
              <w:rPr>
                <w:b/>
              </w:rPr>
              <w:t>Grants of legal assistance</w:t>
            </w:r>
          </w:p>
        </w:tc>
        <w:tc>
          <w:tcPr>
            <w:tcW w:w="1596" w:type="dxa"/>
            <w:shd w:val="clear" w:color="auto" w:fill="D9D9D9" w:themeFill="background1" w:themeFillShade="D9"/>
          </w:tcPr>
          <w:p w14:paraId="78E7EDE9" w14:textId="6B92BD18" w:rsidR="00B25FBB" w:rsidRPr="00B25FBB" w:rsidRDefault="00B25FBB" w:rsidP="00B25FBB">
            <w:pPr>
              <w:rPr>
                <w:b/>
              </w:rPr>
            </w:pPr>
            <w:r>
              <w:rPr>
                <w:b/>
              </w:rPr>
              <w:t>2013–14</w:t>
            </w:r>
          </w:p>
        </w:tc>
        <w:tc>
          <w:tcPr>
            <w:tcW w:w="1596" w:type="dxa"/>
            <w:shd w:val="clear" w:color="auto" w:fill="D9D9D9" w:themeFill="background1" w:themeFillShade="D9"/>
          </w:tcPr>
          <w:p w14:paraId="749EEB1E" w14:textId="34955758" w:rsidR="00B25FBB" w:rsidRPr="00B25FBB" w:rsidRDefault="00B25FBB" w:rsidP="00B25FBB">
            <w:pPr>
              <w:rPr>
                <w:b/>
              </w:rPr>
            </w:pPr>
            <w:r>
              <w:rPr>
                <w:b/>
              </w:rPr>
              <w:t>2014–15</w:t>
            </w:r>
          </w:p>
        </w:tc>
        <w:tc>
          <w:tcPr>
            <w:tcW w:w="1596" w:type="dxa"/>
            <w:shd w:val="clear" w:color="auto" w:fill="D9D9D9" w:themeFill="background1" w:themeFillShade="D9"/>
          </w:tcPr>
          <w:p w14:paraId="0FAED842" w14:textId="4592DDF0" w:rsidR="00B25FBB" w:rsidRPr="00B25FBB" w:rsidRDefault="00B25FBB" w:rsidP="00B25FBB">
            <w:pPr>
              <w:rPr>
                <w:b/>
              </w:rPr>
            </w:pPr>
            <w:r>
              <w:rPr>
                <w:b/>
              </w:rPr>
              <w:t>2015–16</w:t>
            </w:r>
          </w:p>
        </w:tc>
        <w:tc>
          <w:tcPr>
            <w:tcW w:w="1596" w:type="dxa"/>
            <w:shd w:val="clear" w:color="auto" w:fill="D9D9D9" w:themeFill="background1" w:themeFillShade="D9"/>
          </w:tcPr>
          <w:p w14:paraId="41AB2748" w14:textId="2CB27FEC" w:rsidR="00B25FBB" w:rsidRPr="00B25FBB" w:rsidRDefault="00B25FBB" w:rsidP="00B25FBB">
            <w:pPr>
              <w:rPr>
                <w:b/>
              </w:rPr>
            </w:pPr>
            <w:r>
              <w:rPr>
                <w:b/>
              </w:rPr>
              <w:t>2016–17</w:t>
            </w:r>
          </w:p>
        </w:tc>
      </w:tr>
      <w:tr w:rsidR="00D37B73" w:rsidRPr="00B25FBB" w14:paraId="18CEABE0" w14:textId="77777777" w:rsidTr="00B25FBB">
        <w:tc>
          <w:tcPr>
            <w:tcW w:w="3692" w:type="dxa"/>
            <w:tcBorders>
              <w:bottom w:val="single" w:sz="4" w:space="0" w:color="auto"/>
            </w:tcBorders>
          </w:tcPr>
          <w:p w14:paraId="768FDC2E" w14:textId="77777777" w:rsidR="00D37B73" w:rsidRPr="00B25FBB" w:rsidRDefault="00D37B73" w:rsidP="0047677D">
            <w:r w:rsidRPr="00B25FBB">
              <w:t>Child protection</w:t>
            </w:r>
          </w:p>
        </w:tc>
        <w:tc>
          <w:tcPr>
            <w:tcW w:w="1596" w:type="dxa"/>
            <w:tcBorders>
              <w:bottom w:val="single" w:sz="4" w:space="0" w:color="auto"/>
            </w:tcBorders>
          </w:tcPr>
          <w:p w14:paraId="07FEC959" w14:textId="7A2FF36E" w:rsidR="00D37B73" w:rsidRPr="00B25FBB" w:rsidRDefault="002F612B" w:rsidP="0047677D">
            <w:r w:rsidRPr="002F612B">
              <w:t>6,193</w:t>
            </w:r>
          </w:p>
        </w:tc>
        <w:tc>
          <w:tcPr>
            <w:tcW w:w="1596" w:type="dxa"/>
            <w:tcBorders>
              <w:bottom w:val="single" w:sz="4" w:space="0" w:color="auto"/>
            </w:tcBorders>
          </w:tcPr>
          <w:p w14:paraId="547F1FE4" w14:textId="15A55671" w:rsidR="00D37B73" w:rsidRPr="00B25FBB" w:rsidRDefault="002F612B" w:rsidP="0047677D">
            <w:r w:rsidRPr="002F612B">
              <w:t>6,704</w:t>
            </w:r>
          </w:p>
        </w:tc>
        <w:tc>
          <w:tcPr>
            <w:tcW w:w="1596" w:type="dxa"/>
            <w:tcBorders>
              <w:bottom w:val="single" w:sz="4" w:space="0" w:color="auto"/>
            </w:tcBorders>
          </w:tcPr>
          <w:p w14:paraId="2BF74F63" w14:textId="0800B3E3" w:rsidR="00D37B73" w:rsidRPr="00B25FBB" w:rsidRDefault="0012455D" w:rsidP="0047677D">
            <w:r>
              <w:t>7,718</w:t>
            </w:r>
          </w:p>
        </w:tc>
        <w:tc>
          <w:tcPr>
            <w:tcW w:w="1596" w:type="dxa"/>
            <w:tcBorders>
              <w:bottom w:val="single" w:sz="4" w:space="0" w:color="auto"/>
            </w:tcBorders>
          </w:tcPr>
          <w:p w14:paraId="49AD4F79" w14:textId="3E134E9D" w:rsidR="00D37B73" w:rsidRPr="00B25FBB" w:rsidRDefault="0012455D" w:rsidP="0047677D">
            <w:r w:rsidRPr="0012455D">
              <w:t>8,206</w:t>
            </w:r>
          </w:p>
        </w:tc>
      </w:tr>
      <w:tr w:rsidR="00D37B73" w:rsidRPr="00B25FBB" w14:paraId="2795403B" w14:textId="77777777" w:rsidTr="00B25FBB">
        <w:tc>
          <w:tcPr>
            <w:tcW w:w="3692" w:type="dxa"/>
            <w:shd w:val="clear" w:color="auto" w:fill="F2F2F2" w:themeFill="background1" w:themeFillShade="F2"/>
          </w:tcPr>
          <w:p w14:paraId="4BA47ED3" w14:textId="77777777" w:rsidR="00D37B73" w:rsidRPr="00B25FBB" w:rsidRDefault="00D37B73" w:rsidP="0047677D">
            <w:pPr>
              <w:rPr>
                <w:b/>
              </w:rPr>
            </w:pPr>
            <w:r w:rsidRPr="00B25FBB">
              <w:rPr>
                <w:b/>
              </w:rPr>
              <w:t>Growth</w:t>
            </w:r>
          </w:p>
        </w:tc>
        <w:tc>
          <w:tcPr>
            <w:tcW w:w="1596" w:type="dxa"/>
            <w:shd w:val="clear" w:color="auto" w:fill="F2F2F2" w:themeFill="background1" w:themeFillShade="F2"/>
          </w:tcPr>
          <w:p w14:paraId="00A24550" w14:textId="1C51446C" w:rsidR="00D37B73" w:rsidRPr="00B25FBB" w:rsidRDefault="001769BA" w:rsidP="0047677D">
            <w:r>
              <w:t xml:space="preserve">- </w:t>
            </w:r>
          </w:p>
        </w:tc>
        <w:tc>
          <w:tcPr>
            <w:tcW w:w="1596" w:type="dxa"/>
            <w:shd w:val="clear" w:color="auto" w:fill="F2F2F2" w:themeFill="background1" w:themeFillShade="F2"/>
          </w:tcPr>
          <w:p w14:paraId="6C49CDAD" w14:textId="5E18558F" w:rsidR="00D37B73" w:rsidRPr="00B25FBB" w:rsidRDefault="002F612B" w:rsidP="0047677D">
            <w:r>
              <w:t>7.6%</w:t>
            </w:r>
          </w:p>
        </w:tc>
        <w:tc>
          <w:tcPr>
            <w:tcW w:w="1596" w:type="dxa"/>
            <w:shd w:val="clear" w:color="auto" w:fill="F2F2F2" w:themeFill="background1" w:themeFillShade="F2"/>
          </w:tcPr>
          <w:p w14:paraId="666447DA" w14:textId="6395B8EB" w:rsidR="00D37B73" w:rsidRPr="00B25FBB" w:rsidRDefault="0012455D" w:rsidP="0047677D">
            <w:r>
              <w:t>15.1%</w:t>
            </w:r>
          </w:p>
        </w:tc>
        <w:tc>
          <w:tcPr>
            <w:tcW w:w="1596" w:type="dxa"/>
            <w:shd w:val="clear" w:color="auto" w:fill="F2F2F2" w:themeFill="background1" w:themeFillShade="F2"/>
          </w:tcPr>
          <w:p w14:paraId="3025720E" w14:textId="0625E10E" w:rsidR="00D37B73" w:rsidRPr="00B25FBB" w:rsidRDefault="0012455D" w:rsidP="0047677D">
            <w:r>
              <w:t>6.3%</w:t>
            </w:r>
          </w:p>
        </w:tc>
      </w:tr>
      <w:tr w:rsidR="00D37B73" w:rsidRPr="00B25FBB" w14:paraId="63FF304E" w14:textId="77777777" w:rsidTr="00B25FBB">
        <w:tc>
          <w:tcPr>
            <w:tcW w:w="3692" w:type="dxa"/>
            <w:tcBorders>
              <w:bottom w:val="single" w:sz="4" w:space="0" w:color="auto"/>
            </w:tcBorders>
          </w:tcPr>
          <w:p w14:paraId="23CDD34E" w14:textId="77777777" w:rsidR="00D37B73" w:rsidRPr="00B25FBB" w:rsidRDefault="00D37B73" w:rsidP="0047677D">
            <w:r w:rsidRPr="00B25FBB">
              <w:t>Summary crime</w:t>
            </w:r>
          </w:p>
        </w:tc>
        <w:tc>
          <w:tcPr>
            <w:tcW w:w="1596" w:type="dxa"/>
            <w:tcBorders>
              <w:bottom w:val="single" w:sz="4" w:space="0" w:color="auto"/>
            </w:tcBorders>
          </w:tcPr>
          <w:p w14:paraId="2A300FD5" w14:textId="2883A31F" w:rsidR="00D37B73" w:rsidRPr="0056416D" w:rsidRDefault="002F612B" w:rsidP="0047677D">
            <w:r w:rsidRPr="0056416D">
              <w:t>11,911</w:t>
            </w:r>
          </w:p>
        </w:tc>
        <w:tc>
          <w:tcPr>
            <w:tcW w:w="1596" w:type="dxa"/>
            <w:tcBorders>
              <w:bottom w:val="single" w:sz="4" w:space="0" w:color="auto"/>
            </w:tcBorders>
          </w:tcPr>
          <w:p w14:paraId="10DC3693" w14:textId="383F646B" w:rsidR="00D37B73" w:rsidRPr="0056416D" w:rsidRDefault="002F612B" w:rsidP="0047677D">
            <w:r w:rsidRPr="0056416D">
              <w:t>12,604</w:t>
            </w:r>
          </w:p>
        </w:tc>
        <w:tc>
          <w:tcPr>
            <w:tcW w:w="1596" w:type="dxa"/>
            <w:tcBorders>
              <w:bottom w:val="single" w:sz="4" w:space="0" w:color="auto"/>
            </w:tcBorders>
          </w:tcPr>
          <w:p w14:paraId="6B2650DC" w14:textId="00B6FDA7" w:rsidR="00D37B73" w:rsidRPr="0056416D" w:rsidRDefault="0012455D" w:rsidP="0047677D">
            <w:r w:rsidRPr="0056416D">
              <w:t>14,591</w:t>
            </w:r>
          </w:p>
        </w:tc>
        <w:tc>
          <w:tcPr>
            <w:tcW w:w="1596" w:type="dxa"/>
            <w:tcBorders>
              <w:bottom w:val="single" w:sz="4" w:space="0" w:color="auto"/>
            </w:tcBorders>
          </w:tcPr>
          <w:p w14:paraId="37F8EF40" w14:textId="43D2D7CF" w:rsidR="00D37B73" w:rsidRPr="0056416D" w:rsidRDefault="0012455D" w:rsidP="0047677D">
            <w:r w:rsidRPr="0056416D">
              <w:t>16,502</w:t>
            </w:r>
          </w:p>
        </w:tc>
      </w:tr>
      <w:tr w:rsidR="00D37B73" w:rsidRPr="00B25FBB" w14:paraId="1DA035B8" w14:textId="77777777" w:rsidTr="00B25FBB">
        <w:tc>
          <w:tcPr>
            <w:tcW w:w="3692" w:type="dxa"/>
            <w:shd w:val="clear" w:color="auto" w:fill="F2F2F2" w:themeFill="background1" w:themeFillShade="F2"/>
          </w:tcPr>
          <w:p w14:paraId="4FED1A2B" w14:textId="77777777" w:rsidR="00D37B73" w:rsidRPr="00B25FBB" w:rsidRDefault="00D37B73" w:rsidP="0047677D">
            <w:pPr>
              <w:rPr>
                <w:b/>
              </w:rPr>
            </w:pPr>
            <w:r w:rsidRPr="00B25FBB">
              <w:rPr>
                <w:b/>
              </w:rPr>
              <w:t>Growth</w:t>
            </w:r>
          </w:p>
        </w:tc>
        <w:tc>
          <w:tcPr>
            <w:tcW w:w="1596" w:type="dxa"/>
            <w:shd w:val="clear" w:color="auto" w:fill="F2F2F2" w:themeFill="background1" w:themeFillShade="F2"/>
          </w:tcPr>
          <w:p w14:paraId="5611CACC" w14:textId="0F0C623A" w:rsidR="00D37B73" w:rsidRPr="00B25FBB" w:rsidRDefault="002F612B" w:rsidP="0047677D">
            <w:r>
              <w:t>-</w:t>
            </w:r>
          </w:p>
        </w:tc>
        <w:tc>
          <w:tcPr>
            <w:tcW w:w="1596" w:type="dxa"/>
            <w:shd w:val="clear" w:color="auto" w:fill="F2F2F2" w:themeFill="background1" w:themeFillShade="F2"/>
          </w:tcPr>
          <w:p w14:paraId="039DD286" w14:textId="45DB673B" w:rsidR="00D37B73" w:rsidRPr="00B25FBB" w:rsidRDefault="002F612B" w:rsidP="0047677D">
            <w:r>
              <w:t>5.5%</w:t>
            </w:r>
          </w:p>
        </w:tc>
        <w:tc>
          <w:tcPr>
            <w:tcW w:w="1596" w:type="dxa"/>
            <w:shd w:val="clear" w:color="auto" w:fill="F2F2F2" w:themeFill="background1" w:themeFillShade="F2"/>
          </w:tcPr>
          <w:p w14:paraId="58A20D0F" w14:textId="5E524795" w:rsidR="00D37B73" w:rsidRPr="00B25FBB" w:rsidRDefault="0012455D" w:rsidP="0047677D">
            <w:r>
              <w:t>15.8%</w:t>
            </w:r>
          </w:p>
        </w:tc>
        <w:tc>
          <w:tcPr>
            <w:tcW w:w="1596" w:type="dxa"/>
            <w:shd w:val="clear" w:color="auto" w:fill="F2F2F2" w:themeFill="background1" w:themeFillShade="F2"/>
          </w:tcPr>
          <w:p w14:paraId="5BDBE2FF" w14:textId="008EAA18" w:rsidR="00D37B73" w:rsidRPr="00B25FBB" w:rsidRDefault="0012455D" w:rsidP="0047677D">
            <w:r>
              <w:t>13.1%</w:t>
            </w:r>
          </w:p>
        </w:tc>
      </w:tr>
    </w:tbl>
    <w:p w14:paraId="34C25E66" w14:textId="04714024" w:rsidR="0047677D" w:rsidRDefault="0047677D" w:rsidP="00165F28">
      <w:pPr>
        <w:pStyle w:val="Heading3"/>
      </w:pPr>
      <w:r>
        <w:t>Who delivers our grants?</w:t>
      </w:r>
    </w:p>
    <w:p w14:paraId="54102350" w14:textId="7C519641" w:rsidR="00B25FBB" w:rsidRDefault="00B25FBB" w:rsidP="00B25FBB">
      <w:r>
        <w:t>In 2016–17</w:t>
      </w:r>
      <w:r w:rsidRPr="009316B1">
        <w:t>, 73</w:t>
      </w:r>
      <w:r>
        <w:t xml:space="preserve"> per cent of grants of legal assistance were assigned to private lawyers on our panels, </w:t>
      </w:r>
      <w:r w:rsidR="00ED6C1A">
        <w:t xml:space="preserve">a </w:t>
      </w:r>
      <w:r>
        <w:t>slight increase from 70 per cent last year. This included:</w:t>
      </w:r>
    </w:p>
    <w:p w14:paraId="0A2783CA" w14:textId="77777777" w:rsidR="00B25FBB" w:rsidRDefault="00B25FBB" w:rsidP="00B25FBB">
      <w:pPr>
        <w:pStyle w:val="ListParagraph"/>
        <w:numPr>
          <w:ilvl w:val="0"/>
          <w:numId w:val="39"/>
        </w:numPr>
        <w:ind w:left="714" w:hanging="357"/>
      </w:pPr>
      <w:r>
        <w:t>68 per cent of criminal law grants (65 per cent last year)</w:t>
      </w:r>
    </w:p>
    <w:p w14:paraId="28F79A0D" w14:textId="77777777" w:rsidR="00B25FBB" w:rsidRDefault="00B25FBB" w:rsidP="00B25FBB">
      <w:pPr>
        <w:pStyle w:val="ListParagraph"/>
        <w:numPr>
          <w:ilvl w:val="0"/>
          <w:numId w:val="39"/>
        </w:numPr>
        <w:ind w:left="714" w:hanging="357"/>
      </w:pPr>
      <w:r>
        <w:t>85 per cent of family and children’s law grants (82 per cent last year)</w:t>
      </w:r>
    </w:p>
    <w:p w14:paraId="3DDDAB01" w14:textId="77777777" w:rsidR="00B25FBB" w:rsidRDefault="00B25FBB" w:rsidP="00B25FBB">
      <w:pPr>
        <w:pStyle w:val="ListParagraph"/>
        <w:numPr>
          <w:ilvl w:val="0"/>
          <w:numId w:val="39"/>
        </w:numPr>
        <w:ind w:left="714" w:hanging="357"/>
      </w:pPr>
      <w:r>
        <w:t>18 per cent of civil law grants (18 per cent last year).</w:t>
      </w:r>
    </w:p>
    <w:p w14:paraId="1FAC43A7" w14:textId="2DCB7532" w:rsidR="0047677D" w:rsidRDefault="0047677D" w:rsidP="0047677D">
      <w:r>
        <w:t xml:space="preserve">This increased participation reflects </w:t>
      </w:r>
      <w:r w:rsidR="00ED6C1A">
        <w:t>private practitioners’</w:t>
      </w:r>
      <w:r>
        <w:t xml:space="preserve"> capacity to scale up quickly in response to increased demand.</w:t>
      </w:r>
    </w:p>
    <w:tbl>
      <w:tblPr>
        <w:tblStyle w:val="TableGrid"/>
        <w:tblW w:w="0" w:type="auto"/>
        <w:tblLook w:val="04A0" w:firstRow="1" w:lastRow="0" w:firstColumn="1" w:lastColumn="0" w:noHBand="0" w:noVBand="1"/>
      </w:tblPr>
      <w:tblGrid>
        <w:gridCol w:w="3692"/>
        <w:gridCol w:w="1596"/>
        <w:gridCol w:w="1596"/>
        <w:gridCol w:w="1596"/>
        <w:gridCol w:w="1596"/>
      </w:tblGrid>
      <w:tr w:rsidR="00454181" w:rsidRPr="00D37B73" w14:paraId="722F8BAA" w14:textId="77777777" w:rsidTr="00454181">
        <w:trPr>
          <w:tblHeader/>
        </w:trPr>
        <w:tc>
          <w:tcPr>
            <w:tcW w:w="3692" w:type="dxa"/>
            <w:shd w:val="clear" w:color="auto" w:fill="D9D9D9" w:themeFill="background1" w:themeFillShade="D9"/>
          </w:tcPr>
          <w:p w14:paraId="2EAC13EB" w14:textId="53C42F2B" w:rsidR="00454181" w:rsidRPr="00D37B73" w:rsidRDefault="00454181" w:rsidP="00454181">
            <w:pPr>
              <w:rPr>
                <w:b/>
              </w:rPr>
            </w:pPr>
            <w:r w:rsidRPr="00D37B73">
              <w:rPr>
                <w:b/>
              </w:rPr>
              <w:t>Grants of legal assistance</w:t>
            </w:r>
          </w:p>
        </w:tc>
        <w:tc>
          <w:tcPr>
            <w:tcW w:w="1596" w:type="dxa"/>
            <w:shd w:val="clear" w:color="auto" w:fill="D9D9D9" w:themeFill="background1" w:themeFillShade="D9"/>
          </w:tcPr>
          <w:p w14:paraId="1A84E555" w14:textId="5CAA171F" w:rsidR="00454181" w:rsidRPr="00D37B73" w:rsidRDefault="00454181" w:rsidP="00454181">
            <w:pPr>
              <w:rPr>
                <w:b/>
              </w:rPr>
            </w:pPr>
            <w:r>
              <w:rPr>
                <w:b/>
              </w:rPr>
              <w:t>2013–14</w:t>
            </w:r>
          </w:p>
        </w:tc>
        <w:tc>
          <w:tcPr>
            <w:tcW w:w="1596" w:type="dxa"/>
            <w:shd w:val="clear" w:color="auto" w:fill="D9D9D9" w:themeFill="background1" w:themeFillShade="D9"/>
          </w:tcPr>
          <w:p w14:paraId="775EA1E0" w14:textId="0BA9911F" w:rsidR="00454181" w:rsidRPr="00D37B73" w:rsidRDefault="00454181" w:rsidP="00454181">
            <w:pPr>
              <w:rPr>
                <w:b/>
              </w:rPr>
            </w:pPr>
            <w:r>
              <w:rPr>
                <w:b/>
              </w:rPr>
              <w:t>2014–15</w:t>
            </w:r>
          </w:p>
        </w:tc>
        <w:tc>
          <w:tcPr>
            <w:tcW w:w="1596" w:type="dxa"/>
            <w:shd w:val="clear" w:color="auto" w:fill="D9D9D9" w:themeFill="background1" w:themeFillShade="D9"/>
          </w:tcPr>
          <w:p w14:paraId="047510D4" w14:textId="0D7075E9" w:rsidR="00454181" w:rsidRPr="00D37B73" w:rsidRDefault="00454181" w:rsidP="00454181">
            <w:pPr>
              <w:rPr>
                <w:b/>
              </w:rPr>
            </w:pPr>
            <w:r>
              <w:rPr>
                <w:b/>
              </w:rPr>
              <w:t>2015–16</w:t>
            </w:r>
          </w:p>
        </w:tc>
        <w:tc>
          <w:tcPr>
            <w:tcW w:w="1596" w:type="dxa"/>
            <w:shd w:val="clear" w:color="auto" w:fill="D9D9D9" w:themeFill="background1" w:themeFillShade="D9"/>
          </w:tcPr>
          <w:p w14:paraId="1A1351A3" w14:textId="6AD53891" w:rsidR="00454181" w:rsidRPr="00D37B73" w:rsidRDefault="00454181" w:rsidP="00454181">
            <w:pPr>
              <w:rPr>
                <w:b/>
              </w:rPr>
            </w:pPr>
            <w:r>
              <w:rPr>
                <w:b/>
              </w:rPr>
              <w:t>2016–17</w:t>
            </w:r>
          </w:p>
        </w:tc>
      </w:tr>
      <w:tr w:rsidR="00AF1E9A" w14:paraId="2A00219A" w14:textId="77777777" w:rsidTr="00454181">
        <w:tc>
          <w:tcPr>
            <w:tcW w:w="3692" w:type="dxa"/>
          </w:tcPr>
          <w:p w14:paraId="250DF477" w14:textId="77777777" w:rsidR="00AF1E9A" w:rsidRPr="00D37B73" w:rsidRDefault="00AF1E9A" w:rsidP="00AF1E9A">
            <w:pPr>
              <w:rPr>
                <w:b/>
              </w:rPr>
            </w:pPr>
            <w:r>
              <w:t>In-house</w:t>
            </w:r>
          </w:p>
        </w:tc>
        <w:tc>
          <w:tcPr>
            <w:tcW w:w="1596" w:type="dxa"/>
          </w:tcPr>
          <w:p w14:paraId="23684EE0" w14:textId="1297FB1F" w:rsidR="00AF1E9A" w:rsidRDefault="00395D3F" w:rsidP="00AF1E9A">
            <w:r>
              <w:t>9,760</w:t>
            </w:r>
          </w:p>
        </w:tc>
        <w:tc>
          <w:tcPr>
            <w:tcW w:w="1596" w:type="dxa"/>
          </w:tcPr>
          <w:p w14:paraId="73A6B273" w14:textId="319005B4" w:rsidR="00AF1E9A" w:rsidRDefault="00AF1E9A" w:rsidP="00AF1E9A">
            <w:r>
              <w:t>11,176</w:t>
            </w:r>
          </w:p>
        </w:tc>
        <w:tc>
          <w:tcPr>
            <w:tcW w:w="1596" w:type="dxa"/>
          </w:tcPr>
          <w:p w14:paraId="5D18E621" w14:textId="343BE9E7" w:rsidR="00AF1E9A" w:rsidRDefault="00AF1E9A" w:rsidP="00AF1E9A">
            <w:r w:rsidRPr="00FA1E5A">
              <w:t>11,456</w:t>
            </w:r>
          </w:p>
        </w:tc>
        <w:tc>
          <w:tcPr>
            <w:tcW w:w="1596" w:type="dxa"/>
          </w:tcPr>
          <w:p w14:paraId="1F415FAD" w14:textId="558B2428" w:rsidR="00AF1E9A" w:rsidRPr="001D0AC3" w:rsidRDefault="00AF1E9A" w:rsidP="00AF1E9A">
            <w:r w:rsidRPr="00AE7CB4">
              <w:t>11,226</w:t>
            </w:r>
          </w:p>
        </w:tc>
      </w:tr>
      <w:tr w:rsidR="00AF1E9A" w14:paraId="4014F18F" w14:textId="77777777" w:rsidTr="00454181">
        <w:tc>
          <w:tcPr>
            <w:tcW w:w="3692" w:type="dxa"/>
            <w:tcBorders>
              <w:bottom w:val="single" w:sz="4" w:space="0" w:color="auto"/>
            </w:tcBorders>
          </w:tcPr>
          <w:p w14:paraId="6215DBCC" w14:textId="77777777" w:rsidR="00AF1E9A" w:rsidRDefault="00AF1E9A" w:rsidP="00AF1E9A">
            <w:r>
              <w:t>Private practitioner</w:t>
            </w:r>
          </w:p>
        </w:tc>
        <w:tc>
          <w:tcPr>
            <w:tcW w:w="1596" w:type="dxa"/>
            <w:tcBorders>
              <w:bottom w:val="single" w:sz="4" w:space="0" w:color="auto"/>
            </w:tcBorders>
          </w:tcPr>
          <w:p w14:paraId="7B9E0C8E" w14:textId="3EADA8AD" w:rsidR="00AF1E9A" w:rsidRDefault="00395D3F" w:rsidP="00AF1E9A">
            <w:r>
              <w:t>23,270</w:t>
            </w:r>
          </w:p>
        </w:tc>
        <w:tc>
          <w:tcPr>
            <w:tcW w:w="1596" w:type="dxa"/>
            <w:tcBorders>
              <w:bottom w:val="single" w:sz="4" w:space="0" w:color="auto"/>
            </w:tcBorders>
          </w:tcPr>
          <w:p w14:paraId="79548F8E" w14:textId="544416AD" w:rsidR="00AF1E9A" w:rsidRDefault="00AF1E9A" w:rsidP="00AF1E9A">
            <w:r>
              <w:t>23,097</w:t>
            </w:r>
          </w:p>
        </w:tc>
        <w:tc>
          <w:tcPr>
            <w:tcW w:w="1596" w:type="dxa"/>
            <w:tcBorders>
              <w:bottom w:val="single" w:sz="4" w:space="0" w:color="auto"/>
            </w:tcBorders>
          </w:tcPr>
          <w:p w14:paraId="3C14310C" w14:textId="79892466" w:rsidR="00AF1E9A" w:rsidRDefault="00AF1E9A" w:rsidP="00AF1E9A">
            <w:r w:rsidRPr="00FA1E5A">
              <w:t>26,360</w:t>
            </w:r>
          </w:p>
        </w:tc>
        <w:tc>
          <w:tcPr>
            <w:tcW w:w="1596" w:type="dxa"/>
            <w:tcBorders>
              <w:bottom w:val="single" w:sz="4" w:space="0" w:color="auto"/>
            </w:tcBorders>
          </w:tcPr>
          <w:p w14:paraId="6DAA79F1" w14:textId="55F6F8CF" w:rsidR="00AF1E9A" w:rsidRPr="001D0AC3" w:rsidRDefault="00AF1E9A" w:rsidP="00AF1E9A">
            <w:r w:rsidRPr="00AE7CB4">
              <w:t>29,735</w:t>
            </w:r>
          </w:p>
        </w:tc>
      </w:tr>
      <w:tr w:rsidR="00AF1E9A" w14:paraId="12AB32A1" w14:textId="77777777" w:rsidTr="00454181">
        <w:tc>
          <w:tcPr>
            <w:tcW w:w="3692" w:type="dxa"/>
            <w:tcBorders>
              <w:bottom w:val="single" w:sz="4" w:space="0" w:color="auto"/>
            </w:tcBorders>
          </w:tcPr>
          <w:p w14:paraId="36056376" w14:textId="10080411" w:rsidR="00AF1E9A" w:rsidRDefault="00AF1E9A" w:rsidP="00AF1E9A">
            <w:r>
              <w:t>Community legal centres</w:t>
            </w:r>
          </w:p>
        </w:tc>
        <w:tc>
          <w:tcPr>
            <w:tcW w:w="1596" w:type="dxa"/>
            <w:tcBorders>
              <w:bottom w:val="single" w:sz="4" w:space="0" w:color="auto"/>
            </w:tcBorders>
          </w:tcPr>
          <w:p w14:paraId="07C56B08" w14:textId="7A09AD26" w:rsidR="00AF1E9A" w:rsidRDefault="00EB7701" w:rsidP="00AF1E9A">
            <w:r>
              <w:t>433</w:t>
            </w:r>
          </w:p>
        </w:tc>
        <w:tc>
          <w:tcPr>
            <w:tcW w:w="1596" w:type="dxa"/>
            <w:tcBorders>
              <w:bottom w:val="single" w:sz="4" w:space="0" w:color="auto"/>
            </w:tcBorders>
          </w:tcPr>
          <w:p w14:paraId="3BA7B81F" w14:textId="49164972" w:rsidR="00AF1E9A" w:rsidRDefault="00AF1E9A" w:rsidP="00AF1E9A">
            <w:r>
              <w:t>408</w:t>
            </w:r>
          </w:p>
        </w:tc>
        <w:tc>
          <w:tcPr>
            <w:tcW w:w="1596" w:type="dxa"/>
            <w:tcBorders>
              <w:bottom w:val="single" w:sz="4" w:space="0" w:color="auto"/>
            </w:tcBorders>
          </w:tcPr>
          <w:p w14:paraId="2C4F492A" w14:textId="1D4642F6" w:rsidR="00AF1E9A" w:rsidRDefault="00AF1E9A" w:rsidP="00AF1E9A">
            <w:r w:rsidRPr="00FA1E5A">
              <w:t>529</w:t>
            </w:r>
          </w:p>
        </w:tc>
        <w:tc>
          <w:tcPr>
            <w:tcW w:w="1596" w:type="dxa"/>
            <w:tcBorders>
              <w:bottom w:val="single" w:sz="4" w:space="0" w:color="auto"/>
            </w:tcBorders>
          </w:tcPr>
          <w:p w14:paraId="78B6AA2B" w14:textId="7EB3F4B6" w:rsidR="00AF1E9A" w:rsidRPr="001D0AC3" w:rsidRDefault="00AF1E9A" w:rsidP="00AF1E9A">
            <w:r w:rsidRPr="00AE7CB4">
              <w:t>677</w:t>
            </w:r>
          </w:p>
        </w:tc>
      </w:tr>
      <w:tr w:rsidR="00AF1E9A" w14:paraId="2113C914" w14:textId="77777777" w:rsidTr="00454181">
        <w:tc>
          <w:tcPr>
            <w:tcW w:w="3692" w:type="dxa"/>
            <w:tcBorders>
              <w:bottom w:val="single" w:sz="4" w:space="0" w:color="auto"/>
            </w:tcBorders>
            <w:shd w:val="clear" w:color="auto" w:fill="F2F2F2" w:themeFill="background1" w:themeFillShade="F2"/>
          </w:tcPr>
          <w:p w14:paraId="7E83E113" w14:textId="77777777" w:rsidR="00AF1E9A" w:rsidRPr="0086035E" w:rsidRDefault="00AF1E9A" w:rsidP="00AF1E9A">
            <w:pPr>
              <w:rPr>
                <w:b/>
              </w:rPr>
            </w:pPr>
            <w:r w:rsidRPr="0086035E">
              <w:rPr>
                <w:b/>
              </w:rPr>
              <w:t>Totals</w:t>
            </w:r>
          </w:p>
        </w:tc>
        <w:tc>
          <w:tcPr>
            <w:tcW w:w="1596" w:type="dxa"/>
            <w:tcBorders>
              <w:bottom w:val="single" w:sz="4" w:space="0" w:color="auto"/>
            </w:tcBorders>
            <w:shd w:val="clear" w:color="auto" w:fill="F2F2F2" w:themeFill="background1" w:themeFillShade="F2"/>
          </w:tcPr>
          <w:p w14:paraId="245E85D9" w14:textId="627E0AAD" w:rsidR="00AF1E9A" w:rsidRDefault="00EB7701" w:rsidP="00AF1E9A">
            <w:r>
              <w:t>33,463</w:t>
            </w:r>
          </w:p>
        </w:tc>
        <w:tc>
          <w:tcPr>
            <w:tcW w:w="1596" w:type="dxa"/>
            <w:tcBorders>
              <w:bottom w:val="single" w:sz="4" w:space="0" w:color="auto"/>
            </w:tcBorders>
            <w:shd w:val="clear" w:color="auto" w:fill="F2F2F2" w:themeFill="background1" w:themeFillShade="F2"/>
          </w:tcPr>
          <w:p w14:paraId="594197B1" w14:textId="31FFD67E" w:rsidR="00AF1E9A" w:rsidRDefault="00AF1E9A" w:rsidP="00AF1E9A">
            <w:r>
              <w:t>34,681</w:t>
            </w:r>
          </w:p>
        </w:tc>
        <w:tc>
          <w:tcPr>
            <w:tcW w:w="1596" w:type="dxa"/>
            <w:tcBorders>
              <w:bottom w:val="single" w:sz="4" w:space="0" w:color="auto"/>
            </w:tcBorders>
            <w:shd w:val="clear" w:color="auto" w:fill="F2F2F2" w:themeFill="background1" w:themeFillShade="F2"/>
          </w:tcPr>
          <w:p w14:paraId="4465548A" w14:textId="5979350C" w:rsidR="00AF1E9A" w:rsidRDefault="00AF1E9A" w:rsidP="00AF1E9A">
            <w:r w:rsidRPr="00FA1E5A">
              <w:t>38,345</w:t>
            </w:r>
          </w:p>
        </w:tc>
        <w:tc>
          <w:tcPr>
            <w:tcW w:w="1596" w:type="dxa"/>
            <w:tcBorders>
              <w:bottom w:val="single" w:sz="4" w:space="0" w:color="auto"/>
            </w:tcBorders>
            <w:shd w:val="clear" w:color="auto" w:fill="F2F2F2" w:themeFill="background1" w:themeFillShade="F2"/>
          </w:tcPr>
          <w:p w14:paraId="7E6919E8" w14:textId="3BE891A2" w:rsidR="00AF1E9A" w:rsidRPr="001D0AC3" w:rsidRDefault="00AF1E9A" w:rsidP="00AF1E9A">
            <w:r w:rsidRPr="00AE7CB4">
              <w:t>41,638</w:t>
            </w:r>
          </w:p>
        </w:tc>
      </w:tr>
    </w:tbl>
    <w:p w14:paraId="14483A5E" w14:textId="77777777" w:rsidR="0047677D" w:rsidRDefault="0047677D" w:rsidP="00165F28">
      <w:pPr>
        <w:pStyle w:val="Heading3"/>
      </w:pPr>
      <w:r>
        <w:t xml:space="preserve">Duty lawyer services </w:t>
      </w:r>
    </w:p>
    <w:p w14:paraId="7B86E10B" w14:textId="11AB648A" w:rsidR="00194462" w:rsidRDefault="00194462" w:rsidP="00194462">
      <w:r>
        <w:t xml:space="preserve">Victoria Legal Aid lawyers and some private practitioners (including community legal centre lawyers in some instances) are on ‘duty’ at many courts and tribunals across Victoria to help people </w:t>
      </w:r>
      <w:r w:rsidRPr="00687C56">
        <w:t>who are at the court or tribunal for a hearing</w:t>
      </w:r>
      <w:r>
        <w:t>, but do not have their own lawyer.</w:t>
      </w:r>
      <w:r w:rsidR="00364FB1">
        <w:t xml:space="preserve"> </w:t>
      </w:r>
    </w:p>
    <w:p w14:paraId="73CFF433" w14:textId="34A5A451" w:rsidR="0047677D" w:rsidRDefault="0047677D" w:rsidP="0047677D">
      <w:r>
        <w:t>Our duty lawyers provide free legal information, advice and representation to clients. Duty lawyers do not represent everyone. We prioritise serious cases, including people who are in custody</w:t>
      </w:r>
      <w:r w:rsidR="00C97F3C">
        <w:t xml:space="preserve">, </w:t>
      </w:r>
      <w:r>
        <w:t>or at risk of going into custody and people needing intensive support.</w:t>
      </w:r>
    </w:p>
    <w:p w14:paraId="519D7B16" w14:textId="4D171EBE" w:rsidR="00364FB1" w:rsidRDefault="00364FB1" w:rsidP="0047677D">
      <w:r>
        <w:t>Community legal centres</w:t>
      </w:r>
      <w:r w:rsidR="00006D25">
        <w:t>, including Aboriginal and Torres Strait Islander Legal Services,</w:t>
      </w:r>
      <w:r>
        <w:t xml:space="preserve"> also deliver family violence duty lawyer services, some of which is funded by VLA, however these figures are not included in the below statistics.</w:t>
      </w:r>
    </w:p>
    <w:tbl>
      <w:tblPr>
        <w:tblStyle w:val="TableGrid"/>
        <w:tblW w:w="0" w:type="auto"/>
        <w:tblLook w:val="04A0" w:firstRow="1" w:lastRow="0" w:firstColumn="1" w:lastColumn="0" w:noHBand="0" w:noVBand="1"/>
      </w:tblPr>
      <w:tblGrid>
        <w:gridCol w:w="3687"/>
        <w:gridCol w:w="1598"/>
        <w:gridCol w:w="1597"/>
        <w:gridCol w:w="1597"/>
        <w:gridCol w:w="1597"/>
      </w:tblGrid>
      <w:tr w:rsidR="00454181" w:rsidRPr="00D37B73" w14:paraId="199040C3" w14:textId="77777777" w:rsidTr="00454181">
        <w:trPr>
          <w:tblHeader/>
        </w:trPr>
        <w:tc>
          <w:tcPr>
            <w:tcW w:w="3687" w:type="dxa"/>
            <w:shd w:val="clear" w:color="auto" w:fill="D9D9D9" w:themeFill="background1" w:themeFillShade="D9"/>
          </w:tcPr>
          <w:p w14:paraId="0BD835ED" w14:textId="08F09520" w:rsidR="00454181" w:rsidRPr="00D37B73" w:rsidRDefault="00454181" w:rsidP="00454181">
            <w:pPr>
              <w:rPr>
                <w:b/>
              </w:rPr>
            </w:pPr>
            <w:r>
              <w:rPr>
                <w:b/>
              </w:rPr>
              <w:t xml:space="preserve">Duty lawyer services </w:t>
            </w:r>
          </w:p>
        </w:tc>
        <w:tc>
          <w:tcPr>
            <w:tcW w:w="1598" w:type="dxa"/>
            <w:shd w:val="clear" w:color="auto" w:fill="D9D9D9" w:themeFill="background1" w:themeFillShade="D9"/>
          </w:tcPr>
          <w:p w14:paraId="00998012" w14:textId="205003B9" w:rsidR="00454181" w:rsidRPr="00D37B73" w:rsidRDefault="00454181" w:rsidP="00454181">
            <w:pPr>
              <w:rPr>
                <w:b/>
              </w:rPr>
            </w:pPr>
            <w:r>
              <w:rPr>
                <w:b/>
              </w:rPr>
              <w:t>2013–14</w:t>
            </w:r>
          </w:p>
        </w:tc>
        <w:tc>
          <w:tcPr>
            <w:tcW w:w="1597" w:type="dxa"/>
            <w:shd w:val="clear" w:color="auto" w:fill="D9D9D9" w:themeFill="background1" w:themeFillShade="D9"/>
          </w:tcPr>
          <w:p w14:paraId="1BD2E425" w14:textId="2B908C94" w:rsidR="00454181" w:rsidRPr="00D37B73" w:rsidRDefault="00454181" w:rsidP="00454181">
            <w:pPr>
              <w:rPr>
                <w:b/>
              </w:rPr>
            </w:pPr>
            <w:r>
              <w:rPr>
                <w:b/>
              </w:rPr>
              <w:t>2014–15</w:t>
            </w:r>
          </w:p>
        </w:tc>
        <w:tc>
          <w:tcPr>
            <w:tcW w:w="1597" w:type="dxa"/>
            <w:shd w:val="clear" w:color="auto" w:fill="D9D9D9" w:themeFill="background1" w:themeFillShade="D9"/>
          </w:tcPr>
          <w:p w14:paraId="04871C5D" w14:textId="065A8A2C" w:rsidR="00454181" w:rsidRPr="00D37B73" w:rsidRDefault="00454181" w:rsidP="00454181">
            <w:pPr>
              <w:rPr>
                <w:b/>
              </w:rPr>
            </w:pPr>
            <w:r>
              <w:rPr>
                <w:b/>
              </w:rPr>
              <w:t>2015–16</w:t>
            </w:r>
          </w:p>
        </w:tc>
        <w:tc>
          <w:tcPr>
            <w:tcW w:w="1597" w:type="dxa"/>
            <w:shd w:val="clear" w:color="auto" w:fill="D9D9D9" w:themeFill="background1" w:themeFillShade="D9"/>
          </w:tcPr>
          <w:p w14:paraId="4E57CE40" w14:textId="1691D831" w:rsidR="00454181" w:rsidRPr="00D37B73" w:rsidRDefault="00454181" w:rsidP="00454181">
            <w:pPr>
              <w:rPr>
                <w:b/>
              </w:rPr>
            </w:pPr>
            <w:r>
              <w:rPr>
                <w:b/>
              </w:rPr>
              <w:t>2016–17</w:t>
            </w:r>
          </w:p>
        </w:tc>
      </w:tr>
      <w:tr w:rsidR="0086035E" w14:paraId="2B795DE5" w14:textId="77777777" w:rsidTr="00454181">
        <w:tc>
          <w:tcPr>
            <w:tcW w:w="3687" w:type="dxa"/>
            <w:tcBorders>
              <w:bottom w:val="single" w:sz="4" w:space="0" w:color="auto"/>
            </w:tcBorders>
          </w:tcPr>
          <w:p w14:paraId="4E1129FE" w14:textId="77777777" w:rsidR="0086035E" w:rsidRPr="00D37B73" w:rsidRDefault="0086035E" w:rsidP="00A40CEB">
            <w:pPr>
              <w:rPr>
                <w:b/>
              </w:rPr>
            </w:pPr>
            <w:r>
              <w:t>Duty lawyer services</w:t>
            </w:r>
          </w:p>
        </w:tc>
        <w:tc>
          <w:tcPr>
            <w:tcW w:w="1598" w:type="dxa"/>
            <w:tcBorders>
              <w:bottom w:val="single" w:sz="4" w:space="0" w:color="auto"/>
            </w:tcBorders>
          </w:tcPr>
          <w:p w14:paraId="0384D51C" w14:textId="00914BCF" w:rsidR="0086035E" w:rsidRDefault="00F20016" w:rsidP="00A40CEB">
            <w:r>
              <w:t>71,944</w:t>
            </w:r>
          </w:p>
        </w:tc>
        <w:tc>
          <w:tcPr>
            <w:tcW w:w="1597" w:type="dxa"/>
            <w:tcBorders>
              <w:bottom w:val="single" w:sz="4" w:space="0" w:color="auto"/>
            </w:tcBorders>
          </w:tcPr>
          <w:p w14:paraId="19F052DD" w14:textId="60ECB29D" w:rsidR="0086035E" w:rsidRDefault="00F20016" w:rsidP="00A40CEB">
            <w:r>
              <w:t>83,674</w:t>
            </w:r>
          </w:p>
        </w:tc>
        <w:tc>
          <w:tcPr>
            <w:tcW w:w="1597" w:type="dxa"/>
            <w:tcBorders>
              <w:bottom w:val="single" w:sz="4" w:space="0" w:color="auto"/>
            </w:tcBorders>
          </w:tcPr>
          <w:p w14:paraId="33A7AAE6" w14:textId="7FA90B24" w:rsidR="0086035E" w:rsidRDefault="00F20016" w:rsidP="00A40CEB">
            <w:r w:rsidRPr="00F20016">
              <w:t>87,162</w:t>
            </w:r>
          </w:p>
        </w:tc>
        <w:tc>
          <w:tcPr>
            <w:tcW w:w="1597" w:type="dxa"/>
            <w:tcBorders>
              <w:bottom w:val="single" w:sz="4" w:space="0" w:color="auto"/>
            </w:tcBorders>
          </w:tcPr>
          <w:p w14:paraId="4253FF63" w14:textId="350025CE" w:rsidR="0086035E" w:rsidRDefault="00F20016" w:rsidP="00A40CEB">
            <w:r w:rsidRPr="00F20016">
              <w:t>93,697</w:t>
            </w:r>
          </w:p>
        </w:tc>
      </w:tr>
      <w:tr w:rsidR="0086035E" w14:paraId="52F89539" w14:textId="77777777" w:rsidTr="00454181">
        <w:tc>
          <w:tcPr>
            <w:tcW w:w="3687" w:type="dxa"/>
            <w:shd w:val="clear" w:color="auto" w:fill="F2F2F2" w:themeFill="background1" w:themeFillShade="F2"/>
          </w:tcPr>
          <w:p w14:paraId="6A13E75E" w14:textId="77777777" w:rsidR="0086035E" w:rsidRPr="0086035E" w:rsidRDefault="0086035E" w:rsidP="0086035E">
            <w:pPr>
              <w:rPr>
                <w:b/>
              </w:rPr>
            </w:pPr>
            <w:r w:rsidRPr="0086035E">
              <w:rPr>
                <w:b/>
              </w:rPr>
              <w:t>Growth</w:t>
            </w:r>
          </w:p>
        </w:tc>
        <w:tc>
          <w:tcPr>
            <w:tcW w:w="1598" w:type="dxa"/>
            <w:shd w:val="clear" w:color="auto" w:fill="F2F2F2" w:themeFill="background1" w:themeFillShade="F2"/>
          </w:tcPr>
          <w:p w14:paraId="189FDE70" w14:textId="77777777" w:rsidR="0086035E" w:rsidRDefault="0086035E" w:rsidP="0086035E">
            <w:r>
              <w:t>-</w:t>
            </w:r>
          </w:p>
        </w:tc>
        <w:tc>
          <w:tcPr>
            <w:tcW w:w="1597" w:type="dxa"/>
            <w:shd w:val="clear" w:color="auto" w:fill="F2F2F2" w:themeFill="background1" w:themeFillShade="F2"/>
          </w:tcPr>
          <w:p w14:paraId="482527A2" w14:textId="7799D69C" w:rsidR="0086035E" w:rsidRDefault="00F20016" w:rsidP="0086035E">
            <w:r>
              <w:t>16%</w:t>
            </w:r>
          </w:p>
        </w:tc>
        <w:tc>
          <w:tcPr>
            <w:tcW w:w="1597" w:type="dxa"/>
            <w:shd w:val="clear" w:color="auto" w:fill="F2F2F2" w:themeFill="background1" w:themeFillShade="F2"/>
          </w:tcPr>
          <w:p w14:paraId="546E4D7D" w14:textId="12AB66A2" w:rsidR="0086035E" w:rsidRDefault="00F20016" w:rsidP="0086035E">
            <w:r>
              <w:t>4%</w:t>
            </w:r>
          </w:p>
        </w:tc>
        <w:tc>
          <w:tcPr>
            <w:tcW w:w="1597" w:type="dxa"/>
            <w:shd w:val="clear" w:color="auto" w:fill="F2F2F2" w:themeFill="background1" w:themeFillShade="F2"/>
          </w:tcPr>
          <w:p w14:paraId="269F93DF" w14:textId="62B33BBA" w:rsidR="0086035E" w:rsidRDefault="00F20016" w:rsidP="0086035E">
            <w:r>
              <w:t>7%</w:t>
            </w:r>
          </w:p>
        </w:tc>
      </w:tr>
    </w:tbl>
    <w:p w14:paraId="74D69264" w14:textId="5D766C24" w:rsidR="007011AA" w:rsidRDefault="00970799" w:rsidP="00F4492F">
      <w:pPr>
        <w:rPr>
          <w:rFonts w:cs="Arial"/>
        </w:rPr>
      </w:pPr>
      <w:r>
        <w:rPr>
          <w:rFonts w:cs="Arial"/>
        </w:rPr>
        <w:t>We</w:t>
      </w:r>
      <w:r w:rsidRPr="00A52418">
        <w:rPr>
          <w:rFonts w:cs="Arial"/>
        </w:rPr>
        <w:t xml:space="preserve"> experienced </w:t>
      </w:r>
      <w:r>
        <w:rPr>
          <w:rFonts w:cs="Arial"/>
        </w:rPr>
        <w:t xml:space="preserve">a </w:t>
      </w:r>
      <w:r w:rsidRPr="00A52418">
        <w:rPr>
          <w:rFonts w:cs="Arial"/>
        </w:rPr>
        <w:t xml:space="preserve">significant </w:t>
      </w:r>
      <w:r>
        <w:rPr>
          <w:rFonts w:cs="Arial"/>
        </w:rPr>
        <w:t xml:space="preserve">increase in </w:t>
      </w:r>
      <w:r w:rsidRPr="00A52418">
        <w:rPr>
          <w:rFonts w:cs="Arial"/>
        </w:rPr>
        <w:t>demand for duty lawyer services</w:t>
      </w:r>
      <w:r w:rsidR="001400BC">
        <w:rPr>
          <w:rFonts w:cs="Arial"/>
        </w:rPr>
        <w:t>, up seven per cent</w:t>
      </w:r>
      <w:r w:rsidR="00DD4250">
        <w:rPr>
          <w:rFonts w:cs="Arial"/>
        </w:rPr>
        <w:t>, and up 30 per cent over three years</w:t>
      </w:r>
      <w:r w:rsidR="001400BC">
        <w:rPr>
          <w:rFonts w:cs="Arial"/>
        </w:rPr>
        <w:t xml:space="preserve">. </w:t>
      </w:r>
      <w:proofErr w:type="gramStart"/>
      <w:r>
        <w:rPr>
          <w:rFonts w:cs="Arial"/>
        </w:rPr>
        <w:t>Similar to</w:t>
      </w:r>
      <w:proofErr w:type="gramEnd"/>
      <w:r>
        <w:rPr>
          <w:rFonts w:cs="Arial"/>
        </w:rPr>
        <w:t xml:space="preserve"> grants of legal </w:t>
      </w:r>
      <w:r w:rsidRPr="00F4492F">
        <w:rPr>
          <w:rFonts w:cs="Arial"/>
        </w:rPr>
        <w:t xml:space="preserve">assistance, demand is largely driven in summary crime, family violence and youth crime areas. </w:t>
      </w:r>
    </w:p>
    <w:p w14:paraId="14F2E4B3" w14:textId="715A4E6C" w:rsidR="00F4492F" w:rsidRDefault="007011AA" w:rsidP="006F0357">
      <w:pPr>
        <w:spacing w:after="0" w:line="240" w:lineRule="auto"/>
      </w:pPr>
      <w:r>
        <w:rPr>
          <w:rFonts w:cs="Arial"/>
        </w:rPr>
        <w:br w:type="page"/>
      </w:r>
      <w:r w:rsidR="00F4492F">
        <w:lastRenderedPageBreak/>
        <w:t xml:space="preserve">Of our in-house duty lawyer services in </w:t>
      </w:r>
      <w:r w:rsidR="00F4492F" w:rsidRPr="00F4492F">
        <w:t>2016</w:t>
      </w:r>
      <w:r w:rsidR="00F4492F">
        <w:t>–17:</w:t>
      </w:r>
    </w:p>
    <w:p w14:paraId="439EC9CD" w14:textId="77777777" w:rsidR="00A51A0C" w:rsidRDefault="00A51A0C" w:rsidP="00A51A0C">
      <w:pPr>
        <w:pStyle w:val="ListParagraph"/>
        <w:numPr>
          <w:ilvl w:val="0"/>
          <w:numId w:val="40"/>
        </w:numPr>
      </w:pPr>
      <w:r>
        <w:t>5,192 services were for family violence intervention order matters, an increase of 18 per cent</w:t>
      </w:r>
    </w:p>
    <w:p w14:paraId="1FFAFD71" w14:textId="657FCA21" w:rsidR="00F4492F" w:rsidRDefault="001769BA" w:rsidP="001769BA">
      <w:pPr>
        <w:pStyle w:val="ListParagraph"/>
        <w:numPr>
          <w:ilvl w:val="0"/>
          <w:numId w:val="40"/>
        </w:numPr>
      </w:pPr>
      <w:r w:rsidRPr="001769BA">
        <w:t>2</w:t>
      </w:r>
      <w:r>
        <w:t>,</w:t>
      </w:r>
      <w:r w:rsidRPr="001769BA">
        <w:t xml:space="preserve">447 </w:t>
      </w:r>
      <w:r w:rsidR="00F4492F">
        <w:t xml:space="preserve">services were for </w:t>
      </w:r>
      <w:r>
        <w:t>burglary and related offices</w:t>
      </w:r>
      <w:r w:rsidR="00F4492F">
        <w:t xml:space="preserve">, an increase of </w:t>
      </w:r>
      <w:r>
        <w:t>9 per cent</w:t>
      </w:r>
    </w:p>
    <w:p w14:paraId="727A3551" w14:textId="7F1593F4" w:rsidR="001769BA" w:rsidRDefault="001769BA" w:rsidP="001769BA">
      <w:pPr>
        <w:pStyle w:val="ListParagraph"/>
        <w:numPr>
          <w:ilvl w:val="0"/>
          <w:numId w:val="40"/>
        </w:numPr>
      </w:pPr>
      <w:r>
        <w:t>1,877 services were for dishonest</w:t>
      </w:r>
      <w:r w:rsidR="00A51A0C">
        <w:t>y</w:t>
      </w:r>
      <w:r>
        <w:t xml:space="preserve"> offences </w:t>
      </w:r>
      <w:r w:rsidR="003F365D">
        <w:t>involving</w:t>
      </w:r>
      <w:r>
        <w:t xml:space="preserve"> motor vehicles, an increase of 21 per cent</w:t>
      </w:r>
    </w:p>
    <w:p w14:paraId="714067C2" w14:textId="08596D61" w:rsidR="00F4492F" w:rsidRDefault="001769BA" w:rsidP="001769BA">
      <w:pPr>
        <w:pStyle w:val="ListParagraph"/>
        <w:numPr>
          <w:ilvl w:val="0"/>
          <w:numId w:val="40"/>
        </w:numPr>
      </w:pPr>
      <w:r w:rsidRPr="001769BA">
        <w:t>2</w:t>
      </w:r>
      <w:r>
        <w:t>,</w:t>
      </w:r>
      <w:r w:rsidRPr="001769BA">
        <w:t>441</w:t>
      </w:r>
      <w:r>
        <w:t xml:space="preserve"> </w:t>
      </w:r>
      <w:r w:rsidR="00F4492F">
        <w:t xml:space="preserve">services for criminal damage matters, an increase </w:t>
      </w:r>
      <w:r w:rsidR="00A51A0C">
        <w:t xml:space="preserve">of </w:t>
      </w:r>
      <w:r>
        <w:t xml:space="preserve">20 per cent. </w:t>
      </w:r>
      <w:r w:rsidR="00F4492F">
        <w:t xml:space="preserve">   </w:t>
      </w:r>
    </w:p>
    <w:p w14:paraId="7488820E" w14:textId="77777777" w:rsidR="0047677D" w:rsidRDefault="0047677D" w:rsidP="0086035E">
      <w:pPr>
        <w:pStyle w:val="Heading3"/>
      </w:pPr>
      <w:r w:rsidRPr="00F4492F">
        <w:t xml:space="preserve">Legal advice </w:t>
      </w:r>
      <w:r>
        <w:t xml:space="preserve">and minor assistance </w:t>
      </w:r>
    </w:p>
    <w:p w14:paraId="33F249A0" w14:textId="3C59613E" w:rsidR="0047677D" w:rsidRDefault="0047677D" w:rsidP="0047677D">
      <w:r>
        <w:t xml:space="preserve">Victoria Legal Aid lawyers provide legal advice and minor assistance to help people resolve their legal problems as early as possible and in some </w:t>
      </w:r>
      <w:r w:rsidR="004830F2">
        <w:t>circumstances,</w:t>
      </w:r>
      <w:r>
        <w:t xml:space="preserve"> avoid the need to go to court.</w:t>
      </w:r>
    </w:p>
    <w:p w14:paraId="70FF4063" w14:textId="77777777" w:rsidR="0047677D" w:rsidRDefault="0047677D" w:rsidP="0047677D">
      <w:r>
        <w:t>Legal advice is provided over the phone, face-to-face at our offices or via outreach services. Minor assistance is provided where there is a need for some ongoing assistance such as providing written advice, making phone calls and negotiating on a person’s behalf.</w:t>
      </w:r>
    </w:p>
    <w:tbl>
      <w:tblPr>
        <w:tblStyle w:val="TableGrid"/>
        <w:tblW w:w="0" w:type="auto"/>
        <w:tblLook w:val="04A0" w:firstRow="1" w:lastRow="0" w:firstColumn="1" w:lastColumn="0" w:noHBand="0" w:noVBand="1"/>
      </w:tblPr>
      <w:tblGrid>
        <w:gridCol w:w="3692"/>
        <w:gridCol w:w="1596"/>
        <w:gridCol w:w="1596"/>
        <w:gridCol w:w="1596"/>
        <w:gridCol w:w="1596"/>
      </w:tblGrid>
      <w:tr w:rsidR="00454181" w:rsidRPr="00D37B73" w14:paraId="7096B839" w14:textId="77777777" w:rsidTr="00454181">
        <w:trPr>
          <w:tblHeader/>
        </w:trPr>
        <w:tc>
          <w:tcPr>
            <w:tcW w:w="3692" w:type="dxa"/>
            <w:shd w:val="clear" w:color="auto" w:fill="D9D9D9" w:themeFill="background1" w:themeFillShade="D9"/>
          </w:tcPr>
          <w:p w14:paraId="0B55F7D3" w14:textId="1A30AE0A" w:rsidR="00454181" w:rsidRPr="00D37B73" w:rsidRDefault="00454181" w:rsidP="00454181">
            <w:pPr>
              <w:rPr>
                <w:b/>
              </w:rPr>
            </w:pPr>
            <w:r>
              <w:rPr>
                <w:b/>
              </w:rPr>
              <w:t xml:space="preserve">Legal advice and minor assistance </w:t>
            </w:r>
          </w:p>
        </w:tc>
        <w:tc>
          <w:tcPr>
            <w:tcW w:w="1596" w:type="dxa"/>
            <w:shd w:val="clear" w:color="auto" w:fill="D9D9D9" w:themeFill="background1" w:themeFillShade="D9"/>
          </w:tcPr>
          <w:p w14:paraId="7C1115D1" w14:textId="43152945" w:rsidR="00454181" w:rsidRPr="00D37B73" w:rsidRDefault="00454181" w:rsidP="00454181">
            <w:pPr>
              <w:rPr>
                <w:b/>
              </w:rPr>
            </w:pPr>
            <w:r>
              <w:rPr>
                <w:b/>
              </w:rPr>
              <w:t>2013–14</w:t>
            </w:r>
          </w:p>
        </w:tc>
        <w:tc>
          <w:tcPr>
            <w:tcW w:w="1596" w:type="dxa"/>
            <w:shd w:val="clear" w:color="auto" w:fill="D9D9D9" w:themeFill="background1" w:themeFillShade="D9"/>
          </w:tcPr>
          <w:p w14:paraId="367EEDA9" w14:textId="459B5715" w:rsidR="00454181" w:rsidRPr="00D37B73" w:rsidRDefault="00454181" w:rsidP="00454181">
            <w:pPr>
              <w:rPr>
                <w:b/>
              </w:rPr>
            </w:pPr>
            <w:r>
              <w:rPr>
                <w:b/>
              </w:rPr>
              <w:t>2014–15</w:t>
            </w:r>
          </w:p>
        </w:tc>
        <w:tc>
          <w:tcPr>
            <w:tcW w:w="1596" w:type="dxa"/>
            <w:shd w:val="clear" w:color="auto" w:fill="D9D9D9" w:themeFill="background1" w:themeFillShade="D9"/>
          </w:tcPr>
          <w:p w14:paraId="3E703440" w14:textId="0F8798EF" w:rsidR="00454181" w:rsidRPr="00D37B73" w:rsidRDefault="00454181" w:rsidP="00454181">
            <w:pPr>
              <w:rPr>
                <w:b/>
              </w:rPr>
            </w:pPr>
            <w:r>
              <w:rPr>
                <w:b/>
              </w:rPr>
              <w:t>2015–16</w:t>
            </w:r>
          </w:p>
        </w:tc>
        <w:tc>
          <w:tcPr>
            <w:tcW w:w="1596" w:type="dxa"/>
            <w:shd w:val="clear" w:color="auto" w:fill="D9D9D9" w:themeFill="background1" w:themeFillShade="D9"/>
          </w:tcPr>
          <w:p w14:paraId="71915C81" w14:textId="626C39C0" w:rsidR="00454181" w:rsidRPr="00D37B73" w:rsidRDefault="00454181" w:rsidP="00454181">
            <w:pPr>
              <w:rPr>
                <w:b/>
              </w:rPr>
            </w:pPr>
            <w:r>
              <w:rPr>
                <w:b/>
              </w:rPr>
              <w:t>2016–17</w:t>
            </w:r>
          </w:p>
        </w:tc>
      </w:tr>
      <w:tr w:rsidR="0086035E" w14:paraId="14B53AF5" w14:textId="77777777" w:rsidTr="00454181">
        <w:tc>
          <w:tcPr>
            <w:tcW w:w="3692" w:type="dxa"/>
            <w:tcBorders>
              <w:bottom w:val="single" w:sz="4" w:space="0" w:color="auto"/>
            </w:tcBorders>
          </w:tcPr>
          <w:p w14:paraId="61264A2E" w14:textId="77777777" w:rsidR="0086035E" w:rsidRPr="00D37B73" w:rsidRDefault="0086035E" w:rsidP="00A40CEB">
            <w:pPr>
              <w:rPr>
                <w:b/>
              </w:rPr>
            </w:pPr>
            <w:r>
              <w:t>Legal advice and minor assistance</w:t>
            </w:r>
          </w:p>
        </w:tc>
        <w:tc>
          <w:tcPr>
            <w:tcW w:w="1596" w:type="dxa"/>
            <w:tcBorders>
              <w:bottom w:val="single" w:sz="4" w:space="0" w:color="auto"/>
            </w:tcBorders>
          </w:tcPr>
          <w:p w14:paraId="14F8C112" w14:textId="5B4567D7" w:rsidR="0086035E" w:rsidRDefault="00777626" w:rsidP="00A40CEB">
            <w:r>
              <w:t>46,178</w:t>
            </w:r>
          </w:p>
        </w:tc>
        <w:tc>
          <w:tcPr>
            <w:tcW w:w="1596" w:type="dxa"/>
            <w:tcBorders>
              <w:bottom w:val="single" w:sz="4" w:space="0" w:color="auto"/>
            </w:tcBorders>
          </w:tcPr>
          <w:p w14:paraId="26139AC5" w14:textId="231F7612" w:rsidR="0086035E" w:rsidRDefault="00777626" w:rsidP="00A40CEB">
            <w:r>
              <w:t>48,806</w:t>
            </w:r>
          </w:p>
        </w:tc>
        <w:tc>
          <w:tcPr>
            <w:tcW w:w="1596" w:type="dxa"/>
            <w:tcBorders>
              <w:bottom w:val="single" w:sz="4" w:space="0" w:color="auto"/>
            </w:tcBorders>
          </w:tcPr>
          <w:p w14:paraId="59253921" w14:textId="0B0216B5" w:rsidR="0086035E" w:rsidRDefault="00777626" w:rsidP="00A40CEB">
            <w:r>
              <w:t>40,770</w:t>
            </w:r>
          </w:p>
        </w:tc>
        <w:tc>
          <w:tcPr>
            <w:tcW w:w="1596" w:type="dxa"/>
            <w:tcBorders>
              <w:bottom w:val="single" w:sz="4" w:space="0" w:color="auto"/>
            </w:tcBorders>
          </w:tcPr>
          <w:p w14:paraId="040D7E5C" w14:textId="5C0C057A" w:rsidR="0086035E" w:rsidRDefault="00777626" w:rsidP="00A40CEB">
            <w:r w:rsidRPr="00777626">
              <w:t>41,725</w:t>
            </w:r>
          </w:p>
        </w:tc>
      </w:tr>
      <w:tr w:rsidR="0086035E" w14:paraId="0AC7E056" w14:textId="77777777" w:rsidTr="00454181">
        <w:tc>
          <w:tcPr>
            <w:tcW w:w="3692" w:type="dxa"/>
            <w:shd w:val="clear" w:color="auto" w:fill="F2F2F2" w:themeFill="background1" w:themeFillShade="F2"/>
          </w:tcPr>
          <w:p w14:paraId="07A390F0" w14:textId="77777777" w:rsidR="0086035E" w:rsidRPr="0086035E" w:rsidRDefault="0086035E" w:rsidP="00A40CEB">
            <w:pPr>
              <w:rPr>
                <w:b/>
              </w:rPr>
            </w:pPr>
            <w:r w:rsidRPr="0086035E">
              <w:rPr>
                <w:b/>
              </w:rPr>
              <w:t>Growth</w:t>
            </w:r>
          </w:p>
        </w:tc>
        <w:tc>
          <w:tcPr>
            <w:tcW w:w="1596" w:type="dxa"/>
            <w:shd w:val="clear" w:color="auto" w:fill="F2F2F2" w:themeFill="background1" w:themeFillShade="F2"/>
          </w:tcPr>
          <w:p w14:paraId="28FC090D" w14:textId="77777777" w:rsidR="0086035E" w:rsidRDefault="0086035E" w:rsidP="00A40CEB">
            <w:r>
              <w:t>-</w:t>
            </w:r>
          </w:p>
        </w:tc>
        <w:tc>
          <w:tcPr>
            <w:tcW w:w="1596" w:type="dxa"/>
            <w:shd w:val="clear" w:color="auto" w:fill="F2F2F2" w:themeFill="background1" w:themeFillShade="F2"/>
          </w:tcPr>
          <w:p w14:paraId="67F40499" w14:textId="4F34176D" w:rsidR="0086035E" w:rsidRDefault="00777626" w:rsidP="00A40CEB">
            <w:r>
              <w:t>6%</w:t>
            </w:r>
          </w:p>
        </w:tc>
        <w:tc>
          <w:tcPr>
            <w:tcW w:w="1596" w:type="dxa"/>
            <w:shd w:val="clear" w:color="auto" w:fill="F2F2F2" w:themeFill="background1" w:themeFillShade="F2"/>
          </w:tcPr>
          <w:p w14:paraId="1761495C" w14:textId="3160FA8C" w:rsidR="0086035E" w:rsidRDefault="00777626" w:rsidP="00A40CEB">
            <w:r>
              <w:t>-16.5%</w:t>
            </w:r>
          </w:p>
        </w:tc>
        <w:tc>
          <w:tcPr>
            <w:tcW w:w="1596" w:type="dxa"/>
            <w:shd w:val="clear" w:color="auto" w:fill="F2F2F2" w:themeFill="background1" w:themeFillShade="F2"/>
          </w:tcPr>
          <w:p w14:paraId="0A4817DB" w14:textId="63FC3FE7" w:rsidR="0086035E" w:rsidRDefault="00777626" w:rsidP="00A40CEB">
            <w:r>
              <w:t>2%</w:t>
            </w:r>
          </w:p>
        </w:tc>
      </w:tr>
    </w:tbl>
    <w:p w14:paraId="2E5B4AD4" w14:textId="161D0C07" w:rsidR="0019468C" w:rsidRDefault="0019468C" w:rsidP="0019468C">
      <w:r>
        <w:t xml:space="preserve">This year, we reduced our target for legal advice and minor assistance to reflect the increased demand for </w:t>
      </w:r>
      <w:r w:rsidRPr="00E905D5">
        <w:t xml:space="preserve">other more intensive </w:t>
      </w:r>
      <w:r>
        <w:t xml:space="preserve">services, </w:t>
      </w:r>
      <w:r w:rsidRPr="00E905D5">
        <w:t>such as duty lawyer services</w:t>
      </w:r>
      <w:r>
        <w:t xml:space="preserve"> and </w:t>
      </w:r>
      <w:r w:rsidRPr="00E905D5">
        <w:t>case work under grants of legal assistance</w:t>
      </w:r>
      <w:r>
        <w:t>.</w:t>
      </w:r>
      <w:r w:rsidR="009749C2">
        <w:t xml:space="preserve"> </w:t>
      </w:r>
    </w:p>
    <w:p w14:paraId="69FAC080" w14:textId="0A4AE5EA" w:rsidR="0047677D" w:rsidRDefault="0047677D" w:rsidP="0086035E">
      <w:pPr>
        <w:pStyle w:val="Heading3"/>
      </w:pPr>
      <w:r>
        <w:t xml:space="preserve">Legal </w:t>
      </w:r>
      <w:r w:rsidR="00375C12">
        <w:t>H</w:t>
      </w:r>
      <w:r>
        <w:t xml:space="preserve">elp telephone service </w:t>
      </w:r>
    </w:p>
    <w:p w14:paraId="53B7E496" w14:textId="3B3D8C81" w:rsidR="0047677D" w:rsidRDefault="0047677D" w:rsidP="0047677D">
      <w:r>
        <w:t>Our free Legal Help telephone service is a major access and triage point for legal aid services</w:t>
      </w:r>
      <w:r w:rsidR="00ED6C1A">
        <w:t>, as well as a referral source to other parts of the legal assistance sector</w:t>
      </w:r>
      <w:r>
        <w:t xml:space="preserve">. </w:t>
      </w:r>
    </w:p>
    <w:p w14:paraId="4B40AF87" w14:textId="77777777" w:rsidR="009749C2" w:rsidRDefault="009749C2" w:rsidP="00665D27">
      <w:r>
        <w:t>The top five matters dealt with by our Legal Help telephone service were:</w:t>
      </w:r>
    </w:p>
    <w:p w14:paraId="0B9ABE84" w14:textId="47322897" w:rsidR="009749C2" w:rsidRPr="00F61DF8" w:rsidRDefault="009749C2" w:rsidP="009749C2">
      <w:pPr>
        <w:pStyle w:val="ListParagraph"/>
        <w:numPr>
          <w:ilvl w:val="0"/>
          <w:numId w:val="41"/>
        </w:numPr>
      </w:pPr>
      <w:r w:rsidRPr="00F61DF8">
        <w:t>Time spen</w:t>
      </w:r>
      <w:r w:rsidR="00A51A0C">
        <w:t>t</w:t>
      </w:r>
      <w:r w:rsidRPr="00F61DF8">
        <w:t xml:space="preserve"> with </w:t>
      </w:r>
      <w:r w:rsidRPr="007774C3">
        <w:t>children</w:t>
      </w:r>
      <w:r>
        <w:t xml:space="preserve">, </w:t>
      </w:r>
      <w:r w:rsidRPr="009749C2">
        <w:t>16,931</w:t>
      </w:r>
    </w:p>
    <w:p w14:paraId="4A8B73B7" w14:textId="5FD96B9C" w:rsidR="009749C2" w:rsidRPr="00F61DF8" w:rsidRDefault="009749C2" w:rsidP="009749C2">
      <w:pPr>
        <w:pStyle w:val="ListParagraph"/>
        <w:numPr>
          <w:ilvl w:val="0"/>
          <w:numId w:val="41"/>
        </w:numPr>
      </w:pPr>
      <w:r w:rsidRPr="00F61DF8">
        <w:t>Infringements</w:t>
      </w:r>
      <w:r>
        <w:t xml:space="preserve">, </w:t>
      </w:r>
      <w:r w:rsidRPr="009749C2">
        <w:t>12,635</w:t>
      </w:r>
    </w:p>
    <w:p w14:paraId="62E3224C" w14:textId="358DC60D" w:rsidR="009749C2" w:rsidRPr="00F61DF8" w:rsidRDefault="009749C2" w:rsidP="009749C2">
      <w:pPr>
        <w:pStyle w:val="ListParagraph"/>
        <w:numPr>
          <w:ilvl w:val="0"/>
          <w:numId w:val="41"/>
        </w:numPr>
      </w:pPr>
      <w:r w:rsidRPr="00F61DF8">
        <w:t>Property settlement</w:t>
      </w:r>
      <w:r w:rsidR="00A51A0C">
        <w:t xml:space="preserve"> in family law matters</w:t>
      </w:r>
      <w:r>
        <w:t xml:space="preserve">, </w:t>
      </w:r>
      <w:r w:rsidRPr="009749C2">
        <w:t>12,464</w:t>
      </w:r>
    </w:p>
    <w:p w14:paraId="3EA7B040" w14:textId="4143E08A" w:rsidR="009749C2" w:rsidRPr="00F61DF8" w:rsidRDefault="009749C2" w:rsidP="009749C2">
      <w:pPr>
        <w:pStyle w:val="ListParagraph"/>
        <w:numPr>
          <w:ilvl w:val="0"/>
          <w:numId w:val="41"/>
        </w:numPr>
      </w:pPr>
      <w:r w:rsidRPr="00F61DF8">
        <w:t xml:space="preserve">Family </w:t>
      </w:r>
      <w:r>
        <w:t>violence</w:t>
      </w:r>
      <w:r w:rsidRPr="00F61DF8">
        <w:t xml:space="preserve"> (application)</w:t>
      </w:r>
      <w:r>
        <w:t xml:space="preserve">, </w:t>
      </w:r>
      <w:r w:rsidRPr="009749C2">
        <w:t>10,839</w:t>
      </w:r>
    </w:p>
    <w:p w14:paraId="42215DA4" w14:textId="49611A7B" w:rsidR="009749C2" w:rsidRPr="00F61DF8" w:rsidRDefault="009749C2" w:rsidP="009749C2">
      <w:pPr>
        <w:pStyle w:val="ListParagraph"/>
        <w:numPr>
          <w:ilvl w:val="0"/>
          <w:numId w:val="41"/>
        </w:numPr>
      </w:pPr>
      <w:r w:rsidRPr="00F61DF8">
        <w:t>The law in general</w:t>
      </w:r>
      <w:r>
        <w:t>,</w:t>
      </w:r>
      <w:r w:rsidRPr="00F61DF8">
        <w:t xml:space="preserve"> </w:t>
      </w:r>
      <w:r w:rsidRPr="009749C2">
        <w:t>9,851</w:t>
      </w:r>
      <w:r>
        <w:t>.</w:t>
      </w:r>
    </w:p>
    <w:tbl>
      <w:tblPr>
        <w:tblStyle w:val="TableGrid"/>
        <w:tblW w:w="0" w:type="auto"/>
        <w:tblLook w:val="04A0" w:firstRow="1" w:lastRow="0" w:firstColumn="1" w:lastColumn="0" w:noHBand="0" w:noVBand="1"/>
      </w:tblPr>
      <w:tblGrid>
        <w:gridCol w:w="5949"/>
        <w:gridCol w:w="2005"/>
        <w:gridCol w:w="2006"/>
      </w:tblGrid>
      <w:tr w:rsidR="0056416D" w:rsidRPr="00D37B73" w14:paraId="564E42F9" w14:textId="77777777" w:rsidTr="0056416D">
        <w:trPr>
          <w:trHeight w:val="446"/>
          <w:tblHeader/>
        </w:trPr>
        <w:tc>
          <w:tcPr>
            <w:tcW w:w="5949" w:type="dxa"/>
            <w:shd w:val="clear" w:color="auto" w:fill="D9D9D9" w:themeFill="background1" w:themeFillShade="D9"/>
          </w:tcPr>
          <w:p w14:paraId="50C93285" w14:textId="241149FA" w:rsidR="0056416D" w:rsidRPr="00D37B73" w:rsidRDefault="0056416D" w:rsidP="00454181">
            <w:pPr>
              <w:rPr>
                <w:b/>
              </w:rPr>
            </w:pPr>
            <w:r>
              <w:rPr>
                <w:b/>
              </w:rPr>
              <w:t xml:space="preserve">Legal Help telephone service </w:t>
            </w:r>
          </w:p>
        </w:tc>
        <w:tc>
          <w:tcPr>
            <w:tcW w:w="2005" w:type="dxa"/>
            <w:shd w:val="clear" w:color="auto" w:fill="D9D9D9" w:themeFill="background1" w:themeFillShade="D9"/>
          </w:tcPr>
          <w:p w14:paraId="0C3708D7" w14:textId="55084692" w:rsidR="0056416D" w:rsidRPr="00D37B73" w:rsidRDefault="0056416D" w:rsidP="00454181">
            <w:pPr>
              <w:rPr>
                <w:b/>
              </w:rPr>
            </w:pPr>
            <w:r>
              <w:rPr>
                <w:b/>
              </w:rPr>
              <w:t>2015–16</w:t>
            </w:r>
          </w:p>
        </w:tc>
        <w:tc>
          <w:tcPr>
            <w:tcW w:w="2006" w:type="dxa"/>
            <w:shd w:val="clear" w:color="auto" w:fill="D9D9D9" w:themeFill="background1" w:themeFillShade="D9"/>
          </w:tcPr>
          <w:p w14:paraId="365AD947" w14:textId="37501484" w:rsidR="0056416D" w:rsidRPr="00D37B73" w:rsidRDefault="0056416D" w:rsidP="00454181">
            <w:pPr>
              <w:rPr>
                <w:b/>
              </w:rPr>
            </w:pPr>
            <w:r>
              <w:rPr>
                <w:b/>
              </w:rPr>
              <w:t>2016–17</w:t>
            </w:r>
          </w:p>
        </w:tc>
      </w:tr>
      <w:tr w:rsidR="0056416D" w14:paraId="46D5D9C9" w14:textId="77777777" w:rsidTr="0056416D">
        <w:trPr>
          <w:trHeight w:val="462"/>
        </w:trPr>
        <w:tc>
          <w:tcPr>
            <w:tcW w:w="5949" w:type="dxa"/>
            <w:tcBorders>
              <w:bottom w:val="single" w:sz="4" w:space="0" w:color="auto"/>
            </w:tcBorders>
          </w:tcPr>
          <w:p w14:paraId="136C1D8E" w14:textId="77777777" w:rsidR="0056416D" w:rsidRPr="00D37B73" w:rsidRDefault="0056416D" w:rsidP="00A40CEB">
            <w:pPr>
              <w:rPr>
                <w:b/>
              </w:rPr>
            </w:pPr>
            <w:r>
              <w:t>Calls to the service</w:t>
            </w:r>
          </w:p>
        </w:tc>
        <w:tc>
          <w:tcPr>
            <w:tcW w:w="2005" w:type="dxa"/>
            <w:tcBorders>
              <w:bottom w:val="single" w:sz="4" w:space="0" w:color="auto"/>
            </w:tcBorders>
          </w:tcPr>
          <w:p w14:paraId="05751ED7" w14:textId="5862A483" w:rsidR="0056416D" w:rsidRDefault="0056416D" w:rsidP="00A40CEB">
            <w:r w:rsidRPr="00BC4967">
              <w:t>186,389</w:t>
            </w:r>
          </w:p>
        </w:tc>
        <w:tc>
          <w:tcPr>
            <w:tcW w:w="2006" w:type="dxa"/>
            <w:tcBorders>
              <w:bottom w:val="single" w:sz="4" w:space="0" w:color="auto"/>
            </w:tcBorders>
          </w:tcPr>
          <w:p w14:paraId="792CCD88" w14:textId="18ECCC1A" w:rsidR="0056416D" w:rsidRDefault="0056416D" w:rsidP="00A40CEB">
            <w:r w:rsidRPr="00BC4967">
              <w:t>191,030</w:t>
            </w:r>
          </w:p>
        </w:tc>
      </w:tr>
      <w:tr w:rsidR="0056416D" w14:paraId="717BDFDA" w14:textId="77777777" w:rsidTr="0056416D">
        <w:trPr>
          <w:trHeight w:val="446"/>
        </w:trPr>
        <w:tc>
          <w:tcPr>
            <w:tcW w:w="5949" w:type="dxa"/>
            <w:shd w:val="clear" w:color="auto" w:fill="F2F2F2" w:themeFill="background1" w:themeFillShade="F2"/>
          </w:tcPr>
          <w:p w14:paraId="1510C5C5" w14:textId="77777777" w:rsidR="0056416D" w:rsidRPr="0086035E" w:rsidRDefault="0056416D" w:rsidP="00A40CEB">
            <w:pPr>
              <w:rPr>
                <w:b/>
              </w:rPr>
            </w:pPr>
            <w:r w:rsidRPr="0086035E">
              <w:rPr>
                <w:b/>
              </w:rPr>
              <w:t>Growth</w:t>
            </w:r>
          </w:p>
        </w:tc>
        <w:tc>
          <w:tcPr>
            <w:tcW w:w="2005" w:type="dxa"/>
            <w:shd w:val="clear" w:color="auto" w:fill="F2F2F2" w:themeFill="background1" w:themeFillShade="F2"/>
          </w:tcPr>
          <w:p w14:paraId="78774AFF" w14:textId="50AC308E" w:rsidR="0056416D" w:rsidRDefault="002330E4" w:rsidP="00A40CEB">
            <w:r>
              <w:t xml:space="preserve">- </w:t>
            </w:r>
          </w:p>
        </w:tc>
        <w:tc>
          <w:tcPr>
            <w:tcW w:w="2006" w:type="dxa"/>
            <w:shd w:val="clear" w:color="auto" w:fill="F2F2F2" w:themeFill="background1" w:themeFillShade="F2"/>
          </w:tcPr>
          <w:p w14:paraId="13850775" w14:textId="4E125AB3" w:rsidR="0056416D" w:rsidRDefault="0056416D" w:rsidP="00A40CEB">
            <w:r>
              <w:t>2.5%</w:t>
            </w:r>
          </w:p>
        </w:tc>
      </w:tr>
      <w:tr w:rsidR="0056416D" w14:paraId="632748C6" w14:textId="77777777" w:rsidTr="0056416D">
        <w:trPr>
          <w:trHeight w:val="446"/>
        </w:trPr>
        <w:tc>
          <w:tcPr>
            <w:tcW w:w="5949" w:type="dxa"/>
            <w:tcBorders>
              <w:bottom w:val="single" w:sz="4" w:space="0" w:color="auto"/>
            </w:tcBorders>
          </w:tcPr>
          <w:p w14:paraId="3847B1EC" w14:textId="425EBB8B" w:rsidR="0056416D" w:rsidRPr="0086035E" w:rsidRDefault="0056416D" w:rsidP="00A40CEB">
            <w:pPr>
              <w:rPr>
                <w:b/>
              </w:rPr>
            </w:pPr>
            <w:r>
              <w:t>Calls dealt with</w:t>
            </w:r>
          </w:p>
        </w:tc>
        <w:tc>
          <w:tcPr>
            <w:tcW w:w="2005" w:type="dxa"/>
            <w:tcBorders>
              <w:bottom w:val="single" w:sz="4" w:space="0" w:color="auto"/>
            </w:tcBorders>
          </w:tcPr>
          <w:p w14:paraId="6D74E0E7" w14:textId="5A3C6326" w:rsidR="0056416D" w:rsidRDefault="0056416D" w:rsidP="00A40CEB">
            <w:r w:rsidRPr="00BC4967">
              <w:t>111,504</w:t>
            </w:r>
          </w:p>
        </w:tc>
        <w:tc>
          <w:tcPr>
            <w:tcW w:w="2006" w:type="dxa"/>
            <w:tcBorders>
              <w:bottom w:val="single" w:sz="4" w:space="0" w:color="auto"/>
            </w:tcBorders>
          </w:tcPr>
          <w:p w14:paraId="37E4E4B8" w14:textId="39B766F7" w:rsidR="0056416D" w:rsidRDefault="0056416D" w:rsidP="00A40CEB">
            <w:r w:rsidRPr="00BC4967">
              <w:t>125,512</w:t>
            </w:r>
          </w:p>
        </w:tc>
      </w:tr>
      <w:tr w:rsidR="0056416D" w14:paraId="3E2EEA4B" w14:textId="77777777" w:rsidTr="0056416D">
        <w:trPr>
          <w:trHeight w:val="446"/>
        </w:trPr>
        <w:tc>
          <w:tcPr>
            <w:tcW w:w="5949" w:type="dxa"/>
            <w:shd w:val="clear" w:color="auto" w:fill="F2F2F2" w:themeFill="background1" w:themeFillShade="F2"/>
          </w:tcPr>
          <w:p w14:paraId="751FBD47" w14:textId="77777777" w:rsidR="0056416D" w:rsidRPr="0086035E" w:rsidRDefault="0056416D" w:rsidP="00A40CEB">
            <w:pPr>
              <w:rPr>
                <w:b/>
              </w:rPr>
            </w:pPr>
            <w:r w:rsidRPr="0086035E">
              <w:rPr>
                <w:b/>
              </w:rPr>
              <w:t>Growth</w:t>
            </w:r>
          </w:p>
        </w:tc>
        <w:tc>
          <w:tcPr>
            <w:tcW w:w="2005" w:type="dxa"/>
            <w:shd w:val="clear" w:color="auto" w:fill="F2F2F2" w:themeFill="background1" w:themeFillShade="F2"/>
          </w:tcPr>
          <w:p w14:paraId="7FA4424A" w14:textId="0A483B6B" w:rsidR="0056416D" w:rsidRDefault="002330E4" w:rsidP="00A40CEB">
            <w:r>
              <w:t xml:space="preserve">- </w:t>
            </w:r>
          </w:p>
        </w:tc>
        <w:tc>
          <w:tcPr>
            <w:tcW w:w="2006" w:type="dxa"/>
            <w:shd w:val="clear" w:color="auto" w:fill="F2F2F2" w:themeFill="background1" w:themeFillShade="F2"/>
          </w:tcPr>
          <w:p w14:paraId="5B8FFECD" w14:textId="66394F5F" w:rsidR="0056416D" w:rsidRDefault="0056416D" w:rsidP="00A40CEB">
            <w:r>
              <w:t>13%</w:t>
            </w:r>
          </w:p>
        </w:tc>
      </w:tr>
      <w:tr w:rsidR="0056416D" w14:paraId="532B4D20" w14:textId="77777777" w:rsidTr="0056416D">
        <w:trPr>
          <w:trHeight w:val="462"/>
        </w:trPr>
        <w:tc>
          <w:tcPr>
            <w:tcW w:w="5949" w:type="dxa"/>
          </w:tcPr>
          <w:p w14:paraId="28DF27B3" w14:textId="7278E889" w:rsidR="0056416D" w:rsidRPr="0086035E" w:rsidRDefault="0056416D" w:rsidP="00A40CEB">
            <w:pPr>
              <w:rPr>
                <w:b/>
              </w:rPr>
            </w:pPr>
            <w:r>
              <w:t>Answer call wait time</w:t>
            </w:r>
          </w:p>
        </w:tc>
        <w:tc>
          <w:tcPr>
            <w:tcW w:w="2005" w:type="dxa"/>
          </w:tcPr>
          <w:p w14:paraId="26650092" w14:textId="27733FCD" w:rsidR="0056416D" w:rsidRDefault="0056416D" w:rsidP="00A40CEB">
            <w:r>
              <w:t>7m 26s</w:t>
            </w:r>
          </w:p>
        </w:tc>
        <w:tc>
          <w:tcPr>
            <w:tcW w:w="2006" w:type="dxa"/>
          </w:tcPr>
          <w:p w14:paraId="0BD3B09E" w14:textId="0E8262FD" w:rsidR="0056416D" w:rsidRDefault="0056416D" w:rsidP="00A40CEB">
            <w:r>
              <w:t>8m 42s</w:t>
            </w:r>
          </w:p>
        </w:tc>
      </w:tr>
      <w:tr w:rsidR="0056416D" w14:paraId="77166665" w14:textId="77777777" w:rsidTr="0056416D">
        <w:trPr>
          <w:trHeight w:val="429"/>
        </w:trPr>
        <w:tc>
          <w:tcPr>
            <w:tcW w:w="5949" w:type="dxa"/>
          </w:tcPr>
          <w:p w14:paraId="3F3AB983" w14:textId="77777777" w:rsidR="0056416D" w:rsidRPr="0086035E" w:rsidRDefault="0056416D" w:rsidP="00A40CEB">
            <w:pPr>
              <w:rPr>
                <w:b/>
              </w:rPr>
            </w:pPr>
            <w:r>
              <w:t>Average call duration</w:t>
            </w:r>
          </w:p>
        </w:tc>
        <w:tc>
          <w:tcPr>
            <w:tcW w:w="2005" w:type="dxa"/>
          </w:tcPr>
          <w:p w14:paraId="34D16520" w14:textId="7ED880D4" w:rsidR="0056416D" w:rsidRDefault="0056416D" w:rsidP="00A40CEB">
            <w:r>
              <w:t>8m</w:t>
            </w:r>
          </w:p>
        </w:tc>
        <w:tc>
          <w:tcPr>
            <w:tcW w:w="2006" w:type="dxa"/>
          </w:tcPr>
          <w:p w14:paraId="6021430E" w14:textId="2ECBB1E6" w:rsidR="0056416D" w:rsidRDefault="0056416D" w:rsidP="00A40CEB">
            <w:r>
              <w:t>9m 47s</w:t>
            </w:r>
          </w:p>
        </w:tc>
      </w:tr>
    </w:tbl>
    <w:p w14:paraId="6E295B04" w14:textId="027FBE59" w:rsidR="002B4C28" w:rsidRDefault="002B4C28" w:rsidP="009749C2">
      <w:r>
        <w:t xml:space="preserve">Due to changes in reporting, only two years’ worth of data is available. </w:t>
      </w:r>
    </w:p>
    <w:p w14:paraId="2FBE5E83" w14:textId="1485A1BE" w:rsidR="009749C2" w:rsidRDefault="009749C2" w:rsidP="009749C2">
      <w:pPr>
        <w:rPr>
          <w:color w:val="000000" w:themeColor="text1"/>
        </w:rPr>
      </w:pPr>
      <w:r>
        <w:lastRenderedPageBreak/>
        <w:t>Demand for help over the phone is increasing</w:t>
      </w:r>
      <w:r>
        <w:rPr>
          <w:color w:val="000000" w:themeColor="text1"/>
        </w:rPr>
        <w:t xml:space="preserve">. Our Legal Help team answered more calls this year and </w:t>
      </w:r>
      <w:r w:rsidRPr="00752041">
        <w:rPr>
          <w:color w:val="000000" w:themeColor="text1"/>
        </w:rPr>
        <w:t xml:space="preserve">spoke </w:t>
      </w:r>
      <w:r>
        <w:rPr>
          <w:color w:val="000000" w:themeColor="text1"/>
        </w:rPr>
        <w:t xml:space="preserve">to the people they were advising for longer, an average of nine minutes and 47 seconds. The longer call lengths can be attributed to the increase in more </w:t>
      </w:r>
      <w:r w:rsidRPr="00752041">
        <w:rPr>
          <w:color w:val="000000" w:themeColor="text1"/>
        </w:rPr>
        <w:t xml:space="preserve">intensive </w:t>
      </w:r>
      <w:r>
        <w:rPr>
          <w:color w:val="000000" w:themeColor="text1"/>
        </w:rPr>
        <w:t>matters, meaning our staff took the time to explain mor</w:t>
      </w:r>
      <w:r w:rsidR="00000E05">
        <w:rPr>
          <w:color w:val="000000" w:themeColor="text1"/>
        </w:rPr>
        <w:t xml:space="preserve">e complex and difficult issues. As we look </w:t>
      </w:r>
      <w:r w:rsidR="00000E05" w:rsidRPr="00000E05">
        <w:rPr>
          <w:color w:val="000000" w:themeColor="text1"/>
        </w:rPr>
        <w:t>to modernise and</w:t>
      </w:r>
      <w:r w:rsidR="00000E05">
        <w:rPr>
          <w:color w:val="000000" w:themeColor="text1"/>
        </w:rPr>
        <w:t xml:space="preserve"> expand Legal Help, making it the main entry point to the legal assistance sector, the </w:t>
      </w:r>
      <w:r w:rsidR="00000E05" w:rsidRPr="00000E05">
        <w:rPr>
          <w:color w:val="000000" w:themeColor="text1"/>
        </w:rPr>
        <w:t xml:space="preserve">systems and support tools </w:t>
      </w:r>
      <w:r w:rsidR="00000E05">
        <w:rPr>
          <w:color w:val="000000" w:themeColor="text1"/>
        </w:rPr>
        <w:t>will be further upgraded and refined.</w:t>
      </w:r>
    </w:p>
    <w:p w14:paraId="0CD73DB4" w14:textId="77777777" w:rsidR="003907CE" w:rsidRDefault="003907CE" w:rsidP="001C6061">
      <w:pPr>
        <w:pStyle w:val="Heading2"/>
      </w:pPr>
      <w:r w:rsidRPr="002E7B9E">
        <w:t>Our partnerships—private barristers</w:t>
      </w:r>
    </w:p>
    <w:p w14:paraId="3866EC92" w14:textId="77777777" w:rsidR="003907CE" w:rsidRPr="002E7B9E" w:rsidRDefault="003907CE" w:rsidP="003907CE">
      <w:r w:rsidRPr="002E7B9E">
        <w:t>Barristers appear in matters pursuant to a grant of aid and in some duty lawyer services. Barristers are generally chosen by the instructing solicitor, who exercises their professional judgment and experience to choose whom to brief.</w:t>
      </w:r>
    </w:p>
    <w:p w14:paraId="5F8E7022" w14:textId="77777777" w:rsidR="003907CE" w:rsidRPr="002E7B9E" w:rsidRDefault="003907CE" w:rsidP="003907CE">
      <w:r w:rsidRPr="002E7B9E">
        <w:t>Barristers wishing to be briefed in indictable criminal trials of more than 15 days in length must be members of our Criminal Trial Preferred Barrister List. Applicants for membership must demonstrate experience in the skills required to conduct indictable criminal trials.</w:t>
      </w:r>
    </w:p>
    <w:p w14:paraId="7670B30C" w14:textId="77777777" w:rsidR="003907CE" w:rsidRDefault="003907CE" w:rsidP="003907CE">
      <w:r w:rsidRPr="002E7B9E">
        <w:t>Includes all costs paid including circuit fees, travelling cost and other expenses.</w:t>
      </w:r>
    </w:p>
    <w:tbl>
      <w:tblPr>
        <w:tblStyle w:val="TableGrid"/>
        <w:tblW w:w="0" w:type="auto"/>
        <w:tblLook w:val="04A0" w:firstRow="1" w:lastRow="0" w:firstColumn="1" w:lastColumn="0" w:noHBand="0" w:noVBand="1"/>
      </w:tblPr>
      <w:tblGrid>
        <w:gridCol w:w="3256"/>
        <w:gridCol w:w="2173"/>
        <w:gridCol w:w="2173"/>
        <w:gridCol w:w="2174"/>
      </w:tblGrid>
      <w:tr w:rsidR="003907CE" w:rsidRPr="00D37B73" w14:paraId="0E393686" w14:textId="77777777" w:rsidTr="001C6061">
        <w:trPr>
          <w:tblHeader/>
        </w:trPr>
        <w:tc>
          <w:tcPr>
            <w:tcW w:w="3256" w:type="dxa"/>
            <w:shd w:val="clear" w:color="auto" w:fill="D9D9D9" w:themeFill="background1" w:themeFillShade="D9"/>
          </w:tcPr>
          <w:p w14:paraId="5C91C65F" w14:textId="77777777" w:rsidR="003907CE" w:rsidRPr="00D37B73" w:rsidRDefault="003907CE" w:rsidP="001C6061">
            <w:pPr>
              <w:rPr>
                <w:b/>
              </w:rPr>
            </w:pPr>
            <w:r>
              <w:rPr>
                <w:b/>
              </w:rPr>
              <w:t>2016–17</w:t>
            </w:r>
          </w:p>
        </w:tc>
        <w:tc>
          <w:tcPr>
            <w:tcW w:w="2173" w:type="dxa"/>
            <w:shd w:val="clear" w:color="auto" w:fill="D9D9D9" w:themeFill="background1" w:themeFillShade="D9"/>
          </w:tcPr>
          <w:p w14:paraId="5F7423D2" w14:textId="77777777" w:rsidR="003907CE" w:rsidRPr="00D37B73" w:rsidRDefault="003907CE" w:rsidP="001C6061">
            <w:pPr>
              <w:rPr>
                <w:b/>
              </w:rPr>
            </w:pPr>
            <w:r w:rsidRPr="00A408C7">
              <w:rPr>
                <w:b/>
              </w:rPr>
              <w:t>Briefed by private practitioner ($)</w:t>
            </w:r>
          </w:p>
        </w:tc>
        <w:tc>
          <w:tcPr>
            <w:tcW w:w="2173" w:type="dxa"/>
            <w:shd w:val="clear" w:color="auto" w:fill="D9D9D9" w:themeFill="background1" w:themeFillShade="D9"/>
          </w:tcPr>
          <w:p w14:paraId="058F0C0E" w14:textId="77777777" w:rsidR="003907CE" w:rsidRPr="00D37B73" w:rsidRDefault="003907CE" w:rsidP="001C6061">
            <w:pPr>
              <w:rPr>
                <w:b/>
              </w:rPr>
            </w:pPr>
            <w:r w:rsidRPr="00A408C7">
              <w:rPr>
                <w:b/>
              </w:rPr>
              <w:t>Briefed by Victoria Legal Aid ($)</w:t>
            </w:r>
          </w:p>
        </w:tc>
        <w:tc>
          <w:tcPr>
            <w:tcW w:w="2174" w:type="dxa"/>
            <w:shd w:val="clear" w:color="auto" w:fill="D9D9D9" w:themeFill="background1" w:themeFillShade="D9"/>
          </w:tcPr>
          <w:p w14:paraId="5BCE239D" w14:textId="77777777" w:rsidR="003907CE" w:rsidRPr="00D37B73" w:rsidRDefault="003907CE" w:rsidP="001C6061">
            <w:pPr>
              <w:rPr>
                <w:b/>
              </w:rPr>
            </w:pPr>
            <w:r w:rsidRPr="00A408C7">
              <w:rPr>
                <w:b/>
              </w:rPr>
              <w:t>Total ($)</w:t>
            </w:r>
          </w:p>
        </w:tc>
      </w:tr>
      <w:tr w:rsidR="003907CE" w14:paraId="3B60741D" w14:textId="77777777" w:rsidTr="001C6061">
        <w:tc>
          <w:tcPr>
            <w:tcW w:w="3256" w:type="dxa"/>
            <w:tcBorders>
              <w:bottom w:val="single" w:sz="4" w:space="0" w:color="auto"/>
            </w:tcBorders>
          </w:tcPr>
          <w:p w14:paraId="43ED6927" w14:textId="77777777" w:rsidR="003907CE" w:rsidRPr="00D37B73" w:rsidRDefault="003907CE" w:rsidP="001C6061">
            <w:pPr>
              <w:rPr>
                <w:b/>
              </w:rPr>
            </w:pPr>
            <w:r w:rsidRPr="00A40EC2">
              <w:t>Total all barrister payments</w:t>
            </w:r>
          </w:p>
        </w:tc>
        <w:tc>
          <w:tcPr>
            <w:tcW w:w="2173" w:type="dxa"/>
            <w:tcBorders>
              <w:bottom w:val="single" w:sz="4" w:space="0" w:color="auto"/>
            </w:tcBorders>
          </w:tcPr>
          <w:p w14:paraId="05E7D909" w14:textId="77777777" w:rsidR="003907CE" w:rsidRDefault="003907CE" w:rsidP="001C6061">
            <w:r w:rsidRPr="00C059D1">
              <w:t>15.9 million</w:t>
            </w:r>
          </w:p>
        </w:tc>
        <w:tc>
          <w:tcPr>
            <w:tcW w:w="2173" w:type="dxa"/>
            <w:tcBorders>
              <w:bottom w:val="single" w:sz="4" w:space="0" w:color="auto"/>
            </w:tcBorders>
          </w:tcPr>
          <w:p w14:paraId="2A7DD5E9" w14:textId="77777777" w:rsidR="003907CE" w:rsidRDefault="003907CE" w:rsidP="001C6061">
            <w:r w:rsidRPr="00C059D1">
              <w:t>4.6 million</w:t>
            </w:r>
          </w:p>
        </w:tc>
        <w:tc>
          <w:tcPr>
            <w:tcW w:w="2174" w:type="dxa"/>
            <w:tcBorders>
              <w:bottom w:val="single" w:sz="4" w:space="0" w:color="auto"/>
            </w:tcBorders>
          </w:tcPr>
          <w:p w14:paraId="3884027E" w14:textId="77777777" w:rsidR="003907CE" w:rsidRDefault="003907CE" w:rsidP="001C6061">
            <w:r w:rsidRPr="00C059D1">
              <w:t>20.5 million</w:t>
            </w:r>
          </w:p>
        </w:tc>
      </w:tr>
      <w:tr w:rsidR="003907CE" w:rsidRPr="00D37B73" w14:paraId="4007531D" w14:textId="77777777" w:rsidTr="001C6061">
        <w:trPr>
          <w:tblHeader/>
        </w:trPr>
        <w:tc>
          <w:tcPr>
            <w:tcW w:w="3256" w:type="dxa"/>
            <w:shd w:val="clear" w:color="auto" w:fill="D9D9D9" w:themeFill="background1" w:themeFillShade="D9"/>
          </w:tcPr>
          <w:p w14:paraId="7E535C4A" w14:textId="77777777" w:rsidR="003907CE" w:rsidRPr="00D37B73" w:rsidRDefault="003907CE" w:rsidP="001C6061">
            <w:pPr>
              <w:rPr>
                <w:b/>
              </w:rPr>
            </w:pPr>
            <w:r w:rsidRPr="00A408C7">
              <w:rPr>
                <w:b/>
              </w:rPr>
              <w:t>2015–16</w:t>
            </w:r>
          </w:p>
        </w:tc>
        <w:tc>
          <w:tcPr>
            <w:tcW w:w="2173" w:type="dxa"/>
            <w:shd w:val="clear" w:color="auto" w:fill="D9D9D9" w:themeFill="background1" w:themeFillShade="D9"/>
          </w:tcPr>
          <w:p w14:paraId="5F088854" w14:textId="77777777" w:rsidR="003907CE" w:rsidRPr="00D37B73" w:rsidRDefault="003907CE" w:rsidP="001C6061">
            <w:pPr>
              <w:rPr>
                <w:b/>
              </w:rPr>
            </w:pPr>
            <w:r w:rsidRPr="00A408C7">
              <w:rPr>
                <w:b/>
              </w:rPr>
              <w:t>Briefed by private practitioner ($)</w:t>
            </w:r>
          </w:p>
        </w:tc>
        <w:tc>
          <w:tcPr>
            <w:tcW w:w="2173" w:type="dxa"/>
            <w:shd w:val="clear" w:color="auto" w:fill="D9D9D9" w:themeFill="background1" w:themeFillShade="D9"/>
          </w:tcPr>
          <w:p w14:paraId="6562EBAF" w14:textId="77777777" w:rsidR="003907CE" w:rsidRPr="00D37B73" w:rsidRDefault="003907CE" w:rsidP="001C6061">
            <w:pPr>
              <w:rPr>
                <w:b/>
              </w:rPr>
            </w:pPr>
            <w:r w:rsidRPr="00A408C7">
              <w:rPr>
                <w:b/>
              </w:rPr>
              <w:t>Briefed by Victoria Legal Aid ($)</w:t>
            </w:r>
          </w:p>
        </w:tc>
        <w:tc>
          <w:tcPr>
            <w:tcW w:w="2174" w:type="dxa"/>
            <w:shd w:val="clear" w:color="auto" w:fill="D9D9D9" w:themeFill="background1" w:themeFillShade="D9"/>
          </w:tcPr>
          <w:p w14:paraId="1EF88B5E" w14:textId="77777777" w:rsidR="003907CE" w:rsidRPr="00D37B73" w:rsidRDefault="003907CE" w:rsidP="001C6061">
            <w:pPr>
              <w:rPr>
                <w:b/>
              </w:rPr>
            </w:pPr>
            <w:r w:rsidRPr="00A408C7">
              <w:rPr>
                <w:b/>
              </w:rPr>
              <w:t>Total ($)</w:t>
            </w:r>
          </w:p>
        </w:tc>
      </w:tr>
      <w:tr w:rsidR="003907CE" w14:paraId="0062B1ED" w14:textId="77777777" w:rsidTr="001C6061">
        <w:tc>
          <w:tcPr>
            <w:tcW w:w="3256" w:type="dxa"/>
            <w:tcBorders>
              <w:bottom w:val="single" w:sz="4" w:space="0" w:color="auto"/>
            </w:tcBorders>
          </w:tcPr>
          <w:p w14:paraId="740C61B0" w14:textId="77777777" w:rsidR="003907CE" w:rsidRPr="00D37B73" w:rsidRDefault="003907CE" w:rsidP="001C6061">
            <w:pPr>
              <w:rPr>
                <w:b/>
              </w:rPr>
            </w:pPr>
            <w:r w:rsidRPr="00A40EC2">
              <w:t>Total all barrister payments</w:t>
            </w:r>
          </w:p>
        </w:tc>
        <w:tc>
          <w:tcPr>
            <w:tcW w:w="2173" w:type="dxa"/>
            <w:tcBorders>
              <w:bottom w:val="single" w:sz="4" w:space="0" w:color="auto"/>
            </w:tcBorders>
          </w:tcPr>
          <w:p w14:paraId="1A0C9B32" w14:textId="77777777" w:rsidR="003907CE" w:rsidRDefault="003907CE" w:rsidP="001C6061">
            <w:r w:rsidRPr="00A40EC2">
              <w:t>14.2 million</w:t>
            </w:r>
          </w:p>
        </w:tc>
        <w:tc>
          <w:tcPr>
            <w:tcW w:w="2173" w:type="dxa"/>
            <w:tcBorders>
              <w:bottom w:val="single" w:sz="4" w:space="0" w:color="auto"/>
            </w:tcBorders>
          </w:tcPr>
          <w:p w14:paraId="70AA832F" w14:textId="77777777" w:rsidR="003907CE" w:rsidRDefault="003907CE" w:rsidP="001C6061">
            <w:pPr>
              <w:pStyle w:val="ListParagraph"/>
              <w:numPr>
                <w:ilvl w:val="0"/>
                <w:numId w:val="48"/>
              </w:numPr>
            </w:pPr>
            <w:r w:rsidRPr="00A40EC2">
              <w:t>million</w:t>
            </w:r>
          </w:p>
        </w:tc>
        <w:tc>
          <w:tcPr>
            <w:tcW w:w="2174" w:type="dxa"/>
            <w:tcBorders>
              <w:bottom w:val="single" w:sz="4" w:space="0" w:color="auto"/>
            </w:tcBorders>
          </w:tcPr>
          <w:p w14:paraId="5877A0DA" w14:textId="77777777" w:rsidR="003907CE" w:rsidRDefault="003907CE" w:rsidP="001C6061">
            <w:r>
              <w:t xml:space="preserve">18.2 </w:t>
            </w:r>
            <w:r w:rsidRPr="00A40EC2">
              <w:t>million</w:t>
            </w:r>
          </w:p>
        </w:tc>
      </w:tr>
    </w:tbl>
    <w:p w14:paraId="655085B2" w14:textId="0EE3EC97" w:rsidR="003907CE" w:rsidRDefault="003907CE" w:rsidP="003907CE">
      <w:r>
        <w:t xml:space="preserve">When briefing a barrister from the private Bar, our recommendations </w:t>
      </w:r>
      <w:proofErr w:type="gramStart"/>
      <w:r>
        <w:t>take into account</w:t>
      </w:r>
      <w:proofErr w:type="gramEnd"/>
      <w:r>
        <w:t xml:space="preserve"> diversity, equality and the development of promising advocates.</w:t>
      </w:r>
    </w:p>
    <w:p w14:paraId="5D25EB22" w14:textId="6BA8B7EB" w:rsidR="003907CE" w:rsidRDefault="003907CE" w:rsidP="003907CE">
      <w:r>
        <w:t>We are proud that 54 per cent of significant</w:t>
      </w:r>
      <w:r>
        <w:rPr>
          <w:rStyle w:val="FootnoteReference"/>
        </w:rPr>
        <w:footnoteReference w:id="3"/>
      </w:r>
      <w:r>
        <w:t xml:space="preserve"> cases were briefed to female barristers at the private Bar (an increase of 17 per cent). This compares very favourably with the target of 30 per cent by the year 2020 set by the National Model Gender Equitable Briefing Policy.</w:t>
      </w:r>
    </w:p>
    <w:p w14:paraId="151C44AF" w14:textId="2CCE1B70" w:rsidR="003907CE" w:rsidRDefault="003907CE" w:rsidP="001C6061">
      <w:r>
        <w:t>Over $7.5 million was paid to female barristers at the private Bar, up from $6 million in 2015–16, and over $8.6 million was paid to female barristers in-house and at the private Bar, up from $6.9 million in 2015–16.</w:t>
      </w:r>
    </w:p>
    <w:p w14:paraId="1548E3E3" w14:textId="58CB0F2D" w:rsidR="003907CE" w:rsidRDefault="003907CE">
      <w:pPr>
        <w:spacing w:after="0" w:line="240" w:lineRule="auto"/>
        <w:rPr>
          <w:color w:val="000000" w:themeColor="text1"/>
        </w:rPr>
      </w:pPr>
      <w:r>
        <w:rPr>
          <w:color w:val="000000" w:themeColor="text1"/>
        </w:rPr>
        <w:br w:type="page"/>
      </w:r>
    </w:p>
    <w:p w14:paraId="13D07E7F" w14:textId="4C043A2B" w:rsidR="002D0843" w:rsidRDefault="002D0843" w:rsidP="002D0843">
      <w:pPr>
        <w:pStyle w:val="Heading2"/>
      </w:pPr>
      <w:r>
        <w:lastRenderedPageBreak/>
        <w:t>Other Victoria Legal Aid headlines for 2016–17</w:t>
      </w:r>
    </w:p>
    <w:p w14:paraId="1E68C885" w14:textId="5935C10D" w:rsidR="002D0843" w:rsidRDefault="002D0843" w:rsidP="002D0843">
      <w:pPr>
        <w:pStyle w:val="ListBullet"/>
      </w:pPr>
      <w:r w:rsidRPr="0047677D">
        <w:rPr>
          <w:b/>
        </w:rPr>
        <w:t>September</w:t>
      </w:r>
      <w:r w:rsidR="00ED6C1A">
        <w:t>—</w:t>
      </w:r>
      <w:r w:rsidR="0015275E">
        <w:t>Our</w:t>
      </w:r>
      <w:r>
        <w:t xml:space="preserve"> Independent Mental Health Advocacy team celebrated its first year providing services in 34 mental health outposts across Victoria.</w:t>
      </w:r>
    </w:p>
    <w:p w14:paraId="34E14898" w14:textId="335E9E59" w:rsidR="002D0843" w:rsidRDefault="002D0843" w:rsidP="002D0843">
      <w:pPr>
        <w:pStyle w:val="ListBullet"/>
      </w:pPr>
      <w:r w:rsidRPr="0047677D">
        <w:rPr>
          <w:b/>
        </w:rPr>
        <w:t>October</w:t>
      </w:r>
      <w:r w:rsidR="00ED6C1A">
        <w:t>—</w:t>
      </w:r>
      <w:r>
        <w:t xml:space="preserve">The Victorian Access to Justice Review </w:t>
      </w:r>
      <w:r w:rsidR="00687C56">
        <w:t xml:space="preserve">report was </w:t>
      </w:r>
      <w:r>
        <w:t>released recognising the importance of</w:t>
      </w:r>
      <w:r w:rsidR="00687C56">
        <w:t xml:space="preserve"> a</w:t>
      </w:r>
      <w:r>
        <w:t xml:space="preserve"> fair and accessible justice system and the need for more investment from both State and Commonwealth governments to overcome ‘stretched’ services. </w:t>
      </w:r>
    </w:p>
    <w:p w14:paraId="41AAC47D" w14:textId="6BE76867" w:rsidR="002D0843" w:rsidRDefault="002D0843" w:rsidP="00687C56">
      <w:pPr>
        <w:pStyle w:val="ListBullet"/>
      </w:pPr>
      <w:r w:rsidRPr="0047677D">
        <w:rPr>
          <w:b/>
        </w:rPr>
        <w:t>October</w:t>
      </w:r>
      <w:r w:rsidR="00ED6C1A">
        <w:t>—</w:t>
      </w:r>
      <w:r w:rsidR="0015275E">
        <w:t>We</w:t>
      </w:r>
      <w:r w:rsidR="00687C56" w:rsidRPr="00687C56">
        <w:t xml:space="preserve"> </w:t>
      </w:r>
      <w:r w:rsidR="00687C56">
        <w:t>r</w:t>
      </w:r>
      <w:r>
        <w:t>eleased a consultation and options paper for our Child Protection Legal Aid Services Review to help inform options for improving legally aided child protection services.</w:t>
      </w:r>
    </w:p>
    <w:p w14:paraId="4F40BE02" w14:textId="60023087" w:rsidR="002D0843" w:rsidRDefault="002D0843" w:rsidP="002D0843">
      <w:pPr>
        <w:pStyle w:val="ListBullet"/>
      </w:pPr>
      <w:r w:rsidRPr="0047677D">
        <w:rPr>
          <w:b/>
        </w:rPr>
        <w:t>November</w:t>
      </w:r>
      <w:r w:rsidR="00ED6C1A">
        <w:t>—</w:t>
      </w:r>
      <w:r w:rsidR="0015275E">
        <w:t xml:space="preserve">Along with </w:t>
      </w:r>
      <w:r>
        <w:t>Peninsula Community Legal Centre and Hume Riverina Community Legal Service</w:t>
      </w:r>
      <w:r w:rsidR="0015275E">
        <w:t>, we</w:t>
      </w:r>
      <w:r>
        <w:t xml:space="preserve"> launched new pilots to provide a continuing family law service for parents first dealing with a family violence intervention </w:t>
      </w:r>
      <w:r w:rsidR="00A51A0C">
        <w:t xml:space="preserve">order in the state Magistrates’ </w:t>
      </w:r>
      <w:proofErr w:type="gramStart"/>
      <w:r w:rsidR="00A51A0C">
        <w:t>Courts.</w:t>
      </w:r>
      <w:r>
        <w:t>.</w:t>
      </w:r>
      <w:proofErr w:type="gramEnd"/>
    </w:p>
    <w:p w14:paraId="01C64153" w14:textId="76B24D17" w:rsidR="002D0843" w:rsidRDefault="002D0843" w:rsidP="002D0843">
      <w:pPr>
        <w:pStyle w:val="ListBullet"/>
      </w:pPr>
      <w:r w:rsidRPr="0047677D">
        <w:rPr>
          <w:b/>
        </w:rPr>
        <w:t>December</w:t>
      </w:r>
      <w:r w:rsidR="00ED6C1A">
        <w:t>—</w:t>
      </w:r>
      <w:r w:rsidR="0015275E">
        <w:t xml:space="preserve">We launched </w:t>
      </w:r>
      <w:r>
        <w:t xml:space="preserve">a Health Justice Partnership with </w:t>
      </w:r>
      <w:proofErr w:type="spellStart"/>
      <w:r>
        <w:t>Sunraysia</w:t>
      </w:r>
      <w:proofErr w:type="spellEnd"/>
      <w:r>
        <w:t xml:space="preserve"> Community Health Service in the Mallee region.</w:t>
      </w:r>
    </w:p>
    <w:p w14:paraId="31446318" w14:textId="08B89DD7" w:rsidR="00A51A0C" w:rsidRDefault="00A51A0C" w:rsidP="00A51A0C">
      <w:pPr>
        <w:pStyle w:val="ListBullet"/>
      </w:pPr>
      <w:r>
        <w:rPr>
          <w:b/>
        </w:rPr>
        <w:t>December</w:t>
      </w:r>
      <w:r>
        <w:t>—</w:t>
      </w:r>
      <w:r w:rsidRPr="00A51A0C">
        <w:t xml:space="preserve">Attorney-General Martin </w:t>
      </w:r>
      <w:proofErr w:type="spellStart"/>
      <w:r w:rsidRPr="00A51A0C">
        <w:t>Pakula</w:t>
      </w:r>
      <w:proofErr w:type="spellEnd"/>
      <w:r w:rsidRPr="00A51A0C">
        <w:t xml:space="preserve"> officially opened t</w:t>
      </w:r>
      <w:r>
        <w:t xml:space="preserve">he new state-of-the-art Victoria Legal Aid office in Shepparton. </w:t>
      </w:r>
    </w:p>
    <w:p w14:paraId="6D2F3F3D" w14:textId="42CBC868" w:rsidR="005F07BF" w:rsidRPr="005F07BF" w:rsidRDefault="005F07BF" w:rsidP="005F07BF">
      <w:pPr>
        <w:pStyle w:val="ListBullet"/>
      </w:pPr>
      <w:r w:rsidRPr="005F07BF">
        <w:rPr>
          <w:b/>
        </w:rPr>
        <w:t>February</w:t>
      </w:r>
      <w:r w:rsidR="00ED6C1A">
        <w:t>—</w:t>
      </w:r>
      <w:r>
        <w:t xml:space="preserve">As part of the Means Test Review, we released an </w:t>
      </w:r>
      <w:r w:rsidRPr="005F07BF">
        <w:t>options paper</w:t>
      </w:r>
      <w:r>
        <w:t xml:space="preserve">, seeking feedback on </w:t>
      </w:r>
      <w:r w:rsidR="00A93E5D">
        <w:t xml:space="preserve">the options we propose to </w:t>
      </w:r>
      <w:r>
        <w:t xml:space="preserve">create a </w:t>
      </w:r>
      <w:r w:rsidRPr="005F07BF">
        <w:t>simpler and fairer means test.</w:t>
      </w:r>
      <w:r>
        <w:t xml:space="preserve">  </w:t>
      </w:r>
    </w:p>
    <w:p w14:paraId="7C94780B" w14:textId="211CF41A" w:rsidR="0015275E" w:rsidRPr="0015275E" w:rsidRDefault="0015275E" w:rsidP="001F49D8">
      <w:pPr>
        <w:pStyle w:val="ListBullet"/>
      </w:pPr>
      <w:r w:rsidRPr="001F49D8">
        <w:rPr>
          <w:b/>
        </w:rPr>
        <w:t>March</w:t>
      </w:r>
      <w:r w:rsidR="00ED6C1A">
        <w:t>—</w:t>
      </w:r>
      <w:r w:rsidR="001F49D8" w:rsidRPr="001F49D8">
        <w:t>National Disability Insurance Scheme</w:t>
      </w:r>
      <w:r w:rsidR="001F49D8">
        <w:t xml:space="preserve"> </w:t>
      </w:r>
      <w:r w:rsidR="001F49D8" w:rsidRPr="001F49D8">
        <w:t xml:space="preserve">test case win for </w:t>
      </w:r>
      <w:r w:rsidR="00237F59">
        <w:t xml:space="preserve">our client, </w:t>
      </w:r>
      <w:r w:rsidR="001F49D8" w:rsidRPr="001F49D8">
        <w:t xml:space="preserve">Liam </w:t>
      </w:r>
      <w:proofErr w:type="spellStart"/>
      <w:r w:rsidR="001F49D8" w:rsidRPr="001F49D8">
        <w:t>McGarrigle</w:t>
      </w:r>
      <w:proofErr w:type="spellEnd"/>
      <w:r w:rsidR="00237F59">
        <w:t>,</w:t>
      </w:r>
      <w:r w:rsidR="001F49D8" w:rsidRPr="001F49D8">
        <w:t xml:space="preserve"> in Federal Court</w:t>
      </w:r>
      <w:r w:rsidR="001F49D8">
        <w:t>.</w:t>
      </w:r>
      <w:r w:rsidR="001F49D8" w:rsidRPr="001F49D8">
        <w:t xml:space="preserve"> The ruling means that the NDIS agency’s current policy to only make a partial contribution toward transport and other costs will be overturned.</w:t>
      </w:r>
    </w:p>
    <w:p w14:paraId="4F74AF88" w14:textId="120AF643" w:rsidR="005F07BF" w:rsidRPr="005F07BF" w:rsidRDefault="005F07BF" w:rsidP="005F07BF">
      <w:pPr>
        <w:pStyle w:val="ListBullet"/>
      </w:pPr>
      <w:r w:rsidRPr="005F07BF">
        <w:rPr>
          <w:b/>
        </w:rPr>
        <w:t>May</w:t>
      </w:r>
      <w:r w:rsidR="00ED6C1A">
        <w:t>—</w:t>
      </w:r>
      <w:r w:rsidR="00603496">
        <w:t>W</w:t>
      </w:r>
      <w:r>
        <w:t xml:space="preserve">e </w:t>
      </w:r>
      <w:r w:rsidRPr="005F07BF">
        <w:t>held our first official event in recognition of National Sorry Day, 26 May.</w:t>
      </w:r>
    </w:p>
    <w:p w14:paraId="113283C3" w14:textId="66C1E420" w:rsidR="001F49D8" w:rsidRPr="001F49D8" w:rsidRDefault="001F49D8" w:rsidP="001F49D8">
      <w:pPr>
        <w:pStyle w:val="ListBullet"/>
      </w:pPr>
      <w:r w:rsidRPr="001F49D8">
        <w:rPr>
          <w:b/>
        </w:rPr>
        <w:t>June</w:t>
      </w:r>
      <w:r w:rsidR="00ED6C1A">
        <w:t>—</w:t>
      </w:r>
      <w:r w:rsidR="00665D27">
        <w:t xml:space="preserve">Launch of our new </w:t>
      </w:r>
      <w:r w:rsidRPr="001F49D8">
        <w:t>Family Advocacy and Support Services</w:t>
      </w:r>
      <w:r>
        <w:t>, which</w:t>
      </w:r>
      <w:r w:rsidRPr="001F49D8">
        <w:t xml:space="preserve"> place</w:t>
      </w:r>
      <w:r>
        <w:t>s</w:t>
      </w:r>
      <w:r w:rsidRPr="001F49D8">
        <w:t xml:space="preserve"> lawyers and specialist family violence support </w:t>
      </w:r>
      <w:r w:rsidR="00A51A0C" w:rsidRPr="001F49D8">
        <w:t>workers in</w:t>
      </w:r>
      <w:r w:rsidR="00A51A0C">
        <w:t xml:space="preserve"> the</w:t>
      </w:r>
      <w:r w:rsidR="00A51A0C" w:rsidRPr="001F49D8">
        <w:t xml:space="preserve"> daily family law courts</w:t>
      </w:r>
      <w:r w:rsidR="00A51A0C">
        <w:t xml:space="preserve"> in Victoria</w:t>
      </w:r>
      <w:r w:rsidR="00A51A0C" w:rsidRPr="001F49D8">
        <w:t xml:space="preserve">, </w:t>
      </w:r>
      <w:r w:rsidR="00A51A0C">
        <w:t xml:space="preserve">at </w:t>
      </w:r>
      <w:r w:rsidR="00A51A0C" w:rsidRPr="001F49D8">
        <w:t>Melbourne and Dandenong.</w:t>
      </w:r>
    </w:p>
    <w:p w14:paraId="3E781ED6" w14:textId="07E0C5AE" w:rsidR="001F49D8" w:rsidRDefault="0015275E" w:rsidP="001F49D8">
      <w:pPr>
        <w:pStyle w:val="ListBullet"/>
      </w:pPr>
      <w:r w:rsidRPr="001F49D8">
        <w:rPr>
          <w:b/>
        </w:rPr>
        <w:t>June</w:t>
      </w:r>
      <w:r w:rsidR="00ED6C1A">
        <w:t>—</w:t>
      </w:r>
      <w:r w:rsidR="00665D27">
        <w:t>We</w:t>
      </w:r>
      <w:r w:rsidR="001F49D8">
        <w:t xml:space="preserve"> released </w:t>
      </w:r>
      <w:r w:rsidR="001F49D8" w:rsidRPr="001F49D8">
        <w:t>an independent review of our criminal law services in the Magistrates’ Court. The landmark report highlights the need for a better Magistrates’ Court system for all Victorians.</w:t>
      </w:r>
    </w:p>
    <w:p w14:paraId="0301A207" w14:textId="71BA7EF4" w:rsidR="0047677D" w:rsidRDefault="0047677D" w:rsidP="0086035E">
      <w:pPr>
        <w:pStyle w:val="Heading2"/>
      </w:pPr>
      <w:r>
        <w:t>Financial summary</w:t>
      </w:r>
    </w:p>
    <w:p w14:paraId="7C16CB8E" w14:textId="56B5A56B" w:rsidR="000E08D9" w:rsidRDefault="004F3FFD" w:rsidP="000E08D9">
      <w:r>
        <w:t xml:space="preserve">In 2016–17, we spent more and grew our services accordingly. </w:t>
      </w:r>
      <w:r w:rsidR="0000671E">
        <w:t>We finished the year with a $9.9</w:t>
      </w:r>
      <w:r w:rsidR="00603496" w:rsidRPr="004252DD">
        <w:t xml:space="preserve"> million deficit from transactions, our day-to-day business. The result is an $11.</w:t>
      </w:r>
      <w:r w:rsidR="0000671E">
        <w:t>5</w:t>
      </w:r>
      <w:r w:rsidR="00603496" w:rsidRPr="004252DD">
        <w:t xml:space="preserve"> million decrease on our prior year surplus of $1.5 million, and reflects </w:t>
      </w:r>
      <w:r w:rsidR="00603496">
        <w:t xml:space="preserve">a </w:t>
      </w:r>
      <w:r w:rsidR="00603496" w:rsidRPr="004252DD">
        <w:t xml:space="preserve">significant growth in operating expenditure </w:t>
      </w:r>
      <w:r w:rsidR="00603496">
        <w:t>which has resulted</w:t>
      </w:r>
      <w:r w:rsidR="00603496" w:rsidRPr="004252DD">
        <w:t xml:space="preserve"> from esc</w:t>
      </w:r>
      <w:r w:rsidR="00603496">
        <w:t xml:space="preserve">alating demand for our services.  </w:t>
      </w:r>
    </w:p>
    <w:p w14:paraId="297023A4" w14:textId="77777777" w:rsidR="00D027A5" w:rsidRPr="00D027A5" w:rsidRDefault="00D027A5" w:rsidP="00D027A5">
      <w:r w:rsidRPr="00D027A5">
        <w:t>The comprehensive deficit was $10.9 million compared to a $2.7 million surplus last year.</w:t>
      </w:r>
    </w:p>
    <w:p w14:paraId="1EF83813" w14:textId="64FE54F2" w:rsidR="00963878" w:rsidRDefault="000E08D9" w:rsidP="00004DE5">
      <w:bookmarkStart w:id="1" w:name="_GoBack"/>
      <w:bookmarkEnd w:id="1"/>
      <w:r>
        <w:t>Case-related payments which include payments to private practitioners, barristers, medical experts and interpreters, as well as to third parties for services provided for cases run by Victoria Legal Aid lawyers, increased by $9.5 million or 13.4 per cent. This growth can be attributed to payments relating to criminal, family and children’s law, which is a direct result of the increased demand for grants of legal assistance.</w:t>
      </w:r>
      <w:r w:rsidR="00004DE5">
        <w:t xml:space="preserve"> </w:t>
      </w:r>
    </w:p>
    <w:p w14:paraId="0C0DBA68" w14:textId="77777777" w:rsidR="00963878" w:rsidRDefault="00963878">
      <w:pPr>
        <w:spacing w:after="0" w:line="240" w:lineRule="auto"/>
      </w:pPr>
      <w:r>
        <w:br w:type="page"/>
      </w:r>
    </w:p>
    <w:p w14:paraId="62D2C2DD" w14:textId="6AD1FFFF" w:rsidR="00004DE5" w:rsidRDefault="00004DE5" w:rsidP="00004DE5">
      <w:r w:rsidRPr="008F3CE7">
        <w:lastRenderedPageBreak/>
        <w:t xml:space="preserve">The other major expense was staffing-related costs </w:t>
      </w:r>
      <w:r>
        <w:t>of</w:t>
      </w:r>
      <w:r w:rsidRPr="008F3CE7">
        <w:t xml:space="preserve"> $68.8</w:t>
      </w:r>
      <w:r>
        <w:t xml:space="preserve"> million, an increase of 10 per cent on last year</w:t>
      </w:r>
      <w:r w:rsidRPr="008F3CE7">
        <w:t xml:space="preserve">. </w:t>
      </w:r>
      <w:r>
        <w:t>The increase in these costs</w:t>
      </w:r>
      <w:r w:rsidRPr="008F3CE7">
        <w:t xml:space="preserve"> include annual increments paid to staff as well as salaries for </w:t>
      </w:r>
      <w:r w:rsidR="00504053">
        <w:t xml:space="preserve">new </w:t>
      </w:r>
      <w:r w:rsidRPr="008F3CE7">
        <w:t>staff employed for service expansion</w:t>
      </w:r>
      <w:r>
        <w:t>, including:</w:t>
      </w:r>
    </w:p>
    <w:p w14:paraId="4A8A7BDD" w14:textId="77777777" w:rsidR="00004DE5" w:rsidRDefault="00004DE5" w:rsidP="00004DE5">
      <w:pPr>
        <w:pStyle w:val="ListParagraph"/>
        <w:numPr>
          <w:ilvl w:val="0"/>
          <w:numId w:val="42"/>
        </w:numPr>
      </w:pPr>
      <w:r w:rsidRPr="008F3CE7">
        <w:t>frontline Legal Help telephone service</w:t>
      </w:r>
      <w:r>
        <w:t xml:space="preserve"> roles</w:t>
      </w:r>
    </w:p>
    <w:p w14:paraId="3DBEB67C" w14:textId="77777777" w:rsidR="00004DE5" w:rsidRDefault="00004DE5" w:rsidP="00004DE5">
      <w:pPr>
        <w:pStyle w:val="ListParagraph"/>
        <w:numPr>
          <w:ilvl w:val="0"/>
          <w:numId w:val="42"/>
        </w:numPr>
      </w:pPr>
      <w:r>
        <w:t>expansion in the Mallee region</w:t>
      </w:r>
      <w:r w:rsidRPr="008F3CE7">
        <w:t xml:space="preserve"> </w:t>
      </w:r>
    </w:p>
    <w:p w14:paraId="586B8DC9" w14:textId="77777777" w:rsidR="00004DE5" w:rsidRDefault="00004DE5" w:rsidP="00004DE5">
      <w:pPr>
        <w:pStyle w:val="ListParagraph"/>
        <w:numPr>
          <w:ilvl w:val="0"/>
          <w:numId w:val="42"/>
        </w:numPr>
      </w:pPr>
      <w:r w:rsidRPr="008F3CE7">
        <w:t>our Aboriginal and Torres Strait Islander Employment Strategy</w:t>
      </w:r>
    </w:p>
    <w:p w14:paraId="312B3096" w14:textId="585A5A32" w:rsidR="00004DE5" w:rsidRDefault="00004DE5" w:rsidP="00004DE5">
      <w:pPr>
        <w:pStyle w:val="ListParagraph"/>
        <w:numPr>
          <w:ilvl w:val="0"/>
          <w:numId w:val="42"/>
        </w:numPr>
      </w:pPr>
      <w:r w:rsidRPr="008F3CE7">
        <w:t>our law clerks and graduate programs</w:t>
      </w:r>
    </w:p>
    <w:p w14:paraId="5B400D4E" w14:textId="293E9ACD" w:rsidR="000C4753" w:rsidRDefault="00004DE5" w:rsidP="00ED6C1A">
      <w:pPr>
        <w:pStyle w:val="ListParagraph"/>
        <w:numPr>
          <w:ilvl w:val="0"/>
          <w:numId w:val="42"/>
        </w:numPr>
      </w:pPr>
      <w:r w:rsidRPr="008F3CE7">
        <w:t>additional duty lawyers and legal administrative staff across Victoria.</w:t>
      </w:r>
    </w:p>
    <w:p w14:paraId="65C26245" w14:textId="16A5371D" w:rsidR="0047677D" w:rsidRDefault="00F97BE6" w:rsidP="000C4753">
      <w:pPr>
        <w:pStyle w:val="Heading3"/>
      </w:pPr>
      <w:r>
        <w:t>Revenue</w:t>
      </w:r>
    </w:p>
    <w:tbl>
      <w:tblPr>
        <w:tblStyle w:val="TableGrid"/>
        <w:tblW w:w="10076" w:type="dxa"/>
        <w:tblLook w:val="04A0" w:firstRow="1" w:lastRow="0" w:firstColumn="1" w:lastColumn="0" w:noHBand="0" w:noVBand="1"/>
      </w:tblPr>
      <w:tblGrid>
        <w:gridCol w:w="3963"/>
        <w:gridCol w:w="2037"/>
        <w:gridCol w:w="2038"/>
        <w:gridCol w:w="2038"/>
      </w:tblGrid>
      <w:tr w:rsidR="0000671E" w14:paraId="63AD6F67" w14:textId="77777777" w:rsidTr="0000671E">
        <w:trPr>
          <w:tblHeader/>
        </w:trPr>
        <w:tc>
          <w:tcPr>
            <w:tcW w:w="3963" w:type="dxa"/>
            <w:shd w:val="clear" w:color="auto" w:fill="D9D9D9" w:themeFill="background1" w:themeFillShade="D9"/>
          </w:tcPr>
          <w:p w14:paraId="6D40D0E6" w14:textId="77777777" w:rsidR="0000671E" w:rsidRPr="002312A1" w:rsidRDefault="0000671E" w:rsidP="0000671E">
            <w:pPr>
              <w:rPr>
                <w:b/>
                <w:lang w:eastAsia="en-AU"/>
              </w:rPr>
            </w:pPr>
            <w:r w:rsidRPr="002312A1">
              <w:rPr>
                <w:b/>
              </w:rPr>
              <w:t>Year to date</w:t>
            </w:r>
          </w:p>
        </w:tc>
        <w:tc>
          <w:tcPr>
            <w:tcW w:w="2037" w:type="dxa"/>
            <w:shd w:val="clear" w:color="auto" w:fill="D9D9D9" w:themeFill="background1" w:themeFillShade="D9"/>
          </w:tcPr>
          <w:p w14:paraId="549A3C6F" w14:textId="2516EE0D" w:rsidR="0000671E" w:rsidRPr="002312A1" w:rsidRDefault="0000671E" w:rsidP="0000671E">
            <w:pPr>
              <w:rPr>
                <w:b/>
                <w:lang w:eastAsia="en-AU"/>
              </w:rPr>
            </w:pPr>
            <w:r>
              <w:rPr>
                <w:b/>
                <w:noProof/>
                <w:lang w:val="en-GB" w:eastAsia="en-GB"/>
              </w:rPr>
              <mc:AlternateContent>
                <mc:Choice Requires="wpi">
                  <w:drawing>
                    <wp:anchor distT="0" distB="0" distL="114300" distR="114300" simplePos="0" relativeHeight="251671552" behindDoc="0" locked="0" layoutInCell="1" allowOverlap="1" wp14:anchorId="1E4FAE2C" wp14:editId="170F402E">
                      <wp:simplePos x="0" y="0"/>
                      <wp:positionH relativeFrom="column">
                        <wp:posOffset>510031</wp:posOffset>
                      </wp:positionH>
                      <wp:positionV relativeFrom="paragraph">
                        <wp:posOffset>356009</wp:posOffset>
                      </wp:positionV>
                      <wp:extent cx="5394" cy="5394"/>
                      <wp:effectExtent l="19050" t="19050" r="52070" b="52070"/>
                      <wp:wrapNone/>
                      <wp:docPr id="4"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5394" cy="5394"/>
                            </w14:xfrm>
                          </w14:contentPart>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A3A9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0pt;margin-top:27.9pt;width:.7pt;height:.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">
                      <v:imagedata r:id="rId9" o:title=""/>
                    </v:shape>
                  </w:pict>
                </mc:Fallback>
              </mc:AlternateContent>
            </w:r>
            <w:r w:rsidRPr="002312A1">
              <w:rPr>
                <w:b/>
              </w:rPr>
              <w:t xml:space="preserve"> 2016</w:t>
            </w:r>
            <w:r>
              <w:rPr>
                <w:b/>
              </w:rPr>
              <w:t>–17</w:t>
            </w:r>
            <w:r w:rsidRPr="002312A1">
              <w:rPr>
                <w:b/>
              </w:rPr>
              <w:t xml:space="preserve"> </w:t>
            </w:r>
            <w:r>
              <w:rPr>
                <w:b/>
                <w:lang w:eastAsia="en-AU"/>
              </w:rPr>
              <w:t>$000</w:t>
            </w:r>
          </w:p>
        </w:tc>
        <w:tc>
          <w:tcPr>
            <w:tcW w:w="2038" w:type="dxa"/>
            <w:shd w:val="clear" w:color="auto" w:fill="D9D9D9" w:themeFill="background1" w:themeFillShade="D9"/>
          </w:tcPr>
          <w:p w14:paraId="15C3E3B4" w14:textId="0C82A957" w:rsidR="0000671E" w:rsidRPr="002312A1" w:rsidRDefault="0000671E" w:rsidP="0000671E">
            <w:pPr>
              <w:rPr>
                <w:b/>
                <w:lang w:eastAsia="en-AU"/>
              </w:rPr>
            </w:pPr>
            <w:r>
              <w:rPr>
                <w:b/>
                <w:lang w:eastAsia="en-AU"/>
              </w:rPr>
              <w:t>2015–16 $000</w:t>
            </w:r>
          </w:p>
        </w:tc>
        <w:tc>
          <w:tcPr>
            <w:tcW w:w="2038" w:type="dxa"/>
            <w:shd w:val="clear" w:color="auto" w:fill="D9D9D9" w:themeFill="background1" w:themeFillShade="D9"/>
          </w:tcPr>
          <w:p w14:paraId="3C0D4218" w14:textId="49CC2A7D" w:rsidR="0000671E" w:rsidRPr="002312A1" w:rsidRDefault="0000671E" w:rsidP="0000671E">
            <w:pPr>
              <w:rPr>
                <w:b/>
                <w:lang w:eastAsia="en-AU"/>
              </w:rPr>
            </w:pPr>
            <w:r w:rsidRPr="002312A1">
              <w:rPr>
                <w:b/>
                <w:lang w:eastAsia="en-AU"/>
              </w:rPr>
              <w:t>Variance</w:t>
            </w:r>
          </w:p>
        </w:tc>
      </w:tr>
      <w:tr w:rsidR="0000671E" w14:paraId="580267E9" w14:textId="77777777" w:rsidTr="0000671E">
        <w:tc>
          <w:tcPr>
            <w:tcW w:w="3963" w:type="dxa"/>
            <w:vAlign w:val="bottom"/>
          </w:tcPr>
          <w:p w14:paraId="0F97B6B6" w14:textId="71DEBDD7" w:rsidR="0000671E" w:rsidRDefault="0000671E" w:rsidP="0000671E">
            <w:pPr>
              <w:rPr>
                <w:lang w:eastAsia="en-AU"/>
              </w:rPr>
            </w:pPr>
            <w:r w:rsidRPr="008903A8">
              <w:t>Commonwealth grants</w:t>
            </w:r>
          </w:p>
        </w:tc>
        <w:tc>
          <w:tcPr>
            <w:tcW w:w="2037" w:type="dxa"/>
          </w:tcPr>
          <w:p w14:paraId="7090FA18" w14:textId="05EFEF64" w:rsidR="0000671E" w:rsidRDefault="0000671E" w:rsidP="0000671E">
            <w:pPr>
              <w:rPr>
                <w:lang w:eastAsia="en-AU"/>
              </w:rPr>
            </w:pPr>
            <w:r>
              <w:t>50,423</w:t>
            </w:r>
          </w:p>
        </w:tc>
        <w:tc>
          <w:tcPr>
            <w:tcW w:w="2038" w:type="dxa"/>
          </w:tcPr>
          <w:p w14:paraId="6F97C0E7" w14:textId="0BA713A0" w:rsidR="0000671E" w:rsidRDefault="0000671E" w:rsidP="0000671E">
            <w:pPr>
              <w:rPr>
                <w:rFonts w:cs="Arial"/>
                <w:color w:val="000000"/>
                <w:szCs w:val="22"/>
              </w:rPr>
            </w:pPr>
            <w:r>
              <w:t>49,401</w:t>
            </w:r>
          </w:p>
        </w:tc>
        <w:tc>
          <w:tcPr>
            <w:tcW w:w="2038" w:type="dxa"/>
            <w:vAlign w:val="center"/>
          </w:tcPr>
          <w:p w14:paraId="04D77078" w14:textId="2A160BBD" w:rsidR="0000671E" w:rsidRDefault="0000671E" w:rsidP="0000671E">
            <w:pPr>
              <w:rPr>
                <w:lang w:eastAsia="en-AU"/>
              </w:rPr>
            </w:pPr>
            <w:r>
              <w:rPr>
                <w:rFonts w:cs="Arial"/>
                <w:color w:val="000000"/>
                <w:szCs w:val="22"/>
              </w:rPr>
              <w:t>2.1%</w:t>
            </w:r>
          </w:p>
        </w:tc>
      </w:tr>
      <w:tr w:rsidR="0000671E" w14:paraId="13047186" w14:textId="77777777" w:rsidTr="0000671E">
        <w:tc>
          <w:tcPr>
            <w:tcW w:w="3963" w:type="dxa"/>
            <w:vAlign w:val="bottom"/>
          </w:tcPr>
          <w:p w14:paraId="6F5937F3" w14:textId="0D52A4AC" w:rsidR="0000671E" w:rsidRDefault="0000671E" w:rsidP="0000671E">
            <w:pPr>
              <w:rPr>
                <w:lang w:eastAsia="en-AU"/>
              </w:rPr>
            </w:pPr>
            <w:r w:rsidRPr="008903A8">
              <w:t>State grants</w:t>
            </w:r>
          </w:p>
        </w:tc>
        <w:tc>
          <w:tcPr>
            <w:tcW w:w="2037" w:type="dxa"/>
          </w:tcPr>
          <w:p w14:paraId="21821EF5" w14:textId="60BF9097" w:rsidR="0000671E" w:rsidRDefault="0000671E" w:rsidP="0000671E">
            <w:pPr>
              <w:rPr>
                <w:lang w:eastAsia="en-AU"/>
              </w:rPr>
            </w:pPr>
            <w:r>
              <w:t>94,713</w:t>
            </w:r>
          </w:p>
        </w:tc>
        <w:tc>
          <w:tcPr>
            <w:tcW w:w="2038" w:type="dxa"/>
          </w:tcPr>
          <w:p w14:paraId="71DA7279" w14:textId="23A88A43" w:rsidR="0000671E" w:rsidRDefault="0000671E" w:rsidP="0000671E">
            <w:pPr>
              <w:rPr>
                <w:rFonts w:cs="Arial"/>
                <w:color w:val="000000"/>
                <w:szCs w:val="22"/>
              </w:rPr>
            </w:pPr>
            <w:r>
              <w:t>91,343</w:t>
            </w:r>
          </w:p>
        </w:tc>
        <w:tc>
          <w:tcPr>
            <w:tcW w:w="2038" w:type="dxa"/>
            <w:vAlign w:val="center"/>
          </w:tcPr>
          <w:p w14:paraId="17EA4FCF" w14:textId="1B7805C5" w:rsidR="0000671E" w:rsidRDefault="0000671E" w:rsidP="0000671E">
            <w:pPr>
              <w:rPr>
                <w:lang w:eastAsia="en-AU"/>
              </w:rPr>
            </w:pPr>
            <w:r>
              <w:rPr>
                <w:rFonts w:cs="Arial"/>
                <w:color w:val="000000"/>
                <w:szCs w:val="22"/>
              </w:rPr>
              <w:t>3.7%</w:t>
            </w:r>
          </w:p>
        </w:tc>
      </w:tr>
      <w:tr w:rsidR="0000671E" w14:paraId="634512DE" w14:textId="77777777" w:rsidTr="0000671E">
        <w:tc>
          <w:tcPr>
            <w:tcW w:w="3963" w:type="dxa"/>
            <w:vAlign w:val="bottom"/>
          </w:tcPr>
          <w:p w14:paraId="2C83D36F" w14:textId="061DA541" w:rsidR="0000671E" w:rsidRDefault="0000671E" w:rsidP="0000671E">
            <w:pPr>
              <w:rPr>
                <w:lang w:eastAsia="en-AU"/>
              </w:rPr>
            </w:pPr>
            <w:r w:rsidRPr="008903A8">
              <w:t>Public Purpose Fund</w:t>
            </w:r>
          </w:p>
        </w:tc>
        <w:tc>
          <w:tcPr>
            <w:tcW w:w="2037" w:type="dxa"/>
          </w:tcPr>
          <w:p w14:paraId="0639EDCC" w14:textId="301AD2B7" w:rsidR="0000671E" w:rsidRDefault="0000671E" w:rsidP="0000671E">
            <w:pPr>
              <w:rPr>
                <w:lang w:eastAsia="en-AU"/>
              </w:rPr>
            </w:pPr>
            <w:r>
              <w:t>31,162</w:t>
            </w:r>
          </w:p>
        </w:tc>
        <w:tc>
          <w:tcPr>
            <w:tcW w:w="2038" w:type="dxa"/>
          </w:tcPr>
          <w:p w14:paraId="4D1EB270" w14:textId="13CCFB78" w:rsidR="0000671E" w:rsidRDefault="0000671E" w:rsidP="0000671E">
            <w:pPr>
              <w:rPr>
                <w:rFonts w:cs="Arial"/>
                <w:color w:val="000000"/>
                <w:szCs w:val="22"/>
              </w:rPr>
            </w:pPr>
            <w:r w:rsidRPr="008903A8">
              <w:t>28,313</w:t>
            </w:r>
          </w:p>
        </w:tc>
        <w:tc>
          <w:tcPr>
            <w:tcW w:w="2038" w:type="dxa"/>
            <w:vAlign w:val="center"/>
          </w:tcPr>
          <w:p w14:paraId="776470B7" w14:textId="28771AC3" w:rsidR="0000671E" w:rsidRDefault="0000671E" w:rsidP="0000671E">
            <w:pPr>
              <w:rPr>
                <w:lang w:eastAsia="en-AU"/>
              </w:rPr>
            </w:pPr>
            <w:r>
              <w:rPr>
                <w:rFonts w:cs="Arial"/>
                <w:color w:val="000000"/>
                <w:szCs w:val="22"/>
              </w:rPr>
              <w:t>10.1%</w:t>
            </w:r>
          </w:p>
        </w:tc>
      </w:tr>
      <w:tr w:rsidR="0000671E" w14:paraId="43929E34" w14:textId="77777777" w:rsidTr="0000671E">
        <w:tc>
          <w:tcPr>
            <w:tcW w:w="3963" w:type="dxa"/>
            <w:vAlign w:val="bottom"/>
          </w:tcPr>
          <w:p w14:paraId="6BF1A82F" w14:textId="129BF7F4" w:rsidR="0000671E" w:rsidRDefault="0000671E" w:rsidP="0000671E">
            <w:pPr>
              <w:rPr>
                <w:lang w:eastAsia="en-AU"/>
              </w:rPr>
            </w:pPr>
            <w:r w:rsidRPr="008903A8">
              <w:t>Client contributions</w:t>
            </w:r>
          </w:p>
        </w:tc>
        <w:tc>
          <w:tcPr>
            <w:tcW w:w="2037" w:type="dxa"/>
          </w:tcPr>
          <w:p w14:paraId="6D1F789A" w14:textId="7A6D5C5D" w:rsidR="0000671E" w:rsidRDefault="0000671E" w:rsidP="0000671E">
            <w:pPr>
              <w:rPr>
                <w:lang w:eastAsia="en-AU"/>
              </w:rPr>
            </w:pPr>
            <w:r>
              <w:t>2,609</w:t>
            </w:r>
          </w:p>
        </w:tc>
        <w:tc>
          <w:tcPr>
            <w:tcW w:w="2038" w:type="dxa"/>
          </w:tcPr>
          <w:p w14:paraId="5EC5509A" w14:textId="39D7D6E1" w:rsidR="0000671E" w:rsidRDefault="0000671E" w:rsidP="0000671E">
            <w:pPr>
              <w:rPr>
                <w:rFonts w:cs="Arial"/>
                <w:color w:val="000000"/>
                <w:szCs w:val="22"/>
              </w:rPr>
            </w:pPr>
            <w:r w:rsidRPr="008903A8">
              <w:t>2,152</w:t>
            </w:r>
          </w:p>
        </w:tc>
        <w:tc>
          <w:tcPr>
            <w:tcW w:w="2038" w:type="dxa"/>
            <w:vAlign w:val="center"/>
          </w:tcPr>
          <w:p w14:paraId="6B62ACF8" w14:textId="4DDFE647" w:rsidR="0000671E" w:rsidRDefault="0000671E" w:rsidP="0000671E">
            <w:pPr>
              <w:rPr>
                <w:lang w:eastAsia="en-AU"/>
              </w:rPr>
            </w:pPr>
            <w:r>
              <w:rPr>
                <w:rFonts w:cs="Arial"/>
                <w:color w:val="000000"/>
                <w:szCs w:val="22"/>
              </w:rPr>
              <w:t>33.4%</w:t>
            </w:r>
          </w:p>
        </w:tc>
      </w:tr>
      <w:tr w:rsidR="0000671E" w14:paraId="49F12A9E" w14:textId="77777777" w:rsidTr="0000671E">
        <w:tc>
          <w:tcPr>
            <w:tcW w:w="3963" w:type="dxa"/>
            <w:tcBorders>
              <w:bottom w:val="single" w:sz="4" w:space="0" w:color="auto"/>
            </w:tcBorders>
            <w:vAlign w:val="bottom"/>
          </w:tcPr>
          <w:p w14:paraId="6ACC1152" w14:textId="5685D794" w:rsidR="0000671E" w:rsidRDefault="0000671E" w:rsidP="0000671E">
            <w:pPr>
              <w:rPr>
                <w:lang w:eastAsia="en-AU"/>
              </w:rPr>
            </w:pPr>
            <w:r w:rsidRPr="008903A8">
              <w:t>Other income</w:t>
            </w:r>
          </w:p>
        </w:tc>
        <w:tc>
          <w:tcPr>
            <w:tcW w:w="2037" w:type="dxa"/>
            <w:tcBorders>
              <w:bottom w:val="single" w:sz="4" w:space="0" w:color="auto"/>
            </w:tcBorders>
          </w:tcPr>
          <w:p w14:paraId="64AE6F39" w14:textId="2EBF5EEF" w:rsidR="0000671E" w:rsidRDefault="0000671E" w:rsidP="0000671E">
            <w:pPr>
              <w:rPr>
                <w:lang w:eastAsia="en-AU"/>
              </w:rPr>
            </w:pPr>
            <w:r>
              <w:t>2,445</w:t>
            </w:r>
          </w:p>
        </w:tc>
        <w:tc>
          <w:tcPr>
            <w:tcW w:w="2038" w:type="dxa"/>
            <w:tcBorders>
              <w:bottom w:val="single" w:sz="4" w:space="0" w:color="auto"/>
            </w:tcBorders>
          </w:tcPr>
          <w:p w14:paraId="147E15DF" w14:textId="285B36A1" w:rsidR="0000671E" w:rsidRDefault="0000671E" w:rsidP="0000671E">
            <w:pPr>
              <w:rPr>
                <w:rFonts w:cs="Arial"/>
                <w:color w:val="000000"/>
                <w:szCs w:val="22"/>
              </w:rPr>
            </w:pPr>
            <w:r w:rsidRPr="008903A8">
              <w:t>2,668</w:t>
            </w:r>
          </w:p>
        </w:tc>
        <w:tc>
          <w:tcPr>
            <w:tcW w:w="2038" w:type="dxa"/>
            <w:tcBorders>
              <w:bottom w:val="single" w:sz="4" w:space="0" w:color="auto"/>
            </w:tcBorders>
            <w:vAlign w:val="center"/>
          </w:tcPr>
          <w:p w14:paraId="12EDDAD7" w14:textId="7914ABB2" w:rsidR="0000671E" w:rsidRDefault="0000671E" w:rsidP="0000671E">
            <w:pPr>
              <w:rPr>
                <w:lang w:eastAsia="en-AU"/>
              </w:rPr>
            </w:pPr>
            <w:r>
              <w:rPr>
                <w:rFonts w:cs="Arial"/>
                <w:color w:val="000000"/>
                <w:szCs w:val="22"/>
              </w:rPr>
              <w:t>-8.4%</w:t>
            </w:r>
          </w:p>
        </w:tc>
      </w:tr>
      <w:tr w:rsidR="0000671E" w14:paraId="09153DAC" w14:textId="77777777" w:rsidTr="0000671E">
        <w:tc>
          <w:tcPr>
            <w:tcW w:w="3963" w:type="dxa"/>
            <w:shd w:val="clear" w:color="auto" w:fill="F2F2F2" w:themeFill="background1" w:themeFillShade="F2"/>
            <w:vAlign w:val="bottom"/>
          </w:tcPr>
          <w:p w14:paraId="43FCD84C" w14:textId="538CF0E6" w:rsidR="0000671E" w:rsidRPr="002312A1" w:rsidRDefault="0000671E" w:rsidP="0000671E">
            <w:pPr>
              <w:rPr>
                <w:b/>
                <w:lang w:eastAsia="en-AU"/>
              </w:rPr>
            </w:pPr>
            <w:r w:rsidRPr="00E4299E">
              <w:rPr>
                <w:b/>
              </w:rPr>
              <w:t>Total income from transactions</w:t>
            </w:r>
          </w:p>
        </w:tc>
        <w:tc>
          <w:tcPr>
            <w:tcW w:w="2037" w:type="dxa"/>
            <w:shd w:val="clear" w:color="auto" w:fill="F2F2F2" w:themeFill="background1" w:themeFillShade="F2"/>
          </w:tcPr>
          <w:p w14:paraId="42ACBACB" w14:textId="10358A9C" w:rsidR="0000671E" w:rsidRDefault="0000671E" w:rsidP="0000671E">
            <w:pPr>
              <w:rPr>
                <w:lang w:eastAsia="en-AU"/>
              </w:rPr>
            </w:pPr>
            <w:r>
              <w:rPr>
                <w:b/>
              </w:rPr>
              <w:t>181,352</w:t>
            </w:r>
          </w:p>
        </w:tc>
        <w:tc>
          <w:tcPr>
            <w:tcW w:w="2038" w:type="dxa"/>
            <w:shd w:val="clear" w:color="auto" w:fill="F2F2F2" w:themeFill="background1" w:themeFillShade="F2"/>
          </w:tcPr>
          <w:p w14:paraId="2C2A00B2" w14:textId="4E4B7D81" w:rsidR="0000671E" w:rsidRDefault="0000671E" w:rsidP="0000671E">
            <w:pPr>
              <w:rPr>
                <w:rFonts w:cs="Arial"/>
                <w:color w:val="000000"/>
                <w:szCs w:val="22"/>
              </w:rPr>
            </w:pPr>
            <w:r w:rsidRPr="00E4299E">
              <w:rPr>
                <w:b/>
              </w:rPr>
              <w:t>173,877</w:t>
            </w:r>
          </w:p>
        </w:tc>
        <w:tc>
          <w:tcPr>
            <w:tcW w:w="2038" w:type="dxa"/>
            <w:shd w:val="clear" w:color="auto" w:fill="F2F2F2" w:themeFill="background1" w:themeFillShade="F2"/>
            <w:vAlign w:val="center"/>
          </w:tcPr>
          <w:p w14:paraId="7786CA8B" w14:textId="43232635" w:rsidR="0000671E" w:rsidRDefault="0000671E" w:rsidP="0000671E">
            <w:r>
              <w:rPr>
                <w:rFonts w:cs="Arial"/>
                <w:color w:val="000000"/>
                <w:szCs w:val="22"/>
              </w:rPr>
              <w:t>4.4%</w:t>
            </w:r>
          </w:p>
        </w:tc>
      </w:tr>
    </w:tbl>
    <w:p w14:paraId="0EEB96AD" w14:textId="77777777" w:rsidR="002312A1" w:rsidRDefault="002312A1" w:rsidP="002312A1">
      <w:pPr>
        <w:pStyle w:val="Heading3"/>
      </w:pPr>
      <w:r>
        <w:t>Expenditure</w:t>
      </w:r>
    </w:p>
    <w:tbl>
      <w:tblPr>
        <w:tblStyle w:val="TableGrid"/>
        <w:tblW w:w="10076" w:type="dxa"/>
        <w:tblLook w:val="04A0" w:firstRow="1" w:lastRow="0" w:firstColumn="1" w:lastColumn="0" w:noHBand="0" w:noVBand="1"/>
      </w:tblPr>
      <w:tblGrid>
        <w:gridCol w:w="3963"/>
        <w:gridCol w:w="2037"/>
        <w:gridCol w:w="2038"/>
        <w:gridCol w:w="2038"/>
      </w:tblGrid>
      <w:tr w:rsidR="0000671E" w14:paraId="7F2607FA" w14:textId="77777777" w:rsidTr="0000671E">
        <w:trPr>
          <w:tblHeader/>
        </w:trPr>
        <w:tc>
          <w:tcPr>
            <w:tcW w:w="3963" w:type="dxa"/>
            <w:shd w:val="clear" w:color="auto" w:fill="D9D9D9" w:themeFill="background1" w:themeFillShade="D9"/>
          </w:tcPr>
          <w:p w14:paraId="7F001E3F" w14:textId="77777777" w:rsidR="0000671E" w:rsidRPr="002312A1" w:rsidRDefault="0000671E" w:rsidP="0000671E">
            <w:pPr>
              <w:rPr>
                <w:b/>
                <w:lang w:eastAsia="en-AU"/>
              </w:rPr>
            </w:pPr>
            <w:r w:rsidRPr="002312A1">
              <w:rPr>
                <w:b/>
              </w:rPr>
              <w:t>Year to date</w:t>
            </w:r>
          </w:p>
        </w:tc>
        <w:tc>
          <w:tcPr>
            <w:tcW w:w="2037" w:type="dxa"/>
            <w:shd w:val="clear" w:color="auto" w:fill="D9D9D9" w:themeFill="background1" w:themeFillShade="D9"/>
          </w:tcPr>
          <w:p w14:paraId="73F63939" w14:textId="52252AF2" w:rsidR="0000671E" w:rsidRPr="002312A1" w:rsidRDefault="0000671E" w:rsidP="0000671E">
            <w:pPr>
              <w:rPr>
                <w:b/>
                <w:lang w:eastAsia="en-AU"/>
              </w:rPr>
            </w:pPr>
            <w:r>
              <w:rPr>
                <w:b/>
                <w:noProof/>
                <w:lang w:val="en-GB" w:eastAsia="en-GB"/>
              </w:rPr>
              <mc:AlternateContent>
                <mc:Choice Requires="wpi">
                  <w:drawing>
                    <wp:anchor distT="0" distB="0" distL="114300" distR="114300" simplePos="0" relativeHeight="251681792" behindDoc="0" locked="0" layoutInCell="1" allowOverlap="1" wp14:anchorId="09CCA65E" wp14:editId="0B170D10">
                      <wp:simplePos x="0" y="0"/>
                      <wp:positionH relativeFrom="column">
                        <wp:posOffset>510031</wp:posOffset>
                      </wp:positionH>
                      <wp:positionV relativeFrom="paragraph">
                        <wp:posOffset>356009</wp:posOffset>
                      </wp:positionV>
                      <wp:extent cx="5394" cy="5394"/>
                      <wp:effectExtent l="19050" t="19050" r="52070" b="52070"/>
                      <wp:wrapNone/>
                      <wp:docPr id="5"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5394" cy="5394"/>
                            </w14:xfrm>
                          </w14:contentPart>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30A317" id="Ink 5" o:spid="_x0000_s1026" type="#_x0000_t75" style="position:absolute;margin-left:40pt;margin-top:27.9pt;width:.7pt;height:.7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">
                      <v:imagedata r:id="rId9" o:title=""/>
                    </v:shape>
                  </w:pict>
                </mc:Fallback>
              </mc:AlternateContent>
            </w:r>
            <w:r w:rsidRPr="002312A1">
              <w:rPr>
                <w:b/>
              </w:rPr>
              <w:t xml:space="preserve"> 2016</w:t>
            </w:r>
            <w:r>
              <w:rPr>
                <w:b/>
              </w:rPr>
              <w:t>–17</w:t>
            </w:r>
            <w:r w:rsidRPr="002312A1">
              <w:rPr>
                <w:b/>
              </w:rPr>
              <w:t xml:space="preserve"> </w:t>
            </w:r>
            <w:r>
              <w:rPr>
                <w:b/>
                <w:lang w:eastAsia="en-AU"/>
              </w:rPr>
              <w:t>$000</w:t>
            </w:r>
          </w:p>
        </w:tc>
        <w:tc>
          <w:tcPr>
            <w:tcW w:w="2038" w:type="dxa"/>
            <w:shd w:val="clear" w:color="auto" w:fill="D9D9D9" w:themeFill="background1" w:themeFillShade="D9"/>
          </w:tcPr>
          <w:p w14:paraId="4C0F11C9" w14:textId="3CC2E9BB" w:rsidR="0000671E" w:rsidRPr="002312A1" w:rsidRDefault="0000671E" w:rsidP="0000671E">
            <w:pPr>
              <w:rPr>
                <w:b/>
                <w:lang w:eastAsia="en-AU"/>
              </w:rPr>
            </w:pPr>
            <w:r>
              <w:rPr>
                <w:b/>
                <w:lang w:eastAsia="en-AU"/>
              </w:rPr>
              <w:t>2015–16 $000</w:t>
            </w:r>
          </w:p>
        </w:tc>
        <w:tc>
          <w:tcPr>
            <w:tcW w:w="2038" w:type="dxa"/>
            <w:shd w:val="clear" w:color="auto" w:fill="D9D9D9" w:themeFill="background1" w:themeFillShade="D9"/>
          </w:tcPr>
          <w:p w14:paraId="47FE3AE4" w14:textId="65320429" w:rsidR="0000671E" w:rsidRPr="002312A1" w:rsidRDefault="0000671E" w:rsidP="0000671E">
            <w:pPr>
              <w:rPr>
                <w:b/>
                <w:lang w:eastAsia="en-AU"/>
              </w:rPr>
            </w:pPr>
            <w:r w:rsidRPr="002312A1">
              <w:rPr>
                <w:b/>
                <w:lang w:eastAsia="en-AU"/>
              </w:rPr>
              <w:t>Variance</w:t>
            </w:r>
          </w:p>
        </w:tc>
      </w:tr>
      <w:tr w:rsidR="0000671E" w14:paraId="661255F2" w14:textId="77777777" w:rsidTr="0000671E">
        <w:tc>
          <w:tcPr>
            <w:tcW w:w="3963" w:type="dxa"/>
            <w:vAlign w:val="bottom"/>
          </w:tcPr>
          <w:p w14:paraId="710D0923" w14:textId="21A902D3" w:rsidR="0000671E" w:rsidRDefault="0000671E" w:rsidP="0000671E">
            <w:pPr>
              <w:rPr>
                <w:lang w:eastAsia="en-AU"/>
              </w:rPr>
            </w:pPr>
            <w:r w:rsidRPr="00320668">
              <w:t>Case-related payments</w:t>
            </w:r>
          </w:p>
        </w:tc>
        <w:tc>
          <w:tcPr>
            <w:tcW w:w="2037" w:type="dxa"/>
          </w:tcPr>
          <w:p w14:paraId="402A9D04" w14:textId="2CD5EA2F" w:rsidR="0000671E" w:rsidRDefault="0000671E" w:rsidP="0000671E">
            <w:pPr>
              <w:rPr>
                <w:lang w:eastAsia="en-AU"/>
              </w:rPr>
            </w:pPr>
            <w:r>
              <w:t>80,677</w:t>
            </w:r>
          </w:p>
        </w:tc>
        <w:tc>
          <w:tcPr>
            <w:tcW w:w="2038" w:type="dxa"/>
          </w:tcPr>
          <w:p w14:paraId="615CF632" w14:textId="1C8D89DF" w:rsidR="0000671E" w:rsidRDefault="0000671E" w:rsidP="0000671E">
            <w:pPr>
              <w:rPr>
                <w:rFonts w:cs="Arial"/>
                <w:color w:val="000000"/>
                <w:szCs w:val="22"/>
              </w:rPr>
            </w:pPr>
            <w:r w:rsidRPr="005564AC">
              <w:t>71,169</w:t>
            </w:r>
          </w:p>
        </w:tc>
        <w:tc>
          <w:tcPr>
            <w:tcW w:w="2038" w:type="dxa"/>
            <w:vAlign w:val="center"/>
          </w:tcPr>
          <w:p w14:paraId="3DD66CA2" w14:textId="257728DC" w:rsidR="0000671E" w:rsidRDefault="0000671E" w:rsidP="0000671E">
            <w:pPr>
              <w:rPr>
                <w:lang w:eastAsia="en-AU"/>
              </w:rPr>
            </w:pPr>
            <w:r>
              <w:rPr>
                <w:rFonts w:cs="Arial"/>
                <w:color w:val="000000"/>
                <w:szCs w:val="22"/>
              </w:rPr>
              <w:t>13.4%</w:t>
            </w:r>
          </w:p>
        </w:tc>
      </w:tr>
      <w:tr w:rsidR="0000671E" w14:paraId="4CBEDBAA" w14:textId="77777777" w:rsidTr="0000671E">
        <w:tc>
          <w:tcPr>
            <w:tcW w:w="3963" w:type="dxa"/>
            <w:vAlign w:val="bottom"/>
          </w:tcPr>
          <w:p w14:paraId="7D9757A0" w14:textId="567B4DC6" w:rsidR="0000671E" w:rsidRDefault="0000671E" w:rsidP="0000671E">
            <w:pPr>
              <w:rPr>
                <w:lang w:eastAsia="en-AU"/>
              </w:rPr>
            </w:pPr>
            <w:r w:rsidRPr="00320668">
              <w:t>Employee benefits</w:t>
            </w:r>
          </w:p>
        </w:tc>
        <w:tc>
          <w:tcPr>
            <w:tcW w:w="2037" w:type="dxa"/>
          </w:tcPr>
          <w:p w14:paraId="35AC9E16" w14:textId="1BDBDD7C" w:rsidR="0000671E" w:rsidRDefault="0000671E" w:rsidP="0000671E">
            <w:pPr>
              <w:rPr>
                <w:lang w:eastAsia="en-AU"/>
              </w:rPr>
            </w:pPr>
            <w:r>
              <w:t>68,781</w:t>
            </w:r>
          </w:p>
        </w:tc>
        <w:tc>
          <w:tcPr>
            <w:tcW w:w="2038" w:type="dxa"/>
          </w:tcPr>
          <w:p w14:paraId="160A7FCB" w14:textId="7CEEE8CE" w:rsidR="0000671E" w:rsidRDefault="0000671E" w:rsidP="0000671E">
            <w:pPr>
              <w:rPr>
                <w:rFonts w:cs="Arial"/>
                <w:color w:val="000000"/>
                <w:szCs w:val="22"/>
              </w:rPr>
            </w:pPr>
            <w:r w:rsidRPr="005564AC">
              <w:t>62,156</w:t>
            </w:r>
          </w:p>
        </w:tc>
        <w:tc>
          <w:tcPr>
            <w:tcW w:w="2038" w:type="dxa"/>
            <w:vAlign w:val="center"/>
          </w:tcPr>
          <w:p w14:paraId="3A398C0F" w14:textId="006D3C3A" w:rsidR="0000671E" w:rsidRDefault="0000671E" w:rsidP="0000671E">
            <w:pPr>
              <w:rPr>
                <w:lang w:eastAsia="en-AU"/>
              </w:rPr>
            </w:pPr>
            <w:r>
              <w:rPr>
                <w:rFonts w:cs="Arial"/>
                <w:color w:val="000000"/>
                <w:szCs w:val="22"/>
              </w:rPr>
              <w:t>10.7%</w:t>
            </w:r>
          </w:p>
        </w:tc>
      </w:tr>
      <w:tr w:rsidR="0000671E" w14:paraId="6FF60082" w14:textId="77777777" w:rsidTr="0000671E">
        <w:tc>
          <w:tcPr>
            <w:tcW w:w="3963" w:type="dxa"/>
            <w:vAlign w:val="bottom"/>
          </w:tcPr>
          <w:p w14:paraId="50FDD5C9" w14:textId="2C0B9158" w:rsidR="0000671E" w:rsidRDefault="0000671E" w:rsidP="0000671E">
            <w:pPr>
              <w:rPr>
                <w:lang w:eastAsia="en-AU"/>
              </w:rPr>
            </w:pPr>
            <w:r w:rsidRPr="00320668">
              <w:t>Depreciation and amortisation</w:t>
            </w:r>
          </w:p>
        </w:tc>
        <w:tc>
          <w:tcPr>
            <w:tcW w:w="2037" w:type="dxa"/>
          </w:tcPr>
          <w:p w14:paraId="4194B0B3" w14:textId="5CCCA96C" w:rsidR="0000671E" w:rsidRDefault="0000671E" w:rsidP="0000671E">
            <w:pPr>
              <w:rPr>
                <w:lang w:eastAsia="en-AU"/>
              </w:rPr>
            </w:pPr>
            <w:r>
              <w:t>3,219</w:t>
            </w:r>
          </w:p>
        </w:tc>
        <w:tc>
          <w:tcPr>
            <w:tcW w:w="2038" w:type="dxa"/>
          </w:tcPr>
          <w:p w14:paraId="324B747F" w14:textId="74661AE6" w:rsidR="0000671E" w:rsidRDefault="0000671E" w:rsidP="0000671E">
            <w:pPr>
              <w:rPr>
                <w:rFonts w:cs="Arial"/>
                <w:color w:val="000000"/>
                <w:szCs w:val="22"/>
              </w:rPr>
            </w:pPr>
            <w:r w:rsidRPr="005564AC">
              <w:t>3,463</w:t>
            </w:r>
          </w:p>
        </w:tc>
        <w:tc>
          <w:tcPr>
            <w:tcW w:w="2038" w:type="dxa"/>
            <w:vAlign w:val="center"/>
          </w:tcPr>
          <w:p w14:paraId="004B9DEB" w14:textId="5CDDC765" w:rsidR="0000671E" w:rsidRDefault="0000671E" w:rsidP="0000671E">
            <w:pPr>
              <w:rPr>
                <w:lang w:eastAsia="en-AU"/>
              </w:rPr>
            </w:pPr>
            <w:r>
              <w:rPr>
                <w:rFonts w:cs="Arial"/>
                <w:color w:val="000000"/>
                <w:szCs w:val="22"/>
              </w:rPr>
              <w:t>-7.0%</w:t>
            </w:r>
          </w:p>
        </w:tc>
      </w:tr>
      <w:tr w:rsidR="0000671E" w14:paraId="5E2B45B3" w14:textId="77777777" w:rsidTr="0000671E">
        <w:tc>
          <w:tcPr>
            <w:tcW w:w="3963" w:type="dxa"/>
            <w:vAlign w:val="bottom"/>
          </w:tcPr>
          <w:p w14:paraId="5A260A0F" w14:textId="19F4701B" w:rsidR="0000671E" w:rsidRDefault="0000671E" w:rsidP="0000671E">
            <w:r w:rsidRPr="00320668">
              <w:t xml:space="preserve">Other </w:t>
            </w:r>
            <w:r w:rsidRPr="00BF65AA">
              <w:t>expenditure</w:t>
            </w:r>
          </w:p>
        </w:tc>
        <w:tc>
          <w:tcPr>
            <w:tcW w:w="2037" w:type="dxa"/>
          </w:tcPr>
          <w:p w14:paraId="027E010E" w14:textId="328C8A19" w:rsidR="0000671E" w:rsidRDefault="0000671E" w:rsidP="0000671E">
            <w:pPr>
              <w:rPr>
                <w:lang w:eastAsia="en-AU"/>
              </w:rPr>
            </w:pPr>
            <w:r>
              <w:t>21,773</w:t>
            </w:r>
          </w:p>
        </w:tc>
        <w:tc>
          <w:tcPr>
            <w:tcW w:w="2038" w:type="dxa"/>
          </w:tcPr>
          <w:p w14:paraId="6E2923D6" w14:textId="0C22D155" w:rsidR="0000671E" w:rsidRDefault="0000671E" w:rsidP="0000671E">
            <w:pPr>
              <w:rPr>
                <w:rFonts w:cs="Arial"/>
                <w:color w:val="000000"/>
                <w:szCs w:val="22"/>
              </w:rPr>
            </w:pPr>
            <w:r w:rsidRPr="005564AC">
              <w:t>16,828</w:t>
            </w:r>
          </w:p>
        </w:tc>
        <w:tc>
          <w:tcPr>
            <w:tcW w:w="2038" w:type="dxa"/>
            <w:vAlign w:val="center"/>
          </w:tcPr>
          <w:p w14:paraId="36FB34F4" w14:textId="3C8BE963" w:rsidR="0000671E" w:rsidRDefault="0000671E" w:rsidP="0000671E">
            <w:pPr>
              <w:rPr>
                <w:lang w:eastAsia="en-AU"/>
              </w:rPr>
            </w:pPr>
            <w:r>
              <w:rPr>
                <w:rFonts w:cs="Arial"/>
                <w:color w:val="000000"/>
                <w:szCs w:val="22"/>
              </w:rPr>
              <w:t>29.4%</w:t>
            </w:r>
          </w:p>
        </w:tc>
      </w:tr>
      <w:tr w:rsidR="0000671E" w14:paraId="41AAB339" w14:textId="77777777" w:rsidTr="0000671E">
        <w:tc>
          <w:tcPr>
            <w:tcW w:w="3963" w:type="dxa"/>
            <w:tcBorders>
              <w:bottom w:val="single" w:sz="4" w:space="0" w:color="auto"/>
            </w:tcBorders>
            <w:shd w:val="clear" w:color="auto" w:fill="F2F2F2" w:themeFill="background1" w:themeFillShade="F2"/>
            <w:vAlign w:val="bottom"/>
          </w:tcPr>
          <w:p w14:paraId="4B7E67A6" w14:textId="6C5F8366" w:rsidR="0000671E" w:rsidRPr="002312A1" w:rsidRDefault="0000671E" w:rsidP="0000671E">
            <w:pPr>
              <w:rPr>
                <w:b/>
                <w:lang w:eastAsia="en-AU"/>
              </w:rPr>
            </w:pPr>
            <w:r w:rsidRPr="00E83534">
              <w:rPr>
                <w:b/>
              </w:rPr>
              <w:t>Total expenses from transactions</w:t>
            </w:r>
            <w:r>
              <w:rPr>
                <w:b/>
              </w:rPr>
              <w:t>*</w:t>
            </w:r>
          </w:p>
        </w:tc>
        <w:tc>
          <w:tcPr>
            <w:tcW w:w="2037" w:type="dxa"/>
            <w:tcBorders>
              <w:bottom w:val="single" w:sz="4" w:space="0" w:color="auto"/>
            </w:tcBorders>
            <w:shd w:val="clear" w:color="auto" w:fill="F2F2F2" w:themeFill="background1" w:themeFillShade="F2"/>
          </w:tcPr>
          <w:p w14:paraId="03E34026" w14:textId="549AB035" w:rsidR="0000671E" w:rsidRDefault="0000671E" w:rsidP="0000671E">
            <w:pPr>
              <w:rPr>
                <w:lang w:eastAsia="en-AU"/>
              </w:rPr>
            </w:pPr>
            <w:r>
              <w:rPr>
                <w:b/>
              </w:rPr>
              <w:t>191,297</w:t>
            </w:r>
          </w:p>
        </w:tc>
        <w:tc>
          <w:tcPr>
            <w:tcW w:w="2038" w:type="dxa"/>
            <w:tcBorders>
              <w:bottom w:val="single" w:sz="4" w:space="0" w:color="auto"/>
            </w:tcBorders>
            <w:shd w:val="clear" w:color="auto" w:fill="F2F2F2" w:themeFill="background1" w:themeFillShade="F2"/>
          </w:tcPr>
          <w:p w14:paraId="22D29957" w14:textId="2EC57363" w:rsidR="0000671E" w:rsidRDefault="0000671E" w:rsidP="0000671E">
            <w:pPr>
              <w:rPr>
                <w:rFonts w:cs="Arial"/>
                <w:color w:val="000000"/>
                <w:szCs w:val="22"/>
              </w:rPr>
            </w:pPr>
            <w:r>
              <w:rPr>
                <w:b/>
              </w:rPr>
              <w:t>172,337</w:t>
            </w:r>
          </w:p>
        </w:tc>
        <w:tc>
          <w:tcPr>
            <w:tcW w:w="2038" w:type="dxa"/>
            <w:tcBorders>
              <w:bottom w:val="single" w:sz="4" w:space="0" w:color="auto"/>
            </w:tcBorders>
            <w:shd w:val="clear" w:color="auto" w:fill="F2F2F2" w:themeFill="background1" w:themeFillShade="F2"/>
            <w:vAlign w:val="center"/>
          </w:tcPr>
          <w:p w14:paraId="4020B41E" w14:textId="3AEE01B3" w:rsidR="0000671E" w:rsidRDefault="0000671E" w:rsidP="0000671E">
            <w:r>
              <w:rPr>
                <w:rFonts w:cs="Arial"/>
                <w:color w:val="000000"/>
                <w:szCs w:val="22"/>
              </w:rPr>
              <w:t>11.0%</w:t>
            </w:r>
          </w:p>
        </w:tc>
      </w:tr>
    </w:tbl>
    <w:p w14:paraId="1B54E209" w14:textId="7F41148A" w:rsidR="00963878" w:rsidRDefault="005502AE" w:rsidP="005502AE">
      <w:r>
        <w:t>Much of the 29 per cent increase in other expenditure can be attributed to a one-off payment to existing building leases. In 2017, we consolidated four separate CBD locations into a single leasehold at 570 Bourke Street. The total combined cost of the new lease, fit out and overlapping lease payments, was independently assessed as financially beneficial. It is more space efficient, utilising 100 per cent open plan and provides improved safety for staff and clients.</w:t>
      </w:r>
    </w:p>
    <w:p w14:paraId="7EBDE764" w14:textId="7DA2A3F3" w:rsidR="0000671E" w:rsidRDefault="0000671E" w:rsidP="003A21F9">
      <w:pPr>
        <w:pStyle w:val="FootnoteText"/>
        <w:spacing w:before="240"/>
      </w:pPr>
      <w:r w:rsidRPr="0000671E">
        <w:rPr>
          <w:b/>
        </w:rPr>
        <w:t>*</w:t>
      </w:r>
      <w:r>
        <w:t xml:space="preserve">This figure includes community legal centre funding (see </w:t>
      </w:r>
      <w:hyperlink w:anchor="_Funding_we_distribute" w:history="1">
        <w:r w:rsidRPr="0000671E">
          <w:rPr>
            <w:rStyle w:val="Hyperlink"/>
          </w:rPr>
          <w:t>Funding we distribute to community legal centres</w:t>
        </w:r>
      </w:hyperlink>
      <w:r>
        <w:t xml:space="preserve"> for detail)</w:t>
      </w:r>
      <w:r w:rsidR="003A21F9">
        <w:t>.</w:t>
      </w:r>
    </w:p>
    <w:p w14:paraId="46D85909" w14:textId="77777777" w:rsidR="00963878" w:rsidRDefault="00963878">
      <w:pPr>
        <w:spacing w:after="0" w:line="240" w:lineRule="auto"/>
        <w:rPr>
          <w:rFonts w:cs="Arial"/>
          <w:b/>
          <w:bCs/>
          <w:sz w:val="26"/>
          <w:szCs w:val="26"/>
          <w:lang w:eastAsia="en-AU"/>
        </w:rPr>
      </w:pPr>
      <w:r>
        <w:br w:type="page"/>
      </w:r>
    </w:p>
    <w:p w14:paraId="5281202D" w14:textId="2C6CF14A" w:rsidR="001448E8" w:rsidRDefault="001448E8" w:rsidP="001C6061">
      <w:pPr>
        <w:pStyle w:val="Heading3"/>
      </w:pPr>
      <w:bookmarkStart w:id="2" w:name="_Funding_we_distribute"/>
      <w:bookmarkEnd w:id="2"/>
      <w:r>
        <w:lastRenderedPageBreak/>
        <w:t xml:space="preserve">Funding we distribute </w:t>
      </w:r>
      <w:r w:rsidR="000B6C0D">
        <w:t xml:space="preserve">to community legal centres </w:t>
      </w:r>
      <w:r>
        <w:t xml:space="preserve">($) </w:t>
      </w:r>
    </w:p>
    <w:p w14:paraId="51B2EF05" w14:textId="77C6F326" w:rsidR="000B6C0D" w:rsidRDefault="000B6C0D" w:rsidP="000B6C0D">
      <w:r>
        <w:t xml:space="preserve">Our commitment to working with community legal centres continued with </w:t>
      </w:r>
      <w:r w:rsidRPr="001448E8">
        <w:t>$16.8 million allocated as direct funding provided to community legal centres with a further $10.5 million allocated as indirect funding</w:t>
      </w:r>
      <w:r>
        <w:t xml:space="preserve"> from the State Government</w:t>
      </w:r>
      <w:r w:rsidRPr="001448E8">
        <w:t>, a total of $27.4 million funding</w:t>
      </w:r>
      <w:r>
        <w:t xml:space="preserve">. </w:t>
      </w:r>
    </w:p>
    <w:tbl>
      <w:tblPr>
        <w:tblStyle w:val="TableGrid"/>
        <w:tblW w:w="10076" w:type="dxa"/>
        <w:tblLook w:val="04A0" w:firstRow="1" w:lastRow="0" w:firstColumn="1" w:lastColumn="0" w:noHBand="0" w:noVBand="1"/>
      </w:tblPr>
      <w:tblGrid>
        <w:gridCol w:w="4814"/>
        <w:gridCol w:w="1754"/>
        <w:gridCol w:w="1754"/>
        <w:gridCol w:w="1754"/>
      </w:tblGrid>
      <w:tr w:rsidR="00B10A74" w:rsidRPr="002312A1" w14:paraId="1047E824" w14:textId="77777777" w:rsidTr="00B10A74">
        <w:trPr>
          <w:tblHeader/>
        </w:trPr>
        <w:tc>
          <w:tcPr>
            <w:tcW w:w="4814" w:type="dxa"/>
            <w:shd w:val="clear" w:color="auto" w:fill="D9D9D9" w:themeFill="background1" w:themeFillShade="D9"/>
          </w:tcPr>
          <w:p w14:paraId="5DEB5BA0" w14:textId="77777777" w:rsidR="00B10A74" w:rsidRPr="002312A1" w:rsidRDefault="00B10A74" w:rsidP="00B10A74">
            <w:pPr>
              <w:rPr>
                <w:b/>
                <w:lang w:eastAsia="en-AU"/>
              </w:rPr>
            </w:pPr>
            <w:r w:rsidRPr="002312A1">
              <w:rPr>
                <w:b/>
              </w:rPr>
              <w:t>Year to date</w:t>
            </w:r>
          </w:p>
        </w:tc>
        <w:tc>
          <w:tcPr>
            <w:tcW w:w="1754" w:type="dxa"/>
            <w:shd w:val="clear" w:color="auto" w:fill="D9D9D9" w:themeFill="background1" w:themeFillShade="D9"/>
          </w:tcPr>
          <w:p w14:paraId="55F49759" w14:textId="564DDDA1" w:rsidR="00B10A74" w:rsidRPr="001448E8" w:rsidRDefault="00B10A74" w:rsidP="00B10A74">
            <w:pPr>
              <w:rPr>
                <w:b/>
                <w:lang w:eastAsia="en-AU"/>
              </w:rPr>
            </w:pPr>
            <w:r w:rsidRPr="001C6061">
              <w:rPr>
                <w:b/>
              </w:rPr>
              <w:t>2016–17 $000</w:t>
            </w:r>
          </w:p>
        </w:tc>
        <w:tc>
          <w:tcPr>
            <w:tcW w:w="1754" w:type="dxa"/>
            <w:shd w:val="clear" w:color="auto" w:fill="D9D9D9" w:themeFill="background1" w:themeFillShade="D9"/>
          </w:tcPr>
          <w:p w14:paraId="1EC16AE7" w14:textId="48B938D4" w:rsidR="00B10A74" w:rsidRPr="002312A1" w:rsidRDefault="00B10A74" w:rsidP="00B10A74">
            <w:pPr>
              <w:rPr>
                <w:b/>
                <w:lang w:eastAsia="en-AU"/>
              </w:rPr>
            </w:pPr>
            <w:r>
              <w:rPr>
                <w:b/>
                <w:lang w:eastAsia="en-AU"/>
              </w:rPr>
              <w:t>2015–16 $000</w:t>
            </w:r>
          </w:p>
        </w:tc>
        <w:tc>
          <w:tcPr>
            <w:tcW w:w="1754" w:type="dxa"/>
            <w:shd w:val="clear" w:color="auto" w:fill="D9D9D9" w:themeFill="background1" w:themeFillShade="D9"/>
          </w:tcPr>
          <w:p w14:paraId="235F0B79" w14:textId="51D211FA" w:rsidR="00B10A74" w:rsidRPr="002312A1" w:rsidRDefault="00B10A74" w:rsidP="00B10A74">
            <w:pPr>
              <w:rPr>
                <w:b/>
                <w:lang w:eastAsia="en-AU"/>
              </w:rPr>
            </w:pPr>
            <w:r w:rsidRPr="002312A1">
              <w:rPr>
                <w:b/>
                <w:lang w:eastAsia="en-AU"/>
              </w:rPr>
              <w:t>Variance</w:t>
            </w:r>
          </w:p>
        </w:tc>
      </w:tr>
      <w:tr w:rsidR="00B10A74" w14:paraId="235DE050" w14:textId="77777777" w:rsidTr="00B10A74">
        <w:tc>
          <w:tcPr>
            <w:tcW w:w="4814" w:type="dxa"/>
            <w:vAlign w:val="bottom"/>
          </w:tcPr>
          <w:p w14:paraId="31A175FC" w14:textId="793585FB" w:rsidR="00B10A74" w:rsidRDefault="00B10A74" w:rsidP="00B10A74">
            <w:pPr>
              <w:rPr>
                <w:lang w:eastAsia="en-AU"/>
              </w:rPr>
            </w:pPr>
            <w:r w:rsidRPr="00073D86">
              <w:t>Community legal centres</w:t>
            </w:r>
          </w:p>
        </w:tc>
        <w:tc>
          <w:tcPr>
            <w:tcW w:w="1754" w:type="dxa"/>
          </w:tcPr>
          <w:p w14:paraId="746E7F18" w14:textId="15D60BDD" w:rsidR="00B10A74" w:rsidRDefault="00B10A74" w:rsidP="00B10A74">
            <w:pPr>
              <w:rPr>
                <w:lang w:eastAsia="en-AU"/>
              </w:rPr>
            </w:pPr>
            <w:r w:rsidRPr="00F961B7">
              <w:t>15,844</w:t>
            </w:r>
          </w:p>
        </w:tc>
        <w:tc>
          <w:tcPr>
            <w:tcW w:w="1754" w:type="dxa"/>
          </w:tcPr>
          <w:p w14:paraId="07E6A193" w14:textId="04C5F210" w:rsidR="00B10A74" w:rsidRDefault="00B10A74" w:rsidP="00B10A74">
            <w:pPr>
              <w:rPr>
                <w:lang w:eastAsia="en-AU"/>
              </w:rPr>
            </w:pPr>
            <w:r w:rsidRPr="00703DEE">
              <w:t>15,776</w:t>
            </w:r>
          </w:p>
        </w:tc>
        <w:tc>
          <w:tcPr>
            <w:tcW w:w="1754" w:type="dxa"/>
            <w:vAlign w:val="center"/>
          </w:tcPr>
          <w:p w14:paraId="4E0EA85D" w14:textId="7698DBC6" w:rsidR="00B10A74" w:rsidRDefault="00B10A74" w:rsidP="00B10A74">
            <w:pPr>
              <w:rPr>
                <w:lang w:eastAsia="en-AU"/>
              </w:rPr>
            </w:pPr>
            <w:r>
              <w:rPr>
                <w:lang w:eastAsia="en-AU"/>
              </w:rPr>
              <w:t>.4%</w:t>
            </w:r>
          </w:p>
        </w:tc>
      </w:tr>
      <w:tr w:rsidR="00B10A74" w14:paraId="0A33BFCC" w14:textId="77777777" w:rsidTr="00B10A74">
        <w:tc>
          <w:tcPr>
            <w:tcW w:w="4814" w:type="dxa"/>
            <w:vAlign w:val="bottom"/>
          </w:tcPr>
          <w:p w14:paraId="63731F72" w14:textId="27606F92" w:rsidR="00B10A74" w:rsidRDefault="00B10A74" w:rsidP="00B10A74">
            <w:pPr>
              <w:rPr>
                <w:lang w:eastAsia="en-AU"/>
              </w:rPr>
            </w:pPr>
            <w:r w:rsidRPr="00073D86">
              <w:t>Community legal centres, project funds</w:t>
            </w:r>
          </w:p>
        </w:tc>
        <w:tc>
          <w:tcPr>
            <w:tcW w:w="1754" w:type="dxa"/>
          </w:tcPr>
          <w:p w14:paraId="2014BB78" w14:textId="2AF9785F" w:rsidR="00B10A74" w:rsidRDefault="00B10A74" w:rsidP="00B10A74">
            <w:pPr>
              <w:rPr>
                <w:lang w:eastAsia="en-AU"/>
              </w:rPr>
            </w:pPr>
            <w:r w:rsidRPr="00F961B7">
              <w:t>1,003</w:t>
            </w:r>
          </w:p>
        </w:tc>
        <w:tc>
          <w:tcPr>
            <w:tcW w:w="1754" w:type="dxa"/>
          </w:tcPr>
          <w:p w14:paraId="3733FA95" w14:textId="38E40982" w:rsidR="00B10A74" w:rsidRDefault="00B10A74" w:rsidP="00B10A74">
            <w:pPr>
              <w:rPr>
                <w:lang w:eastAsia="en-AU"/>
              </w:rPr>
            </w:pPr>
            <w:r w:rsidRPr="00703DEE">
              <w:t>2,945</w:t>
            </w:r>
          </w:p>
        </w:tc>
        <w:tc>
          <w:tcPr>
            <w:tcW w:w="1754" w:type="dxa"/>
            <w:vAlign w:val="center"/>
          </w:tcPr>
          <w:p w14:paraId="5668B6A5" w14:textId="2835996A" w:rsidR="00B10A74" w:rsidRDefault="00B10A74" w:rsidP="00B10A74">
            <w:pPr>
              <w:rPr>
                <w:lang w:eastAsia="en-AU"/>
              </w:rPr>
            </w:pPr>
            <w:r>
              <w:rPr>
                <w:lang w:eastAsia="en-AU"/>
              </w:rPr>
              <w:t>-65.9%</w:t>
            </w:r>
          </w:p>
        </w:tc>
      </w:tr>
    </w:tbl>
    <w:p w14:paraId="2F8BCCC8" w14:textId="711785CE" w:rsidR="001448E8" w:rsidRPr="00A408C7" w:rsidRDefault="001448E8" w:rsidP="001C6061">
      <w:r>
        <w:t xml:space="preserve">The above table </w:t>
      </w:r>
      <w:r w:rsidRPr="00670E32">
        <w:t>does not include Commonwealth payments to community legal centres. The combined total State and Commonwealth funds to community legal centres administered by Victoria Legal Aid amounts to $27.4 million.</w:t>
      </w:r>
      <w:r w:rsidR="00073D86">
        <w:t xml:space="preserve"> The variance for the project funds can be attributed to the </w:t>
      </w:r>
      <w:r w:rsidR="003D6669">
        <w:t>completion</w:t>
      </w:r>
      <w:r w:rsidR="00073D86">
        <w:t xml:space="preserve"> of the </w:t>
      </w:r>
      <w:r w:rsidR="00073D86" w:rsidRPr="00073D86">
        <w:t xml:space="preserve">Innovation and Transformation Fund </w:t>
      </w:r>
      <w:r w:rsidR="00073D86">
        <w:t>program. We administer</w:t>
      </w:r>
      <w:r w:rsidR="003D6669">
        <w:t>ed</w:t>
      </w:r>
      <w:r w:rsidR="00073D86">
        <w:t xml:space="preserve"> two payments of $500,000 for the Family Violence to Family Law Continuity of Service Delivery pilot projects. This funding is for two years of service (2016–17 and 2017–18) by two centres (Hume Riverina CLS and Peninsula CLC).</w:t>
      </w:r>
    </w:p>
    <w:p w14:paraId="59010518" w14:textId="68926031" w:rsidR="0047677D" w:rsidRDefault="0047677D" w:rsidP="002312A1">
      <w:pPr>
        <w:pStyle w:val="Heading2"/>
      </w:pPr>
      <w:r>
        <w:t xml:space="preserve">Performance against Victorian Government service targets </w:t>
      </w:r>
    </w:p>
    <w:p w14:paraId="5CE16B12" w14:textId="77777777" w:rsidR="00A23D33" w:rsidRDefault="00A23D33" w:rsidP="00A23D33">
      <w:pPr>
        <w:rPr>
          <w:i/>
        </w:rPr>
      </w:pPr>
      <w:r w:rsidRPr="00A23D33">
        <w:t xml:space="preserve">The Victorian Budget sets </w:t>
      </w:r>
      <w:proofErr w:type="gramStart"/>
      <w:r w:rsidRPr="00A23D33">
        <w:t>a number of</w:t>
      </w:r>
      <w:proofErr w:type="gramEnd"/>
      <w:r w:rsidRPr="00A23D33">
        <w:t xml:space="preserve"> output performance measures and targets for departments and their agencies and statutory bodies in </w:t>
      </w:r>
      <w:r w:rsidRPr="00A23D33">
        <w:rPr>
          <w:i/>
        </w:rPr>
        <w:t xml:space="preserve">Budget Paper 3. </w:t>
      </w:r>
    </w:p>
    <w:p w14:paraId="172D45E2" w14:textId="5B16728C" w:rsidR="0047677D" w:rsidRDefault="0047677D" w:rsidP="00A23D33">
      <w:pPr>
        <w:pStyle w:val="Heading4"/>
      </w:pPr>
      <w:r>
        <w:t>Our results against targets for output mea</w:t>
      </w:r>
      <w:r w:rsidR="002312A1">
        <w:t>sures under Budget Paper No. 3</w:t>
      </w:r>
    </w:p>
    <w:tbl>
      <w:tblPr>
        <w:tblStyle w:val="TableGrid"/>
        <w:tblW w:w="0" w:type="auto"/>
        <w:tblLook w:val="04A0" w:firstRow="1" w:lastRow="0" w:firstColumn="1" w:lastColumn="0" w:noHBand="0" w:noVBand="1"/>
      </w:tblPr>
      <w:tblGrid>
        <w:gridCol w:w="2972"/>
        <w:gridCol w:w="1776"/>
        <w:gridCol w:w="1776"/>
        <w:gridCol w:w="1776"/>
        <w:gridCol w:w="1776"/>
      </w:tblGrid>
      <w:tr w:rsidR="005B1A94" w:rsidRPr="002312A1" w14:paraId="2CABC215" w14:textId="77777777" w:rsidTr="00CB7625">
        <w:trPr>
          <w:tblHeader/>
        </w:trPr>
        <w:tc>
          <w:tcPr>
            <w:tcW w:w="2972" w:type="dxa"/>
            <w:shd w:val="clear" w:color="auto" w:fill="D9D9D9" w:themeFill="background1" w:themeFillShade="D9"/>
          </w:tcPr>
          <w:p w14:paraId="3EDEB29D" w14:textId="77777777" w:rsidR="005B1A94" w:rsidRPr="002312A1" w:rsidRDefault="005B1A94" w:rsidP="002312A1">
            <w:pPr>
              <w:rPr>
                <w:b/>
                <w:lang w:eastAsia="en-AU"/>
              </w:rPr>
            </w:pPr>
            <w:r w:rsidRPr="002312A1">
              <w:rPr>
                <w:b/>
              </w:rPr>
              <w:t>Output measure</w:t>
            </w:r>
          </w:p>
        </w:tc>
        <w:tc>
          <w:tcPr>
            <w:tcW w:w="1776" w:type="dxa"/>
            <w:shd w:val="clear" w:color="auto" w:fill="D9D9D9" w:themeFill="background1" w:themeFillShade="D9"/>
          </w:tcPr>
          <w:p w14:paraId="2C2436B1" w14:textId="60D9DD0A" w:rsidR="005B1A94" w:rsidRPr="007C6992" w:rsidRDefault="005B1A94" w:rsidP="002312A1">
            <w:pPr>
              <w:rPr>
                <w:b/>
              </w:rPr>
            </w:pPr>
            <w:r>
              <w:rPr>
                <w:b/>
              </w:rPr>
              <w:t>2015–16 actual</w:t>
            </w:r>
          </w:p>
        </w:tc>
        <w:tc>
          <w:tcPr>
            <w:tcW w:w="1776" w:type="dxa"/>
            <w:shd w:val="clear" w:color="auto" w:fill="D9D9D9" w:themeFill="background1" w:themeFillShade="D9"/>
          </w:tcPr>
          <w:p w14:paraId="0076FDC4" w14:textId="0742E3A7" w:rsidR="005B1A94" w:rsidRPr="002312A1" w:rsidRDefault="005B1A94" w:rsidP="002312A1">
            <w:pPr>
              <w:rPr>
                <w:b/>
                <w:lang w:eastAsia="en-AU"/>
              </w:rPr>
            </w:pPr>
            <w:r w:rsidRPr="007C6992">
              <w:rPr>
                <w:b/>
              </w:rPr>
              <w:t xml:space="preserve">2016–17 </w:t>
            </w:r>
            <w:r>
              <w:rPr>
                <w:b/>
              </w:rPr>
              <w:t>t</w:t>
            </w:r>
            <w:r w:rsidRPr="002312A1">
              <w:rPr>
                <w:b/>
              </w:rPr>
              <w:t>arget</w:t>
            </w:r>
          </w:p>
        </w:tc>
        <w:tc>
          <w:tcPr>
            <w:tcW w:w="1776" w:type="dxa"/>
            <w:shd w:val="clear" w:color="auto" w:fill="D9D9D9" w:themeFill="background1" w:themeFillShade="D9"/>
          </w:tcPr>
          <w:p w14:paraId="315113E3" w14:textId="3D80EEDA" w:rsidR="005B1A94" w:rsidRPr="002312A1" w:rsidRDefault="005B1A94" w:rsidP="002312A1">
            <w:pPr>
              <w:rPr>
                <w:b/>
                <w:lang w:eastAsia="en-AU"/>
              </w:rPr>
            </w:pPr>
            <w:r w:rsidRPr="007C6992">
              <w:rPr>
                <w:b/>
              </w:rPr>
              <w:t xml:space="preserve">2016–17 </w:t>
            </w:r>
            <w:r>
              <w:rPr>
                <w:b/>
              </w:rPr>
              <w:t>a</w:t>
            </w:r>
            <w:r w:rsidRPr="002312A1">
              <w:rPr>
                <w:b/>
              </w:rPr>
              <w:t>ctual</w:t>
            </w:r>
          </w:p>
        </w:tc>
        <w:tc>
          <w:tcPr>
            <w:tcW w:w="1776" w:type="dxa"/>
            <w:shd w:val="clear" w:color="auto" w:fill="D9D9D9" w:themeFill="background1" w:themeFillShade="D9"/>
          </w:tcPr>
          <w:p w14:paraId="0E74AA09" w14:textId="06547D17" w:rsidR="005B1A94" w:rsidRPr="002312A1" w:rsidRDefault="005B1A94" w:rsidP="002312A1">
            <w:pPr>
              <w:rPr>
                <w:b/>
                <w:lang w:eastAsia="en-AU"/>
              </w:rPr>
            </w:pPr>
            <w:r w:rsidRPr="002312A1">
              <w:rPr>
                <w:b/>
              </w:rPr>
              <w:t>Variance</w:t>
            </w:r>
            <w:r w:rsidR="00E201FE">
              <w:rPr>
                <w:b/>
              </w:rPr>
              <w:t xml:space="preserve"> on </w:t>
            </w:r>
            <w:r w:rsidR="00E201FE" w:rsidRPr="007C6992">
              <w:rPr>
                <w:b/>
              </w:rPr>
              <w:t xml:space="preserve">2016–17 </w:t>
            </w:r>
            <w:r w:rsidR="00E201FE">
              <w:rPr>
                <w:b/>
              </w:rPr>
              <w:t>t</w:t>
            </w:r>
            <w:r w:rsidR="00E201FE" w:rsidRPr="002312A1">
              <w:rPr>
                <w:b/>
              </w:rPr>
              <w:t>arget</w:t>
            </w:r>
          </w:p>
        </w:tc>
      </w:tr>
      <w:tr w:rsidR="0056416D" w14:paraId="6B63F8D5" w14:textId="77777777" w:rsidTr="00053A3E">
        <w:tc>
          <w:tcPr>
            <w:tcW w:w="2972" w:type="dxa"/>
          </w:tcPr>
          <w:p w14:paraId="54417CEA" w14:textId="56BFBB57" w:rsidR="0056416D" w:rsidRDefault="0056416D" w:rsidP="0056416D">
            <w:pPr>
              <w:rPr>
                <w:lang w:eastAsia="en-AU"/>
              </w:rPr>
            </w:pPr>
            <w:r>
              <w:t>Community legal education and information services</w:t>
            </w:r>
            <w:r>
              <w:rPr>
                <w:rStyle w:val="FootnoteReference"/>
              </w:rPr>
              <w:footnoteReference w:id="4"/>
            </w:r>
          </w:p>
        </w:tc>
        <w:tc>
          <w:tcPr>
            <w:tcW w:w="1776" w:type="dxa"/>
            <w:vAlign w:val="bottom"/>
          </w:tcPr>
          <w:p w14:paraId="7A7D0FD5" w14:textId="14AF55AE" w:rsidR="0056416D" w:rsidRDefault="0056416D" w:rsidP="00053A3E">
            <w:pPr>
              <w:rPr>
                <w:lang w:eastAsia="en-AU"/>
              </w:rPr>
            </w:pPr>
            <w:r w:rsidRPr="00396C80">
              <w:t>126,284</w:t>
            </w:r>
          </w:p>
        </w:tc>
        <w:tc>
          <w:tcPr>
            <w:tcW w:w="1776" w:type="dxa"/>
            <w:vAlign w:val="bottom"/>
          </w:tcPr>
          <w:p w14:paraId="6F61FC50" w14:textId="7307E074" w:rsidR="0056416D" w:rsidRDefault="0056416D" w:rsidP="00053A3E">
            <w:pPr>
              <w:rPr>
                <w:lang w:eastAsia="en-AU"/>
              </w:rPr>
            </w:pPr>
            <w:r>
              <w:rPr>
                <w:rFonts w:cs="Arial"/>
              </w:rPr>
              <w:t>135,000</w:t>
            </w:r>
            <w:r w:rsidR="00756AD5">
              <w:rPr>
                <w:rFonts w:cs="Arial"/>
              </w:rPr>
              <w:t>–</w:t>
            </w:r>
            <w:r>
              <w:rPr>
                <w:rFonts w:cs="Arial"/>
              </w:rPr>
              <w:t>140,000</w:t>
            </w:r>
          </w:p>
        </w:tc>
        <w:tc>
          <w:tcPr>
            <w:tcW w:w="1776" w:type="dxa"/>
            <w:vAlign w:val="bottom"/>
          </w:tcPr>
          <w:p w14:paraId="77F8C458" w14:textId="6CFFB6F7" w:rsidR="0056416D" w:rsidRDefault="0056416D" w:rsidP="00053A3E">
            <w:pPr>
              <w:rPr>
                <w:lang w:eastAsia="en-AU"/>
              </w:rPr>
            </w:pPr>
            <w:r>
              <w:t>129,260</w:t>
            </w:r>
          </w:p>
        </w:tc>
        <w:tc>
          <w:tcPr>
            <w:tcW w:w="1776" w:type="dxa"/>
            <w:vAlign w:val="bottom"/>
          </w:tcPr>
          <w:p w14:paraId="1D915483" w14:textId="1EE095BE" w:rsidR="0056416D" w:rsidRDefault="0056416D" w:rsidP="00053A3E">
            <w:pPr>
              <w:rPr>
                <w:lang w:eastAsia="en-AU"/>
              </w:rPr>
            </w:pPr>
            <w:r>
              <w:rPr>
                <w:rFonts w:cs="Arial"/>
              </w:rPr>
              <w:t>- 4.3%</w:t>
            </w:r>
          </w:p>
        </w:tc>
      </w:tr>
      <w:tr w:rsidR="0056416D" w14:paraId="05B24B57" w14:textId="77777777" w:rsidTr="00053A3E">
        <w:tc>
          <w:tcPr>
            <w:tcW w:w="2972" w:type="dxa"/>
          </w:tcPr>
          <w:p w14:paraId="754DFC03" w14:textId="77777777" w:rsidR="0056416D" w:rsidRDefault="0056416D" w:rsidP="0056416D">
            <w:pPr>
              <w:rPr>
                <w:lang w:eastAsia="en-AU"/>
              </w:rPr>
            </w:pPr>
            <w:r>
              <w:t>Duty lawyer services</w:t>
            </w:r>
          </w:p>
        </w:tc>
        <w:tc>
          <w:tcPr>
            <w:tcW w:w="1776" w:type="dxa"/>
            <w:vAlign w:val="bottom"/>
          </w:tcPr>
          <w:p w14:paraId="5344925C" w14:textId="2259A398" w:rsidR="0056416D" w:rsidRDefault="0056416D" w:rsidP="00053A3E">
            <w:pPr>
              <w:rPr>
                <w:lang w:eastAsia="en-AU"/>
              </w:rPr>
            </w:pPr>
            <w:r w:rsidRPr="00042D9F">
              <w:t>87,162</w:t>
            </w:r>
          </w:p>
        </w:tc>
        <w:tc>
          <w:tcPr>
            <w:tcW w:w="1776" w:type="dxa"/>
            <w:vAlign w:val="bottom"/>
          </w:tcPr>
          <w:p w14:paraId="4BC9EA03" w14:textId="6892AB5E" w:rsidR="0056416D" w:rsidRDefault="0056416D" w:rsidP="00053A3E">
            <w:pPr>
              <w:rPr>
                <w:lang w:eastAsia="en-AU"/>
              </w:rPr>
            </w:pPr>
            <w:r>
              <w:rPr>
                <w:rFonts w:cs="Arial"/>
              </w:rPr>
              <w:t>83,000</w:t>
            </w:r>
            <w:r w:rsidR="00756AD5">
              <w:rPr>
                <w:rFonts w:cs="Arial"/>
              </w:rPr>
              <w:t>–</w:t>
            </w:r>
            <w:r>
              <w:rPr>
                <w:rFonts w:cs="Arial"/>
              </w:rPr>
              <w:t>85,000</w:t>
            </w:r>
          </w:p>
        </w:tc>
        <w:tc>
          <w:tcPr>
            <w:tcW w:w="1776" w:type="dxa"/>
            <w:vAlign w:val="bottom"/>
          </w:tcPr>
          <w:p w14:paraId="12C2C4B0" w14:textId="4A9226FE" w:rsidR="0056416D" w:rsidRDefault="0056416D" w:rsidP="00053A3E">
            <w:pPr>
              <w:rPr>
                <w:lang w:eastAsia="en-AU"/>
              </w:rPr>
            </w:pPr>
            <w:r w:rsidRPr="00042D9F">
              <w:t>93,697</w:t>
            </w:r>
          </w:p>
        </w:tc>
        <w:tc>
          <w:tcPr>
            <w:tcW w:w="1776" w:type="dxa"/>
            <w:vAlign w:val="bottom"/>
          </w:tcPr>
          <w:p w14:paraId="5500405E" w14:textId="319D89E5" w:rsidR="0056416D" w:rsidRDefault="0056416D" w:rsidP="00053A3E">
            <w:pPr>
              <w:rPr>
                <w:lang w:eastAsia="en-AU"/>
              </w:rPr>
            </w:pPr>
            <w:r>
              <w:rPr>
                <w:rFonts w:cs="Arial"/>
              </w:rPr>
              <w:t>10.2%</w:t>
            </w:r>
          </w:p>
        </w:tc>
      </w:tr>
      <w:tr w:rsidR="0056416D" w14:paraId="083E4055" w14:textId="77777777" w:rsidTr="00053A3E">
        <w:tc>
          <w:tcPr>
            <w:tcW w:w="2972" w:type="dxa"/>
          </w:tcPr>
          <w:p w14:paraId="2400FF61" w14:textId="77777777" w:rsidR="0056416D" w:rsidRDefault="0056416D" w:rsidP="0056416D">
            <w:pPr>
              <w:rPr>
                <w:lang w:eastAsia="en-AU"/>
              </w:rPr>
            </w:pPr>
            <w:r>
              <w:t>Grants of legal assistance</w:t>
            </w:r>
          </w:p>
        </w:tc>
        <w:tc>
          <w:tcPr>
            <w:tcW w:w="1776" w:type="dxa"/>
            <w:vAlign w:val="bottom"/>
          </w:tcPr>
          <w:p w14:paraId="580F4412" w14:textId="27363D8E" w:rsidR="0056416D" w:rsidRDefault="0056416D" w:rsidP="00053A3E">
            <w:pPr>
              <w:rPr>
                <w:lang w:eastAsia="en-AU"/>
              </w:rPr>
            </w:pPr>
            <w:r w:rsidRPr="00396C80">
              <w:t>38,345</w:t>
            </w:r>
          </w:p>
        </w:tc>
        <w:tc>
          <w:tcPr>
            <w:tcW w:w="1776" w:type="dxa"/>
            <w:vAlign w:val="bottom"/>
          </w:tcPr>
          <w:p w14:paraId="5551FD9C" w14:textId="5ECE8BDB" w:rsidR="0056416D" w:rsidRDefault="0056416D" w:rsidP="00053A3E">
            <w:pPr>
              <w:rPr>
                <w:lang w:eastAsia="en-AU"/>
              </w:rPr>
            </w:pPr>
            <w:r>
              <w:rPr>
                <w:rFonts w:cs="Arial"/>
              </w:rPr>
              <w:t>35,000</w:t>
            </w:r>
          </w:p>
        </w:tc>
        <w:tc>
          <w:tcPr>
            <w:tcW w:w="1776" w:type="dxa"/>
            <w:vAlign w:val="bottom"/>
          </w:tcPr>
          <w:p w14:paraId="218F58EF" w14:textId="64A893AC" w:rsidR="0056416D" w:rsidRDefault="0056416D" w:rsidP="00053A3E">
            <w:pPr>
              <w:rPr>
                <w:lang w:eastAsia="en-AU"/>
              </w:rPr>
            </w:pPr>
            <w:r>
              <w:rPr>
                <w:rFonts w:cs="Arial"/>
              </w:rPr>
              <w:t>41,638</w:t>
            </w:r>
          </w:p>
        </w:tc>
        <w:tc>
          <w:tcPr>
            <w:tcW w:w="1776" w:type="dxa"/>
            <w:vAlign w:val="bottom"/>
          </w:tcPr>
          <w:p w14:paraId="13539315" w14:textId="216D4A14" w:rsidR="0056416D" w:rsidRDefault="0056416D" w:rsidP="00053A3E">
            <w:pPr>
              <w:rPr>
                <w:lang w:eastAsia="en-AU"/>
              </w:rPr>
            </w:pPr>
            <w:r>
              <w:t>19%</w:t>
            </w:r>
          </w:p>
        </w:tc>
      </w:tr>
      <w:tr w:rsidR="0056416D" w14:paraId="51427B58" w14:textId="77777777" w:rsidTr="00053A3E">
        <w:tc>
          <w:tcPr>
            <w:tcW w:w="2972" w:type="dxa"/>
          </w:tcPr>
          <w:p w14:paraId="5736BD17" w14:textId="77777777" w:rsidR="0056416D" w:rsidRDefault="0056416D" w:rsidP="0056416D">
            <w:pPr>
              <w:rPr>
                <w:lang w:eastAsia="en-AU"/>
              </w:rPr>
            </w:pPr>
            <w:r>
              <w:t>Legal advice and minor assistance</w:t>
            </w:r>
          </w:p>
        </w:tc>
        <w:tc>
          <w:tcPr>
            <w:tcW w:w="1776" w:type="dxa"/>
            <w:vAlign w:val="bottom"/>
          </w:tcPr>
          <w:p w14:paraId="633E0078" w14:textId="0C2B8B5F" w:rsidR="0056416D" w:rsidRDefault="0056416D" w:rsidP="00053A3E">
            <w:pPr>
              <w:rPr>
                <w:lang w:eastAsia="en-AU"/>
              </w:rPr>
            </w:pPr>
            <w:r>
              <w:br/>
            </w:r>
            <w:r w:rsidRPr="0041403E">
              <w:t>40,770</w:t>
            </w:r>
          </w:p>
        </w:tc>
        <w:tc>
          <w:tcPr>
            <w:tcW w:w="1776" w:type="dxa"/>
            <w:vAlign w:val="bottom"/>
          </w:tcPr>
          <w:p w14:paraId="6A010EBE" w14:textId="5EA6162A" w:rsidR="0056416D" w:rsidRDefault="0056416D" w:rsidP="00053A3E">
            <w:pPr>
              <w:rPr>
                <w:lang w:eastAsia="en-AU"/>
              </w:rPr>
            </w:pPr>
            <w:r>
              <w:br/>
            </w:r>
            <w:r>
              <w:rPr>
                <w:rFonts w:cs="Arial"/>
              </w:rPr>
              <w:t>42,000</w:t>
            </w:r>
          </w:p>
        </w:tc>
        <w:tc>
          <w:tcPr>
            <w:tcW w:w="1776" w:type="dxa"/>
            <w:vAlign w:val="bottom"/>
          </w:tcPr>
          <w:p w14:paraId="13B407DA" w14:textId="226A3946" w:rsidR="0056416D" w:rsidRDefault="0056416D" w:rsidP="00053A3E">
            <w:pPr>
              <w:rPr>
                <w:lang w:eastAsia="en-AU"/>
              </w:rPr>
            </w:pPr>
            <w:r w:rsidRPr="00042D9F">
              <w:t>41,725</w:t>
            </w:r>
          </w:p>
        </w:tc>
        <w:tc>
          <w:tcPr>
            <w:tcW w:w="1776" w:type="dxa"/>
            <w:vAlign w:val="bottom"/>
          </w:tcPr>
          <w:p w14:paraId="7C9DEAB7" w14:textId="34253CC5" w:rsidR="0056416D" w:rsidRDefault="0056416D" w:rsidP="00053A3E">
            <w:pPr>
              <w:rPr>
                <w:lang w:eastAsia="en-AU"/>
              </w:rPr>
            </w:pPr>
            <w:r>
              <w:rPr>
                <w:rFonts w:cs="Arial"/>
              </w:rPr>
              <w:t xml:space="preserve">- </w:t>
            </w:r>
            <w:r w:rsidRPr="00823E31">
              <w:rPr>
                <w:rFonts w:cs="Arial"/>
              </w:rPr>
              <w:t>0.</w:t>
            </w:r>
            <w:r>
              <w:rPr>
                <w:rFonts w:cs="Arial"/>
              </w:rPr>
              <w:t>7%</w:t>
            </w:r>
          </w:p>
        </w:tc>
      </w:tr>
      <w:tr w:rsidR="0056416D" w14:paraId="3FBDCB9B" w14:textId="77777777" w:rsidTr="00053A3E">
        <w:tc>
          <w:tcPr>
            <w:tcW w:w="2972" w:type="dxa"/>
          </w:tcPr>
          <w:p w14:paraId="7E82CB63" w14:textId="0F588364" w:rsidR="0056416D" w:rsidRDefault="0056416D" w:rsidP="0056416D">
            <w:pPr>
              <w:rPr>
                <w:lang w:eastAsia="en-AU"/>
              </w:rPr>
            </w:pPr>
            <w:r>
              <w:t>Number of unique clients</w:t>
            </w:r>
          </w:p>
        </w:tc>
        <w:tc>
          <w:tcPr>
            <w:tcW w:w="1776" w:type="dxa"/>
            <w:vAlign w:val="bottom"/>
          </w:tcPr>
          <w:p w14:paraId="3E1ACCC7" w14:textId="248C6EAA" w:rsidR="0056416D" w:rsidRDefault="0056416D" w:rsidP="00053A3E">
            <w:pPr>
              <w:rPr>
                <w:lang w:eastAsia="en-AU"/>
              </w:rPr>
            </w:pPr>
            <w:r w:rsidRPr="0044395E">
              <w:t>86,847</w:t>
            </w:r>
          </w:p>
        </w:tc>
        <w:tc>
          <w:tcPr>
            <w:tcW w:w="1776" w:type="dxa"/>
            <w:vAlign w:val="bottom"/>
          </w:tcPr>
          <w:p w14:paraId="7AC18ECC" w14:textId="14BE5F1A" w:rsidR="0056416D" w:rsidRDefault="0056416D" w:rsidP="00053A3E">
            <w:pPr>
              <w:rPr>
                <w:lang w:eastAsia="en-AU"/>
              </w:rPr>
            </w:pPr>
            <w:r w:rsidRPr="0044395E">
              <w:rPr>
                <w:rFonts w:cs="Arial"/>
              </w:rPr>
              <w:t>84,000</w:t>
            </w:r>
          </w:p>
        </w:tc>
        <w:tc>
          <w:tcPr>
            <w:tcW w:w="1776" w:type="dxa"/>
            <w:vAlign w:val="bottom"/>
          </w:tcPr>
          <w:p w14:paraId="27AD01BF" w14:textId="1C9CA755" w:rsidR="0056416D" w:rsidRDefault="0056416D" w:rsidP="00053A3E">
            <w:pPr>
              <w:rPr>
                <w:lang w:eastAsia="en-AU"/>
              </w:rPr>
            </w:pPr>
            <w:r w:rsidRPr="0044395E">
              <w:t>90,649</w:t>
            </w:r>
          </w:p>
        </w:tc>
        <w:tc>
          <w:tcPr>
            <w:tcW w:w="1776" w:type="dxa"/>
            <w:vAlign w:val="bottom"/>
          </w:tcPr>
          <w:p w14:paraId="3328CFEF" w14:textId="2AA2CD94" w:rsidR="0056416D" w:rsidRDefault="0056416D" w:rsidP="00053A3E">
            <w:pPr>
              <w:rPr>
                <w:lang w:eastAsia="en-AU"/>
              </w:rPr>
            </w:pPr>
            <w:r>
              <w:rPr>
                <w:rFonts w:cs="Arial"/>
              </w:rPr>
              <w:t>7.9%</w:t>
            </w:r>
          </w:p>
        </w:tc>
      </w:tr>
      <w:tr w:rsidR="00E201FE" w14:paraId="5A8A3262" w14:textId="77777777" w:rsidTr="00053A3E">
        <w:tc>
          <w:tcPr>
            <w:tcW w:w="2972" w:type="dxa"/>
          </w:tcPr>
          <w:p w14:paraId="6F38D398" w14:textId="77777777" w:rsidR="00E201FE" w:rsidRDefault="00E201FE" w:rsidP="00E201FE">
            <w:pPr>
              <w:rPr>
                <w:lang w:eastAsia="en-AU"/>
              </w:rPr>
            </w:pPr>
            <w:r>
              <w:t>Applications for legal assistance processed within 15 days</w:t>
            </w:r>
          </w:p>
        </w:tc>
        <w:tc>
          <w:tcPr>
            <w:tcW w:w="1776" w:type="dxa"/>
            <w:vAlign w:val="bottom"/>
          </w:tcPr>
          <w:p w14:paraId="0C568DD5" w14:textId="1ECABBF6" w:rsidR="00E201FE" w:rsidRDefault="00E201FE" w:rsidP="00053A3E">
            <w:pPr>
              <w:rPr>
                <w:lang w:eastAsia="en-AU"/>
              </w:rPr>
            </w:pPr>
            <w:r>
              <w:t xml:space="preserve">94 per cent </w:t>
            </w:r>
          </w:p>
        </w:tc>
        <w:tc>
          <w:tcPr>
            <w:tcW w:w="1776" w:type="dxa"/>
            <w:vAlign w:val="bottom"/>
          </w:tcPr>
          <w:p w14:paraId="721A69B3" w14:textId="62998CBB" w:rsidR="00E201FE" w:rsidRDefault="00E201FE" w:rsidP="00053A3E">
            <w:pPr>
              <w:rPr>
                <w:lang w:eastAsia="en-AU"/>
              </w:rPr>
            </w:pPr>
            <w:r>
              <w:t>95 per cent</w:t>
            </w:r>
          </w:p>
        </w:tc>
        <w:tc>
          <w:tcPr>
            <w:tcW w:w="1776" w:type="dxa"/>
            <w:vAlign w:val="bottom"/>
          </w:tcPr>
          <w:p w14:paraId="4B5AECA2" w14:textId="37B8BCE6" w:rsidR="00E201FE" w:rsidRDefault="00E201FE" w:rsidP="00053A3E">
            <w:pPr>
              <w:rPr>
                <w:lang w:eastAsia="en-AU"/>
              </w:rPr>
            </w:pPr>
            <w:r>
              <w:t>95 per cent</w:t>
            </w:r>
          </w:p>
        </w:tc>
        <w:tc>
          <w:tcPr>
            <w:tcW w:w="1776" w:type="dxa"/>
            <w:vAlign w:val="bottom"/>
          </w:tcPr>
          <w:p w14:paraId="7A34E6E1" w14:textId="45338AA9" w:rsidR="00E201FE" w:rsidRDefault="00E201FE" w:rsidP="00053A3E">
            <w:r>
              <w:t>0%</w:t>
            </w:r>
          </w:p>
        </w:tc>
      </w:tr>
    </w:tbl>
    <w:p w14:paraId="328404CD" w14:textId="1DE80A05" w:rsidR="00FD6968" w:rsidRDefault="00FD6968" w:rsidP="00FD6968">
      <w:r w:rsidRPr="00ED5372">
        <w:t>The community legal education and information services is comprised of 334 community legal education sessions and 128,926 information services. Although the number of community legal education sessions were down, we reached 27 per cent (or 3,007) more people.</w:t>
      </w:r>
    </w:p>
    <w:p w14:paraId="02BBC221" w14:textId="77777777" w:rsidR="00D75C29" w:rsidRPr="0047677D" w:rsidRDefault="00D75C29" w:rsidP="0047677D"/>
    <w:sectPr w:rsidR="00D75C29" w:rsidRPr="0047677D" w:rsidSect="001D0AC3">
      <w:headerReference w:type="even" r:id="rId11"/>
      <w:headerReference w:type="default" r:id="rId12"/>
      <w:footerReference w:type="even" r:id="rId13"/>
      <w:footerReference w:type="default" r:id="rId14"/>
      <w:headerReference w:type="first" r:id="rId15"/>
      <w:footerReference w:type="first" r:id="rId16"/>
      <w:pgSz w:w="11900" w:h="16840" w:code="9"/>
      <w:pgMar w:top="1276"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AE2B2" w14:textId="77777777" w:rsidR="00000E61" w:rsidRDefault="00000E61"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3589F290" w14:textId="77777777" w:rsidR="00000E61" w:rsidRDefault="00000E61"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 w:name="Arial Bold">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ＭＳ ゴシック">
    <w:charset w:val="80"/>
    <w:family w:val="auto"/>
    <w:pitch w:val="variable"/>
    <w:sig w:usb0="E00002FF" w:usb1="6AC7FDFB" w:usb2="08000012" w:usb3="00000000" w:csb0="0002009F" w:csb1="00000000"/>
  </w:font>
  <w:font w:name="Rockwell">
    <w:panose1 w:val="020606030202050204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78618" w14:textId="77777777" w:rsidR="001C6061" w:rsidRDefault="001C6061"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D04532" w14:textId="77777777" w:rsidR="001C6061" w:rsidRDefault="001C6061" w:rsidP="008074B3">
    <w:pPr>
      <w:pStyle w:val="Footer"/>
      <w:ind w:right="360" w:firstLine="360"/>
    </w:pPr>
  </w:p>
  <w:p w14:paraId="00FB8063" w14:textId="77777777" w:rsidR="001C6061" w:rsidRDefault="001C606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2A96A" w14:textId="29E0E1A6" w:rsidR="001C6061" w:rsidRDefault="001C6061"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027A5">
      <w:rPr>
        <w:rStyle w:val="PageNumber"/>
        <w:noProof/>
      </w:rPr>
      <w:t>7</w:t>
    </w:r>
    <w:r>
      <w:rPr>
        <w:rStyle w:val="PageNumber"/>
      </w:rPr>
      <w:fldChar w:fldCharType="end"/>
    </w:r>
    <w:r>
      <w:rPr>
        <w:noProof/>
        <w:lang w:val="en-GB" w:eastAsia="en-GB"/>
      </w:rPr>
      <mc:AlternateContent>
        <mc:Choice Requires="wps">
          <w:drawing>
            <wp:anchor distT="0" distB="0" distL="114300" distR="114300" simplePos="0" relativeHeight="251658240" behindDoc="0" locked="1" layoutInCell="1" allowOverlap="1" wp14:anchorId="5E6206B3" wp14:editId="71A7DC83">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 uri="{AF507438-7753-43e0-B8FC-AC1667EBCBE1}">
                          <a14:hiddenEffects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F72C42"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FF184" w14:textId="368A3A57" w:rsidR="001C6061" w:rsidRPr="008636E1" w:rsidRDefault="001C6061"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027A5">
      <w:rPr>
        <w:rStyle w:val="PageNumber"/>
        <w:noProof/>
      </w:rPr>
      <w:t>1</w:t>
    </w:r>
    <w:r>
      <w:rPr>
        <w:rStyle w:val="PageNumber"/>
      </w:rPr>
      <w:fldChar w:fldCharType="end"/>
    </w:r>
    <w:r>
      <w:rPr>
        <w:noProof/>
        <w:lang w:val="en-GB" w:eastAsia="en-GB"/>
      </w:rPr>
      <mc:AlternateContent>
        <mc:Choice Requires="wps">
          <w:drawing>
            <wp:anchor distT="0" distB="0" distL="114300" distR="114300" simplePos="0" relativeHeight="251662336" behindDoc="0" locked="1" layoutInCell="1" allowOverlap="1" wp14:anchorId="46FAD666" wp14:editId="1FFFD20F">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 uri="{AF507438-7753-43e0-B8FC-AC1667EBCBE1}">
                          <a14:hiddenEffects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DEB9E0"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37A83" w14:textId="77777777" w:rsidR="00000E61" w:rsidRDefault="00000E61" w:rsidP="00181303">
      <w:pPr>
        <w:pStyle w:val="Header"/>
        <w:framePr w:wrap="around" w:vAnchor="text" w:hAnchor="margin" w:xAlign="right" w:y="1"/>
        <w:rPr>
          <w:rStyle w:val="PageNumber"/>
        </w:rPr>
      </w:pPr>
    </w:p>
  </w:footnote>
  <w:footnote w:type="continuationSeparator" w:id="0">
    <w:p w14:paraId="6CE279F5" w14:textId="77777777" w:rsidR="00000E61" w:rsidRDefault="00000E61" w:rsidP="00181303">
      <w:pPr>
        <w:pStyle w:val="Header"/>
        <w:framePr w:wrap="around" w:vAnchor="text" w:hAnchor="margin" w:xAlign="right" w:y="1"/>
        <w:rPr>
          <w:rStyle w:val="PageNumber"/>
        </w:rPr>
      </w:pPr>
      <w:r w:rsidRPr="009F0AA0">
        <w:pgNum/>
      </w:r>
      <w:r w:rsidRPr="009F0AA0">
        <w:pgNum/>
      </w:r>
      <w:r w:rsidRPr="009F0AA0">
        <w:pgNum/>
      </w:r>
    </w:p>
  </w:footnote>
  <w:footnote w:id="1">
    <w:p w14:paraId="582A4B52" w14:textId="77777777" w:rsidR="001C6061" w:rsidRPr="00A20861" w:rsidRDefault="001C6061" w:rsidP="00A20861">
      <w:pPr>
        <w:pStyle w:val="FootnoteText"/>
        <w:rPr>
          <w:rStyle w:val="FootnoteReference"/>
          <w:vertAlign w:val="baseline"/>
        </w:rPr>
      </w:pPr>
      <w:r>
        <w:rPr>
          <w:rStyle w:val="FootnoteReference"/>
        </w:rPr>
        <w:footnoteRef/>
      </w:r>
      <w:r>
        <w:t xml:space="preserve"> </w:t>
      </w:r>
      <w:r w:rsidRPr="00A20861">
        <w:rPr>
          <w:rStyle w:val="FootnoteReference"/>
          <w:vertAlign w:val="baseline"/>
        </w:rPr>
        <w:t>A unique client is an individual who accessed one or more of our legal services. This does not include people</w:t>
      </w:r>
    </w:p>
    <w:p w14:paraId="69987FEC" w14:textId="77777777" w:rsidR="001C6061" w:rsidRPr="00A20861" w:rsidRDefault="001C6061" w:rsidP="00A20861">
      <w:pPr>
        <w:pStyle w:val="FootnoteText"/>
        <w:rPr>
          <w:rStyle w:val="FootnoteReference"/>
          <w:vertAlign w:val="baseline"/>
        </w:rPr>
      </w:pPr>
      <w:r w:rsidRPr="00A20861">
        <w:rPr>
          <w:rStyle w:val="FootnoteReference"/>
          <w:vertAlign w:val="baseline"/>
        </w:rPr>
        <w:t>for whom a client-lawyer relationship was not formed, who received information via the telephone, website or</w:t>
      </w:r>
    </w:p>
    <w:p w14:paraId="1A707999" w14:textId="77777777" w:rsidR="001C6061" w:rsidRPr="00A20861" w:rsidRDefault="001C6061" w:rsidP="00A20861">
      <w:pPr>
        <w:pStyle w:val="FootnoteText"/>
        <w:rPr>
          <w:rStyle w:val="FootnoteReference"/>
          <w:vertAlign w:val="baseline"/>
        </w:rPr>
      </w:pPr>
      <w:r w:rsidRPr="00A20861">
        <w:rPr>
          <w:rStyle w:val="FootnoteReference"/>
          <w:vertAlign w:val="baseline"/>
        </w:rPr>
        <w:t>in-person at court or at a public counter, who participated in community legal education sessions, or clients</w:t>
      </w:r>
    </w:p>
    <w:p w14:paraId="53767007" w14:textId="0EAB6C68" w:rsidR="001C6061" w:rsidRPr="00A20861" w:rsidRDefault="001C6061">
      <w:pPr>
        <w:pStyle w:val="FootnoteText"/>
        <w:rPr>
          <w:lang w:val="en-US"/>
        </w:rPr>
      </w:pPr>
      <w:r w:rsidRPr="00A20861">
        <w:rPr>
          <w:rStyle w:val="FootnoteReference"/>
          <w:vertAlign w:val="baseline"/>
        </w:rPr>
        <w:t>from community legal centres.</w:t>
      </w:r>
    </w:p>
  </w:footnote>
  <w:footnote w:id="2">
    <w:p w14:paraId="007237E5" w14:textId="311F8B1E" w:rsidR="001C6061" w:rsidRDefault="001C6061">
      <w:pPr>
        <w:pStyle w:val="FootnoteText"/>
      </w:pPr>
      <w:r>
        <w:rPr>
          <w:rStyle w:val="FootnoteReference"/>
        </w:rPr>
        <w:footnoteRef/>
      </w:r>
      <w:r>
        <w:t xml:space="preserve"> This does not include clients assisted by a private lawyer through VLA’s private practitioner duty lawyer scheme</w:t>
      </w:r>
    </w:p>
  </w:footnote>
  <w:footnote w:id="3">
    <w:p w14:paraId="569A8E93" w14:textId="3CF71FEE" w:rsidR="001C6061" w:rsidRPr="001C6061" w:rsidRDefault="001C6061">
      <w:pPr>
        <w:pStyle w:val="FootnoteText"/>
        <w:rPr>
          <w:lang w:val="en-US"/>
        </w:rPr>
      </w:pPr>
      <w:r>
        <w:rPr>
          <w:rStyle w:val="FootnoteReference"/>
        </w:rPr>
        <w:footnoteRef/>
      </w:r>
      <w:r>
        <w:t xml:space="preserve"> Significant cases </w:t>
      </w:r>
      <w:proofErr w:type="gramStart"/>
      <w:r>
        <w:t>includes</w:t>
      </w:r>
      <w:proofErr w:type="gramEnd"/>
      <w:r>
        <w:t xml:space="preserve"> County and Supreme Court trials, County and Supreme Court pleas, contested committals and serious sex offender supervision contests.</w:t>
      </w:r>
    </w:p>
  </w:footnote>
  <w:footnote w:id="4">
    <w:p w14:paraId="1482DD63" w14:textId="756B88CB" w:rsidR="001C6061" w:rsidRDefault="001C6061">
      <w:pPr>
        <w:pStyle w:val="FootnoteText"/>
      </w:pPr>
      <w:r>
        <w:rPr>
          <w:rStyle w:val="FootnoteReference"/>
        </w:rPr>
        <w:footnoteRef/>
      </w:r>
      <w:r>
        <w:t xml:space="preserve"> </w:t>
      </w:r>
      <w:r w:rsidRPr="00726297">
        <w:rPr>
          <w:szCs w:val="18"/>
        </w:rPr>
        <w:t>This does not include publications and website sessions.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CF0A4" w14:textId="77777777" w:rsidR="001C6061" w:rsidRDefault="001C6061"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188B49" w14:textId="77777777" w:rsidR="001C6061" w:rsidRDefault="001C6061" w:rsidP="00091AFC">
    <w:pPr>
      <w:pStyle w:val="Header"/>
      <w:ind w:right="360"/>
    </w:pPr>
  </w:p>
  <w:p w14:paraId="2AA442D7" w14:textId="77777777" w:rsidR="001C6061" w:rsidRDefault="001C606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1159F" w14:textId="77777777" w:rsidR="001C6061" w:rsidRPr="006A6FC6" w:rsidRDefault="001C6061"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2C9748E8" w14:textId="2B47B86B" w:rsidR="001C6061" w:rsidRPr="00EF7C5C" w:rsidRDefault="001C6061" w:rsidP="00EF7C5C">
    <w:pPr>
      <w:spacing w:line="240" w:lineRule="auto"/>
      <w:ind w:left="-330"/>
      <w:rPr>
        <w:rFonts w:ascii="Arial Bold" w:hAnsi="Arial Bold" w:cs="Arial"/>
        <w:color w:val="B1005D"/>
      </w:rPr>
    </w:pPr>
    <w:r>
      <w:rPr>
        <w:rFonts w:ascii="Arial Bold" w:hAnsi="Arial Bold" w:cs="Arial"/>
        <w:b/>
        <w:color w:val="B1005D"/>
        <w:sz w:val="18"/>
        <w:szCs w:val="18"/>
      </w:rPr>
      <w:t>Victoria Legal Aid 2016–17 end year report</w:t>
    </w:r>
    <w:r>
      <w:rPr>
        <w:rFonts w:ascii="Arial Bold" w:hAnsi="Arial Bold" w:cs="Arial"/>
        <w:b/>
        <w:noProof/>
        <w:color w:val="B1005D"/>
        <w:sz w:val="18"/>
        <w:szCs w:val="18"/>
        <w:lang w:eastAsia="en-AU"/>
      </w:rPr>
      <w:t xml:space="preserve"> </w:t>
    </w:r>
    <w:r>
      <w:rPr>
        <w:rFonts w:ascii="Arial Bold" w:hAnsi="Arial Bold" w:cs="Arial"/>
        <w:b/>
        <w:noProof/>
        <w:color w:val="B1005D"/>
        <w:sz w:val="18"/>
        <w:szCs w:val="18"/>
        <w:lang w:val="en-GB" w:eastAsia="en-GB"/>
      </w:rPr>
      <mc:AlternateContent>
        <mc:Choice Requires="wps">
          <w:drawing>
            <wp:anchor distT="0" distB="0" distL="114300" distR="114300" simplePos="0" relativeHeight="251656704" behindDoc="1" locked="1" layoutInCell="1" allowOverlap="1" wp14:anchorId="386FE77B" wp14:editId="381024D6">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B63985" id="Straight Connector 3" o:spid="_x0000_s1026" alt=" "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F0734" w14:textId="77777777" w:rsidR="001C6061" w:rsidRPr="00833658" w:rsidRDefault="001C6061" w:rsidP="00833658">
    <w:pPr>
      <w:pStyle w:val="VLAProgram"/>
      <w:pBdr>
        <w:bottom w:val="none" w:sz="0" w:space="0" w:color="auto"/>
      </w:pBdr>
      <w:rPr>
        <w:color w:val="FFFFFF" w:themeColor="background1"/>
      </w:rPr>
    </w:pPr>
    <w:r>
      <w:rPr>
        <w:noProof/>
        <w:lang w:val="en-GB" w:eastAsia="en-GB"/>
      </w:rPr>
      <w:drawing>
        <wp:anchor distT="0" distB="0" distL="114300" distR="114300" simplePos="0" relativeHeight="251663872" behindDoc="1" locked="0" layoutInCell="1" allowOverlap="1" wp14:anchorId="4FC38579" wp14:editId="1AE464C7">
          <wp:simplePos x="0" y="0"/>
          <wp:positionH relativeFrom="column">
            <wp:posOffset>-389890</wp:posOffset>
          </wp:positionH>
          <wp:positionV relativeFrom="paragraph">
            <wp:posOffset>423</wp:posOffset>
          </wp:positionV>
          <wp:extent cx="7200000" cy="125853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244521F" w14:textId="004DBFF8" w:rsidR="001C6061" w:rsidRPr="00D82005" w:rsidRDefault="001C6061" w:rsidP="00D82005">
    <w:pPr>
      <w:pStyle w:val="VLAPublicationdate"/>
      <w:spacing w:before="240" w:after="1200"/>
    </w:pPr>
    <w:r>
      <w:t>October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nsid w:val="0B296326"/>
    <w:multiLevelType w:val="hybridMultilevel"/>
    <w:tmpl w:val="0EB0D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EA170B0"/>
    <w:multiLevelType w:val="hybridMultilevel"/>
    <w:tmpl w:val="AD3AF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FA127B"/>
    <w:multiLevelType w:val="hybridMultilevel"/>
    <w:tmpl w:val="88442AEC"/>
    <w:lvl w:ilvl="0" w:tplc="691E0D2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C191EA0"/>
    <w:multiLevelType w:val="hybridMultilevel"/>
    <w:tmpl w:val="3F40F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235037D"/>
    <w:multiLevelType w:val="hybridMultilevel"/>
    <w:tmpl w:val="04CA0D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236814F1"/>
    <w:multiLevelType w:val="hybridMultilevel"/>
    <w:tmpl w:val="2D240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6D7139A"/>
    <w:multiLevelType w:val="hybridMultilevel"/>
    <w:tmpl w:val="7DF24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0C170F7"/>
    <w:multiLevelType w:val="hybridMultilevel"/>
    <w:tmpl w:val="F8F0A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F542E8"/>
    <w:multiLevelType w:val="hybridMultilevel"/>
    <w:tmpl w:val="F22AD124"/>
    <w:lvl w:ilvl="0" w:tplc="F9CA404C">
      <w:start w:val="1"/>
      <w:numFmt w:val="bullet"/>
      <w:pStyle w:val="Bullet1"/>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BA6613"/>
    <w:multiLevelType w:val="hybridMultilevel"/>
    <w:tmpl w:val="428EB1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2">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nsid w:val="59BB2961"/>
    <w:multiLevelType w:val="hybridMultilevel"/>
    <w:tmpl w:val="60B8F0A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4">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E76122A"/>
    <w:multiLevelType w:val="hybridMultilevel"/>
    <w:tmpl w:val="260E7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6E23BE"/>
    <w:multiLevelType w:val="multilevel"/>
    <w:tmpl w:val="C9AC70BA"/>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5"/>
  </w:num>
  <w:num w:numId="3">
    <w:abstractNumId w:val="22"/>
  </w:num>
  <w:num w:numId="4">
    <w:abstractNumId w:val="21"/>
  </w:num>
  <w:num w:numId="5">
    <w:abstractNumId w:val="22"/>
  </w:num>
  <w:num w:numId="6">
    <w:abstractNumId w:val="22"/>
  </w:num>
  <w:num w:numId="7">
    <w:abstractNumId w:val="24"/>
  </w:num>
  <w:num w:numId="8">
    <w:abstractNumId w:val="22"/>
  </w:num>
  <w:num w:numId="9">
    <w:abstractNumId w:val="20"/>
  </w:num>
  <w:num w:numId="10">
    <w:abstractNumId w:val="14"/>
  </w:num>
  <w:num w:numId="11">
    <w:abstractNumId w:val="20"/>
  </w:num>
  <w:num w:numId="12">
    <w:abstractNumId w:val="10"/>
  </w:num>
  <w:num w:numId="13">
    <w:abstractNumId w:val="10"/>
  </w:num>
  <w:num w:numId="14">
    <w:abstractNumId w:val="10"/>
  </w:num>
  <w:num w:numId="15">
    <w:abstractNumId w:val="10"/>
  </w:num>
  <w:num w:numId="16">
    <w:abstractNumId w:val="14"/>
  </w:num>
  <w:num w:numId="17">
    <w:abstractNumId w:val="22"/>
  </w:num>
  <w:num w:numId="18">
    <w:abstractNumId w:val="22"/>
  </w:num>
  <w:num w:numId="19">
    <w:abstractNumId w:val="21"/>
  </w:num>
  <w:num w:numId="20">
    <w:abstractNumId w:val="21"/>
  </w:num>
  <w:num w:numId="21">
    <w:abstractNumId w:val="21"/>
  </w:num>
  <w:num w:numId="22">
    <w:abstractNumId w:val="20"/>
  </w:num>
  <w:num w:numId="23">
    <w:abstractNumId w:val="14"/>
  </w:num>
  <w:num w:numId="24">
    <w:abstractNumId w:val="22"/>
  </w:num>
  <w:num w:numId="25">
    <w:abstractNumId w:val="22"/>
  </w:num>
  <w:num w:numId="26">
    <w:abstractNumId w:val="21"/>
  </w:num>
  <w:num w:numId="27">
    <w:abstractNumId w:val="21"/>
  </w:num>
  <w:num w:numId="28">
    <w:abstractNumId w:val="21"/>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7"/>
  </w:num>
  <w:num w:numId="37">
    <w:abstractNumId w:val="12"/>
  </w:num>
  <w:num w:numId="38">
    <w:abstractNumId w:val="19"/>
  </w:num>
  <w:num w:numId="39">
    <w:abstractNumId w:val="16"/>
  </w:num>
  <w:num w:numId="40">
    <w:abstractNumId w:val="23"/>
  </w:num>
  <w:num w:numId="41">
    <w:abstractNumId w:val="25"/>
  </w:num>
  <w:num w:numId="42">
    <w:abstractNumId w:val="11"/>
  </w:num>
  <w:num w:numId="43">
    <w:abstractNumId w:val="18"/>
  </w:num>
  <w:num w:numId="44">
    <w:abstractNumId w:val="8"/>
  </w:num>
  <w:num w:numId="45">
    <w:abstractNumId w:val="13"/>
  </w:num>
  <w:num w:numId="46">
    <w:abstractNumId w:val="17"/>
  </w:num>
  <w:num w:numId="47">
    <w:abstractNumId w:val="26"/>
  </w:num>
  <w:num w:numId="4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49">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47677D"/>
    <w:rsid w:val="00000E05"/>
    <w:rsid w:val="00000E61"/>
    <w:rsid w:val="00002822"/>
    <w:rsid w:val="00004DE5"/>
    <w:rsid w:val="0000671E"/>
    <w:rsid w:val="00006D20"/>
    <w:rsid w:val="00006D25"/>
    <w:rsid w:val="000078CE"/>
    <w:rsid w:val="00032B82"/>
    <w:rsid w:val="000360EC"/>
    <w:rsid w:val="00040F0B"/>
    <w:rsid w:val="000448C1"/>
    <w:rsid w:val="00053A3E"/>
    <w:rsid w:val="00057FDC"/>
    <w:rsid w:val="0006480E"/>
    <w:rsid w:val="00073D86"/>
    <w:rsid w:val="00074127"/>
    <w:rsid w:val="000759A6"/>
    <w:rsid w:val="00091432"/>
    <w:rsid w:val="00091AFC"/>
    <w:rsid w:val="00094FE1"/>
    <w:rsid w:val="000A1C94"/>
    <w:rsid w:val="000A5C64"/>
    <w:rsid w:val="000B5095"/>
    <w:rsid w:val="000B6C0D"/>
    <w:rsid w:val="000C4753"/>
    <w:rsid w:val="000C6955"/>
    <w:rsid w:val="000C72A6"/>
    <w:rsid w:val="000E08D9"/>
    <w:rsid w:val="000E1BEB"/>
    <w:rsid w:val="0012455D"/>
    <w:rsid w:val="00136ED3"/>
    <w:rsid w:val="00137970"/>
    <w:rsid w:val="001400BC"/>
    <w:rsid w:val="001448E8"/>
    <w:rsid w:val="00151B7E"/>
    <w:rsid w:val="0015275E"/>
    <w:rsid w:val="0015359B"/>
    <w:rsid w:val="00160C7E"/>
    <w:rsid w:val="00165F28"/>
    <w:rsid w:val="001769BA"/>
    <w:rsid w:val="00181303"/>
    <w:rsid w:val="00181BEE"/>
    <w:rsid w:val="00194462"/>
    <w:rsid w:val="0019468C"/>
    <w:rsid w:val="001A0DF1"/>
    <w:rsid w:val="001A2999"/>
    <w:rsid w:val="001A6CC2"/>
    <w:rsid w:val="001B27C1"/>
    <w:rsid w:val="001B5704"/>
    <w:rsid w:val="001C22A4"/>
    <w:rsid w:val="001C6061"/>
    <w:rsid w:val="001D0AC3"/>
    <w:rsid w:val="001D131A"/>
    <w:rsid w:val="001D1D0B"/>
    <w:rsid w:val="001F49D8"/>
    <w:rsid w:val="00200D78"/>
    <w:rsid w:val="00203894"/>
    <w:rsid w:val="0021722B"/>
    <w:rsid w:val="002312A1"/>
    <w:rsid w:val="002330E4"/>
    <w:rsid w:val="00233DBA"/>
    <w:rsid w:val="00237F59"/>
    <w:rsid w:val="0025727E"/>
    <w:rsid w:val="00277C04"/>
    <w:rsid w:val="002B4C28"/>
    <w:rsid w:val="002B73A4"/>
    <w:rsid w:val="002D0843"/>
    <w:rsid w:val="002D4086"/>
    <w:rsid w:val="002E3F43"/>
    <w:rsid w:val="002F33F4"/>
    <w:rsid w:val="002F612B"/>
    <w:rsid w:val="002F7860"/>
    <w:rsid w:val="003007E6"/>
    <w:rsid w:val="00301763"/>
    <w:rsid w:val="00303F32"/>
    <w:rsid w:val="00306C10"/>
    <w:rsid w:val="00310DD1"/>
    <w:rsid w:val="00315C03"/>
    <w:rsid w:val="003224F8"/>
    <w:rsid w:val="003315F4"/>
    <w:rsid w:val="00332A12"/>
    <w:rsid w:val="00332DB5"/>
    <w:rsid w:val="00343733"/>
    <w:rsid w:val="00356BE0"/>
    <w:rsid w:val="00360994"/>
    <w:rsid w:val="00364FB1"/>
    <w:rsid w:val="003655D7"/>
    <w:rsid w:val="0037081E"/>
    <w:rsid w:val="00375C12"/>
    <w:rsid w:val="003907CE"/>
    <w:rsid w:val="00391CE1"/>
    <w:rsid w:val="00395D3F"/>
    <w:rsid w:val="003A21F9"/>
    <w:rsid w:val="003A6D2D"/>
    <w:rsid w:val="003A6F61"/>
    <w:rsid w:val="003D1F4F"/>
    <w:rsid w:val="003D6669"/>
    <w:rsid w:val="003E4D00"/>
    <w:rsid w:val="003F365D"/>
    <w:rsid w:val="00402557"/>
    <w:rsid w:val="0040415A"/>
    <w:rsid w:val="004043FA"/>
    <w:rsid w:val="00404876"/>
    <w:rsid w:val="00412293"/>
    <w:rsid w:val="004158B6"/>
    <w:rsid w:val="00427C16"/>
    <w:rsid w:val="004421BD"/>
    <w:rsid w:val="00443649"/>
    <w:rsid w:val="00454181"/>
    <w:rsid w:val="004707EF"/>
    <w:rsid w:val="00470E14"/>
    <w:rsid w:val="0047677D"/>
    <w:rsid w:val="004830F2"/>
    <w:rsid w:val="004A0601"/>
    <w:rsid w:val="004A6148"/>
    <w:rsid w:val="004C5A51"/>
    <w:rsid w:val="004C75B1"/>
    <w:rsid w:val="004D05EB"/>
    <w:rsid w:val="004D17FC"/>
    <w:rsid w:val="004D7100"/>
    <w:rsid w:val="004F3FFD"/>
    <w:rsid w:val="00504053"/>
    <w:rsid w:val="00504F13"/>
    <w:rsid w:val="00515951"/>
    <w:rsid w:val="005306E0"/>
    <w:rsid w:val="005317C2"/>
    <w:rsid w:val="00536823"/>
    <w:rsid w:val="00546C0D"/>
    <w:rsid w:val="00546EAF"/>
    <w:rsid w:val="005502AE"/>
    <w:rsid w:val="0055564E"/>
    <w:rsid w:val="0056416D"/>
    <w:rsid w:val="005653BA"/>
    <w:rsid w:val="005B1640"/>
    <w:rsid w:val="005B1A94"/>
    <w:rsid w:val="005B369D"/>
    <w:rsid w:val="005B3D02"/>
    <w:rsid w:val="005C1DFD"/>
    <w:rsid w:val="005D13B6"/>
    <w:rsid w:val="005D19C7"/>
    <w:rsid w:val="005D4A19"/>
    <w:rsid w:val="005D5AE3"/>
    <w:rsid w:val="005D5C9C"/>
    <w:rsid w:val="005F07BF"/>
    <w:rsid w:val="005F2E7C"/>
    <w:rsid w:val="005F7333"/>
    <w:rsid w:val="00603496"/>
    <w:rsid w:val="006213C1"/>
    <w:rsid w:val="00622473"/>
    <w:rsid w:val="006305B3"/>
    <w:rsid w:val="0066019E"/>
    <w:rsid w:val="006606D3"/>
    <w:rsid w:val="00662048"/>
    <w:rsid w:val="00665D27"/>
    <w:rsid w:val="00673B3C"/>
    <w:rsid w:val="006764E3"/>
    <w:rsid w:val="00680746"/>
    <w:rsid w:val="00687C56"/>
    <w:rsid w:val="006A00A7"/>
    <w:rsid w:val="006A6FC6"/>
    <w:rsid w:val="006B35B8"/>
    <w:rsid w:val="006B3F5E"/>
    <w:rsid w:val="006B612D"/>
    <w:rsid w:val="006B6E7E"/>
    <w:rsid w:val="006F0357"/>
    <w:rsid w:val="006F181A"/>
    <w:rsid w:val="006F2363"/>
    <w:rsid w:val="006F2D6F"/>
    <w:rsid w:val="007011AA"/>
    <w:rsid w:val="007140A1"/>
    <w:rsid w:val="00714549"/>
    <w:rsid w:val="00724661"/>
    <w:rsid w:val="00744909"/>
    <w:rsid w:val="00753983"/>
    <w:rsid w:val="00756AD5"/>
    <w:rsid w:val="00764C22"/>
    <w:rsid w:val="00777626"/>
    <w:rsid w:val="00781FFA"/>
    <w:rsid w:val="0078739B"/>
    <w:rsid w:val="007935A5"/>
    <w:rsid w:val="0079704C"/>
    <w:rsid w:val="007B0612"/>
    <w:rsid w:val="007B6736"/>
    <w:rsid w:val="007C4DE7"/>
    <w:rsid w:val="007C6992"/>
    <w:rsid w:val="007C75D9"/>
    <w:rsid w:val="007D5BA7"/>
    <w:rsid w:val="008074B3"/>
    <w:rsid w:val="00814530"/>
    <w:rsid w:val="0082595B"/>
    <w:rsid w:val="00833658"/>
    <w:rsid w:val="008361C4"/>
    <w:rsid w:val="0083684B"/>
    <w:rsid w:val="00844071"/>
    <w:rsid w:val="00847377"/>
    <w:rsid w:val="0085466E"/>
    <w:rsid w:val="0085624B"/>
    <w:rsid w:val="00856DA8"/>
    <w:rsid w:val="00860123"/>
    <w:rsid w:val="0086035E"/>
    <w:rsid w:val="008636E1"/>
    <w:rsid w:val="00875E86"/>
    <w:rsid w:val="00876A7D"/>
    <w:rsid w:val="008958CB"/>
    <w:rsid w:val="00896E60"/>
    <w:rsid w:val="00897A20"/>
    <w:rsid w:val="008A1E46"/>
    <w:rsid w:val="008A1E5F"/>
    <w:rsid w:val="008B2419"/>
    <w:rsid w:val="008C388A"/>
    <w:rsid w:val="008D17BD"/>
    <w:rsid w:val="008D719F"/>
    <w:rsid w:val="008F4DC6"/>
    <w:rsid w:val="008F60E3"/>
    <w:rsid w:val="00920686"/>
    <w:rsid w:val="00936EC7"/>
    <w:rsid w:val="00940793"/>
    <w:rsid w:val="009434C3"/>
    <w:rsid w:val="00963878"/>
    <w:rsid w:val="00970799"/>
    <w:rsid w:val="009749C2"/>
    <w:rsid w:val="0099270D"/>
    <w:rsid w:val="00993496"/>
    <w:rsid w:val="00994930"/>
    <w:rsid w:val="009952CF"/>
    <w:rsid w:val="009A43AD"/>
    <w:rsid w:val="009A74F1"/>
    <w:rsid w:val="009B0D09"/>
    <w:rsid w:val="009B59BF"/>
    <w:rsid w:val="009D3510"/>
    <w:rsid w:val="009D539D"/>
    <w:rsid w:val="009D63C1"/>
    <w:rsid w:val="009E1AC3"/>
    <w:rsid w:val="009F0AA0"/>
    <w:rsid w:val="009F2B34"/>
    <w:rsid w:val="009F4A5A"/>
    <w:rsid w:val="009F62DB"/>
    <w:rsid w:val="00A000DD"/>
    <w:rsid w:val="00A00F60"/>
    <w:rsid w:val="00A11120"/>
    <w:rsid w:val="00A20083"/>
    <w:rsid w:val="00A20861"/>
    <w:rsid w:val="00A23D33"/>
    <w:rsid w:val="00A408C7"/>
    <w:rsid w:val="00A40CEB"/>
    <w:rsid w:val="00A4395A"/>
    <w:rsid w:val="00A51A0C"/>
    <w:rsid w:val="00A52F29"/>
    <w:rsid w:val="00A71099"/>
    <w:rsid w:val="00A86650"/>
    <w:rsid w:val="00A93509"/>
    <w:rsid w:val="00A93E5D"/>
    <w:rsid w:val="00AB5376"/>
    <w:rsid w:val="00AC0D29"/>
    <w:rsid w:val="00AC3D95"/>
    <w:rsid w:val="00AF1E9A"/>
    <w:rsid w:val="00B044A6"/>
    <w:rsid w:val="00B10A74"/>
    <w:rsid w:val="00B16376"/>
    <w:rsid w:val="00B25FBB"/>
    <w:rsid w:val="00B6049A"/>
    <w:rsid w:val="00B7154E"/>
    <w:rsid w:val="00B72982"/>
    <w:rsid w:val="00B80C98"/>
    <w:rsid w:val="00B82DE4"/>
    <w:rsid w:val="00B85795"/>
    <w:rsid w:val="00B94279"/>
    <w:rsid w:val="00BA7CA3"/>
    <w:rsid w:val="00BB0C7A"/>
    <w:rsid w:val="00BB122F"/>
    <w:rsid w:val="00BB3087"/>
    <w:rsid w:val="00BC4967"/>
    <w:rsid w:val="00BD3873"/>
    <w:rsid w:val="00BE36EB"/>
    <w:rsid w:val="00BE6D3A"/>
    <w:rsid w:val="00BF36D3"/>
    <w:rsid w:val="00C16B80"/>
    <w:rsid w:val="00C22C3C"/>
    <w:rsid w:val="00C23872"/>
    <w:rsid w:val="00C301A2"/>
    <w:rsid w:val="00C33AEF"/>
    <w:rsid w:val="00C415B1"/>
    <w:rsid w:val="00C60C59"/>
    <w:rsid w:val="00C61CB5"/>
    <w:rsid w:val="00C64A61"/>
    <w:rsid w:val="00C81372"/>
    <w:rsid w:val="00C84D28"/>
    <w:rsid w:val="00C97F3C"/>
    <w:rsid w:val="00CB48F9"/>
    <w:rsid w:val="00CB7625"/>
    <w:rsid w:val="00CC0626"/>
    <w:rsid w:val="00CC216F"/>
    <w:rsid w:val="00CC6203"/>
    <w:rsid w:val="00CD6D43"/>
    <w:rsid w:val="00CE2DAE"/>
    <w:rsid w:val="00CF055E"/>
    <w:rsid w:val="00CF2D05"/>
    <w:rsid w:val="00D027A5"/>
    <w:rsid w:val="00D067C2"/>
    <w:rsid w:val="00D25260"/>
    <w:rsid w:val="00D30B8E"/>
    <w:rsid w:val="00D37B73"/>
    <w:rsid w:val="00D46466"/>
    <w:rsid w:val="00D47D04"/>
    <w:rsid w:val="00D52F02"/>
    <w:rsid w:val="00D75C29"/>
    <w:rsid w:val="00D82005"/>
    <w:rsid w:val="00DA1C6F"/>
    <w:rsid w:val="00DB07C5"/>
    <w:rsid w:val="00DB57C0"/>
    <w:rsid w:val="00DC01DC"/>
    <w:rsid w:val="00DD4250"/>
    <w:rsid w:val="00DD4610"/>
    <w:rsid w:val="00DD5EE1"/>
    <w:rsid w:val="00DE037E"/>
    <w:rsid w:val="00DE3C33"/>
    <w:rsid w:val="00DF24C6"/>
    <w:rsid w:val="00E03ADB"/>
    <w:rsid w:val="00E17A82"/>
    <w:rsid w:val="00E201FE"/>
    <w:rsid w:val="00E24105"/>
    <w:rsid w:val="00E33B3F"/>
    <w:rsid w:val="00E865F8"/>
    <w:rsid w:val="00E92D5D"/>
    <w:rsid w:val="00EB7701"/>
    <w:rsid w:val="00ED6C1A"/>
    <w:rsid w:val="00EE60A4"/>
    <w:rsid w:val="00EF27FC"/>
    <w:rsid w:val="00EF4FC5"/>
    <w:rsid w:val="00EF7C5C"/>
    <w:rsid w:val="00F0005B"/>
    <w:rsid w:val="00F00787"/>
    <w:rsid w:val="00F14EC8"/>
    <w:rsid w:val="00F20016"/>
    <w:rsid w:val="00F40300"/>
    <w:rsid w:val="00F4492F"/>
    <w:rsid w:val="00F5162A"/>
    <w:rsid w:val="00F63972"/>
    <w:rsid w:val="00F678AC"/>
    <w:rsid w:val="00F77BCF"/>
    <w:rsid w:val="00F77E0F"/>
    <w:rsid w:val="00F825B6"/>
    <w:rsid w:val="00F97BE6"/>
    <w:rsid w:val="00FA3904"/>
    <w:rsid w:val="00FB3760"/>
    <w:rsid w:val="00FC06C1"/>
    <w:rsid w:val="00FC7D92"/>
    <w:rsid w:val="00FD6968"/>
    <w:rsid w:val="00FE2065"/>
    <w:rsid w:val="00FE2E82"/>
    <w:rsid w:val="00FF2DD2"/>
  </w:rsids>
  <m:mathPr>
    <m:mathFont m:val="Cambria Math"/>
    <m:brkBin m:val="before"/>
    <m:brkBinSub m:val="--"/>
    <m:smallFrac m:val="0"/>
    <m:dispDef/>
    <m:lMargin m:val="0"/>
    <m:rMargin m:val="0"/>
    <m:defJc m:val="centerGroup"/>
    <m:wrapIndent m:val="1440"/>
    <m:intLim m:val="subSup"/>
    <m:naryLim m:val="undOvr"/>
  </m:mathPr>
  <w:themeFontLang w:val="en-AU"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17165,#96004a,#b1005d"/>
    </o:shapedefaults>
    <o:shapelayout v:ext="edit">
      <o:idmap v:ext="edit" data="1"/>
    </o:shapelayout>
  </w:shapeDefaults>
  <w:decimalSymbol w:val="."/>
  <w:listSeparator w:val=","/>
  <w14:docId w14:val="522DF65D"/>
  <w15:docId w15:val="{A5DB2DDD-5153-49D0-9924-C5805D86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47677D"/>
    <w:pPr>
      <w:numPr>
        <w:numId w:val="23"/>
      </w:numPr>
      <w:spacing w:after="120" w:line="300" w:lineRule="atLeast"/>
      <w:ind w:left="850" w:hanging="340"/>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aliases w:val="Footnote,Footnotes refss,4_G,Footnote number,Stinking Styles,Nota a pie,NO"/>
    <w:qFormat/>
    <w:rsid w:val="00DB07C5"/>
    <w:rPr>
      <w:rFonts w:ascii="Arial" w:hAnsi="Arial"/>
      <w:sz w:val="18"/>
      <w:vertAlign w:val="superscript"/>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C"/>
    <w:basedOn w:val="Normal"/>
    <w:link w:val="FootnoteTextChar"/>
    <w:qFormat/>
    <w:rsid w:val="00A20861"/>
    <w:pPr>
      <w:ind w:left="284" w:hanging="284"/>
      <w:contextualSpacing/>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uiPriority w:val="18"/>
    <w:qFormat/>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customStyle="1" w:styleId="FootnoteTextChar">
    <w:name w:val="Footnote Text Char"/>
    <w:aliases w:val="Footnote Text Char Char Char Char Char Char Char,Footnote Text Char Char Char Char Char Char Char Char Char Char Char Char Char Char Char Char Char Char,C Char"/>
    <w:basedOn w:val="DefaultParagraphFont"/>
    <w:link w:val="FootnoteText"/>
    <w:rsid w:val="00A20861"/>
    <w:rPr>
      <w:rFonts w:ascii="Arial" w:eastAsia="Times New Roman" w:hAnsi="Arial"/>
      <w:sz w:val="18"/>
    </w:rPr>
  </w:style>
  <w:style w:type="character" w:styleId="CommentReference">
    <w:name w:val="annotation reference"/>
    <w:basedOn w:val="DefaultParagraphFont"/>
    <w:semiHidden/>
    <w:unhideWhenUsed/>
    <w:rsid w:val="00A40CEB"/>
    <w:rPr>
      <w:sz w:val="16"/>
      <w:szCs w:val="16"/>
    </w:rPr>
  </w:style>
  <w:style w:type="paragraph" w:styleId="CommentText">
    <w:name w:val="annotation text"/>
    <w:basedOn w:val="Normal"/>
    <w:link w:val="CommentTextChar"/>
    <w:semiHidden/>
    <w:unhideWhenUsed/>
    <w:rsid w:val="00A40CEB"/>
    <w:pPr>
      <w:spacing w:line="240" w:lineRule="auto"/>
    </w:pPr>
    <w:rPr>
      <w:sz w:val="20"/>
      <w:szCs w:val="20"/>
    </w:rPr>
  </w:style>
  <w:style w:type="character" w:customStyle="1" w:styleId="CommentTextChar">
    <w:name w:val="Comment Text Char"/>
    <w:basedOn w:val="DefaultParagraphFont"/>
    <w:link w:val="CommentText"/>
    <w:semiHidden/>
    <w:rsid w:val="00A40CEB"/>
    <w:rPr>
      <w:rFonts w:ascii="Arial" w:eastAsia="Times New Roman" w:hAnsi="Arial"/>
    </w:rPr>
  </w:style>
  <w:style w:type="paragraph" w:styleId="CommentSubject">
    <w:name w:val="annotation subject"/>
    <w:basedOn w:val="CommentText"/>
    <w:next w:val="CommentText"/>
    <w:link w:val="CommentSubjectChar"/>
    <w:semiHidden/>
    <w:unhideWhenUsed/>
    <w:rsid w:val="00A40CEB"/>
    <w:rPr>
      <w:b/>
      <w:bCs/>
    </w:rPr>
  </w:style>
  <w:style w:type="character" w:customStyle="1" w:styleId="CommentSubjectChar">
    <w:name w:val="Comment Subject Char"/>
    <w:basedOn w:val="CommentTextChar"/>
    <w:link w:val="CommentSubject"/>
    <w:semiHidden/>
    <w:rsid w:val="00A40CEB"/>
    <w:rPr>
      <w:rFonts w:ascii="Arial" w:eastAsia="Times New Roman" w:hAnsi="Arial"/>
      <w:b/>
      <w:bCs/>
    </w:rPr>
  </w:style>
  <w:style w:type="paragraph" w:styleId="BalloonText">
    <w:name w:val="Balloon Text"/>
    <w:basedOn w:val="Normal"/>
    <w:link w:val="BalloonTextChar"/>
    <w:semiHidden/>
    <w:unhideWhenUsed/>
    <w:rsid w:val="00A40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40CEB"/>
    <w:rPr>
      <w:rFonts w:ascii="Segoe UI" w:eastAsia="Times New Roman" w:hAnsi="Segoe UI" w:cs="Segoe UI"/>
      <w:sz w:val="18"/>
      <w:szCs w:val="18"/>
    </w:rPr>
  </w:style>
  <w:style w:type="character" w:styleId="Emphasis">
    <w:name w:val="Emphasis"/>
    <w:basedOn w:val="DefaultParagraphFont"/>
    <w:qFormat/>
    <w:locked/>
    <w:rsid w:val="00FC06C1"/>
    <w:rPr>
      <w:i/>
      <w:iCs/>
    </w:rPr>
  </w:style>
  <w:style w:type="paragraph" w:styleId="ListParagraph">
    <w:name w:val="List Paragraph"/>
    <w:basedOn w:val="Normal"/>
    <w:link w:val="ListParagraphChar"/>
    <w:uiPriority w:val="34"/>
    <w:unhideWhenUsed/>
    <w:qFormat/>
    <w:rsid w:val="00412293"/>
    <w:pPr>
      <w:ind w:left="720"/>
      <w:contextualSpacing/>
    </w:pPr>
  </w:style>
  <w:style w:type="character" w:customStyle="1" w:styleId="ListParagraphChar">
    <w:name w:val="List Paragraph Char"/>
    <w:link w:val="ListParagraph"/>
    <w:uiPriority w:val="34"/>
    <w:locked/>
    <w:rsid w:val="00B25FBB"/>
    <w:rPr>
      <w:rFonts w:ascii="Arial" w:eastAsia="Times New Roman" w:hAnsi="Arial"/>
      <w:sz w:val="22"/>
      <w:szCs w:val="24"/>
    </w:rPr>
  </w:style>
  <w:style w:type="paragraph" w:customStyle="1" w:styleId="Bullet1">
    <w:name w:val="Bullet 1"/>
    <w:basedOn w:val="Normal"/>
    <w:qFormat/>
    <w:rsid w:val="00A408C7"/>
    <w:pPr>
      <w:numPr>
        <w:numId w:val="43"/>
      </w:numPr>
      <w:ind w:left="170" w:hanging="170"/>
    </w:pPr>
  </w:style>
  <w:style w:type="table" w:styleId="PlainTable2">
    <w:name w:val="Plain Table 2"/>
    <w:basedOn w:val="TableNormal"/>
    <w:uiPriority w:val="42"/>
    <w:rsid w:val="00A408C7"/>
    <w:rPr>
      <w:rFonts w:ascii="Times New Roman" w:eastAsia="Times New Roman" w:hAnsi="Times New Roman"/>
      <w:lang w:eastAsia="en-AU"/>
    </w:rPr>
    <w:tblPr>
      <w:tblStyleRowBandSize w:val="1"/>
      <w:tblStyleColBandSize w:val="1"/>
      <w:tblInd w:w="0" w:type="dxa"/>
      <w:tblBorders>
        <w:bottom w:val="single" w:sz="4" w:space="0" w:color="000000" w:themeColor="text1"/>
        <w:insideH w:val="single" w:sz="4" w:space="0" w:color="000000" w:themeColor="text1"/>
      </w:tblBorders>
      <w:tblCellMar>
        <w:top w:w="0" w:type="dxa"/>
        <w:left w:w="108" w:type="dxa"/>
        <w:bottom w:w="0" w:type="dxa"/>
        <w:right w:w="108" w:type="dxa"/>
      </w:tblCellMar>
    </w:tblPr>
    <w:tblStylePr w:type="firstRow">
      <w:rPr>
        <w:b w:val="0"/>
        <w:bCs/>
        <w:color w:val="2B142D" w:themeColor="text2"/>
      </w:rPr>
      <w:tblPr/>
      <w:trPr>
        <w:cantSplit/>
        <w:tblHeader/>
      </w:trPr>
      <w:tcPr>
        <w:tcBorders>
          <w:top w:val="single" w:sz="4" w:space="0" w:color="2B142D" w:themeColor="text2"/>
          <w:bottom w:val="single" w:sz="4" w:space="0" w:color="2B142D" w:themeColor="text2"/>
        </w:tcBorders>
        <w:shd w:val="clear" w:color="auto" w:fill="C3AFCC"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528086">
      <w:bodyDiv w:val="1"/>
      <w:marLeft w:val="0"/>
      <w:marRight w:val="0"/>
      <w:marTop w:val="0"/>
      <w:marBottom w:val="0"/>
      <w:divBdr>
        <w:top w:val="none" w:sz="0" w:space="0" w:color="auto"/>
        <w:left w:val="none" w:sz="0" w:space="0" w:color="auto"/>
        <w:bottom w:val="none" w:sz="0" w:space="0" w:color="auto"/>
        <w:right w:val="none" w:sz="0" w:space="0" w:color="auto"/>
      </w:divBdr>
    </w:div>
    <w:div w:id="437870979">
      <w:bodyDiv w:val="1"/>
      <w:marLeft w:val="0"/>
      <w:marRight w:val="0"/>
      <w:marTop w:val="0"/>
      <w:marBottom w:val="0"/>
      <w:divBdr>
        <w:top w:val="none" w:sz="0" w:space="0" w:color="auto"/>
        <w:left w:val="none" w:sz="0" w:space="0" w:color="auto"/>
        <w:bottom w:val="none" w:sz="0" w:space="0" w:color="auto"/>
        <w:right w:val="none" w:sz="0" w:space="0" w:color="auto"/>
      </w:divBdr>
    </w:div>
    <w:div w:id="1382292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ustomXml" Target="ink/ink1.xml"/><Relationship Id="rId9" Type="http://schemas.openxmlformats.org/officeDocument/2006/relationships/image" Target="media/image1.png"/><Relationship Id="rId10" Type="http://schemas.openxmlformats.org/officeDocument/2006/relationships/customXml" Target="ink/ink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2-20T10:30:21.268"/>
    </inkml:context>
    <inkml:brush xml:id="br0">
      <inkml:brushProperty name="width" value="0.02857" units="cm"/>
      <inkml:brushProperty name="height" value="0.02857" units="cm"/>
    </inkml:brush>
  </inkml:definitions>
  <inkml:trace contextRef="#ctx0" brushRef="#br0">15192 15804 11584,'14'14'-6400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7-17T04:05:09.158"/>
    </inkml:context>
    <inkml:brush xml:id="br0">
      <inkml:brushProperty name="width" value="0.02857" units="cm"/>
      <inkml:brushProperty name="height" value="0.02857" units="cm"/>
    </inkml:brush>
  </inkml:definitions>
  <inkml:trace contextRef="#ctx0" brushRef="#br0">15192 15804 11584,'14'14'-6400</inkml:trace>
</inkml:ink>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1D80B-94FE-FD48-B785-D65F9886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3060</Words>
  <Characters>17444</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Victoria Legal Aid 2016–17 mid-year report</vt:lpstr>
    </vt:vector>
  </TitlesOfParts>
  <Company>Victoria Legal Aid</Company>
  <LinksUpToDate>false</LinksUpToDate>
  <CharactersWithSpaces>20464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2016–17 mid-year report</dc:title>
  <dc:subject/>
  <dc:creator>Victoria Legal Aid</dc:creator>
  <cp:keywords/>
  <cp:lastModifiedBy/>
  <cp:revision>1</cp:revision>
  <dcterms:created xsi:type="dcterms:W3CDTF">2021-04-29T23:50:00Z</dcterms:created>
  <dcterms:modified xsi:type="dcterms:W3CDTF">2021-04-29T23:50:00Z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