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9b02a03535b47b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CC486" w14:textId="410B3ABD" w:rsidR="00E50B26" w:rsidRDefault="006352E4" w:rsidP="00E353B0">
      <w:pPr>
        <w:pStyle w:val="Heading1"/>
        <w:spacing w:before="0"/>
      </w:pPr>
      <w:r>
        <w:t>Guidance note</w:t>
      </w:r>
      <w:r w:rsidR="00E353B0">
        <w:t xml:space="preserve">: </w:t>
      </w:r>
      <w:r w:rsidR="00401A59">
        <w:t xml:space="preserve">High Court </w:t>
      </w:r>
      <w:r w:rsidR="00401A59" w:rsidRPr="00401A59">
        <w:t>appeal merits advice</w:t>
      </w:r>
    </w:p>
    <w:p w14:paraId="2DB92F3D" w14:textId="70377608" w:rsidR="00E353B0" w:rsidRDefault="006352E4" w:rsidP="008C5E5A">
      <w:pPr>
        <w:rPr>
          <w:rStyle w:val="normaltextrun"/>
          <w:rFonts w:cs="Arial"/>
        </w:rPr>
      </w:pPr>
      <w:r w:rsidRPr="006352E4">
        <w:rPr>
          <w:rStyle w:val="normaltextrun"/>
          <w:rFonts w:cs="Arial"/>
        </w:rPr>
        <w:t xml:space="preserve">In making decisions </w:t>
      </w:r>
      <w:r w:rsidR="00532D2D">
        <w:rPr>
          <w:rStyle w:val="normaltextrun"/>
          <w:rFonts w:cs="Arial"/>
        </w:rPr>
        <w:t xml:space="preserve">in relation to the funding of </w:t>
      </w:r>
      <w:r w:rsidR="00401A59">
        <w:rPr>
          <w:rStyle w:val="normaltextrun"/>
          <w:rFonts w:cs="Arial"/>
        </w:rPr>
        <w:t xml:space="preserve">criminal appeals to the High Court, </w:t>
      </w:r>
      <w:r w:rsidR="00E353B0" w:rsidRPr="00E353B0">
        <w:t xml:space="preserve">Victoria Legal Aid (VLA) </w:t>
      </w:r>
      <w:r w:rsidR="00532D2D">
        <w:rPr>
          <w:rStyle w:val="normaltextrun"/>
          <w:rFonts w:cs="Arial"/>
        </w:rPr>
        <w:t>relies upon the advice of counsel briefed to determine whether</w:t>
      </w:r>
      <w:r w:rsidRPr="006352E4">
        <w:rPr>
          <w:rStyle w:val="normaltextrun"/>
          <w:rFonts w:cs="Arial"/>
        </w:rPr>
        <w:t xml:space="preserve"> there are reasonable grounds </w:t>
      </w:r>
      <w:r w:rsidR="004D48E0">
        <w:rPr>
          <w:rStyle w:val="normaltextrun"/>
          <w:rFonts w:cs="Arial"/>
        </w:rPr>
        <w:t xml:space="preserve">for </w:t>
      </w:r>
      <w:r w:rsidR="00401A59">
        <w:rPr>
          <w:rStyle w:val="normaltextrun"/>
          <w:rFonts w:cs="Arial"/>
        </w:rPr>
        <w:t>special leave or appeal</w:t>
      </w:r>
      <w:r w:rsidR="00532D2D">
        <w:rPr>
          <w:rStyle w:val="normaltextrun"/>
          <w:rFonts w:cs="Arial"/>
        </w:rPr>
        <w:t xml:space="preserve">. </w:t>
      </w:r>
    </w:p>
    <w:p w14:paraId="193A4CF1" w14:textId="2387185E" w:rsidR="006352E4" w:rsidRPr="006352E4" w:rsidRDefault="006352E4" w:rsidP="008C5E5A">
      <w:pPr>
        <w:rPr>
          <w:rFonts w:cs="Segoe UI"/>
          <w:szCs w:val="18"/>
        </w:rPr>
      </w:pPr>
      <w:r w:rsidRPr="006352E4">
        <w:rPr>
          <w:rStyle w:val="normaltextrun"/>
          <w:rFonts w:cs="Arial"/>
        </w:rPr>
        <w:t>The purpose of this note is to provide guidance to</w:t>
      </w:r>
      <w:r w:rsidR="00BD40CD">
        <w:rPr>
          <w:rStyle w:val="normaltextrun"/>
          <w:rFonts w:cs="Arial"/>
        </w:rPr>
        <w:t xml:space="preserve"> </w:t>
      </w:r>
      <w:r w:rsidRPr="006352E4">
        <w:rPr>
          <w:rStyle w:val="normaltextrun"/>
          <w:rFonts w:cs="Arial"/>
        </w:rPr>
        <w:t xml:space="preserve">counsel when drafting advices in relation to the merits of </w:t>
      </w:r>
      <w:r w:rsidR="00401A59">
        <w:rPr>
          <w:rStyle w:val="normaltextrun"/>
          <w:rFonts w:cs="Arial"/>
        </w:rPr>
        <w:t>appeal to the High Court</w:t>
      </w:r>
      <w:r w:rsidR="00294201">
        <w:rPr>
          <w:rStyle w:val="normaltextrun"/>
          <w:rFonts w:cs="Arial"/>
        </w:rPr>
        <w:t xml:space="preserve">. </w:t>
      </w:r>
    </w:p>
    <w:p w14:paraId="1AE8AFED" w14:textId="4E4AEDD0" w:rsidR="006352E4" w:rsidRPr="006352E4" w:rsidRDefault="006352E4" w:rsidP="006352E4">
      <w:pPr>
        <w:pStyle w:val="Heading2"/>
      </w:pPr>
      <w:r>
        <w:t xml:space="preserve">Guideline </w:t>
      </w:r>
      <w:r w:rsidR="00692FD7">
        <w:t xml:space="preserve">7.3 </w:t>
      </w:r>
      <w:r>
        <w:t xml:space="preserve">– </w:t>
      </w:r>
      <w:r w:rsidR="00E97698">
        <w:t>a</w:t>
      </w:r>
      <w:r w:rsidR="00692FD7">
        <w:t>ppeals to the High Court</w:t>
      </w:r>
    </w:p>
    <w:p w14:paraId="2B25C89F" w14:textId="381407BB" w:rsidR="006352E4" w:rsidRDefault="003F7B9E" w:rsidP="003F7B9E">
      <w:pPr>
        <w:rPr>
          <w:rStyle w:val="normaltextrun"/>
        </w:rPr>
      </w:pPr>
      <w:hyperlink r:id="rId7" w:history="1">
        <w:r w:rsidR="006352E4" w:rsidRPr="00DD769B">
          <w:rPr>
            <w:rStyle w:val="Hyperlink"/>
          </w:rPr>
          <w:t xml:space="preserve">Guideline </w:t>
        </w:r>
        <w:r w:rsidR="00692FD7" w:rsidRPr="00DD769B">
          <w:rPr>
            <w:rStyle w:val="Hyperlink"/>
          </w:rPr>
          <w:t>7.3</w:t>
        </w:r>
      </w:hyperlink>
      <w:r w:rsidR="00E97698">
        <w:rPr>
          <w:rStyle w:val="normaltextrun"/>
        </w:rPr>
        <w:t xml:space="preserve"> </w:t>
      </w:r>
      <w:r w:rsidR="006352E4" w:rsidRPr="00613A66">
        <w:rPr>
          <w:rStyle w:val="normaltextrun"/>
        </w:rPr>
        <w:t>of VLA’s</w:t>
      </w:r>
      <w:r w:rsidR="00B51912">
        <w:rPr>
          <w:rStyle w:val="normaltextrun"/>
        </w:rPr>
        <w:t xml:space="preserve"> </w:t>
      </w:r>
      <w:r w:rsidR="006352E4" w:rsidRPr="00FE78D4">
        <w:rPr>
          <w:rStyle w:val="normaltextrun"/>
          <w:i/>
          <w:iCs/>
        </w:rPr>
        <w:t>Handbook</w:t>
      </w:r>
      <w:r w:rsidR="00B51912" w:rsidRPr="00FE78D4">
        <w:rPr>
          <w:rStyle w:val="normaltextrun"/>
          <w:i/>
          <w:iCs/>
        </w:rPr>
        <w:t xml:space="preserve"> </w:t>
      </w:r>
      <w:r w:rsidR="00DD769B" w:rsidRPr="00FE78D4">
        <w:rPr>
          <w:rStyle w:val="normaltextrun"/>
          <w:i/>
          <w:iCs/>
        </w:rPr>
        <w:t>for Lawyers</w:t>
      </w:r>
      <w:r w:rsidR="00DD769B">
        <w:rPr>
          <w:rStyle w:val="normaltextrun"/>
        </w:rPr>
        <w:t xml:space="preserve"> </w:t>
      </w:r>
      <w:r w:rsidR="006352E4" w:rsidRPr="00613A66">
        <w:rPr>
          <w:rStyle w:val="normaltextrun"/>
        </w:rPr>
        <w:t>provides that</w:t>
      </w:r>
      <w:r w:rsidR="008C5E5A" w:rsidRPr="00613A66">
        <w:rPr>
          <w:rStyle w:val="normaltextrun"/>
        </w:rPr>
        <w:t>:</w:t>
      </w:r>
    </w:p>
    <w:p w14:paraId="12D15607" w14:textId="37891CAA" w:rsidR="00B51912" w:rsidRPr="00B51912" w:rsidRDefault="00B51912" w:rsidP="003F7B9E">
      <w:r w:rsidRPr="00B51912">
        <w:t>Victoria Legal Aid may make a grant of legal assistance for an application for special leave or criminal appeal to the High Court where:</w:t>
      </w:r>
    </w:p>
    <w:p w14:paraId="7801E4FE" w14:textId="77777777" w:rsidR="00B51912" w:rsidRPr="00E97698" w:rsidRDefault="00B51912" w:rsidP="00E97698">
      <w:pPr>
        <w:pStyle w:val="ListBullet"/>
      </w:pPr>
      <w:r w:rsidRPr="00E97698">
        <w:t>the applicant was sentenced to a term of immediate imprisonment or detention (unless the applicant is a child)</w:t>
      </w:r>
    </w:p>
    <w:p w14:paraId="7BBAD629" w14:textId="77777777" w:rsidR="00B51912" w:rsidRPr="00E97698" w:rsidRDefault="00B51912" w:rsidP="00E97698">
      <w:pPr>
        <w:pStyle w:val="ListBullet"/>
      </w:pPr>
      <w:r w:rsidRPr="00E97698">
        <w:t>there are reasonable grounds for the appeal</w:t>
      </w:r>
    </w:p>
    <w:p w14:paraId="08BD01A0" w14:textId="1DCCCCA0" w:rsidR="00B51912" w:rsidRDefault="00B51912" w:rsidP="00E97698">
      <w:pPr>
        <w:pStyle w:val="ListBullet"/>
      </w:pPr>
      <w:r w:rsidRPr="00E97698">
        <w:t xml:space="preserve">there is reasonable prospect that the court would reduce the total effective sentence, youth detention order, non-parole period or period to recognisance release order (unless the applicant is a child). </w:t>
      </w:r>
    </w:p>
    <w:p w14:paraId="54D2D06B" w14:textId="77777777" w:rsidR="00E97698" w:rsidRPr="00E97698" w:rsidRDefault="00E97698" w:rsidP="00E97698">
      <w:pPr>
        <w:pStyle w:val="NoSpacing"/>
      </w:pPr>
    </w:p>
    <w:p w14:paraId="3DD7973A" w14:textId="5024695D" w:rsidR="00B51912" w:rsidRDefault="00B51912" w:rsidP="003F7B9E">
      <w:pPr>
        <w:rPr>
          <w:rStyle w:val="normaltextrun"/>
        </w:rPr>
      </w:pPr>
      <w:r w:rsidRPr="00B51912">
        <w:t>Where the prosecution has filed the appeal, VLA may make a grant of assistance to respond to an application for special leave or a criminal appeal to High Court.</w:t>
      </w:r>
    </w:p>
    <w:p w14:paraId="2531469D" w14:textId="15E66A55" w:rsidR="008C5E5A" w:rsidRDefault="008C5E5A" w:rsidP="008C5E5A">
      <w:pPr>
        <w:pStyle w:val="Heading2"/>
      </w:pPr>
      <w:r>
        <w:t>Content of the merits advice</w:t>
      </w:r>
    </w:p>
    <w:p w14:paraId="6C42936F" w14:textId="1DAA882A" w:rsidR="00B51912" w:rsidRPr="00B51912" w:rsidRDefault="00B51912" w:rsidP="003F7B9E">
      <w:r w:rsidRPr="00B51912">
        <w:t>The purpose of the merits advice is to assist the VLA decision maker to make a timely decision about whether guideline 7.3 has been met. If initiating the appeal, counsel will need to identify the special leave question(s) and reasonable ground(s) for the appeal (that is, how the Court of Appeal was wrong, or whether the case raises a Constitutional issue, or if a decision of the High Court is required to resolve differences of opinion as to the state of the law)</w:t>
      </w:r>
      <w:r w:rsidR="00FE78D4">
        <w:t>,</w:t>
      </w:r>
      <w:r w:rsidRPr="00B51912">
        <w:t xml:space="preserve"> whilst addressing High Court requirements in s 35A </w:t>
      </w:r>
      <w:r w:rsidRPr="00FE78D4">
        <w:rPr>
          <w:i/>
          <w:iCs/>
        </w:rPr>
        <w:t>Judiciary Act 1903</w:t>
      </w:r>
      <w:r w:rsidRPr="00B51912">
        <w:t xml:space="preserve"> (Cth). Counsel should also discuss, with reasons:</w:t>
      </w:r>
    </w:p>
    <w:p w14:paraId="511F0C73" w14:textId="77777777" w:rsidR="00B51912" w:rsidRPr="00B51912" w:rsidRDefault="00B51912" w:rsidP="00B51912">
      <w:pPr>
        <w:pStyle w:val="ListBullet"/>
        <w:rPr>
          <w:lang w:eastAsia="en-AU"/>
        </w:rPr>
      </w:pPr>
      <w:r w:rsidRPr="00B51912">
        <w:rPr>
          <w:lang w:eastAsia="en-AU"/>
        </w:rPr>
        <w:t>whether the same error afflicts the first instance decision and whether the ground of appeal or special leave question was argued in the courts below</w:t>
      </w:r>
    </w:p>
    <w:p w14:paraId="2F2D6CD3" w14:textId="77777777" w:rsidR="00B51912" w:rsidRPr="00B51912" w:rsidRDefault="00B51912" w:rsidP="00B51912">
      <w:pPr>
        <w:pStyle w:val="ListBullet"/>
        <w:rPr>
          <w:lang w:eastAsia="en-AU"/>
        </w:rPr>
      </w:pPr>
      <w:r w:rsidRPr="00B51912">
        <w:rPr>
          <w:lang w:eastAsia="en-AU"/>
        </w:rPr>
        <w:t xml:space="preserve">how it is in the interests of the administration of justice, either generally or in the </w:t>
      </w:r>
      <w:proofErr w:type="gramStart"/>
      <w:r w:rsidRPr="00B51912">
        <w:rPr>
          <w:lang w:eastAsia="en-AU"/>
        </w:rPr>
        <w:t>particular case</w:t>
      </w:r>
      <w:proofErr w:type="gramEnd"/>
      <w:r w:rsidRPr="00B51912">
        <w:rPr>
          <w:lang w:eastAsia="en-AU"/>
        </w:rPr>
        <w:t>, that the High Court determine the special leave questions</w:t>
      </w:r>
    </w:p>
    <w:p w14:paraId="7CB49458" w14:textId="77777777" w:rsidR="00B51912" w:rsidRPr="00B51912" w:rsidRDefault="00B51912" w:rsidP="00B51912">
      <w:pPr>
        <w:pStyle w:val="ListBullet"/>
        <w:rPr>
          <w:lang w:eastAsia="en-AU"/>
        </w:rPr>
      </w:pPr>
      <w:r w:rsidRPr="00B51912">
        <w:rPr>
          <w:lang w:eastAsia="en-AU"/>
        </w:rPr>
        <w:t>why the case is a suitable vehicle to agitate the special leave question</w:t>
      </w:r>
    </w:p>
    <w:p w14:paraId="36ABEEED" w14:textId="77777777" w:rsidR="00B51912" w:rsidRPr="00B51912" w:rsidRDefault="00B51912" w:rsidP="00B51912">
      <w:pPr>
        <w:pStyle w:val="ListBullet"/>
        <w:rPr>
          <w:lang w:eastAsia="en-AU"/>
        </w:rPr>
      </w:pPr>
      <w:r w:rsidRPr="00B51912">
        <w:rPr>
          <w:lang w:eastAsia="en-AU"/>
        </w:rPr>
        <w:t>how a favourable resolution of the special leave question would affect the outcome of the case</w:t>
      </w:r>
    </w:p>
    <w:p w14:paraId="7CF9D6C8" w14:textId="2DEF3814" w:rsidR="00B51912" w:rsidRDefault="00B51912" w:rsidP="00B51912">
      <w:pPr>
        <w:pStyle w:val="ListBullet"/>
        <w:rPr>
          <w:lang w:eastAsia="en-AU"/>
        </w:rPr>
      </w:pPr>
      <w:r w:rsidRPr="00B51912">
        <w:rPr>
          <w:lang w:eastAsia="en-AU"/>
        </w:rPr>
        <w:t>what orders are sought on successful appeal.</w:t>
      </w:r>
    </w:p>
    <w:p w14:paraId="4D473573" w14:textId="77777777" w:rsidR="00E97698" w:rsidRPr="00B51912" w:rsidRDefault="00E97698" w:rsidP="00E97698">
      <w:pPr>
        <w:pStyle w:val="NoSpacing"/>
        <w:rPr>
          <w:lang w:eastAsia="en-AU"/>
        </w:rPr>
      </w:pPr>
    </w:p>
    <w:p w14:paraId="55CFCFCB" w14:textId="796A2CB5" w:rsidR="00B51912" w:rsidRPr="00B51912" w:rsidRDefault="00B51912" w:rsidP="003F7B9E">
      <w:pPr>
        <w:rPr>
          <w:lang w:eastAsia="en-AU"/>
        </w:rPr>
      </w:pPr>
      <w:r w:rsidRPr="00B51912">
        <w:rPr>
          <w:lang w:eastAsia="en-AU"/>
        </w:rPr>
        <w:t>Counsel should also explain how judicial determination of the case would benefit a wide range of people, not merely the individual client. The question is whether the case raises an issue of legal principle which is likely to have practical implications for the administration of justice in future cases.</w:t>
      </w:r>
    </w:p>
    <w:sectPr w:rsidR="00B51912" w:rsidRPr="00B51912" w:rsidSect="00DC0F8A">
      <w:headerReference w:type="even" r:id="rId8"/>
      <w:headerReference w:type="default" r:id="rId9"/>
      <w:footerReference w:type="even" r:id="rId10"/>
      <w:footerReference w:type="default" r:id="rId11"/>
      <w:headerReference w:type="first" r:id="rId12"/>
      <w:footerReference w:type="first" r:id="rId13"/>
      <w:pgSz w:w="11900" w:h="16820" w:code="9"/>
      <w:pgMar w:top="1134"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246A" w14:textId="77777777" w:rsidR="006352E4" w:rsidRDefault="006352E4">
      <w:pPr>
        <w:spacing w:after="0" w:line="240" w:lineRule="auto"/>
      </w:pPr>
      <w:r>
        <w:separator/>
      </w:r>
    </w:p>
  </w:endnote>
  <w:endnote w:type="continuationSeparator" w:id="0">
    <w:p w14:paraId="6119F558" w14:textId="77777777" w:rsidR="006352E4" w:rsidRDefault="0063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56DFD"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693C15" w14:textId="77777777" w:rsidR="00BB122F" w:rsidRDefault="003F7B9E" w:rsidP="008074B3">
    <w:pPr>
      <w:pStyle w:val="Footer"/>
      <w:ind w:right="360" w:firstLine="360"/>
    </w:pPr>
  </w:p>
  <w:p w14:paraId="3732BBCF" w14:textId="77777777" w:rsidR="00BB122F" w:rsidRDefault="003F7B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972F2"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2938A23E" wp14:editId="7CB4FAEA">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99B3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DB1A08"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" strokecolor="#799b3e"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B952" w14:textId="2C721101" w:rsidR="00BB122F" w:rsidRPr="008636E1" w:rsidRDefault="00C8737B" w:rsidP="008636E1">
    <w:pPr>
      <w:pStyle w:val="Footer"/>
      <w:ind w:right="20"/>
      <w:jc w:val="center"/>
    </w:pPr>
    <w:r>
      <w:rPr>
        <w:noProof/>
        <w:lang w:val="en-US"/>
      </w:rPr>
      <mc:AlternateContent>
        <mc:Choice Requires="wps">
          <w:drawing>
            <wp:anchor distT="0" distB="0" distL="114300" distR="114300" simplePos="0" relativeHeight="251661312" behindDoc="0" locked="1" layoutInCell="1" allowOverlap="1" wp14:anchorId="175F7218" wp14:editId="43A8B0A6">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99B3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67DEB"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" strokecolor="#799b3e"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5D65F" w14:textId="77777777" w:rsidR="006352E4" w:rsidRDefault="006352E4">
      <w:pPr>
        <w:spacing w:after="0" w:line="240" w:lineRule="auto"/>
      </w:pPr>
      <w:r>
        <w:separator/>
      </w:r>
    </w:p>
  </w:footnote>
  <w:footnote w:type="continuationSeparator" w:id="0">
    <w:p w14:paraId="64E68635" w14:textId="77777777" w:rsidR="006352E4" w:rsidRDefault="00635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AE7DC"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1DA0F7" w14:textId="77777777" w:rsidR="00BB122F" w:rsidRDefault="003F7B9E" w:rsidP="00091AFC">
    <w:pPr>
      <w:pStyle w:val="Header"/>
      <w:ind w:right="360"/>
    </w:pPr>
  </w:p>
  <w:p w14:paraId="38B4E67E" w14:textId="77777777" w:rsidR="00BB122F" w:rsidRDefault="003F7B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B082E" w14:textId="77777777" w:rsidR="00BB122F" w:rsidRPr="009B5FE2" w:rsidRDefault="00C8737B" w:rsidP="00D82005">
    <w:pPr>
      <w:tabs>
        <w:tab w:val="left" w:pos="6893"/>
      </w:tabs>
      <w:spacing w:after="80" w:line="240" w:lineRule="auto"/>
      <w:ind w:left="-330"/>
      <w:rPr>
        <w:rFonts w:cs="Arial"/>
        <w:color w:val="799B3E"/>
        <w:sz w:val="18"/>
        <w:szCs w:val="18"/>
      </w:rPr>
    </w:pPr>
    <w:r w:rsidRPr="009B5FE2">
      <w:rPr>
        <w:rFonts w:cs="Arial"/>
        <w:color w:val="799B3E"/>
        <w:sz w:val="18"/>
        <w:szCs w:val="18"/>
      </w:rPr>
      <w:t>Victoria Legal Aid</w:t>
    </w:r>
    <w:r w:rsidRPr="009B5FE2">
      <w:rPr>
        <w:rFonts w:cs="Arial"/>
        <w:color w:val="799B3E"/>
        <w:sz w:val="18"/>
        <w:szCs w:val="18"/>
      </w:rPr>
      <w:tab/>
    </w:r>
  </w:p>
  <w:p w14:paraId="3755C100" w14:textId="77777777" w:rsidR="00BB122F" w:rsidRPr="009B5FE2" w:rsidRDefault="00C8737B" w:rsidP="00EF7C5C">
    <w:pPr>
      <w:spacing w:line="240" w:lineRule="auto"/>
      <w:ind w:left="-330"/>
      <w:rPr>
        <w:rFonts w:ascii="Arial Bold" w:hAnsi="Arial Bold" w:cs="Arial"/>
        <w:color w:val="799B3E"/>
      </w:rPr>
    </w:pPr>
    <w:r w:rsidRPr="009B5FE2">
      <w:rPr>
        <w:rFonts w:ascii="Arial Bold" w:hAnsi="Arial Bold" w:cs="Arial"/>
        <w:b/>
        <w:color w:val="799B3E"/>
        <w:sz w:val="18"/>
        <w:szCs w:val="18"/>
      </w:rPr>
      <w:t>Document title</w:t>
    </w:r>
    <w:r w:rsidRPr="009B5FE2">
      <w:rPr>
        <w:rFonts w:ascii="Arial Bold" w:hAnsi="Arial Bold" w:cs="Arial"/>
        <w:b/>
        <w:noProof/>
        <w:color w:val="799B3E"/>
        <w:sz w:val="18"/>
        <w:szCs w:val="18"/>
        <w:lang w:val="en-US"/>
      </w:rPr>
      <mc:AlternateContent>
        <mc:Choice Requires="wps">
          <w:drawing>
            <wp:anchor distT="0" distB="0" distL="114300" distR="114300" simplePos="0" relativeHeight="251659264" behindDoc="1" locked="1" layoutInCell="1" allowOverlap="1" wp14:anchorId="4DEFFCC5" wp14:editId="0AC10064">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799B3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2964E"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" strokecolor="#799b3e"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9DF8C" w14:textId="6304239C"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460ACD68" wp14:editId="2776E5ED">
          <wp:simplePos x="0" y="0"/>
          <wp:positionH relativeFrom="column">
            <wp:posOffset>-387102</wp:posOffset>
          </wp:positionH>
          <wp:positionV relativeFrom="paragraph">
            <wp:posOffset>-1436</wp:posOffset>
          </wp:positionV>
          <wp:extent cx="7199983" cy="1257139"/>
          <wp:effectExtent l="0" t="0" r="127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353B0">
      <w:rPr>
        <w:color w:val="FFFFFF" w:themeColor="background1"/>
      </w:rPr>
      <w:t>September 2020</w:t>
    </w:r>
  </w:p>
  <w:p w14:paraId="6CE1D3A6" w14:textId="77777777" w:rsidR="00BB122F" w:rsidRPr="00D82005" w:rsidRDefault="003F7B9E"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6039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A2396"/>
    <w:multiLevelType w:val="multilevel"/>
    <w:tmpl w:val="E9CA8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3747BA"/>
    <w:multiLevelType w:val="multilevel"/>
    <w:tmpl w:val="F6F49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3A201B"/>
    <w:multiLevelType w:val="hybridMultilevel"/>
    <w:tmpl w:val="C4B4E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9807DD"/>
    <w:multiLevelType w:val="multilevel"/>
    <w:tmpl w:val="9ED49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53936"/>
    <w:multiLevelType w:val="multilevel"/>
    <w:tmpl w:val="F794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B13A11"/>
    <w:multiLevelType w:val="hybridMultilevel"/>
    <w:tmpl w:val="13EE1640"/>
    <w:lvl w:ilvl="0" w:tplc="8F1001B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9C432BC"/>
    <w:multiLevelType w:val="hybridMultilevel"/>
    <w:tmpl w:val="1884C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76296646"/>
    <w:multiLevelType w:val="hybridMultilevel"/>
    <w:tmpl w:val="CEAE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7C325351"/>
    <w:multiLevelType w:val="multilevel"/>
    <w:tmpl w:val="3B60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620730"/>
    <w:multiLevelType w:val="multilevel"/>
    <w:tmpl w:val="BDEE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9"/>
  </w:num>
  <w:num w:numId="3">
    <w:abstractNumId w:val="14"/>
  </w:num>
  <w:num w:numId="4">
    <w:abstractNumId w:val="7"/>
  </w:num>
  <w:num w:numId="5">
    <w:abstractNumId w:val="21"/>
  </w:num>
  <w:num w:numId="6">
    <w:abstractNumId w:val="6"/>
  </w:num>
  <w:num w:numId="7">
    <w:abstractNumId w:val="21"/>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20"/>
  </w:num>
  <w:num w:numId="22">
    <w:abstractNumId w:val="20"/>
  </w:num>
  <w:num w:numId="23">
    <w:abstractNumId w:val="15"/>
  </w:num>
  <w:num w:numId="24">
    <w:abstractNumId w:val="23"/>
  </w:num>
  <w:num w:numId="25">
    <w:abstractNumId w:val="24"/>
  </w:num>
  <w:num w:numId="26">
    <w:abstractNumId w:val="16"/>
  </w:num>
  <w:num w:numId="27">
    <w:abstractNumId w:val="25"/>
  </w:num>
  <w:num w:numId="28">
    <w:abstractNumId w:val="22"/>
  </w:num>
  <w:num w:numId="29">
    <w:abstractNumId w:val="10"/>
  </w:num>
  <w:num w:numId="30">
    <w:abstractNumId w:val="11"/>
  </w:num>
  <w:num w:numId="31">
    <w:abstractNumId w:val="19"/>
  </w:num>
  <w:num w:numId="32">
    <w:abstractNumId w:val="13"/>
  </w:num>
  <w:num w:numId="33">
    <w:abstractNumId w:val="1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B174CF-5EA7-4FB9-8790-F697949BB6EE}"/>
    <w:docVar w:name="dgnword-eventsink" w:val="2570949366352"/>
  </w:docVars>
  <w:rsids>
    <w:rsidRoot w:val="006352E4"/>
    <w:rsid w:val="000A0349"/>
    <w:rsid w:val="000A2FBE"/>
    <w:rsid w:val="000A3C2D"/>
    <w:rsid w:val="000C14B8"/>
    <w:rsid w:val="000C7FB4"/>
    <w:rsid w:val="000E51EC"/>
    <w:rsid w:val="00112CA5"/>
    <w:rsid w:val="00125593"/>
    <w:rsid w:val="0013162B"/>
    <w:rsid w:val="00190A92"/>
    <w:rsid w:val="001A27AB"/>
    <w:rsid w:val="001F79C2"/>
    <w:rsid w:val="00204ABA"/>
    <w:rsid w:val="00244E32"/>
    <w:rsid w:val="002915FB"/>
    <w:rsid w:val="00294201"/>
    <w:rsid w:val="002A4595"/>
    <w:rsid w:val="002C3253"/>
    <w:rsid w:val="002C4EF6"/>
    <w:rsid w:val="002C780F"/>
    <w:rsid w:val="002E65E7"/>
    <w:rsid w:val="002E6C79"/>
    <w:rsid w:val="0031443C"/>
    <w:rsid w:val="003274BE"/>
    <w:rsid w:val="00342B2F"/>
    <w:rsid w:val="003B0DC7"/>
    <w:rsid w:val="003F47FD"/>
    <w:rsid w:val="003F7B9E"/>
    <w:rsid w:val="00401A59"/>
    <w:rsid w:val="00461300"/>
    <w:rsid w:val="00461773"/>
    <w:rsid w:val="00473E11"/>
    <w:rsid w:val="004935BA"/>
    <w:rsid w:val="004A7464"/>
    <w:rsid w:val="004D48E0"/>
    <w:rsid w:val="004F62C5"/>
    <w:rsid w:val="0050207A"/>
    <w:rsid w:val="005276A4"/>
    <w:rsid w:val="00532D2D"/>
    <w:rsid w:val="0058112E"/>
    <w:rsid w:val="005A01B5"/>
    <w:rsid w:val="005C1C58"/>
    <w:rsid w:val="00613A66"/>
    <w:rsid w:val="00627BED"/>
    <w:rsid w:val="006352E4"/>
    <w:rsid w:val="00636D1C"/>
    <w:rsid w:val="00687195"/>
    <w:rsid w:val="00692FD7"/>
    <w:rsid w:val="00694844"/>
    <w:rsid w:val="006A1EEE"/>
    <w:rsid w:val="006C45B7"/>
    <w:rsid w:val="00702A3E"/>
    <w:rsid w:val="007A74B0"/>
    <w:rsid w:val="007B6802"/>
    <w:rsid w:val="007D25AC"/>
    <w:rsid w:val="00842639"/>
    <w:rsid w:val="00863E11"/>
    <w:rsid w:val="00870BC2"/>
    <w:rsid w:val="00896DCF"/>
    <w:rsid w:val="008C5E5A"/>
    <w:rsid w:val="00904855"/>
    <w:rsid w:val="00905246"/>
    <w:rsid w:val="00937543"/>
    <w:rsid w:val="00945E28"/>
    <w:rsid w:val="00964BC6"/>
    <w:rsid w:val="0096773F"/>
    <w:rsid w:val="009A28D8"/>
    <w:rsid w:val="009A7877"/>
    <w:rsid w:val="009B0A80"/>
    <w:rsid w:val="009B5FE2"/>
    <w:rsid w:val="009D3C85"/>
    <w:rsid w:val="009D5A33"/>
    <w:rsid w:val="009E0D7C"/>
    <w:rsid w:val="00A2406E"/>
    <w:rsid w:val="00A274F0"/>
    <w:rsid w:val="00A36737"/>
    <w:rsid w:val="00A46EAF"/>
    <w:rsid w:val="00AA3C8D"/>
    <w:rsid w:val="00AC5CCF"/>
    <w:rsid w:val="00B51912"/>
    <w:rsid w:val="00B957C1"/>
    <w:rsid w:val="00BB2B30"/>
    <w:rsid w:val="00BC1939"/>
    <w:rsid w:val="00BD0BB2"/>
    <w:rsid w:val="00BD40CD"/>
    <w:rsid w:val="00BE18AB"/>
    <w:rsid w:val="00C55824"/>
    <w:rsid w:val="00C61003"/>
    <w:rsid w:val="00C8737B"/>
    <w:rsid w:val="00C96764"/>
    <w:rsid w:val="00D070E6"/>
    <w:rsid w:val="00D414EB"/>
    <w:rsid w:val="00D73EED"/>
    <w:rsid w:val="00D91004"/>
    <w:rsid w:val="00DC0F8A"/>
    <w:rsid w:val="00DD769B"/>
    <w:rsid w:val="00DE0029"/>
    <w:rsid w:val="00E34F1D"/>
    <w:rsid w:val="00E353B0"/>
    <w:rsid w:val="00E50B26"/>
    <w:rsid w:val="00E63153"/>
    <w:rsid w:val="00E97698"/>
    <w:rsid w:val="00ED48DB"/>
    <w:rsid w:val="00ED6232"/>
    <w:rsid w:val="00F3213F"/>
    <w:rsid w:val="00F36368"/>
    <w:rsid w:val="00F570FC"/>
    <w:rsid w:val="00F57126"/>
    <w:rsid w:val="00F66BAE"/>
    <w:rsid w:val="00F719F3"/>
    <w:rsid w:val="00F961F0"/>
    <w:rsid w:val="00FB23BC"/>
    <w:rsid w:val="00FC1720"/>
    <w:rsid w:val="00FE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E83A"/>
  <w14:defaultImageDpi w14:val="32767"/>
  <w15:chartTrackingRefBased/>
  <w15:docId w15:val="{CA46D6FC-0F90-421D-A10E-2C2AFD45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9B5FE2"/>
    <w:pPr>
      <w:keepNext/>
      <w:spacing w:before="240" w:after="120" w:line="300" w:lineRule="atLeast"/>
      <w:outlineLvl w:val="0"/>
    </w:pPr>
    <w:rPr>
      <w:rFonts w:ascii="Arial" w:eastAsia="Times New Roman" w:hAnsi="Arial" w:cs="Arial"/>
      <w:b/>
      <w:bCs/>
      <w:color w:val="799B3E"/>
      <w:kern w:val="32"/>
      <w:sz w:val="32"/>
      <w:szCs w:val="32"/>
      <w:lang w:val="en-AU" w:eastAsia="en-AU"/>
    </w:rPr>
  </w:style>
  <w:style w:type="paragraph" w:styleId="Heading2">
    <w:name w:val="heading 2"/>
    <w:next w:val="Normal"/>
    <w:link w:val="Heading2Char"/>
    <w:qFormat/>
    <w:rsid w:val="009B5FE2"/>
    <w:pPr>
      <w:keepNext/>
      <w:spacing w:before="240" w:after="120" w:line="300" w:lineRule="atLeast"/>
      <w:outlineLvl w:val="1"/>
    </w:pPr>
    <w:rPr>
      <w:rFonts w:ascii="Arial" w:eastAsia="Times New Roman" w:hAnsi="Arial" w:cs="Arial"/>
      <w:b/>
      <w:bCs/>
      <w:iCs/>
      <w:color w:val="799B3E"/>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9B5FE2"/>
    <w:pPr>
      <w:pBdr>
        <w:bottom w:val="single" w:sz="4" w:space="1" w:color="799B3E"/>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9B5FE2"/>
    <w:rPr>
      <w:rFonts w:ascii="Arial" w:eastAsia="Times New Roman" w:hAnsi="Arial" w:cs="Times New Roman"/>
      <w:sz w:val="22"/>
      <w:lang w:val="en-AU"/>
    </w:rPr>
  </w:style>
  <w:style w:type="character" w:customStyle="1" w:styleId="Heading1Char">
    <w:name w:val="Heading 1 Char"/>
    <w:basedOn w:val="DefaultParagraphFont"/>
    <w:link w:val="Heading1"/>
    <w:rsid w:val="009B5FE2"/>
    <w:rPr>
      <w:rFonts w:ascii="Arial" w:eastAsia="Times New Roman" w:hAnsi="Arial" w:cs="Arial"/>
      <w:b/>
      <w:bCs/>
      <w:color w:val="799B3E"/>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9B5FE2"/>
    <w:pPr>
      <w:numPr>
        <w:numId w:val="1"/>
      </w:numPr>
      <w:spacing w:before="240" w:line="280" w:lineRule="exact"/>
    </w:pPr>
    <w:rPr>
      <w:rFonts w:ascii="Arial" w:eastAsia="Times New Roman" w:hAnsi="Arial" w:cs="Arial"/>
      <w:b/>
      <w:bCs/>
      <w:color w:val="799B3E"/>
      <w:kern w:val="32"/>
      <w:sz w:val="28"/>
      <w:szCs w:val="32"/>
      <w:lang w:val="en-AU" w:eastAsia="en-AU"/>
    </w:rPr>
  </w:style>
  <w:style w:type="paragraph" w:customStyle="1" w:styleId="AppendixH1">
    <w:name w:val="Appendix H1"/>
    <w:next w:val="Normal"/>
    <w:rsid w:val="009B5FE2"/>
    <w:pPr>
      <w:spacing w:before="240" w:after="240" w:line="300" w:lineRule="atLeast"/>
    </w:pPr>
    <w:rPr>
      <w:rFonts w:ascii="Arial" w:eastAsia="Times New Roman" w:hAnsi="Arial" w:cs="Arial"/>
      <w:b/>
      <w:bCs/>
      <w:color w:val="799B3E"/>
      <w:kern w:val="32"/>
      <w:sz w:val="28"/>
      <w:szCs w:val="26"/>
      <w:lang w:val="en-AU" w:eastAsia="en-AU"/>
    </w:rPr>
  </w:style>
  <w:style w:type="paragraph" w:customStyle="1" w:styleId="AppendixH2">
    <w:name w:val="Appendix H2"/>
    <w:next w:val="Normal"/>
    <w:rsid w:val="009B5FE2"/>
    <w:pPr>
      <w:spacing w:before="160" w:after="40" w:line="300" w:lineRule="atLeast"/>
    </w:pPr>
    <w:rPr>
      <w:rFonts w:ascii="Arial" w:eastAsia="Times New Roman" w:hAnsi="Arial" w:cs="Arial"/>
      <w:b/>
      <w:bCs/>
      <w:iCs/>
      <w:color w:val="799B3E"/>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9B5FE2"/>
    <w:pPr>
      <w:spacing w:before="60" w:after="240"/>
    </w:pPr>
    <w:rPr>
      <w:b/>
      <w:color w:val="799B3E"/>
      <w:sz w:val="28"/>
      <w:szCs w:val="28"/>
      <w:lang w:eastAsia="en-AU"/>
    </w:rPr>
  </w:style>
  <w:style w:type="paragraph" w:customStyle="1" w:styleId="Contents">
    <w:name w:val="Contents"/>
    <w:basedOn w:val="VLAdivision"/>
    <w:next w:val="Normal"/>
    <w:rsid w:val="009B5FE2"/>
  </w:style>
  <w:style w:type="paragraph" w:customStyle="1" w:styleId="Filename">
    <w:name w:val="Filename"/>
    <w:basedOn w:val="Normal"/>
    <w:rsid w:val="009B5FE2"/>
    <w:pPr>
      <w:pBdr>
        <w:top w:val="single" w:sz="4" w:space="1" w:color="799B3E"/>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9B5FE2"/>
    <w:rPr>
      <w:rFonts w:ascii="Arial" w:eastAsia="Times New Roman" w:hAnsi="Arial" w:cs="Arial"/>
      <w:b/>
      <w:bCs/>
      <w:iCs/>
      <w:color w:val="799B3E"/>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9B5FE2"/>
    <w:pPr>
      <w:spacing w:before="2000" w:after="240" w:line="400" w:lineRule="exact"/>
      <w:outlineLvl w:val="0"/>
    </w:pPr>
    <w:rPr>
      <w:rFonts w:ascii="Arial Bold" w:eastAsia="Times New Roman" w:hAnsi="Arial Bold" w:cs="Arial"/>
      <w:b/>
      <w:bCs/>
      <w:color w:val="799B3E"/>
      <w:kern w:val="28"/>
      <w:sz w:val="36"/>
      <w:szCs w:val="32"/>
      <w:lang w:val="en-AU"/>
    </w:rPr>
  </w:style>
  <w:style w:type="character" w:customStyle="1" w:styleId="TitleChar">
    <w:name w:val="Title Char"/>
    <w:link w:val="Title"/>
    <w:rsid w:val="009B5FE2"/>
    <w:rPr>
      <w:rFonts w:ascii="Arial Bold" w:eastAsia="Times New Roman" w:hAnsi="Arial Bold" w:cs="Arial"/>
      <w:b/>
      <w:bCs/>
      <w:color w:val="799B3E"/>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9B5FE2"/>
    <w:pPr>
      <w:spacing w:before="240" w:after="60"/>
    </w:pPr>
    <w:rPr>
      <w:b/>
      <w:color w:val="799B3E"/>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paragraph">
    <w:name w:val="paragraph"/>
    <w:basedOn w:val="Normal"/>
    <w:rsid w:val="006352E4"/>
    <w:pPr>
      <w:spacing w:before="100" w:beforeAutospacing="1" w:after="100" w:afterAutospacing="1" w:line="240" w:lineRule="auto"/>
    </w:pPr>
    <w:rPr>
      <w:rFonts w:ascii="Times New Roman" w:hAnsi="Times New Roman"/>
      <w:sz w:val="24"/>
      <w:lang w:eastAsia="en-AU"/>
    </w:rPr>
  </w:style>
  <w:style w:type="character" w:customStyle="1" w:styleId="textrun">
    <w:name w:val="textrun"/>
    <w:basedOn w:val="DefaultParagraphFont"/>
    <w:rsid w:val="006352E4"/>
  </w:style>
  <w:style w:type="character" w:customStyle="1" w:styleId="normaltextrun">
    <w:name w:val="normaltextrun"/>
    <w:basedOn w:val="DefaultParagraphFont"/>
    <w:rsid w:val="006352E4"/>
  </w:style>
  <w:style w:type="character" w:customStyle="1" w:styleId="eop">
    <w:name w:val="eop"/>
    <w:basedOn w:val="DefaultParagraphFont"/>
    <w:rsid w:val="006352E4"/>
  </w:style>
  <w:style w:type="character" w:customStyle="1" w:styleId="scxw199754247">
    <w:name w:val="scxw199754247"/>
    <w:basedOn w:val="DefaultParagraphFont"/>
    <w:rsid w:val="006352E4"/>
  </w:style>
  <w:style w:type="paragraph" w:styleId="NormalWeb">
    <w:name w:val="Normal (Web)"/>
    <w:basedOn w:val="Normal"/>
    <w:uiPriority w:val="99"/>
    <w:semiHidden/>
    <w:unhideWhenUsed/>
    <w:rsid w:val="00ED6232"/>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uiPriority w:val="99"/>
    <w:semiHidden/>
    <w:unhideWhenUsed/>
    <w:rsid w:val="00294201"/>
    <w:rPr>
      <w:sz w:val="16"/>
      <w:szCs w:val="16"/>
    </w:rPr>
  </w:style>
  <w:style w:type="paragraph" w:styleId="CommentText">
    <w:name w:val="annotation text"/>
    <w:basedOn w:val="Normal"/>
    <w:link w:val="CommentTextChar"/>
    <w:uiPriority w:val="99"/>
    <w:semiHidden/>
    <w:unhideWhenUsed/>
    <w:rsid w:val="00294201"/>
    <w:pPr>
      <w:spacing w:line="240" w:lineRule="auto"/>
    </w:pPr>
    <w:rPr>
      <w:sz w:val="20"/>
      <w:szCs w:val="20"/>
    </w:rPr>
  </w:style>
  <w:style w:type="character" w:customStyle="1" w:styleId="CommentTextChar">
    <w:name w:val="Comment Text Char"/>
    <w:basedOn w:val="DefaultParagraphFont"/>
    <w:link w:val="CommentText"/>
    <w:uiPriority w:val="99"/>
    <w:semiHidden/>
    <w:rsid w:val="00294201"/>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94201"/>
    <w:rPr>
      <w:b/>
      <w:bCs/>
    </w:rPr>
  </w:style>
  <w:style w:type="character" w:customStyle="1" w:styleId="CommentSubjectChar">
    <w:name w:val="Comment Subject Char"/>
    <w:basedOn w:val="CommentTextChar"/>
    <w:link w:val="CommentSubject"/>
    <w:uiPriority w:val="99"/>
    <w:semiHidden/>
    <w:rsid w:val="00294201"/>
    <w:rPr>
      <w:rFonts w:ascii="Arial" w:eastAsia="Times New Roman" w:hAnsi="Arial" w:cs="Times New Roman"/>
      <w:b/>
      <w:bCs/>
      <w:sz w:val="20"/>
      <w:szCs w:val="20"/>
      <w:lang w:val="en-AU"/>
    </w:rPr>
  </w:style>
  <w:style w:type="paragraph" w:styleId="NoSpacing">
    <w:name w:val="No Spacing"/>
    <w:uiPriority w:val="1"/>
    <w:qFormat/>
    <w:rsid w:val="00E353B0"/>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E976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14763344">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516112613">
      <w:bodyDiv w:val="1"/>
      <w:marLeft w:val="0"/>
      <w:marRight w:val="0"/>
      <w:marTop w:val="0"/>
      <w:marBottom w:val="0"/>
      <w:divBdr>
        <w:top w:val="none" w:sz="0" w:space="0" w:color="auto"/>
        <w:left w:val="none" w:sz="0" w:space="0" w:color="auto"/>
        <w:bottom w:val="none" w:sz="0" w:space="0" w:color="auto"/>
        <w:right w:val="none" w:sz="0" w:space="0" w:color="auto"/>
      </w:divBdr>
    </w:div>
    <w:div w:id="1985886844">
      <w:bodyDiv w:val="1"/>
      <w:marLeft w:val="0"/>
      <w:marRight w:val="0"/>
      <w:marTop w:val="0"/>
      <w:marBottom w:val="0"/>
      <w:divBdr>
        <w:top w:val="none" w:sz="0" w:space="0" w:color="auto"/>
        <w:left w:val="none" w:sz="0" w:space="0" w:color="auto"/>
        <w:bottom w:val="none" w:sz="0" w:space="0" w:color="auto"/>
        <w:right w:val="none" w:sz="0" w:space="0" w:color="auto"/>
      </w:divBdr>
      <w:divsChild>
        <w:div w:id="422144880">
          <w:marLeft w:val="0"/>
          <w:marRight w:val="0"/>
          <w:marTop w:val="0"/>
          <w:marBottom w:val="0"/>
          <w:divBdr>
            <w:top w:val="none" w:sz="0" w:space="0" w:color="auto"/>
            <w:left w:val="none" w:sz="0" w:space="0" w:color="auto"/>
            <w:bottom w:val="none" w:sz="0" w:space="0" w:color="auto"/>
            <w:right w:val="none" w:sz="0" w:space="0" w:color="auto"/>
          </w:divBdr>
        </w:div>
        <w:div w:id="1160148175">
          <w:marLeft w:val="0"/>
          <w:marRight w:val="0"/>
          <w:marTop w:val="0"/>
          <w:marBottom w:val="0"/>
          <w:divBdr>
            <w:top w:val="none" w:sz="0" w:space="0" w:color="auto"/>
            <w:left w:val="none" w:sz="0" w:space="0" w:color="auto"/>
            <w:bottom w:val="none" w:sz="0" w:space="0" w:color="auto"/>
            <w:right w:val="none" w:sz="0" w:space="0" w:color="auto"/>
          </w:divBdr>
        </w:div>
        <w:div w:id="1235973801">
          <w:marLeft w:val="0"/>
          <w:marRight w:val="0"/>
          <w:marTop w:val="0"/>
          <w:marBottom w:val="0"/>
          <w:divBdr>
            <w:top w:val="none" w:sz="0" w:space="0" w:color="auto"/>
            <w:left w:val="none" w:sz="0" w:space="0" w:color="auto"/>
            <w:bottom w:val="none" w:sz="0" w:space="0" w:color="auto"/>
            <w:right w:val="none" w:sz="0" w:space="0" w:color="auto"/>
          </w:divBdr>
        </w:div>
        <w:div w:id="1817532366">
          <w:marLeft w:val="0"/>
          <w:marRight w:val="0"/>
          <w:marTop w:val="0"/>
          <w:marBottom w:val="0"/>
          <w:divBdr>
            <w:top w:val="none" w:sz="0" w:space="0" w:color="auto"/>
            <w:left w:val="none" w:sz="0" w:space="0" w:color="auto"/>
            <w:bottom w:val="none" w:sz="0" w:space="0" w:color="auto"/>
            <w:right w:val="none" w:sz="0" w:space="0" w:color="auto"/>
          </w:divBdr>
        </w:div>
        <w:div w:id="598104781">
          <w:marLeft w:val="0"/>
          <w:marRight w:val="0"/>
          <w:marTop w:val="0"/>
          <w:marBottom w:val="0"/>
          <w:divBdr>
            <w:top w:val="none" w:sz="0" w:space="0" w:color="auto"/>
            <w:left w:val="none" w:sz="0" w:space="0" w:color="auto"/>
            <w:bottom w:val="none" w:sz="0" w:space="0" w:color="auto"/>
            <w:right w:val="none" w:sz="0" w:space="0" w:color="auto"/>
          </w:divBdr>
        </w:div>
        <w:div w:id="1215316171">
          <w:marLeft w:val="0"/>
          <w:marRight w:val="0"/>
          <w:marTop w:val="0"/>
          <w:marBottom w:val="0"/>
          <w:divBdr>
            <w:top w:val="none" w:sz="0" w:space="0" w:color="auto"/>
            <w:left w:val="none" w:sz="0" w:space="0" w:color="auto"/>
            <w:bottom w:val="none" w:sz="0" w:space="0" w:color="auto"/>
            <w:right w:val="none" w:sz="0" w:space="0" w:color="auto"/>
          </w:divBdr>
          <w:divsChild>
            <w:div w:id="727917369">
              <w:marLeft w:val="0"/>
              <w:marRight w:val="0"/>
              <w:marTop w:val="0"/>
              <w:marBottom w:val="0"/>
              <w:divBdr>
                <w:top w:val="none" w:sz="0" w:space="0" w:color="auto"/>
                <w:left w:val="none" w:sz="0" w:space="0" w:color="auto"/>
                <w:bottom w:val="none" w:sz="0" w:space="0" w:color="auto"/>
                <w:right w:val="none" w:sz="0" w:space="0" w:color="auto"/>
              </w:divBdr>
            </w:div>
            <w:div w:id="1411394111">
              <w:marLeft w:val="0"/>
              <w:marRight w:val="0"/>
              <w:marTop w:val="0"/>
              <w:marBottom w:val="0"/>
              <w:divBdr>
                <w:top w:val="none" w:sz="0" w:space="0" w:color="auto"/>
                <w:left w:val="none" w:sz="0" w:space="0" w:color="auto"/>
                <w:bottom w:val="none" w:sz="0" w:space="0" w:color="auto"/>
                <w:right w:val="none" w:sz="0" w:space="0" w:color="auto"/>
              </w:divBdr>
            </w:div>
            <w:div w:id="1078404650">
              <w:marLeft w:val="0"/>
              <w:marRight w:val="0"/>
              <w:marTop w:val="0"/>
              <w:marBottom w:val="0"/>
              <w:divBdr>
                <w:top w:val="none" w:sz="0" w:space="0" w:color="auto"/>
                <w:left w:val="none" w:sz="0" w:space="0" w:color="auto"/>
                <w:bottom w:val="none" w:sz="0" w:space="0" w:color="auto"/>
                <w:right w:val="none" w:sz="0" w:space="0" w:color="auto"/>
              </w:divBdr>
            </w:div>
            <w:div w:id="809444424">
              <w:marLeft w:val="0"/>
              <w:marRight w:val="0"/>
              <w:marTop w:val="0"/>
              <w:marBottom w:val="0"/>
              <w:divBdr>
                <w:top w:val="none" w:sz="0" w:space="0" w:color="auto"/>
                <w:left w:val="none" w:sz="0" w:space="0" w:color="auto"/>
                <w:bottom w:val="none" w:sz="0" w:space="0" w:color="auto"/>
                <w:right w:val="none" w:sz="0" w:space="0" w:color="auto"/>
              </w:divBdr>
            </w:div>
            <w:div w:id="53436725">
              <w:marLeft w:val="0"/>
              <w:marRight w:val="0"/>
              <w:marTop w:val="0"/>
              <w:marBottom w:val="0"/>
              <w:divBdr>
                <w:top w:val="none" w:sz="0" w:space="0" w:color="auto"/>
                <w:left w:val="none" w:sz="0" w:space="0" w:color="auto"/>
                <w:bottom w:val="none" w:sz="0" w:space="0" w:color="auto"/>
                <w:right w:val="none" w:sz="0" w:space="0" w:color="auto"/>
              </w:divBdr>
            </w:div>
          </w:divsChild>
        </w:div>
        <w:div w:id="1098722641">
          <w:marLeft w:val="0"/>
          <w:marRight w:val="0"/>
          <w:marTop w:val="0"/>
          <w:marBottom w:val="0"/>
          <w:divBdr>
            <w:top w:val="none" w:sz="0" w:space="0" w:color="auto"/>
            <w:left w:val="none" w:sz="0" w:space="0" w:color="auto"/>
            <w:bottom w:val="none" w:sz="0" w:space="0" w:color="auto"/>
            <w:right w:val="none" w:sz="0" w:space="0" w:color="auto"/>
          </w:divBdr>
        </w:div>
        <w:div w:id="321473530">
          <w:marLeft w:val="0"/>
          <w:marRight w:val="0"/>
          <w:marTop w:val="0"/>
          <w:marBottom w:val="0"/>
          <w:divBdr>
            <w:top w:val="none" w:sz="0" w:space="0" w:color="auto"/>
            <w:left w:val="none" w:sz="0" w:space="0" w:color="auto"/>
            <w:bottom w:val="none" w:sz="0" w:space="0" w:color="auto"/>
            <w:right w:val="none" w:sz="0" w:space="0" w:color="auto"/>
          </w:divBdr>
        </w:div>
        <w:div w:id="1467165595">
          <w:marLeft w:val="0"/>
          <w:marRight w:val="0"/>
          <w:marTop w:val="0"/>
          <w:marBottom w:val="0"/>
          <w:divBdr>
            <w:top w:val="none" w:sz="0" w:space="0" w:color="auto"/>
            <w:left w:val="none" w:sz="0" w:space="0" w:color="auto"/>
            <w:bottom w:val="none" w:sz="0" w:space="0" w:color="auto"/>
            <w:right w:val="none" w:sz="0" w:space="0" w:color="auto"/>
          </w:divBdr>
        </w:div>
        <w:div w:id="2072653951">
          <w:marLeft w:val="0"/>
          <w:marRight w:val="0"/>
          <w:marTop w:val="0"/>
          <w:marBottom w:val="0"/>
          <w:divBdr>
            <w:top w:val="none" w:sz="0" w:space="0" w:color="auto"/>
            <w:left w:val="none" w:sz="0" w:space="0" w:color="auto"/>
            <w:bottom w:val="none" w:sz="0" w:space="0" w:color="auto"/>
            <w:right w:val="none" w:sz="0" w:space="0" w:color="auto"/>
          </w:divBdr>
        </w:div>
        <w:div w:id="450588589">
          <w:marLeft w:val="0"/>
          <w:marRight w:val="0"/>
          <w:marTop w:val="0"/>
          <w:marBottom w:val="0"/>
          <w:divBdr>
            <w:top w:val="none" w:sz="0" w:space="0" w:color="auto"/>
            <w:left w:val="none" w:sz="0" w:space="0" w:color="auto"/>
            <w:bottom w:val="none" w:sz="0" w:space="0" w:color="auto"/>
            <w:right w:val="none" w:sz="0" w:space="0" w:color="auto"/>
          </w:divBdr>
        </w:div>
      </w:divsChild>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 w:id="21235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andbook.vla.vic.gov.au/handbook/3-criminal-law-guidelines/guideline-73-appeals-to-high-cour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Howard</dc:creator>
  <cp:keywords/>
  <dc:description/>
  <cp:lastModifiedBy/>
  <cp:revision>1</cp:revision>
  <dcterms:created xsi:type="dcterms:W3CDTF">2021-04-29T23:53:00Z</dcterms:created>
  <dcterms:modified xsi:type="dcterms:W3CDTF">2021-04-29T23:53:00Z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