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626" w14:textId="0E2B91FC" w:rsidR="00E50B26" w:rsidRDefault="00627BED" w:rsidP="00E50B26">
      <w:pPr>
        <w:pStyle w:val="Heading1"/>
        <w:rPr>
          <w:sz w:val="24"/>
          <w:szCs w:val="24"/>
        </w:rPr>
      </w:pPr>
      <w:r>
        <w:t xml:space="preserve">Victoria Legal Aid </w:t>
      </w:r>
      <w:r w:rsidR="004175B7">
        <w:t>20</w:t>
      </w:r>
      <w:r w:rsidR="00214F4D">
        <w:t>2</w:t>
      </w:r>
      <w:r w:rsidR="00967DC7">
        <w:t>1</w:t>
      </w:r>
      <w:r w:rsidR="004175B7">
        <w:t>–2</w:t>
      </w:r>
      <w:r w:rsidR="00967DC7">
        <w:t>2</w:t>
      </w:r>
      <w:r w:rsidR="004175B7">
        <w:t xml:space="preserve"> </w:t>
      </w:r>
      <w:r w:rsidR="79DAA64C">
        <w:t>Q</w:t>
      </w:r>
      <w:r w:rsidR="004175B7">
        <w:t xml:space="preserve">uarter </w:t>
      </w:r>
      <w:r w:rsidR="00DC4815">
        <w:t>One</w:t>
      </w:r>
      <w:r w:rsidR="00214F4D">
        <w:t xml:space="preserve"> </w:t>
      </w:r>
      <w:r w:rsidR="2FDC21A0">
        <w:t>R</w:t>
      </w:r>
      <w:r w:rsidR="004175B7">
        <w:t>eport</w:t>
      </w:r>
      <w:r w:rsidR="00544E69">
        <w:t xml:space="preserve"> </w:t>
      </w:r>
      <w:r>
        <w:br/>
      </w:r>
      <w:r w:rsidR="00DC4815">
        <w:rPr>
          <w:sz w:val="24"/>
          <w:szCs w:val="24"/>
        </w:rPr>
        <w:t>1 July</w:t>
      </w:r>
      <w:r w:rsidR="00544E69" w:rsidRPr="6B8ABD5E">
        <w:rPr>
          <w:sz w:val="24"/>
          <w:szCs w:val="24"/>
        </w:rPr>
        <w:t xml:space="preserve"> – </w:t>
      </w:r>
      <w:r w:rsidR="00DC4815">
        <w:rPr>
          <w:sz w:val="24"/>
          <w:szCs w:val="24"/>
        </w:rPr>
        <w:t xml:space="preserve">30 September </w:t>
      </w:r>
      <w:r w:rsidR="00544E69" w:rsidRPr="6B8ABD5E">
        <w:rPr>
          <w:sz w:val="24"/>
          <w:szCs w:val="24"/>
        </w:rPr>
        <w:t>20</w:t>
      </w:r>
      <w:r w:rsidR="00DC4815">
        <w:rPr>
          <w:sz w:val="24"/>
          <w:szCs w:val="24"/>
        </w:rPr>
        <w:t>21</w:t>
      </w:r>
    </w:p>
    <w:p w14:paraId="518903F1" w14:textId="52E9E7BF" w:rsidR="005128D9" w:rsidRPr="005128D9" w:rsidRDefault="00BF1E92" w:rsidP="00871D98">
      <w:pPr>
        <w:pStyle w:val="Heading2"/>
      </w:pPr>
      <w:r>
        <w:t xml:space="preserve">Message from the </w:t>
      </w:r>
      <w:r w:rsidRPr="001F0CF5">
        <w:t>CEO</w:t>
      </w:r>
    </w:p>
    <w:p w14:paraId="74DD5CC9" w14:textId="71EAB421" w:rsidR="007E0093" w:rsidRDefault="00920FB5" w:rsidP="005D66F7">
      <w:pPr>
        <w:spacing w:after="0"/>
      </w:pPr>
      <w:r>
        <w:t>We recently celebrated our 40</w:t>
      </w:r>
      <w:r w:rsidRPr="00920FB5">
        <w:rPr>
          <w:vertAlign w:val="superscript"/>
        </w:rPr>
        <w:t>th</w:t>
      </w:r>
      <w:r>
        <w:t xml:space="preserve"> anniversary</w:t>
      </w:r>
      <w:r w:rsidR="00412D5C">
        <w:t xml:space="preserve"> </w:t>
      </w:r>
      <w:r w:rsidR="00A84932">
        <w:t xml:space="preserve">from our Ballarat office </w:t>
      </w:r>
      <w:r w:rsidR="00412D5C">
        <w:t xml:space="preserve">and took a moment to reflect on the </w:t>
      </w:r>
      <w:r w:rsidR="002D0C27">
        <w:t xml:space="preserve">impact VLA has </w:t>
      </w:r>
      <w:r w:rsidR="0010672F">
        <w:t>had</w:t>
      </w:r>
      <w:r w:rsidR="00916F98">
        <w:t xml:space="preserve"> on the Victorian community over that time</w:t>
      </w:r>
      <w:r>
        <w:t xml:space="preserve">. </w:t>
      </w:r>
      <w:r w:rsidR="00FB0BD6">
        <w:t xml:space="preserve">Over the last </w:t>
      </w:r>
      <w:r w:rsidR="00F461C7">
        <w:t>40</w:t>
      </w:r>
      <w:r w:rsidR="00FB0BD6">
        <w:t xml:space="preserve"> years</w:t>
      </w:r>
      <w:r w:rsidR="2B2AFCC8">
        <w:t>,</w:t>
      </w:r>
      <w:r w:rsidR="00FB0BD6">
        <w:t xml:space="preserve"> VLA has </w:t>
      </w:r>
      <w:r w:rsidR="00210F02">
        <w:t>grown and expanded our servic</w:t>
      </w:r>
      <w:r w:rsidR="00C524C1">
        <w:t xml:space="preserve">e offerings </w:t>
      </w:r>
      <w:r w:rsidR="00364AD3" w:rsidRPr="007330D7">
        <w:rPr>
          <w:rFonts w:cs="Arial"/>
          <w:lang w:eastAsia="en-AU"/>
        </w:rPr>
        <w:t>to deliver access to justice for Victorians</w:t>
      </w:r>
      <w:r w:rsidR="00696A64">
        <w:rPr>
          <w:rFonts w:cs="Arial"/>
          <w:lang w:eastAsia="en-AU"/>
        </w:rPr>
        <w:t>.</w:t>
      </w:r>
      <w:r w:rsidR="00877970">
        <w:rPr>
          <w:rFonts w:cs="Arial"/>
          <w:lang w:eastAsia="en-AU"/>
        </w:rPr>
        <w:t xml:space="preserve"> </w:t>
      </w:r>
      <w:r w:rsidR="002C1B6B">
        <w:rPr>
          <w:rFonts w:cs="Arial"/>
          <w:lang w:eastAsia="en-AU"/>
        </w:rPr>
        <w:t xml:space="preserve">In carrying out our core functions and hearing from our clients, we have seen </w:t>
      </w:r>
      <w:r w:rsidR="002C1B6B" w:rsidRPr="002E511D">
        <w:rPr>
          <w:rFonts w:cs="Arial"/>
          <w:lang w:eastAsia="en-AU"/>
        </w:rPr>
        <w:t>the interplay between socio-economic and legal issues in people’s lives</w:t>
      </w:r>
      <w:r w:rsidR="002C1B6B">
        <w:rPr>
          <w:rFonts w:cs="Arial"/>
          <w:lang w:eastAsia="en-AU"/>
        </w:rPr>
        <w:t xml:space="preserve"> </w:t>
      </w:r>
      <w:r w:rsidR="002C1B6B" w:rsidRPr="00D71C74">
        <w:rPr>
          <w:rFonts w:cs="Arial"/>
          <w:lang w:eastAsia="en-AU"/>
        </w:rPr>
        <w:t>and responded by making family violence, child protection and mental health legal services key priorities.</w:t>
      </w:r>
      <w:r w:rsidR="00637EB5">
        <w:rPr>
          <w:rFonts w:cs="Arial"/>
          <w:lang w:eastAsia="en-AU"/>
        </w:rPr>
        <w:t xml:space="preserve"> </w:t>
      </w:r>
      <w:r w:rsidR="002C1B6B" w:rsidRPr="008439F1">
        <w:rPr>
          <w:rFonts w:cs="Arial"/>
          <w:lang w:eastAsia="en-AU"/>
        </w:rPr>
        <w:t>We are increasingly moving to early-intervention and preventative models, providing support for people before their legal issues get worse.</w:t>
      </w:r>
      <w:r w:rsidR="00494EB1">
        <w:t xml:space="preserve"> </w:t>
      </w:r>
      <w:r w:rsidR="00D01E72">
        <w:t>This work includes the work done by the Indepen</w:t>
      </w:r>
      <w:r w:rsidR="00D33B73">
        <w:t>dent Family Advocacy and Support (IFAS)</w:t>
      </w:r>
      <w:r w:rsidR="00B26633">
        <w:t xml:space="preserve"> service</w:t>
      </w:r>
      <w:r w:rsidR="00031F8B">
        <w:t>, which provides</w:t>
      </w:r>
      <w:r w:rsidR="00B26633">
        <w:t xml:space="preserve"> non-legal advocacy for parents in the early stages of child protection </w:t>
      </w:r>
      <w:r w:rsidR="00846D8F">
        <w:t>matters</w:t>
      </w:r>
      <w:r w:rsidR="00031F8B">
        <w:t xml:space="preserve">. </w:t>
      </w:r>
      <w:r w:rsidR="002A1610">
        <w:t xml:space="preserve">RMIT recently released the findings of the </w:t>
      </w:r>
      <w:hyperlink r:id="rId11">
        <w:r w:rsidR="00BA04E2" w:rsidRPr="73494BFF">
          <w:rPr>
            <w:rStyle w:val="Hyperlink"/>
          </w:rPr>
          <w:t>three-year</w:t>
        </w:r>
        <w:r w:rsidR="002A1610" w:rsidRPr="73494BFF">
          <w:rPr>
            <w:rStyle w:val="Hyperlink"/>
          </w:rPr>
          <w:t xml:space="preserve"> evaluation</w:t>
        </w:r>
      </w:hyperlink>
      <w:r w:rsidR="002A1610">
        <w:t xml:space="preserve"> </w:t>
      </w:r>
      <w:r w:rsidR="00E21429">
        <w:t xml:space="preserve">of the service </w:t>
      </w:r>
      <w:r w:rsidR="002A1610">
        <w:t xml:space="preserve">and found that </w:t>
      </w:r>
      <w:r w:rsidR="00105ECF">
        <w:t xml:space="preserve">IFAS </w:t>
      </w:r>
      <w:r w:rsidR="002161DE">
        <w:t xml:space="preserve">clients </w:t>
      </w:r>
      <w:r w:rsidR="00105ECF">
        <w:t>highly valu</w:t>
      </w:r>
      <w:r w:rsidR="002161DE">
        <w:t>e the</w:t>
      </w:r>
      <w:r w:rsidR="00105ECF">
        <w:t xml:space="preserve"> service</w:t>
      </w:r>
      <w:r w:rsidR="00031F8B">
        <w:t xml:space="preserve"> and </w:t>
      </w:r>
      <w:r w:rsidR="002161DE">
        <w:t xml:space="preserve">it has helped to </w:t>
      </w:r>
      <w:r w:rsidR="00031F8B">
        <w:t>divert one fifth of families away from the</w:t>
      </w:r>
      <w:r w:rsidR="002F7E98">
        <w:t xml:space="preserve"> courts</w:t>
      </w:r>
      <w:r w:rsidR="002131D7">
        <w:t xml:space="preserve"> and delivered cost savings of </w:t>
      </w:r>
      <w:r w:rsidR="0033120B">
        <w:t>$1.8 million</w:t>
      </w:r>
      <w:r w:rsidR="002F7E98">
        <w:t xml:space="preserve">. </w:t>
      </w:r>
      <w:r w:rsidR="00176182">
        <w:t xml:space="preserve">The evaluation recommended that </w:t>
      </w:r>
      <w:r w:rsidR="00BE335C">
        <w:t xml:space="preserve">non-legal child protection support should be expanded </w:t>
      </w:r>
      <w:r w:rsidR="00180675">
        <w:t>state-wide</w:t>
      </w:r>
      <w:r w:rsidR="00BE335C">
        <w:t xml:space="preserve"> and </w:t>
      </w:r>
      <w:r w:rsidR="00B52496">
        <w:t xml:space="preserve">reinforces the valuable work that is </w:t>
      </w:r>
      <w:r w:rsidR="00AE6A80">
        <w:t xml:space="preserve">undertaken by </w:t>
      </w:r>
      <w:r w:rsidR="00066F07">
        <w:t xml:space="preserve">IFAS. </w:t>
      </w:r>
    </w:p>
    <w:p w14:paraId="307519AA" w14:textId="77777777" w:rsidR="007E0093" w:rsidRDefault="007E0093" w:rsidP="005D66F7">
      <w:pPr>
        <w:spacing w:after="0"/>
      </w:pPr>
    </w:p>
    <w:p w14:paraId="73F65C74" w14:textId="1F0189DA" w:rsidR="004A797A" w:rsidRDefault="00C2782A" w:rsidP="005D66F7">
      <w:pPr>
        <w:spacing w:after="0"/>
      </w:pPr>
      <w:r>
        <w:t xml:space="preserve">Advocating </w:t>
      </w:r>
      <w:r w:rsidR="005D66F7">
        <w:t>for law reform and improvements to the justice sector</w:t>
      </w:r>
      <w:r w:rsidR="004B673C">
        <w:t xml:space="preserve"> </w:t>
      </w:r>
      <w:r w:rsidR="00D1774D">
        <w:t xml:space="preserve">is </w:t>
      </w:r>
      <w:r w:rsidR="004F563C">
        <w:t xml:space="preserve">also </w:t>
      </w:r>
      <w:r w:rsidR="00D1774D">
        <w:t>part of our preventative function</w:t>
      </w:r>
      <w:r w:rsidR="00D11366">
        <w:t>.</w:t>
      </w:r>
      <w:r w:rsidR="001E5EEA">
        <w:t xml:space="preserve"> </w:t>
      </w:r>
      <w:r w:rsidR="00914F38">
        <w:t>In a</w:t>
      </w:r>
      <w:r w:rsidR="00C629BC">
        <w:t xml:space="preserve"> recent </w:t>
      </w:r>
      <w:hyperlink r:id="rId12" w:history="1">
        <w:r w:rsidR="00C629BC" w:rsidRPr="007E1A90">
          <w:rPr>
            <w:rStyle w:val="Hyperlink"/>
          </w:rPr>
          <w:t xml:space="preserve">submission to the Senate </w:t>
        </w:r>
        <w:r w:rsidR="00EA48A2">
          <w:rPr>
            <w:rStyle w:val="Hyperlink"/>
          </w:rPr>
          <w:t>C</w:t>
        </w:r>
        <w:r w:rsidR="00C629BC" w:rsidRPr="007E1A90">
          <w:rPr>
            <w:rStyle w:val="Hyperlink"/>
          </w:rPr>
          <w:t xml:space="preserve">ommunity Affairs References </w:t>
        </w:r>
        <w:r w:rsidR="00657758" w:rsidRPr="007E1A90">
          <w:rPr>
            <w:rStyle w:val="Hyperlink"/>
          </w:rPr>
          <w:t>Committee</w:t>
        </w:r>
      </w:hyperlink>
      <w:r w:rsidR="00657758">
        <w:t>,</w:t>
      </w:r>
      <w:r w:rsidR="00C9390D">
        <w:t xml:space="preserve"> we </w:t>
      </w:r>
      <w:r w:rsidR="005978B2">
        <w:t xml:space="preserve">called </w:t>
      </w:r>
      <w:r w:rsidR="00E3660D">
        <w:t>for</w:t>
      </w:r>
      <w:r w:rsidR="00C9390D">
        <w:t xml:space="preserve"> significant reform to the Disability Support Pension</w:t>
      </w:r>
      <w:r w:rsidR="00AC015B">
        <w:t xml:space="preserve">. Our recommendations include an overhaul of the </w:t>
      </w:r>
      <w:r w:rsidR="003C1AED">
        <w:t>criteria</w:t>
      </w:r>
      <w:r w:rsidR="00AC015B">
        <w:t xml:space="preserve"> that determine</w:t>
      </w:r>
      <w:r w:rsidR="00621CF0">
        <w:t>s</w:t>
      </w:r>
      <w:r w:rsidR="00AC015B">
        <w:t xml:space="preserve"> the severity and permanency of a </w:t>
      </w:r>
      <w:r w:rsidR="00EB4572">
        <w:t xml:space="preserve">persons </w:t>
      </w:r>
      <w:r w:rsidR="00AC015B">
        <w:t>disability, and the removal of the requiremen</w:t>
      </w:r>
      <w:r w:rsidR="003D1FF7">
        <w:t xml:space="preserve">t </w:t>
      </w:r>
      <w:r w:rsidR="009F72AA">
        <w:t>for those who are not classified as having a severe impairment</w:t>
      </w:r>
      <w:r w:rsidR="00DD22FB">
        <w:t xml:space="preserve"> </w:t>
      </w:r>
      <w:r w:rsidR="00AC015B">
        <w:t xml:space="preserve">to complete an 18-month work program before receiving payment. </w:t>
      </w:r>
      <w:r w:rsidR="00A66416">
        <w:t>T</w:t>
      </w:r>
      <w:r w:rsidR="00AC015B">
        <w:t xml:space="preserve">hese recommendations will </w:t>
      </w:r>
      <w:r w:rsidR="004F2DE2">
        <w:t xml:space="preserve">ensure </w:t>
      </w:r>
      <w:r w:rsidR="000044DC">
        <w:t>the system is fairer</w:t>
      </w:r>
      <w:r w:rsidR="000F6131">
        <w:t xml:space="preserve"> and simpler,</w:t>
      </w:r>
      <w:r w:rsidR="000044DC">
        <w:t xml:space="preserve"> and </w:t>
      </w:r>
      <w:r w:rsidR="00657758">
        <w:t>that Aboriginal and Torres Strait Islander people who are living with a disability are better supported.</w:t>
      </w:r>
      <w:r w:rsidR="004C7225">
        <w:t xml:space="preserve"> </w:t>
      </w:r>
    </w:p>
    <w:p w14:paraId="49428C77" w14:textId="77777777" w:rsidR="00B06F73" w:rsidRDefault="00B06F73" w:rsidP="005D66F7">
      <w:pPr>
        <w:spacing w:after="0"/>
      </w:pPr>
    </w:p>
    <w:p w14:paraId="776E3DE9" w14:textId="52BBE5EE" w:rsidR="001F2625" w:rsidRDefault="00EB7DB1" w:rsidP="005D66F7">
      <w:pPr>
        <w:spacing w:after="0"/>
      </w:pPr>
      <w:r>
        <w:t xml:space="preserve">A recent </w:t>
      </w:r>
      <w:hyperlink r:id="rId13" w:history="1">
        <w:r w:rsidR="00457D3D" w:rsidRPr="0036105F">
          <w:rPr>
            <w:rStyle w:val="Hyperlink"/>
          </w:rPr>
          <w:t xml:space="preserve">report </w:t>
        </w:r>
        <w:r w:rsidR="00C438BA" w:rsidRPr="0036105F">
          <w:rPr>
            <w:rStyle w:val="Hyperlink"/>
          </w:rPr>
          <w:t>outlining</w:t>
        </w:r>
        <w:r w:rsidR="00457D3D" w:rsidRPr="0036105F">
          <w:rPr>
            <w:rStyle w:val="Hyperlink"/>
          </w:rPr>
          <w:t xml:space="preserve"> the pressures on the Family Law</w:t>
        </w:r>
      </w:hyperlink>
      <w:r w:rsidR="00457D3D">
        <w:t xml:space="preserve"> system </w:t>
      </w:r>
      <w:r w:rsidR="009B769A">
        <w:t>is</w:t>
      </w:r>
      <w:r w:rsidR="006577FC">
        <w:t xml:space="preserve"> an example of how we can work together to </w:t>
      </w:r>
      <w:r w:rsidR="00C438BA">
        <w:t>improve outcom</w:t>
      </w:r>
      <w:r w:rsidR="00A650BE">
        <w:t>es for Victorians. The report</w:t>
      </w:r>
      <w:r w:rsidR="00A32BF5">
        <w:t xml:space="preserve">, </w:t>
      </w:r>
      <w:r w:rsidR="00180675">
        <w:t>produced in collaboration with Women’s Legal Service Victoria,</w:t>
      </w:r>
      <w:r w:rsidR="00A650BE">
        <w:t xml:space="preserve"> </w:t>
      </w:r>
      <w:r w:rsidR="00D3030D">
        <w:t xml:space="preserve">found that demand for family law legal help </w:t>
      </w:r>
      <w:r w:rsidR="00937566">
        <w:t>in Victoria is on the rise</w:t>
      </w:r>
      <w:r w:rsidR="00A54FF0">
        <w:t xml:space="preserve"> and </w:t>
      </w:r>
      <w:r w:rsidR="00AC2C2D">
        <w:t>has already led to the</w:t>
      </w:r>
      <w:r w:rsidR="00D9141B">
        <w:t xml:space="preserve"> creation of the</w:t>
      </w:r>
      <w:r w:rsidR="00D4490A">
        <w:t xml:space="preserve"> </w:t>
      </w:r>
      <w:hyperlink r:id="rId14" w:history="1">
        <w:r w:rsidR="00D4490A" w:rsidRPr="00A753E5">
          <w:rPr>
            <w:rStyle w:val="Hyperlink"/>
          </w:rPr>
          <w:t>Family Law Access Pilot</w:t>
        </w:r>
        <w:r w:rsidR="00A753E5" w:rsidRPr="00A753E5">
          <w:rPr>
            <w:rStyle w:val="Hyperlink"/>
          </w:rPr>
          <w:t xml:space="preserve"> project</w:t>
        </w:r>
      </w:hyperlink>
      <w:r w:rsidR="00A54FF0">
        <w:t xml:space="preserve">. The project </w:t>
      </w:r>
      <w:r w:rsidR="00741436">
        <w:t xml:space="preserve">aims to </w:t>
      </w:r>
      <w:r w:rsidR="00B137DC">
        <w:t xml:space="preserve">respond to the needs of communities in Melbourne’s west to have improved access to </w:t>
      </w:r>
      <w:r w:rsidR="00741436">
        <w:t>high-quality family law services</w:t>
      </w:r>
      <w:r w:rsidR="00B137DC">
        <w:t xml:space="preserve">. </w:t>
      </w:r>
      <w:r w:rsidR="00482998">
        <w:t>Three Community Legal Centre</w:t>
      </w:r>
      <w:r w:rsidR="00D46675">
        <w:t>s</w:t>
      </w:r>
      <w:r w:rsidR="00482998">
        <w:t xml:space="preserve"> </w:t>
      </w:r>
      <w:r w:rsidR="009F2CE8">
        <w:t xml:space="preserve">are being provided with funding to </w:t>
      </w:r>
      <w:r w:rsidR="00E406A4">
        <w:t xml:space="preserve">establish comprehensive family law </w:t>
      </w:r>
      <w:r w:rsidR="00BA12DB">
        <w:t>practices and</w:t>
      </w:r>
      <w:r w:rsidR="009F2CE8">
        <w:t xml:space="preserve"> are being </w:t>
      </w:r>
      <w:r w:rsidR="00DD016D">
        <w:t>supported by a Women’s Legal Service Victoria capacity building program.</w:t>
      </w:r>
      <w:r w:rsidR="000D5C22">
        <w:t xml:space="preserve"> W</w:t>
      </w:r>
      <w:r w:rsidR="003E2154">
        <w:t xml:space="preserve">e </w:t>
      </w:r>
      <w:r w:rsidR="00AC2C2D">
        <w:t>are</w:t>
      </w:r>
      <w:r w:rsidR="006F3E05">
        <w:t xml:space="preserve"> also</w:t>
      </w:r>
      <w:r w:rsidR="00AC2C2D">
        <w:t xml:space="preserve"> in the process of developing an implementation plan for the additional recommendations</w:t>
      </w:r>
      <w:r w:rsidR="00250113">
        <w:t xml:space="preserve"> </w:t>
      </w:r>
      <w:r w:rsidR="00072BBE">
        <w:t>which include considering opportunities to expand family law provision and</w:t>
      </w:r>
      <w:r w:rsidR="00250113">
        <w:t xml:space="preserve"> </w:t>
      </w:r>
      <w:r w:rsidR="00072BBE">
        <w:t>improving VLA’s family law practice</w:t>
      </w:r>
      <w:r w:rsidR="00AC2C2D">
        <w:t xml:space="preserve">. </w:t>
      </w:r>
    </w:p>
    <w:p w14:paraId="1A1DA7A0" w14:textId="77777777" w:rsidR="00696CE1" w:rsidRDefault="00696CE1" w:rsidP="005D66F7">
      <w:pPr>
        <w:spacing w:after="0"/>
      </w:pPr>
    </w:p>
    <w:p w14:paraId="754871C6" w14:textId="36C98671" w:rsidR="00985285" w:rsidRDefault="00367893" w:rsidP="005D66F7">
      <w:pPr>
        <w:spacing w:after="0"/>
      </w:pPr>
      <w:r>
        <w:t xml:space="preserve">The last </w:t>
      </w:r>
      <w:r w:rsidR="00161A71">
        <w:t>two years</w:t>
      </w:r>
      <w:r>
        <w:t xml:space="preserve"> has shown us that </w:t>
      </w:r>
      <w:r w:rsidR="001161AF">
        <w:t xml:space="preserve">things can change rapidly and that the way things </w:t>
      </w:r>
      <w:r w:rsidR="000D5AF1">
        <w:t xml:space="preserve">previously operated may not be suitable for today’s environment. </w:t>
      </w:r>
      <w:r w:rsidR="007314AC">
        <w:t xml:space="preserve">Even though we are starting to reopen, there is still a long way to go </w:t>
      </w:r>
      <w:r w:rsidR="00051DEF">
        <w:t>in dealing with the pandemic</w:t>
      </w:r>
      <w:r w:rsidR="00AF53C9">
        <w:t>. We</w:t>
      </w:r>
      <w:r w:rsidR="00423E96">
        <w:t xml:space="preserve"> look forward to </w:t>
      </w:r>
      <w:r w:rsidR="008630C0">
        <w:t xml:space="preserve">supporting </w:t>
      </w:r>
      <w:r w:rsidR="00AF53C9">
        <w:t>our clients</w:t>
      </w:r>
      <w:r w:rsidR="00BC732B">
        <w:t>,</w:t>
      </w:r>
      <w:r w:rsidR="00B25E18">
        <w:t xml:space="preserve"> our </w:t>
      </w:r>
      <w:proofErr w:type="gramStart"/>
      <w:r w:rsidR="00B25E18">
        <w:t>partners</w:t>
      </w:r>
      <w:proofErr w:type="gramEnd"/>
      <w:r w:rsidR="00B25E18">
        <w:t xml:space="preserve"> and </w:t>
      </w:r>
      <w:r w:rsidR="00AF53C9">
        <w:t xml:space="preserve">the </w:t>
      </w:r>
      <w:r w:rsidR="008630C0">
        <w:t xml:space="preserve">courts </w:t>
      </w:r>
      <w:r w:rsidR="00086C7B">
        <w:t>as we work t</w:t>
      </w:r>
      <w:r w:rsidR="00104FAD">
        <w:t xml:space="preserve">hrough </w:t>
      </w:r>
      <w:r w:rsidR="0032691E">
        <w:t>the case backlog and continue to refine</w:t>
      </w:r>
      <w:r w:rsidR="00104F41">
        <w:t xml:space="preserve"> </w:t>
      </w:r>
      <w:r w:rsidR="009D02A2">
        <w:t xml:space="preserve">and </w:t>
      </w:r>
      <w:r w:rsidR="00104F41">
        <w:t xml:space="preserve">embed </w:t>
      </w:r>
      <w:r w:rsidR="008C4261">
        <w:t xml:space="preserve">several </w:t>
      </w:r>
      <w:r w:rsidR="00D05D18">
        <w:t>innovations</w:t>
      </w:r>
      <w:r w:rsidR="008C4261">
        <w:t xml:space="preserve">, </w:t>
      </w:r>
      <w:r w:rsidR="006975D4">
        <w:t xml:space="preserve">such as </w:t>
      </w:r>
      <w:r w:rsidR="008C4261">
        <w:t>Help Before Court</w:t>
      </w:r>
      <w:r w:rsidR="00051DEF">
        <w:t>.</w:t>
      </w:r>
      <w:r w:rsidR="00731CF8">
        <w:t xml:space="preserve"> </w:t>
      </w:r>
    </w:p>
    <w:p w14:paraId="5E32037C" w14:textId="77777777" w:rsidR="00F154D1" w:rsidRDefault="00F154D1">
      <w:pPr>
        <w:spacing w:after="0" w:line="240" w:lineRule="auto"/>
      </w:pPr>
    </w:p>
    <w:p w14:paraId="1C7CBEA9" w14:textId="41589A4A" w:rsidR="00E43EE2" w:rsidRDefault="009E5C83" w:rsidP="00597600">
      <w:pPr>
        <w:pStyle w:val="Heading2"/>
      </w:pPr>
      <w:r>
        <w:lastRenderedPageBreak/>
        <w:t>Client Services</w:t>
      </w:r>
      <w:r w:rsidR="007F609B">
        <w:t xml:space="preserve"> </w:t>
      </w:r>
      <w:r w:rsidR="004175B7" w:rsidRPr="004175B7">
        <w:t xml:space="preserve"> </w:t>
      </w:r>
    </w:p>
    <w:p w14:paraId="3C21063F" w14:textId="6764E295"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09"/>
        <w:gridCol w:w="2001"/>
        <w:gridCol w:w="2285"/>
        <w:gridCol w:w="2281"/>
      </w:tblGrid>
      <w:tr w:rsidR="005613DD" w:rsidRPr="000E7EED" w14:paraId="5105FACB" w14:textId="61515848" w:rsidTr="00916F98">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741" w:type="pct"/>
            <w:shd w:val="clear" w:color="auto" w:fill="C3AFCC"/>
          </w:tcPr>
          <w:p w14:paraId="02AC0E7C" w14:textId="77777777" w:rsidR="005613DD" w:rsidRPr="000E7EED" w:rsidRDefault="005613DD"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993" w:type="pct"/>
            <w:shd w:val="clear" w:color="auto" w:fill="C3AFCC"/>
          </w:tcPr>
          <w:p w14:paraId="1DB462B9" w14:textId="4EF48844" w:rsidR="005613DD" w:rsidRPr="000E7EED" w:rsidRDefault="005613DD" w:rsidP="55245693">
            <w:pPr>
              <w:jc w:val="center"/>
              <w:rPr>
                <w:b/>
                <w:color w:val="000000" w:themeColor="text1"/>
              </w:rPr>
            </w:pPr>
            <w:r>
              <w:rPr>
                <w:b/>
                <w:color w:val="000000" w:themeColor="text1"/>
              </w:rPr>
              <w:t>Q4</w:t>
            </w:r>
          </w:p>
          <w:p w14:paraId="2C3C051D" w14:textId="0E5D9B01" w:rsidR="005613DD" w:rsidRPr="000E7EED" w:rsidRDefault="005613DD" w:rsidP="0039260E">
            <w:pPr>
              <w:jc w:val="center"/>
              <w:rPr>
                <w:color w:val="000000" w:themeColor="text1"/>
              </w:rPr>
            </w:pPr>
            <w:r w:rsidRPr="000E7EED">
              <w:rPr>
                <w:b/>
                <w:color w:val="000000" w:themeColor="text1"/>
              </w:rPr>
              <w:t>20</w:t>
            </w:r>
            <w:r>
              <w:rPr>
                <w:b/>
                <w:color w:val="000000" w:themeColor="text1"/>
              </w:rPr>
              <w:t>20-21</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C3AFCC"/>
          </w:tcPr>
          <w:p w14:paraId="47FD7D32" w14:textId="6062E19C" w:rsidR="005613DD" w:rsidRDefault="005613DD" w:rsidP="55245693">
            <w:pPr>
              <w:jc w:val="center"/>
              <w:rPr>
                <w:b/>
                <w:color w:val="000000" w:themeColor="text1"/>
              </w:rPr>
            </w:pPr>
            <w:r w:rsidRPr="55245693">
              <w:rPr>
                <w:b/>
                <w:color w:val="000000" w:themeColor="text1"/>
              </w:rPr>
              <w:t>Q</w:t>
            </w:r>
            <w:r>
              <w:rPr>
                <w:b/>
                <w:color w:val="000000" w:themeColor="text1"/>
              </w:rPr>
              <w:t>1</w:t>
            </w:r>
          </w:p>
          <w:p w14:paraId="62B8B011" w14:textId="5560535A" w:rsidR="005613DD" w:rsidRPr="00A76427" w:rsidRDefault="005613DD" w:rsidP="0039260E">
            <w:pPr>
              <w:jc w:val="center"/>
              <w:rPr>
                <w:b/>
                <w:color w:val="000000" w:themeColor="text1"/>
              </w:rPr>
            </w:pPr>
            <w:r w:rsidRPr="000E7EED">
              <w:rPr>
                <w:b/>
                <w:color w:val="000000" w:themeColor="text1"/>
              </w:rPr>
              <w:t>20</w:t>
            </w:r>
            <w:r>
              <w:rPr>
                <w:b/>
                <w:color w:val="000000" w:themeColor="text1"/>
              </w:rPr>
              <w:t>21-22</w:t>
            </w:r>
          </w:p>
        </w:tc>
        <w:tc>
          <w:tcPr>
            <w:cnfStyle w:val="000001000000" w:firstRow="0" w:lastRow="0" w:firstColumn="0" w:lastColumn="0" w:oddVBand="0" w:evenVBand="1" w:oddHBand="0" w:evenHBand="0" w:firstRowFirstColumn="0" w:firstRowLastColumn="0" w:lastRowFirstColumn="0" w:lastRowLastColumn="0"/>
            <w:tcW w:w="1132" w:type="pct"/>
            <w:shd w:val="clear" w:color="auto" w:fill="C3AFCC"/>
          </w:tcPr>
          <w:p w14:paraId="6B1834FE" w14:textId="40EB5B2B" w:rsidR="005613DD" w:rsidRDefault="005613DD" w:rsidP="55245693">
            <w:pPr>
              <w:jc w:val="center"/>
              <w:rPr>
                <w:b/>
                <w:bCs w:val="0"/>
                <w:color w:val="000000" w:themeColor="text1"/>
              </w:rPr>
            </w:pPr>
            <w:r>
              <w:rPr>
                <w:b/>
                <w:color w:val="000000" w:themeColor="text1"/>
              </w:rPr>
              <w:t>Q2 2021</w:t>
            </w:r>
            <w:r w:rsidR="00A93727">
              <w:rPr>
                <w:b/>
                <w:color w:val="000000" w:themeColor="text1"/>
              </w:rPr>
              <w:t xml:space="preserve"> - 22</w:t>
            </w:r>
          </w:p>
          <w:p w14:paraId="08B49C60" w14:textId="4461BA4C" w:rsidR="005613DD" w:rsidRPr="55245693" w:rsidRDefault="005613DD" w:rsidP="55245693">
            <w:pPr>
              <w:jc w:val="center"/>
              <w:rPr>
                <w:b/>
                <w:color w:val="000000" w:themeColor="text1"/>
              </w:rPr>
            </w:pPr>
            <w:r>
              <w:rPr>
                <w:b/>
                <w:color w:val="000000" w:themeColor="text1"/>
              </w:rPr>
              <w:t>projection</w:t>
            </w:r>
          </w:p>
        </w:tc>
      </w:tr>
      <w:tr w:rsidR="005613DD" w:rsidRPr="000E7EED" w14:paraId="712E240F" w14:textId="13DFB6AA" w:rsidTr="00916F98">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1741" w:type="pct"/>
          </w:tcPr>
          <w:p w14:paraId="6D73261E" w14:textId="77777777" w:rsidR="005613DD" w:rsidRPr="000E7EED" w:rsidRDefault="005613DD"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993" w:type="pct"/>
            <w:vAlign w:val="center"/>
          </w:tcPr>
          <w:p w14:paraId="758A4E12" w14:textId="222C7A19" w:rsidR="005613DD" w:rsidRPr="000E7EED" w:rsidRDefault="00134311" w:rsidP="001C26CE">
            <w:pPr>
              <w:jc w:val="center"/>
              <w:rPr>
                <w:color w:val="000000" w:themeColor="text1"/>
              </w:rPr>
            </w:pPr>
            <w:r>
              <w:rPr>
                <w:color w:val="000000" w:themeColor="text1"/>
              </w:rPr>
              <w:t>20,390</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D9D9D9" w:themeFill="background1" w:themeFillShade="D9"/>
            <w:vAlign w:val="center"/>
          </w:tcPr>
          <w:p w14:paraId="5C50A8F1" w14:textId="31C33891" w:rsidR="005613DD" w:rsidRPr="0021615C" w:rsidRDefault="49A11A36" w:rsidP="001C26CE">
            <w:pPr>
              <w:jc w:val="center"/>
            </w:pPr>
            <w:r>
              <w:t>26,092</w:t>
            </w:r>
          </w:p>
        </w:tc>
        <w:tc>
          <w:tcPr>
            <w:cnfStyle w:val="000001000000" w:firstRow="0" w:lastRow="0" w:firstColumn="0" w:lastColumn="0" w:oddVBand="0" w:evenVBand="1" w:oddHBand="0" w:evenHBand="0" w:firstRowFirstColumn="0" w:firstRowLastColumn="0" w:lastRowFirstColumn="0" w:lastRowLastColumn="0"/>
            <w:tcW w:w="1132" w:type="pct"/>
            <w:shd w:val="clear" w:color="auto" w:fill="auto"/>
            <w:vAlign w:val="center"/>
          </w:tcPr>
          <w:p w14:paraId="086F5C8C" w14:textId="293D391B" w:rsidR="005613DD" w:rsidRDefault="49A11A36" w:rsidP="001C26CE">
            <w:pPr>
              <w:jc w:val="center"/>
            </w:pPr>
            <w:r>
              <w:t>28,224</w:t>
            </w:r>
          </w:p>
        </w:tc>
      </w:tr>
    </w:tbl>
    <w:bookmarkEnd w:id="0"/>
    <w:p w14:paraId="04191641" w14:textId="10C83B71" w:rsidR="00881695" w:rsidRDefault="00792729" w:rsidP="002A7FC0">
      <w:pPr>
        <w:spacing w:before="120"/>
      </w:pPr>
      <w:r>
        <w:t>Unique cli</w:t>
      </w:r>
      <w:r w:rsidR="00273DD0">
        <w:t xml:space="preserve">ent numbers </w:t>
      </w:r>
      <w:r w:rsidR="00E30EE1">
        <w:t>are higher</w:t>
      </w:r>
      <w:r w:rsidR="00273DD0">
        <w:t xml:space="preserve"> in quarter one compared to quarter four 2020</w:t>
      </w:r>
      <w:r w:rsidR="00FD46D6">
        <w:rPr>
          <w:lang w:eastAsia="en-AU"/>
        </w:rPr>
        <w:t>–</w:t>
      </w:r>
      <w:r w:rsidR="00273DD0">
        <w:t xml:space="preserve">21 </w:t>
      </w:r>
      <w:r w:rsidR="00A866A3">
        <w:t>by 28 per</w:t>
      </w:r>
      <w:r w:rsidR="002B3E79">
        <w:t xml:space="preserve"> </w:t>
      </w:r>
      <w:r w:rsidR="00A866A3">
        <w:t>cent</w:t>
      </w:r>
      <w:r w:rsidR="00AD6DFC">
        <w:t xml:space="preserve"> (Table 1.1)</w:t>
      </w:r>
      <w:r w:rsidR="00A866A3">
        <w:t>. Th</w:t>
      </w:r>
      <w:r w:rsidR="0082762D">
        <w:t xml:space="preserve">is </w:t>
      </w:r>
      <w:r w:rsidR="00A866A3">
        <w:t xml:space="preserve">increase </w:t>
      </w:r>
      <w:r w:rsidR="00E30EE1">
        <w:t xml:space="preserve">is reflective of </w:t>
      </w:r>
      <w:r w:rsidR="00C629D4">
        <w:t>the beginning of the new financial year</w:t>
      </w:r>
      <w:r w:rsidR="00BF35E0">
        <w:t xml:space="preserve">. As clients are counted the first time we see them in a year, </w:t>
      </w:r>
      <w:r w:rsidR="00F22992">
        <w:t xml:space="preserve">client numbers are </w:t>
      </w:r>
      <w:r w:rsidR="006F13D1">
        <w:t>higher in the first half of the year.</w:t>
      </w:r>
      <w:r w:rsidR="0008503F">
        <w:t xml:space="preserve"> </w:t>
      </w:r>
      <w:r w:rsidR="00293C1C">
        <w:t xml:space="preserve">Many clients require multiple services throughout the year. </w:t>
      </w:r>
      <w:r w:rsidR="0027648C">
        <w:t xml:space="preserve">Numbers are expected in increase in quarter </w:t>
      </w:r>
      <w:r w:rsidR="008276FE">
        <w:t>two but</w:t>
      </w:r>
      <w:r w:rsidR="0027648C">
        <w:t xml:space="preserve"> are dependent on courts and </w:t>
      </w:r>
      <w:r w:rsidR="00D15BB5">
        <w:t>the delivery of</w:t>
      </w:r>
      <w:r w:rsidR="00F034F7">
        <w:t xml:space="preserve"> more in</w:t>
      </w:r>
      <w:r w:rsidR="004B3329">
        <w:t>-</w:t>
      </w:r>
      <w:r w:rsidR="00F034F7">
        <w:t>person services and higher capacity</w:t>
      </w:r>
      <w:r w:rsidR="00D15BB5">
        <w:t xml:space="preserve"> level</w:t>
      </w:r>
      <w:r w:rsidR="00860B69">
        <w:t xml:space="preserve">. </w:t>
      </w:r>
    </w:p>
    <w:p w14:paraId="71C1B22F" w14:textId="3C1DFF6F" w:rsidR="00E43EE2" w:rsidRDefault="007C1487" w:rsidP="00E43EE2">
      <w:pPr>
        <w:pStyle w:val="Tableheader"/>
      </w:pPr>
      <w:bookmarkStart w:id="1" w:name="_Hlk52886498"/>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73"/>
        <w:gridCol w:w="2110"/>
        <w:gridCol w:w="1661"/>
        <w:gridCol w:w="1916"/>
        <w:gridCol w:w="1916"/>
      </w:tblGrid>
      <w:tr w:rsidR="00EC27F0" w:rsidRPr="000E7EED" w14:paraId="610BF466" w14:textId="21499514" w:rsidTr="673921BC">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1227" w:type="pct"/>
            <w:shd w:val="clear" w:color="auto" w:fill="C4B0CC"/>
          </w:tcPr>
          <w:p w14:paraId="685BCF7D" w14:textId="306AA6B1" w:rsidR="00EC27F0" w:rsidRPr="000E7EED" w:rsidRDefault="00EC27F0" w:rsidP="0039260E">
            <w:pPr>
              <w:rPr>
                <w:color w:val="000000" w:themeColor="text1"/>
              </w:rPr>
            </w:pPr>
            <w:bookmarkStart w:id="2"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047" w:type="pct"/>
            <w:shd w:val="clear" w:color="auto" w:fill="C3AFCC"/>
          </w:tcPr>
          <w:p w14:paraId="7CEF1135" w14:textId="57655427" w:rsidR="00EC27F0" w:rsidRPr="55245693" w:rsidRDefault="00EC27F0" w:rsidP="55245693">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824" w:type="pct"/>
            <w:shd w:val="clear" w:color="auto" w:fill="C3AFCC"/>
          </w:tcPr>
          <w:p w14:paraId="77F6F763" w14:textId="3C3F2BB3" w:rsidR="00EC27F0" w:rsidRPr="000E7EED" w:rsidRDefault="00EC27F0" w:rsidP="006E182A">
            <w:pPr>
              <w:jc w:val="center"/>
              <w:rPr>
                <w:b/>
                <w:color w:val="000000" w:themeColor="text1"/>
              </w:rPr>
            </w:pPr>
            <w:r>
              <w:rPr>
                <w:b/>
                <w:color w:val="000000" w:themeColor="text1"/>
              </w:rPr>
              <w:t>Q4</w:t>
            </w:r>
          </w:p>
          <w:p w14:paraId="537B5889" w14:textId="587D7B49" w:rsidR="00EC27F0" w:rsidRPr="000E7EED" w:rsidRDefault="00EC27F0" w:rsidP="006E182A">
            <w:pPr>
              <w:jc w:val="center"/>
              <w:rPr>
                <w:color w:val="000000" w:themeColor="text1"/>
              </w:rPr>
            </w:pPr>
            <w:r w:rsidRPr="000E7EED">
              <w:rPr>
                <w:b/>
                <w:color w:val="000000" w:themeColor="text1"/>
              </w:rPr>
              <w:t>20</w:t>
            </w:r>
            <w:r>
              <w:rPr>
                <w:b/>
                <w:color w:val="000000" w:themeColor="text1"/>
              </w:rPr>
              <w:t>20-21</w:t>
            </w:r>
          </w:p>
        </w:tc>
        <w:tc>
          <w:tcPr>
            <w:cnfStyle w:val="000001000000" w:firstRow="0" w:lastRow="0" w:firstColumn="0" w:lastColumn="0" w:oddVBand="0" w:evenVBand="1" w:oddHBand="0" w:evenHBand="0" w:firstRowFirstColumn="0" w:firstRowLastColumn="0" w:lastRowFirstColumn="0" w:lastRowLastColumn="0"/>
            <w:tcW w:w="951" w:type="pct"/>
            <w:shd w:val="clear" w:color="auto" w:fill="C3AFCC"/>
          </w:tcPr>
          <w:p w14:paraId="0BF5C0EA" w14:textId="77777777" w:rsidR="00EC27F0" w:rsidRDefault="00EC27F0" w:rsidP="006E182A">
            <w:pPr>
              <w:jc w:val="center"/>
              <w:rPr>
                <w:b/>
                <w:color w:val="000000" w:themeColor="text1"/>
              </w:rPr>
            </w:pPr>
            <w:r w:rsidRPr="55245693">
              <w:rPr>
                <w:b/>
                <w:color w:val="000000" w:themeColor="text1"/>
              </w:rPr>
              <w:t>Q</w:t>
            </w:r>
            <w:r>
              <w:rPr>
                <w:b/>
                <w:color w:val="000000" w:themeColor="text1"/>
              </w:rPr>
              <w:t>1</w:t>
            </w:r>
          </w:p>
          <w:p w14:paraId="7F054B76" w14:textId="6DF69484" w:rsidR="00EC27F0" w:rsidRPr="00A76427" w:rsidRDefault="00EC27F0" w:rsidP="006E182A">
            <w:pPr>
              <w:jc w:val="center"/>
              <w:rPr>
                <w:b/>
                <w:color w:val="000000" w:themeColor="text1"/>
              </w:rPr>
            </w:pPr>
            <w:r w:rsidRPr="000E7EED">
              <w:rPr>
                <w:b/>
                <w:color w:val="000000" w:themeColor="text1"/>
              </w:rPr>
              <w:t>20</w:t>
            </w:r>
            <w:r>
              <w:rPr>
                <w:b/>
                <w:color w:val="000000" w:themeColor="text1"/>
              </w:rPr>
              <w:t>21-22</w:t>
            </w:r>
          </w:p>
        </w:tc>
        <w:tc>
          <w:tcPr>
            <w:cnfStyle w:val="000010000000" w:firstRow="0" w:lastRow="0" w:firstColumn="0" w:lastColumn="0" w:oddVBand="1" w:evenVBand="0" w:oddHBand="0" w:evenHBand="0" w:firstRowFirstColumn="0" w:firstRowLastColumn="0" w:lastRowFirstColumn="0" w:lastRowLastColumn="0"/>
            <w:tcW w:w="951" w:type="pct"/>
            <w:shd w:val="clear" w:color="auto" w:fill="C3AFCC"/>
          </w:tcPr>
          <w:p w14:paraId="25613812" w14:textId="7D83D285" w:rsidR="00EC27F0" w:rsidRDefault="00EC27F0" w:rsidP="006E182A">
            <w:pPr>
              <w:jc w:val="center"/>
              <w:rPr>
                <w:b/>
                <w:bCs w:val="0"/>
                <w:color w:val="000000" w:themeColor="text1"/>
              </w:rPr>
            </w:pPr>
            <w:r>
              <w:rPr>
                <w:b/>
                <w:color w:val="000000" w:themeColor="text1"/>
              </w:rPr>
              <w:t>Q2 2021</w:t>
            </w:r>
            <w:r w:rsidR="00A93727">
              <w:rPr>
                <w:b/>
                <w:color w:val="000000" w:themeColor="text1"/>
              </w:rPr>
              <w:t xml:space="preserve"> - 22</w:t>
            </w:r>
          </w:p>
          <w:p w14:paraId="1EE8EA13" w14:textId="1DB0C49C" w:rsidR="00EC27F0" w:rsidRPr="55245693" w:rsidRDefault="00EC27F0" w:rsidP="006E182A">
            <w:pPr>
              <w:jc w:val="center"/>
              <w:rPr>
                <w:b/>
                <w:color w:val="000000" w:themeColor="text1"/>
              </w:rPr>
            </w:pPr>
            <w:r>
              <w:rPr>
                <w:b/>
                <w:color w:val="000000" w:themeColor="text1"/>
              </w:rPr>
              <w:t>projection</w:t>
            </w:r>
          </w:p>
        </w:tc>
      </w:tr>
      <w:tr w:rsidR="00EC27F0" w:rsidRPr="000E7EED" w14:paraId="673A80E6" w14:textId="68688B27" w:rsidTr="673921BC">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27" w:type="pct"/>
            <w:vMerge w:val="restart"/>
          </w:tcPr>
          <w:p w14:paraId="22ABC519" w14:textId="103D0FC9" w:rsidR="00EC27F0" w:rsidRPr="001F0CF5" w:rsidRDefault="00EC27F0" w:rsidP="00E4220A">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1047" w:type="pct"/>
          </w:tcPr>
          <w:p w14:paraId="50E1615B" w14:textId="185CA98D" w:rsidR="00EC27F0" w:rsidRPr="000E7EED" w:rsidRDefault="00EC27F0" w:rsidP="00E4220A">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824" w:type="pct"/>
            <w:vAlign w:val="center"/>
          </w:tcPr>
          <w:p w14:paraId="32B513F8" w14:textId="41D59337" w:rsidR="00EC27F0" w:rsidRPr="000E7EED" w:rsidRDefault="0011562F" w:rsidP="001C26CE">
            <w:pPr>
              <w:jc w:val="center"/>
              <w:rPr>
                <w:color w:val="000000" w:themeColor="text1"/>
              </w:rPr>
            </w:pPr>
            <w:r>
              <w:rPr>
                <w:color w:val="000000" w:themeColor="text1"/>
              </w:rPr>
              <w:t>33,910</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12828136" w14:textId="415BFCC2" w:rsidR="00EC27F0" w:rsidRPr="0021615C" w:rsidRDefault="10061977" w:rsidP="001C26CE">
            <w:pPr>
              <w:jc w:val="center"/>
            </w:pPr>
            <w:r>
              <w:t>36,145</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0DAF5679" w14:textId="4B6EE7E3" w:rsidR="00EC27F0" w:rsidRDefault="10061977" w:rsidP="001C26CE">
            <w:pPr>
              <w:jc w:val="center"/>
              <w:rPr>
                <w:szCs w:val="22"/>
              </w:rPr>
            </w:pPr>
            <w:r>
              <w:t>37,882</w:t>
            </w:r>
          </w:p>
        </w:tc>
      </w:tr>
      <w:tr w:rsidR="00EC27F0" w:rsidRPr="000E7EED" w14:paraId="1B8D8858" w14:textId="1A952ABD" w:rsidTr="673921BC">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27" w:type="pct"/>
            <w:vMerge/>
          </w:tcPr>
          <w:p w14:paraId="6FE97750" w14:textId="77777777" w:rsidR="00EC27F0" w:rsidRPr="001F0CF5" w:rsidRDefault="00EC27F0" w:rsidP="005D269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047" w:type="pct"/>
            <w:tcBorders>
              <w:top w:val="single" w:sz="4" w:space="0" w:color="7F7F7F" w:themeColor="text1" w:themeTint="80"/>
            </w:tcBorders>
          </w:tcPr>
          <w:p w14:paraId="6A9325D5" w14:textId="17639081" w:rsidR="00EC27F0" w:rsidRPr="000E7EED" w:rsidRDefault="00EC27F0" w:rsidP="005D269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824" w:type="pct"/>
            <w:vAlign w:val="center"/>
          </w:tcPr>
          <w:p w14:paraId="2A1F3A44" w14:textId="36B7F7E4" w:rsidR="00EC27F0" w:rsidRPr="000E7EED" w:rsidRDefault="0011562F" w:rsidP="001C26CE">
            <w:pPr>
              <w:jc w:val="center"/>
              <w:rPr>
                <w:color w:val="000000" w:themeColor="text1"/>
              </w:rPr>
            </w:pPr>
            <w:r>
              <w:rPr>
                <w:color w:val="000000" w:themeColor="text1"/>
              </w:rPr>
              <w:t>11,030</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0B0B0D09" w14:textId="68C32579" w:rsidR="00EC27F0" w:rsidRPr="0021615C" w:rsidRDefault="43D12FD3" w:rsidP="001C26CE">
            <w:pPr>
              <w:jc w:val="center"/>
            </w:pPr>
            <w:r>
              <w:t>10,783</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679552C6" w14:textId="72EDD0AF" w:rsidR="00EC27F0" w:rsidRDefault="43D12FD3" w:rsidP="001C26CE">
            <w:pPr>
              <w:jc w:val="center"/>
            </w:pPr>
            <w:r>
              <w:t>10,440</w:t>
            </w:r>
          </w:p>
        </w:tc>
      </w:tr>
      <w:tr w:rsidR="00EC27F0" w:rsidRPr="000E7EED" w14:paraId="63EA8C9D" w14:textId="66956605" w:rsidTr="673921BC">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27" w:type="pct"/>
            <w:vMerge w:val="restart"/>
          </w:tcPr>
          <w:p w14:paraId="343F4B5B" w14:textId="11A27AD7" w:rsidR="00EC27F0" w:rsidRPr="001F0CF5" w:rsidRDefault="00EC27F0" w:rsidP="00E4220A">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047" w:type="pct"/>
          </w:tcPr>
          <w:p w14:paraId="2AA551BD" w14:textId="762B83B8" w:rsidR="00EC27F0" w:rsidRPr="000E7EED" w:rsidRDefault="00EC27F0" w:rsidP="005D2691">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824" w:type="pct"/>
            <w:vAlign w:val="center"/>
          </w:tcPr>
          <w:p w14:paraId="7B3AC051" w14:textId="2B6D14A6" w:rsidR="00EC27F0" w:rsidRPr="000E7EED" w:rsidRDefault="0011562F" w:rsidP="001C26CE">
            <w:pPr>
              <w:jc w:val="center"/>
              <w:rPr>
                <w:color w:val="000000" w:themeColor="text1"/>
              </w:rPr>
            </w:pPr>
            <w:r>
              <w:rPr>
                <w:color w:val="000000" w:themeColor="text1"/>
              </w:rPr>
              <w:t>17,530</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0C7F4A16" w14:textId="6359DF7A" w:rsidR="00EC27F0" w:rsidRPr="0021615C" w:rsidRDefault="4C64D960" w:rsidP="001C26CE">
            <w:pPr>
              <w:jc w:val="center"/>
            </w:pPr>
            <w:r>
              <w:t>21,602</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0C77C3D5" w14:textId="615B9C13" w:rsidR="00EC27F0" w:rsidRDefault="4C64D960" w:rsidP="001C26CE">
            <w:pPr>
              <w:jc w:val="center"/>
            </w:pPr>
            <w:r>
              <w:t>27,322</w:t>
            </w:r>
          </w:p>
        </w:tc>
      </w:tr>
      <w:tr w:rsidR="00EC27F0" w:rsidRPr="000E7EED" w14:paraId="7DCD8807" w14:textId="69A07913" w:rsidTr="673921BC">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27" w:type="pct"/>
            <w:vMerge/>
          </w:tcPr>
          <w:p w14:paraId="58C5451E" w14:textId="77777777" w:rsidR="00EC27F0" w:rsidRDefault="00EC27F0" w:rsidP="005D269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047" w:type="pct"/>
            <w:tcBorders>
              <w:top w:val="single" w:sz="4" w:space="0" w:color="7F7F7F" w:themeColor="text1" w:themeTint="80"/>
            </w:tcBorders>
          </w:tcPr>
          <w:p w14:paraId="22F965B2" w14:textId="769783D4" w:rsidR="00EC27F0" w:rsidRPr="000E7EED" w:rsidRDefault="00EC27F0" w:rsidP="005D269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824" w:type="pct"/>
            <w:vAlign w:val="center"/>
          </w:tcPr>
          <w:p w14:paraId="54BF1051" w14:textId="0D672CFC" w:rsidR="00EC27F0" w:rsidRPr="000E7EED" w:rsidRDefault="0011562F" w:rsidP="001C26CE">
            <w:pPr>
              <w:jc w:val="center"/>
              <w:rPr>
                <w:color w:val="000000" w:themeColor="text1"/>
              </w:rPr>
            </w:pPr>
            <w:r>
              <w:rPr>
                <w:color w:val="000000" w:themeColor="text1"/>
              </w:rPr>
              <w:t>10,194</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40E1C52C" w14:textId="370EF1FC" w:rsidR="00EC27F0" w:rsidRPr="0021615C" w:rsidRDefault="30F889FD" w:rsidP="001C26CE">
            <w:pPr>
              <w:jc w:val="center"/>
            </w:pPr>
            <w:r>
              <w:t>10,261</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4C51BEAB" w14:textId="3421F366" w:rsidR="00EC27F0" w:rsidRDefault="30F889FD" w:rsidP="001C26CE">
            <w:pPr>
              <w:jc w:val="center"/>
            </w:pPr>
            <w:r>
              <w:t>9,396</w:t>
            </w:r>
          </w:p>
        </w:tc>
      </w:tr>
      <w:tr w:rsidR="000F7B6D" w:rsidRPr="000E7EED" w14:paraId="413F851F" w14:textId="77777777" w:rsidTr="673921BC">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227" w:type="pct"/>
          </w:tcPr>
          <w:p w14:paraId="152892DE" w14:textId="1A6F0CC3" w:rsidR="000F7B6D" w:rsidRPr="673921BC" w:rsidRDefault="000F7B6D" w:rsidP="00140CB0">
            <w:pPr>
              <w:rPr>
                <w:color w:val="000000" w:themeColor="text1"/>
              </w:rPr>
            </w:pPr>
            <w:r w:rsidRPr="673921BC">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1047" w:type="pct"/>
          </w:tcPr>
          <w:p w14:paraId="5096FFF3" w14:textId="6576256E" w:rsidR="000F7B6D" w:rsidRDefault="00C4132A" w:rsidP="00140CB0">
            <w:pPr>
              <w:rPr>
                <w:color w:val="000000" w:themeColor="text1"/>
              </w:rPr>
            </w:pPr>
            <w:r>
              <w:rPr>
                <w:color w:val="000000" w:themeColor="text1"/>
              </w:rPr>
              <w:t>Phone</w:t>
            </w:r>
            <w:r w:rsidR="000170AE">
              <w:rPr>
                <w:color w:val="000000" w:themeColor="text1"/>
              </w:rPr>
              <w:t>line</w:t>
            </w:r>
            <w:r>
              <w:rPr>
                <w:color w:val="000000" w:themeColor="text1"/>
              </w:rPr>
              <w:t xml:space="preserve"> and web chat</w:t>
            </w:r>
            <w:r w:rsidR="000170AE">
              <w:rPr>
                <w:color w:val="000000" w:themeColor="text1"/>
              </w:rPr>
              <w:t xml:space="preserve"> (consolidated)</w:t>
            </w:r>
          </w:p>
        </w:tc>
        <w:tc>
          <w:tcPr>
            <w:cnfStyle w:val="000010000000" w:firstRow="0" w:lastRow="0" w:firstColumn="0" w:lastColumn="0" w:oddVBand="1" w:evenVBand="0" w:oddHBand="0" w:evenHBand="0" w:firstRowFirstColumn="0" w:firstRowLastColumn="0" w:lastRowFirstColumn="0" w:lastRowLastColumn="0"/>
            <w:tcW w:w="824" w:type="pct"/>
            <w:vAlign w:val="center"/>
          </w:tcPr>
          <w:p w14:paraId="4BE5FB0C" w14:textId="64E7A0DA" w:rsidR="000F7B6D" w:rsidRDefault="008F6A87" w:rsidP="001C26CE">
            <w:pPr>
              <w:jc w:val="center"/>
              <w:rPr>
                <w:color w:val="000000" w:themeColor="text1"/>
              </w:rPr>
            </w:pPr>
            <w:r>
              <w:rPr>
                <w:color w:val="000000" w:themeColor="text1"/>
              </w:rPr>
              <w:t>15</w:t>
            </w:r>
            <w:r w:rsidR="00690CBC">
              <w:rPr>
                <w:color w:val="000000" w:themeColor="text1"/>
              </w:rPr>
              <w:t>:02</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50DCD92B" w14:textId="6A186864" w:rsidR="000F7B6D" w:rsidRDefault="002B6FD2" w:rsidP="001C26CE">
            <w:pPr>
              <w:jc w:val="center"/>
            </w:pPr>
            <w:r>
              <w:t>11:42</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43843058" w14:textId="7D00E2CD" w:rsidR="000F7B6D" w:rsidRDefault="0034336E" w:rsidP="001C26CE">
            <w:pPr>
              <w:jc w:val="center"/>
            </w:pPr>
            <w:r>
              <w:t>12:30</w:t>
            </w:r>
          </w:p>
        </w:tc>
      </w:tr>
    </w:tbl>
    <w:bookmarkEnd w:id="1"/>
    <w:bookmarkEnd w:id="2"/>
    <w:p w14:paraId="44596094" w14:textId="77777777" w:rsidR="00354647" w:rsidRDefault="00F420D1" w:rsidP="00FA1822">
      <w:pPr>
        <w:spacing w:before="120"/>
      </w:pPr>
      <w:r>
        <w:t xml:space="preserve">VLA’s </w:t>
      </w:r>
      <w:r w:rsidR="00E97CD9">
        <w:t xml:space="preserve">Legal Help </w:t>
      </w:r>
      <w:r>
        <w:t xml:space="preserve">service </w:t>
      </w:r>
      <w:r w:rsidR="00E97CD9">
        <w:t xml:space="preserve">is the main provider of </w:t>
      </w:r>
      <w:r w:rsidR="00780683">
        <w:t>information and advice services at VLA. In quarter one 2021</w:t>
      </w:r>
      <w:r w:rsidR="00FD46D6">
        <w:rPr>
          <w:lang w:eastAsia="en-AU"/>
        </w:rPr>
        <w:t>–</w:t>
      </w:r>
      <w:r w:rsidR="00780683">
        <w:t xml:space="preserve">22 </w:t>
      </w:r>
      <w:r w:rsidR="003F5C19">
        <w:t>there was a</w:t>
      </w:r>
      <w:r w:rsidR="00780683">
        <w:t xml:space="preserve"> </w:t>
      </w:r>
      <w:r w:rsidR="00D12FF0">
        <w:t>15 per</w:t>
      </w:r>
      <w:r w:rsidR="002B3E79">
        <w:t xml:space="preserve"> </w:t>
      </w:r>
      <w:r w:rsidR="00D12FF0">
        <w:t>cent increase in the</w:t>
      </w:r>
      <w:r w:rsidR="008A659E">
        <w:t xml:space="preserve"> total</w:t>
      </w:r>
      <w:r w:rsidR="00D12FF0">
        <w:t xml:space="preserve"> number of </w:t>
      </w:r>
      <w:r w:rsidR="00E947F3">
        <w:t>Legal Help sessions delivered (Table 1.2).</w:t>
      </w:r>
    </w:p>
    <w:p w14:paraId="45F65662" w14:textId="0F47BCA8" w:rsidR="00F54198" w:rsidRDefault="008A659E" w:rsidP="00FA1822">
      <w:pPr>
        <w:spacing w:before="120"/>
      </w:pPr>
      <w:r>
        <w:t xml:space="preserve">The introduction of new </w:t>
      </w:r>
      <w:r w:rsidR="00C15C07">
        <w:t xml:space="preserve">technology and </w:t>
      </w:r>
      <w:r>
        <w:t>software</w:t>
      </w:r>
      <w:r w:rsidR="00972E3F">
        <w:t xml:space="preserve">, along with </w:t>
      </w:r>
      <w:r w:rsidR="00690250">
        <w:t>the establishment of</w:t>
      </w:r>
      <w:r w:rsidR="00972E3F">
        <w:t xml:space="preserve"> priority phone </w:t>
      </w:r>
      <w:r w:rsidR="002B5EE3">
        <w:t xml:space="preserve">lines </w:t>
      </w:r>
      <w:r w:rsidR="00972E3F">
        <w:t xml:space="preserve">and </w:t>
      </w:r>
      <w:r w:rsidR="003B0F0F">
        <w:t xml:space="preserve">the expansion of </w:t>
      </w:r>
      <w:r w:rsidR="00972E3F">
        <w:t>webchat</w:t>
      </w:r>
      <w:r w:rsidR="003B0F0F">
        <w:t xml:space="preserve"> services during the pandemic</w:t>
      </w:r>
      <w:r w:rsidR="00FD7AA5">
        <w:t>, has</w:t>
      </w:r>
      <w:r w:rsidR="00C15C07">
        <w:t xml:space="preserve"> </w:t>
      </w:r>
      <w:r w:rsidR="005D287F">
        <w:t xml:space="preserve">increased </w:t>
      </w:r>
      <w:r w:rsidR="00F55567">
        <w:t xml:space="preserve">Legal Help’s </w:t>
      </w:r>
      <w:r w:rsidR="00DA326B">
        <w:t xml:space="preserve">capacity </w:t>
      </w:r>
      <w:r w:rsidR="00BC593D">
        <w:t xml:space="preserve">to respond to </w:t>
      </w:r>
      <w:r w:rsidR="00E469FC">
        <w:t>requests for assistance from clients</w:t>
      </w:r>
      <w:r w:rsidR="00F55567">
        <w:t>.</w:t>
      </w:r>
      <w:r w:rsidR="008B5F84">
        <w:t xml:space="preserve"> </w:t>
      </w:r>
      <w:r w:rsidR="00B9413D">
        <w:t xml:space="preserve">The </w:t>
      </w:r>
      <w:r w:rsidR="007954D3">
        <w:t>average</w:t>
      </w:r>
      <w:r w:rsidR="00057E82">
        <w:t xml:space="preserve"> wait time for clients contacting the service </w:t>
      </w:r>
      <w:r w:rsidR="00A76CD1">
        <w:t xml:space="preserve">has decreased – the combined average wait time (phone line and webchat services) for the quarter </w:t>
      </w:r>
      <w:r w:rsidR="00A76CD1" w:rsidRPr="0064690D">
        <w:t xml:space="preserve">decreased by </w:t>
      </w:r>
      <w:r w:rsidR="00A76CD1" w:rsidRPr="003B0615">
        <w:t xml:space="preserve">3.6 </w:t>
      </w:r>
      <w:r w:rsidR="00A76CD1" w:rsidRPr="0064690D">
        <w:t>minutes in quarter one 2021</w:t>
      </w:r>
      <w:r w:rsidR="00A76CD1">
        <w:rPr>
          <w:lang w:eastAsia="en-AU"/>
        </w:rPr>
        <w:t>–</w:t>
      </w:r>
      <w:r w:rsidR="00A76CD1" w:rsidRPr="00B1443B">
        <w:t>22</w:t>
      </w:r>
      <w:r w:rsidR="00A76CD1">
        <w:t xml:space="preserve"> compared to the previous quarter (Table 1.2). </w:t>
      </w:r>
      <w:r w:rsidR="00A518C2">
        <w:t xml:space="preserve">We expect this trend to continue in </w:t>
      </w:r>
      <w:r w:rsidR="00BE200D">
        <w:t>quarter two</w:t>
      </w:r>
      <w:r w:rsidR="00A714BA">
        <w:t xml:space="preserve">, subject to any increase in demand </w:t>
      </w:r>
      <w:r w:rsidR="00771385">
        <w:t>following the easing of restrictions</w:t>
      </w:r>
      <w:r w:rsidR="008C77F8">
        <w:t xml:space="preserve">. </w:t>
      </w:r>
    </w:p>
    <w:p w14:paraId="548B2E87" w14:textId="27205ACD" w:rsidR="008F1B38" w:rsidRDefault="007C1487" w:rsidP="00E43EE2">
      <w:pPr>
        <w:pStyle w:val="Tableheader"/>
      </w:pPr>
      <w:r>
        <w:lastRenderedPageBreak/>
        <w:t xml:space="preserve">Table 1.3 </w:t>
      </w:r>
      <w:r w:rsidR="00495A11" w:rsidRPr="00495A11">
        <w:t>Early Intervention and Preventative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5"/>
        <w:gridCol w:w="1973"/>
        <w:gridCol w:w="2289"/>
        <w:gridCol w:w="2289"/>
      </w:tblGrid>
      <w:tr w:rsidR="00EC27F0" w14:paraId="4E36734E" w14:textId="6F69B069" w:rsidTr="50D09DD3">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749" w:type="pct"/>
            <w:shd w:val="clear" w:color="auto" w:fill="C4B0CC"/>
          </w:tcPr>
          <w:p w14:paraId="69A5DE08" w14:textId="77777777" w:rsidR="00EC27F0" w:rsidRPr="00495A11" w:rsidRDefault="00EC27F0" w:rsidP="00B15BE5">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979" w:type="pct"/>
            <w:shd w:val="clear" w:color="auto" w:fill="C4B0CC"/>
          </w:tcPr>
          <w:p w14:paraId="1AF6C843" w14:textId="5A1E47E1" w:rsidR="00EC27F0" w:rsidRPr="000E7EED" w:rsidRDefault="00EC27F0" w:rsidP="006E182A">
            <w:pPr>
              <w:jc w:val="center"/>
              <w:rPr>
                <w:b/>
                <w:color w:val="000000" w:themeColor="text1"/>
              </w:rPr>
            </w:pPr>
            <w:r>
              <w:rPr>
                <w:b/>
                <w:color w:val="000000" w:themeColor="text1"/>
              </w:rPr>
              <w:t>Q4</w:t>
            </w:r>
          </w:p>
          <w:p w14:paraId="1B43C195" w14:textId="086D7481" w:rsidR="00EC27F0" w:rsidRPr="00495A11" w:rsidRDefault="00EC27F0" w:rsidP="006E182A">
            <w:pPr>
              <w:jc w:val="center"/>
              <w:rPr>
                <w:b/>
                <w:color w:val="000000" w:themeColor="text1"/>
              </w:rPr>
            </w:pPr>
            <w:r w:rsidRPr="000E7EED">
              <w:rPr>
                <w:b/>
                <w:color w:val="000000" w:themeColor="text1"/>
              </w:rPr>
              <w:t>20</w:t>
            </w:r>
            <w:r>
              <w:rPr>
                <w:b/>
                <w:color w:val="000000" w:themeColor="text1"/>
              </w:rPr>
              <w:t>20-21</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0DD864E7" w14:textId="77777777" w:rsidR="00EC27F0" w:rsidRDefault="00EC27F0" w:rsidP="006E182A">
            <w:pPr>
              <w:jc w:val="center"/>
              <w:rPr>
                <w:b/>
                <w:color w:val="000000" w:themeColor="text1"/>
              </w:rPr>
            </w:pPr>
            <w:r w:rsidRPr="55245693">
              <w:rPr>
                <w:b/>
                <w:color w:val="000000" w:themeColor="text1"/>
              </w:rPr>
              <w:t>Q</w:t>
            </w:r>
            <w:r>
              <w:rPr>
                <w:b/>
                <w:color w:val="000000" w:themeColor="text1"/>
              </w:rPr>
              <w:t>1</w:t>
            </w:r>
          </w:p>
          <w:p w14:paraId="1AE9CE31" w14:textId="41A399C8" w:rsidR="00EC27F0" w:rsidRPr="00495A11" w:rsidRDefault="00EC27F0" w:rsidP="006E182A">
            <w:pPr>
              <w:jc w:val="center"/>
              <w:rPr>
                <w:b/>
                <w:color w:val="000000" w:themeColor="text1"/>
              </w:rPr>
            </w:pPr>
            <w:r w:rsidRPr="000E7EED">
              <w:rPr>
                <w:b/>
                <w:color w:val="000000" w:themeColor="text1"/>
              </w:rPr>
              <w:t>20</w:t>
            </w:r>
            <w:r>
              <w:rPr>
                <w:b/>
                <w:color w:val="000000" w:themeColor="text1"/>
              </w:rPr>
              <w:t>21-22</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63DD146F" w14:textId="2FC77BD0" w:rsidR="00EC27F0" w:rsidRDefault="00EC27F0" w:rsidP="006E182A">
            <w:pPr>
              <w:jc w:val="center"/>
              <w:rPr>
                <w:b/>
                <w:bCs w:val="0"/>
                <w:color w:val="000000" w:themeColor="text1"/>
              </w:rPr>
            </w:pPr>
            <w:r>
              <w:rPr>
                <w:b/>
                <w:color w:val="000000" w:themeColor="text1"/>
              </w:rPr>
              <w:t>Q2 2021</w:t>
            </w:r>
            <w:r w:rsidR="00A93727">
              <w:rPr>
                <w:b/>
                <w:color w:val="000000" w:themeColor="text1"/>
              </w:rPr>
              <w:t>-22</w:t>
            </w:r>
          </w:p>
          <w:p w14:paraId="44A1A4EE" w14:textId="3365CE8D" w:rsidR="00EC27F0" w:rsidRPr="55245693" w:rsidRDefault="00EC27F0" w:rsidP="006E182A">
            <w:pPr>
              <w:jc w:val="center"/>
              <w:rPr>
                <w:b/>
                <w:color w:val="000000" w:themeColor="text1"/>
              </w:rPr>
            </w:pPr>
            <w:r>
              <w:rPr>
                <w:b/>
                <w:color w:val="000000" w:themeColor="text1"/>
              </w:rPr>
              <w:t>projection</w:t>
            </w:r>
          </w:p>
        </w:tc>
      </w:tr>
      <w:tr w:rsidR="00EC27F0" w:rsidRPr="0021615C" w14:paraId="17F5CA1B" w14:textId="084127E4" w:rsidTr="00916F98">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749" w:type="pct"/>
          </w:tcPr>
          <w:p w14:paraId="19F24B7C" w14:textId="49986B26" w:rsidR="00EC27F0" w:rsidRPr="000E7EED" w:rsidRDefault="00EC27F0" w:rsidP="00495A11">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979" w:type="pct"/>
            <w:vAlign w:val="center"/>
          </w:tcPr>
          <w:p w14:paraId="7F4686D8" w14:textId="694F7FEE" w:rsidR="00EC27F0" w:rsidRPr="000E7EED" w:rsidRDefault="0011562F" w:rsidP="001C26CE">
            <w:pPr>
              <w:jc w:val="center"/>
              <w:rPr>
                <w:color w:val="000000" w:themeColor="text1"/>
              </w:rPr>
            </w:pPr>
            <w:r>
              <w:rPr>
                <w:color w:val="000000" w:themeColor="text1"/>
              </w:rPr>
              <w:t>26,311</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30C32A25" w14:textId="3CADDFF1" w:rsidR="00EC27F0" w:rsidRPr="0021615C" w:rsidRDefault="74EE7F2F" w:rsidP="001C26CE">
            <w:pPr>
              <w:jc w:val="center"/>
              <w:rPr>
                <w:szCs w:val="22"/>
              </w:rPr>
            </w:pPr>
            <w:r>
              <w:t>28,663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46A3F8BF" w14:textId="44E51A8C" w:rsidR="00EC27F0" w:rsidRDefault="74EE7F2F" w:rsidP="001C26CE">
            <w:pPr>
              <w:jc w:val="center"/>
            </w:pPr>
            <w:r>
              <w:t>38,712</w:t>
            </w:r>
          </w:p>
        </w:tc>
      </w:tr>
      <w:tr w:rsidR="00EC27F0" w14:paraId="63D578F8" w14:textId="1B8A8397" w:rsidTr="00916F98">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9" w:type="pct"/>
          </w:tcPr>
          <w:p w14:paraId="3941F306" w14:textId="4F191B1A" w:rsidR="00EC27F0" w:rsidRPr="000E7EED" w:rsidRDefault="00EC27F0" w:rsidP="00495A11">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979" w:type="pct"/>
            <w:vAlign w:val="center"/>
          </w:tcPr>
          <w:p w14:paraId="321509DE" w14:textId="57EC615F" w:rsidR="00EC27F0" w:rsidRPr="000E7EED" w:rsidRDefault="0011562F" w:rsidP="001C26CE">
            <w:pPr>
              <w:jc w:val="center"/>
              <w:rPr>
                <w:color w:val="000000" w:themeColor="text1"/>
              </w:rPr>
            </w:pPr>
            <w:r>
              <w:rPr>
                <w:color w:val="000000" w:themeColor="text1"/>
              </w:rPr>
              <w:t>13,016</w:t>
            </w:r>
            <w:r w:rsidR="001B4CED">
              <w:rPr>
                <w:rStyle w:val="FootnoteReference"/>
                <w:color w:val="000000" w:themeColor="text1"/>
              </w:rPr>
              <w:footnoteReference w:id="3"/>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62B478A5" w14:textId="47DB43EB" w:rsidR="00EC27F0" w:rsidRPr="000E7EED" w:rsidRDefault="04369C37" w:rsidP="001C26CE">
            <w:pPr>
              <w:jc w:val="center"/>
              <w:rPr>
                <w:color w:val="000000" w:themeColor="text1"/>
              </w:rPr>
            </w:pPr>
            <w:r w:rsidRPr="7D105CA6">
              <w:rPr>
                <w:color w:val="000000" w:themeColor="text1"/>
              </w:rPr>
              <w:t>9,806</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2BE70748" w14:textId="7DF92716" w:rsidR="00EC27F0" w:rsidRDefault="04369C37" w:rsidP="001C26CE">
            <w:pPr>
              <w:jc w:val="center"/>
              <w:rPr>
                <w:color w:val="000000" w:themeColor="text1"/>
              </w:rPr>
            </w:pPr>
            <w:r w:rsidRPr="7D105CA6">
              <w:rPr>
                <w:color w:val="000000" w:themeColor="text1"/>
              </w:rPr>
              <w:t>12,798</w:t>
            </w:r>
          </w:p>
        </w:tc>
      </w:tr>
      <w:tr w:rsidR="00A93727" w14:paraId="72BA4F0C" w14:textId="77777777" w:rsidTr="00916F98">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9" w:type="pct"/>
          </w:tcPr>
          <w:p w14:paraId="62630860" w14:textId="5D7100D4" w:rsidR="00A93727" w:rsidRDefault="006A18ED" w:rsidP="00495A11">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979" w:type="pct"/>
            <w:vAlign w:val="center"/>
          </w:tcPr>
          <w:p w14:paraId="54A6C641" w14:textId="4085FFE4" w:rsidR="00A93727" w:rsidRDefault="0011562F" w:rsidP="001C26CE">
            <w:pPr>
              <w:jc w:val="center"/>
              <w:rPr>
                <w:color w:val="000000" w:themeColor="text1"/>
              </w:rPr>
            </w:pPr>
            <w:r>
              <w:rPr>
                <w:color w:val="000000" w:themeColor="text1"/>
              </w:rPr>
              <w:t>49</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1D108980" w14:textId="48D7320F" w:rsidR="00A93727" w:rsidRDefault="00033AE9" w:rsidP="001C26CE">
            <w:pPr>
              <w:jc w:val="center"/>
              <w:rPr>
                <w:color w:val="000000" w:themeColor="text1"/>
              </w:rPr>
            </w:pPr>
            <w:r>
              <w:rPr>
                <w:color w:val="000000" w:themeColor="text1"/>
              </w:rPr>
              <w:t>16</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1E77BDD5" w14:textId="0A9D9168" w:rsidR="00A93727" w:rsidRDefault="00033AE9" w:rsidP="001C26CE">
            <w:pPr>
              <w:jc w:val="center"/>
              <w:rPr>
                <w:color w:val="000000" w:themeColor="text1"/>
              </w:rPr>
            </w:pPr>
            <w:r>
              <w:rPr>
                <w:color w:val="000000" w:themeColor="text1"/>
              </w:rPr>
              <w:t>15</w:t>
            </w:r>
          </w:p>
        </w:tc>
      </w:tr>
      <w:tr w:rsidR="00A93727" w14:paraId="3ADBA7D7" w14:textId="77777777" w:rsidTr="00916F98">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9" w:type="pct"/>
          </w:tcPr>
          <w:p w14:paraId="1702BE28" w14:textId="02086054" w:rsidR="00A93727" w:rsidRDefault="00A93727" w:rsidP="00495A11">
            <w:pPr>
              <w:rPr>
                <w:color w:val="000000" w:themeColor="text1"/>
              </w:rPr>
            </w:pPr>
            <w:r>
              <w:rPr>
                <w:color w:val="000000" w:themeColor="text1"/>
              </w:rPr>
              <w:t xml:space="preserve">Website sessions </w:t>
            </w:r>
          </w:p>
        </w:tc>
        <w:tc>
          <w:tcPr>
            <w:cnfStyle w:val="000001000000" w:firstRow="0" w:lastRow="0" w:firstColumn="0" w:lastColumn="0" w:oddVBand="0" w:evenVBand="1" w:oddHBand="0" w:evenHBand="0" w:firstRowFirstColumn="0" w:firstRowLastColumn="0" w:lastRowFirstColumn="0" w:lastRowLastColumn="0"/>
            <w:tcW w:w="979" w:type="pct"/>
            <w:vAlign w:val="center"/>
          </w:tcPr>
          <w:p w14:paraId="11604E83" w14:textId="3200BAF5" w:rsidR="00A93727" w:rsidRDefault="0011562F" w:rsidP="001C26CE">
            <w:pPr>
              <w:jc w:val="center"/>
              <w:rPr>
                <w:color w:val="000000" w:themeColor="text1"/>
              </w:rPr>
            </w:pPr>
            <w:r>
              <w:rPr>
                <w:color w:val="000000" w:themeColor="text1"/>
              </w:rPr>
              <w:t>645,933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36B0BBC7" w14:textId="252B3AC8" w:rsidR="00A93727" w:rsidRDefault="003C3B66" w:rsidP="001C26CE">
            <w:pPr>
              <w:jc w:val="center"/>
              <w:rPr>
                <w:color w:val="000000" w:themeColor="text1"/>
              </w:rPr>
            </w:pPr>
            <w:r>
              <w:rPr>
                <w:color w:val="000000" w:themeColor="text1"/>
              </w:rPr>
              <w:t>695,306</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35208002" w14:textId="58685864" w:rsidR="00A93727" w:rsidRDefault="003C3B66" w:rsidP="001C26CE">
            <w:pPr>
              <w:jc w:val="center"/>
              <w:rPr>
                <w:color w:val="000000" w:themeColor="text1"/>
              </w:rPr>
            </w:pPr>
            <w:r>
              <w:rPr>
                <w:color w:val="000000" w:themeColor="text1"/>
              </w:rPr>
              <w:t>652,240</w:t>
            </w:r>
          </w:p>
        </w:tc>
      </w:tr>
    </w:tbl>
    <w:p w14:paraId="45BDACDF" w14:textId="77689854" w:rsidR="00F423AD" w:rsidRDefault="00F423AD" w:rsidP="00844BD8">
      <w:pPr>
        <w:pStyle w:val="Tableheader"/>
        <w:spacing w:before="0"/>
        <w:rPr>
          <w:b w:val="0"/>
          <w:bCs w:val="0"/>
          <w:sz w:val="22"/>
          <w:szCs w:val="22"/>
        </w:rPr>
      </w:pPr>
    </w:p>
    <w:p w14:paraId="571DE76C" w14:textId="46F882C6" w:rsidR="001F5F63" w:rsidRDefault="003E1AF0" w:rsidP="00844BD8">
      <w:pPr>
        <w:pStyle w:val="Tableheader"/>
        <w:spacing w:before="0"/>
        <w:rPr>
          <w:b w:val="0"/>
          <w:bCs w:val="0"/>
          <w:sz w:val="22"/>
          <w:szCs w:val="22"/>
        </w:rPr>
      </w:pPr>
      <w:r>
        <w:rPr>
          <w:b w:val="0"/>
          <w:bCs w:val="0"/>
          <w:sz w:val="22"/>
          <w:szCs w:val="22"/>
        </w:rPr>
        <w:t>Information sessions increased in quarter one 2021</w:t>
      </w:r>
      <w:r w:rsidR="00FD46D6" w:rsidRPr="00B1443B">
        <w:rPr>
          <w:b w:val="0"/>
          <w:bCs w:val="0"/>
        </w:rPr>
        <w:t>–</w:t>
      </w:r>
      <w:r>
        <w:rPr>
          <w:b w:val="0"/>
          <w:bCs w:val="0"/>
          <w:sz w:val="22"/>
          <w:szCs w:val="22"/>
        </w:rPr>
        <w:t xml:space="preserve">22 compared to the previous quarter by </w:t>
      </w:r>
      <w:r w:rsidR="00616D94">
        <w:rPr>
          <w:b w:val="0"/>
          <w:bCs w:val="0"/>
          <w:sz w:val="22"/>
          <w:szCs w:val="22"/>
        </w:rPr>
        <w:t>9 per cent (Table 1.3). Th</w:t>
      </w:r>
      <w:r w:rsidR="001335C9">
        <w:rPr>
          <w:b w:val="0"/>
          <w:bCs w:val="0"/>
          <w:sz w:val="22"/>
          <w:szCs w:val="22"/>
        </w:rPr>
        <w:t xml:space="preserve">is </w:t>
      </w:r>
      <w:r w:rsidR="00616D94">
        <w:rPr>
          <w:b w:val="0"/>
          <w:bCs w:val="0"/>
          <w:sz w:val="22"/>
          <w:szCs w:val="22"/>
        </w:rPr>
        <w:t xml:space="preserve">increase </w:t>
      </w:r>
      <w:r w:rsidR="00147E4F">
        <w:rPr>
          <w:b w:val="0"/>
          <w:bCs w:val="0"/>
          <w:sz w:val="22"/>
          <w:szCs w:val="22"/>
        </w:rPr>
        <w:t xml:space="preserve">is mainly due to the increased </w:t>
      </w:r>
      <w:r w:rsidR="001335C9">
        <w:rPr>
          <w:b w:val="0"/>
          <w:bCs w:val="0"/>
          <w:sz w:val="22"/>
          <w:szCs w:val="22"/>
        </w:rPr>
        <w:t xml:space="preserve">performance of Legal Help </w:t>
      </w:r>
      <w:r w:rsidR="00147E4F">
        <w:rPr>
          <w:b w:val="0"/>
          <w:bCs w:val="0"/>
          <w:sz w:val="22"/>
          <w:szCs w:val="22"/>
        </w:rPr>
        <w:t xml:space="preserve">as outlined above. </w:t>
      </w:r>
      <w:r w:rsidR="003770D2">
        <w:rPr>
          <w:b w:val="0"/>
          <w:bCs w:val="0"/>
          <w:sz w:val="22"/>
          <w:szCs w:val="22"/>
        </w:rPr>
        <w:t xml:space="preserve">Advice sessions </w:t>
      </w:r>
      <w:r w:rsidR="00D5307C">
        <w:rPr>
          <w:b w:val="0"/>
          <w:bCs w:val="0"/>
          <w:sz w:val="22"/>
          <w:szCs w:val="22"/>
        </w:rPr>
        <w:t>decreased in quarter one compared to the previous quarter by 25 per</w:t>
      </w:r>
      <w:r w:rsidR="002B3E79">
        <w:rPr>
          <w:b w:val="0"/>
          <w:bCs w:val="0"/>
          <w:sz w:val="22"/>
          <w:szCs w:val="22"/>
        </w:rPr>
        <w:t xml:space="preserve"> </w:t>
      </w:r>
      <w:r w:rsidR="00D5307C">
        <w:rPr>
          <w:b w:val="0"/>
          <w:bCs w:val="0"/>
          <w:sz w:val="22"/>
          <w:szCs w:val="22"/>
        </w:rPr>
        <w:t>cent</w:t>
      </w:r>
      <w:r w:rsidR="00996FF5">
        <w:rPr>
          <w:b w:val="0"/>
          <w:bCs w:val="0"/>
          <w:sz w:val="22"/>
          <w:szCs w:val="22"/>
        </w:rPr>
        <w:t xml:space="preserve"> due to</w:t>
      </w:r>
      <w:r w:rsidR="001F5F63">
        <w:rPr>
          <w:b w:val="0"/>
          <w:bCs w:val="0"/>
          <w:sz w:val="22"/>
          <w:szCs w:val="22"/>
        </w:rPr>
        <w:t xml:space="preserve"> the following factors: </w:t>
      </w:r>
    </w:p>
    <w:p w14:paraId="191CE3FF" w14:textId="3CB52627" w:rsidR="00C22691" w:rsidRDefault="000161A6" w:rsidP="001F5F63">
      <w:pPr>
        <w:pStyle w:val="Tableheader"/>
        <w:numPr>
          <w:ilvl w:val="0"/>
          <w:numId w:val="39"/>
        </w:numPr>
        <w:spacing w:before="0"/>
        <w:rPr>
          <w:b w:val="0"/>
          <w:bCs w:val="0"/>
          <w:sz w:val="22"/>
          <w:szCs w:val="22"/>
        </w:rPr>
      </w:pPr>
      <w:r>
        <w:rPr>
          <w:b w:val="0"/>
          <w:bCs w:val="0"/>
          <w:sz w:val="22"/>
          <w:szCs w:val="22"/>
        </w:rPr>
        <w:t xml:space="preserve">a drop in demand </w:t>
      </w:r>
      <w:r w:rsidR="00EC4DAE">
        <w:rPr>
          <w:b w:val="0"/>
          <w:bCs w:val="0"/>
          <w:sz w:val="22"/>
          <w:szCs w:val="22"/>
        </w:rPr>
        <w:t xml:space="preserve">experienced by Legal Help </w:t>
      </w:r>
      <w:proofErr w:type="gramStart"/>
      <w:r>
        <w:rPr>
          <w:b w:val="0"/>
          <w:bCs w:val="0"/>
          <w:sz w:val="22"/>
          <w:szCs w:val="22"/>
        </w:rPr>
        <w:t>as a result of</w:t>
      </w:r>
      <w:proofErr w:type="gramEnd"/>
      <w:r>
        <w:rPr>
          <w:b w:val="0"/>
          <w:bCs w:val="0"/>
          <w:sz w:val="22"/>
          <w:szCs w:val="22"/>
        </w:rPr>
        <w:t xml:space="preserve"> the </w:t>
      </w:r>
      <w:r w:rsidR="005E4FB9">
        <w:rPr>
          <w:b w:val="0"/>
          <w:bCs w:val="0"/>
          <w:sz w:val="22"/>
          <w:szCs w:val="22"/>
        </w:rPr>
        <w:t>extended lockdown</w:t>
      </w:r>
      <w:r w:rsidR="00C37268">
        <w:rPr>
          <w:b w:val="0"/>
          <w:bCs w:val="0"/>
          <w:sz w:val="22"/>
          <w:szCs w:val="22"/>
        </w:rPr>
        <w:t xml:space="preserve">. </w:t>
      </w:r>
    </w:p>
    <w:p w14:paraId="0F756E2F" w14:textId="76993EF6" w:rsidR="00AB4E87" w:rsidRDefault="00CC598B" w:rsidP="001F5F63">
      <w:pPr>
        <w:pStyle w:val="Tableheader"/>
        <w:numPr>
          <w:ilvl w:val="0"/>
          <w:numId w:val="39"/>
        </w:numPr>
        <w:spacing w:before="0"/>
        <w:rPr>
          <w:b w:val="0"/>
          <w:bCs w:val="0"/>
          <w:sz w:val="22"/>
          <w:szCs w:val="22"/>
        </w:rPr>
      </w:pPr>
      <w:r>
        <w:rPr>
          <w:b w:val="0"/>
          <w:bCs w:val="0"/>
          <w:sz w:val="22"/>
          <w:szCs w:val="22"/>
        </w:rPr>
        <w:t>a</w:t>
      </w:r>
      <w:r w:rsidR="00A97112">
        <w:rPr>
          <w:b w:val="0"/>
          <w:bCs w:val="0"/>
          <w:sz w:val="22"/>
          <w:szCs w:val="22"/>
        </w:rPr>
        <w:t xml:space="preserve"> decrease in demand for family violence advice services</w:t>
      </w:r>
      <w:r w:rsidR="00976B14">
        <w:rPr>
          <w:b w:val="0"/>
          <w:bCs w:val="0"/>
          <w:sz w:val="22"/>
          <w:szCs w:val="22"/>
        </w:rPr>
        <w:t xml:space="preserve"> - </w:t>
      </w:r>
      <w:r w:rsidR="00920E37">
        <w:rPr>
          <w:b w:val="0"/>
          <w:bCs w:val="0"/>
          <w:sz w:val="22"/>
          <w:szCs w:val="22"/>
        </w:rPr>
        <w:t>potentially</w:t>
      </w:r>
      <w:r w:rsidR="00A97112">
        <w:rPr>
          <w:b w:val="0"/>
          <w:bCs w:val="0"/>
          <w:sz w:val="22"/>
          <w:szCs w:val="22"/>
        </w:rPr>
        <w:t xml:space="preserve"> due to work from home arrangements and </w:t>
      </w:r>
      <w:r w:rsidR="00920E37">
        <w:rPr>
          <w:b w:val="0"/>
          <w:bCs w:val="0"/>
          <w:sz w:val="22"/>
          <w:szCs w:val="22"/>
        </w:rPr>
        <w:t>those experiencing family violence being unable to find time and a safe space in which they can contact someone for assistance</w:t>
      </w:r>
      <w:r w:rsidR="0007003A">
        <w:rPr>
          <w:b w:val="0"/>
          <w:bCs w:val="0"/>
          <w:sz w:val="22"/>
          <w:szCs w:val="22"/>
        </w:rPr>
        <w:t xml:space="preserve"> due to the alleged perpetrator being at home</w:t>
      </w:r>
      <w:r w:rsidR="00920E37">
        <w:rPr>
          <w:b w:val="0"/>
          <w:bCs w:val="0"/>
          <w:sz w:val="22"/>
          <w:szCs w:val="22"/>
        </w:rPr>
        <w:t>.</w:t>
      </w:r>
    </w:p>
    <w:p w14:paraId="6FD39CAA" w14:textId="0B9D8006" w:rsidR="00C22691" w:rsidRDefault="00E90C29" w:rsidP="001F5F63">
      <w:pPr>
        <w:pStyle w:val="Tableheader"/>
        <w:numPr>
          <w:ilvl w:val="0"/>
          <w:numId w:val="39"/>
        </w:numPr>
        <w:spacing w:before="0"/>
        <w:rPr>
          <w:b w:val="0"/>
          <w:bCs w:val="0"/>
          <w:sz w:val="22"/>
          <w:szCs w:val="22"/>
        </w:rPr>
      </w:pPr>
      <w:r>
        <w:rPr>
          <w:b w:val="0"/>
          <w:bCs w:val="0"/>
          <w:sz w:val="22"/>
          <w:szCs w:val="22"/>
        </w:rPr>
        <w:t>fewer</w:t>
      </w:r>
      <w:r w:rsidR="00BA52B6">
        <w:rPr>
          <w:b w:val="0"/>
          <w:bCs w:val="0"/>
          <w:sz w:val="22"/>
          <w:szCs w:val="22"/>
        </w:rPr>
        <w:t xml:space="preserve"> criminal matters being heard</w:t>
      </w:r>
      <w:r>
        <w:rPr>
          <w:b w:val="0"/>
          <w:bCs w:val="0"/>
          <w:sz w:val="22"/>
          <w:szCs w:val="22"/>
        </w:rPr>
        <w:t xml:space="preserve"> </w:t>
      </w:r>
      <w:proofErr w:type="gramStart"/>
      <w:r>
        <w:rPr>
          <w:b w:val="0"/>
          <w:bCs w:val="0"/>
          <w:sz w:val="22"/>
          <w:szCs w:val="22"/>
        </w:rPr>
        <w:t>as a result of</w:t>
      </w:r>
      <w:proofErr w:type="gramEnd"/>
      <w:r>
        <w:rPr>
          <w:b w:val="0"/>
          <w:bCs w:val="0"/>
          <w:sz w:val="22"/>
          <w:szCs w:val="22"/>
        </w:rPr>
        <w:t xml:space="preserve"> </w:t>
      </w:r>
      <w:r w:rsidR="009721CD">
        <w:rPr>
          <w:b w:val="0"/>
          <w:bCs w:val="0"/>
          <w:sz w:val="22"/>
          <w:szCs w:val="22"/>
        </w:rPr>
        <w:t xml:space="preserve">court </w:t>
      </w:r>
      <w:r w:rsidR="0045227F">
        <w:rPr>
          <w:b w:val="0"/>
          <w:bCs w:val="0"/>
          <w:sz w:val="22"/>
          <w:szCs w:val="22"/>
        </w:rPr>
        <w:t xml:space="preserve">closures and </w:t>
      </w:r>
      <w:r w:rsidR="009721CD">
        <w:rPr>
          <w:b w:val="0"/>
          <w:bCs w:val="0"/>
          <w:sz w:val="22"/>
          <w:szCs w:val="22"/>
        </w:rPr>
        <w:t>backlogs and therefore less advice being sought by clients</w:t>
      </w:r>
      <w:r w:rsidR="009B4DA4">
        <w:rPr>
          <w:b w:val="0"/>
          <w:bCs w:val="0"/>
          <w:sz w:val="22"/>
          <w:szCs w:val="22"/>
        </w:rPr>
        <w:t xml:space="preserve"> in areas such as </w:t>
      </w:r>
      <w:r w:rsidR="00C22691">
        <w:rPr>
          <w:b w:val="0"/>
          <w:bCs w:val="0"/>
          <w:sz w:val="22"/>
          <w:szCs w:val="22"/>
        </w:rPr>
        <w:t>s</w:t>
      </w:r>
      <w:r w:rsidR="009B4DA4">
        <w:rPr>
          <w:b w:val="0"/>
          <w:bCs w:val="0"/>
          <w:sz w:val="22"/>
          <w:szCs w:val="22"/>
        </w:rPr>
        <w:t xml:space="preserve">ummary </w:t>
      </w:r>
      <w:r w:rsidR="00C22691">
        <w:rPr>
          <w:b w:val="0"/>
          <w:bCs w:val="0"/>
          <w:sz w:val="22"/>
          <w:szCs w:val="22"/>
        </w:rPr>
        <w:t>c</w:t>
      </w:r>
      <w:r w:rsidR="009B4DA4">
        <w:rPr>
          <w:b w:val="0"/>
          <w:bCs w:val="0"/>
          <w:sz w:val="22"/>
          <w:szCs w:val="22"/>
        </w:rPr>
        <w:t>rime</w:t>
      </w:r>
      <w:r w:rsidR="000B330D">
        <w:rPr>
          <w:b w:val="0"/>
          <w:bCs w:val="0"/>
          <w:sz w:val="22"/>
          <w:szCs w:val="22"/>
        </w:rPr>
        <w:t xml:space="preserve">. </w:t>
      </w:r>
    </w:p>
    <w:p w14:paraId="03953F6D" w14:textId="0AAED2A4" w:rsidR="00AF27BA" w:rsidRDefault="00DD6A5A" w:rsidP="00C22691">
      <w:pPr>
        <w:pStyle w:val="Tableheader"/>
        <w:spacing w:before="0"/>
        <w:rPr>
          <w:b w:val="0"/>
          <w:bCs w:val="0"/>
          <w:sz w:val="22"/>
          <w:szCs w:val="22"/>
        </w:rPr>
      </w:pPr>
      <w:r>
        <w:rPr>
          <w:b w:val="0"/>
          <w:bCs w:val="0"/>
          <w:sz w:val="22"/>
          <w:szCs w:val="22"/>
        </w:rPr>
        <w:t xml:space="preserve">We expect information and advice sessions to further increase in quarter two due to greater staff proficiency in the new technology, along with the removal of pandemic related restrictions and courts </w:t>
      </w:r>
      <w:r w:rsidR="002C79AA">
        <w:rPr>
          <w:b w:val="0"/>
          <w:bCs w:val="0"/>
          <w:sz w:val="22"/>
          <w:szCs w:val="22"/>
        </w:rPr>
        <w:t xml:space="preserve">beginning to </w:t>
      </w:r>
      <w:r>
        <w:rPr>
          <w:b w:val="0"/>
          <w:bCs w:val="0"/>
          <w:sz w:val="22"/>
          <w:szCs w:val="22"/>
        </w:rPr>
        <w:t>operat</w:t>
      </w:r>
      <w:r w:rsidR="002C79AA">
        <w:rPr>
          <w:b w:val="0"/>
          <w:bCs w:val="0"/>
          <w:sz w:val="22"/>
          <w:szCs w:val="22"/>
        </w:rPr>
        <w:t>e at higher</w:t>
      </w:r>
      <w:r>
        <w:rPr>
          <w:b w:val="0"/>
          <w:bCs w:val="0"/>
          <w:sz w:val="22"/>
          <w:szCs w:val="22"/>
        </w:rPr>
        <w:t xml:space="preserve"> levels.</w:t>
      </w:r>
    </w:p>
    <w:p w14:paraId="4C212424" w14:textId="6994C309" w:rsidR="00CC598B" w:rsidRDefault="00914FA6" w:rsidP="00916F98">
      <w:pPr>
        <w:pStyle w:val="Tableheader"/>
        <w:spacing w:before="0"/>
        <w:rPr>
          <w:b w:val="0"/>
          <w:bCs w:val="0"/>
          <w:sz w:val="22"/>
          <w:szCs w:val="22"/>
        </w:rPr>
      </w:pPr>
      <w:r>
        <w:rPr>
          <w:b w:val="0"/>
          <w:bCs w:val="0"/>
          <w:sz w:val="22"/>
          <w:szCs w:val="22"/>
        </w:rPr>
        <w:t xml:space="preserve">The recent lockdown and uncertainty that has surrounded the lifting of restrictions has impacted on the number of Community Legal Education </w:t>
      </w:r>
      <w:r w:rsidR="00290684">
        <w:rPr>
          <w:b w:val="0"/>
          <w:bCs w:val="0"/>
          <w:sz w:val="22"/>
          <w:szCs w:val="22"/>
        </w:rPr>
        <w:t xml:space="preserve">(CLE) </w:t>
      </w:r>
      <w:r>
        <w:rPr>
          <w:b w:val="0"/>
          <w:bCs w:val="0"/>
          <w:sz w:val="22"/>
          <w:szCs w:val="22"/>
        </w:rPr>
        <w:t xml:space="preserve">sessions that </w:t>
      </w:r>
      <w:r w:rsidR="001E6F29">
        <w:rPr>
          <w:b w:val="0"/>
          <w:bCs w:val="0"/>
          <w:sz w:val="22"/>
          <w:szCs w:val="22"/>
        </w:rPr>
        <w:t>were able to be provided in quarter one 2021</w:t>
      </w:r>
      <w:r w:rsidR="00FD46D6" w:rsidRPr="0012305E">
        <w:rPr>
          <w:b w:val="0"/>
          <w:bCs w:val="0"/>
        </w:rPr>
        <w:t>–</w:t>
      </w:r>
      <w:r w:rsidR="001E6F29">
        <w:rPr>
          <w:b w:val="0"/>
          <w:bCs w:val="0"/>
          <w:sz w:val="22"/>
          <w:szCs w:val="22"/>
        </w:rPr>
        <w:t>22</w:t>
      </w:r>
      <w:r w:rsidR="001423CC">
        <w:rPr>
          <w:b w:val="0"/>
          <w:bCs w:val="0"/>
          <w:sz w:val="22"/>
          <w:szCs w:val="22"/>
        </w:rPr>
        <w:t>. A total of 16 sessions were delivered in the quarter, 33 less than the previous quarter</w:t>
      </w:r>
      <w:r w:rsidR="00225146">
        <w:rPr>
          <w:b w:val="0"/>
          <w:bCs w:val="0"/>
          <w:sz w:val="22"/>
          <w:szCs w:val="22"/>
        </w:rPr>
        <w:t xml:space="preserve"> (Table 1.3)</w:t>
      </w:r>
      <w:r w:rsidR="001423CC">
        <w:rPr>
          <w:b w:val="0"/>
          <w:bCs w:val="0"/>
          <w:sz w:val="22"/>
          <w:szCs w:val="22"/>
        </w:rPr>
        <w:t xml:space="preserve">. </w:t>
      </w:r>
      <w:r w:rsidR="00AA1387">
        <w:rPr>
          <w:b w:val="0"/>
          <w:bCs w:val="0"/>
          <w:sz w:val="22"/>
          <w:szCs w:val="22"/>
        </w:rPr>
        <w:t>The e</w:t>
      </w:r>
      <w:r w:rsidR="004F1802">
        <w:rPr>
          <w:b w:val="0"/>
          <w:bCs w:val="0"/>
          <w:sz w:val="22"/>
          <w:szCs w:val="22"/>
        </w:rPr>
        <w:t xml:space="preserve">ducation and community settings that CLE operate in have </w:t>
      </w:r>
      <w:r w:rsidR="00754AE7">
        <w:rPr>
          <w:b w:val="0"/>
          <w:bCs w:val="0"/>
          <w:sz w:val="22"/>
          <w:szCs w:val="22"/>
        </w:rPr>
        <w:t xml:space="preserve">delayed </w:t>
      </w:r>
      <w:r w:rsidR="004F1802">
        <w:rPr>
          <w:b w:val="0"/>
          <w:bCs w:val="0"/>
          <w:sz w:val="22"/>
          <w:szCs w:val="22"/>
        </w:rPr>
        <w:t xml:space="preserve">any </w:t>
      </w:r>
      <w:r w:rsidR="00A353A4">
        <w:rPr>
          <w:b w:val="0"/>
          <w:bCs w:val="0"/>
          <w:sz w:val="22"/>
          <w:szCs w:val="22"/>
        </w:rPr>
        <w:t xml:space="preserve">return to </w:t>
      </w:r>
      <w:r w:rsidR="004F1802">
        <w:rPr>
          <w:b w:val="0"/>
          <w:bCs w:val="0"/>
          <w:sz w:val="22"/>
          <w:szCs w:val="22"/>
        </w:rPr>
        <w:t>in</w:t>
      </w:r>
      <w:r w:rsidR="00B029FD">
        <w:rPr>
          <w:b w:val="0"/>
          <w:bCs w:val="0"/>
          <w:sz w:val="22"/>
          <w:szCs w:val="22"/>
        </w:rPr>
        <w:t>-</w:t>
      </w:r>
      <w:r w:rsidR="004F1802">
        <w:rPr>
          <w:b w:val="0"/>
          <w:bCs w:val="0"/>
          <w:sz w:val="22"/>
          <w:szCs w:val="22"/>
        </w:rPr>
        <w:t xml:space="preserve">person work until the start of </w:t>
      </w:r>
      <w:r w:rsidR="00AA1387">
        <w:rPr>
          <w:b w:val="0"/>
          <w:bCs w:val="0"/>
          <w:sz w:val="22"/>
          <w:szCs w:val="22"/>
        </w:rPr>
        <w:t xml:space="preserve">the first school </w:t>
      </w:r>
      <w:r w:rsidR="007C15E1">
        <w:rPr>
          <w:b w:val="0"/>
          <w:bCs w:val="0"/>
          <w:sz w:val="22"/>
          <w:szCs w:val="22"/>
        </w:rPr>
        <w:t>term 1</w:t>
      </w:r>
      <w:r w:rsidR="00AA1387">
        <w:rPr>
          <w:b w:val="0"/>
          <w:bCs w:val="0"/>
          <w:sz w:val="22"/>
          <w:szCs w:val="22"/>
        </w:rPr>
        <w:t xml:space="preserve"> of 2022</w:t>
      </w:r>
      <w:r w:rsidR="007C15E1">
        <w:rPr>
          <w:b w:val="0"/>
          <w:bCs w:val="0"/>
          <w:sz w:val="22"/>
          <w:szCs w:val="22"/>
        </w:rPr>
        <w:t xml:space="preserve">, and therefore we don’t expect to see higher session numbers until quarter three. Despite the low session numbers, </w:t>
      </w:r>
      <w:r w:rsidR="002D1419">
        <w:rPr>
          <w:b w:val="0"/>
          <w:bCs w:val="0"/>
          <w:sz w:val="22"/>
          <w:szCs w:val="22"/>
        </w:rPr>
        <w:t>there</w:t>
      </w:r>
      <w:r w:rsidR="006C566E">
        <w:rPr>
          <w:b w:val="0"/>
          <w:bCs w:val="0"/>
          <w:sz w:val="22"/>
          <w:szCs w:val="22"/>
        </w:rPr>
        <w:t xml:space="preserve"> have</w:t>
      </w:r>
      <w:r w:rsidR="007C15E1">
        <w:rPr>
          <w:b w:val="0"/>
          <w:bCs w:val="0"/>
          <w:sz w:val="22"/>
          <w:szCs w:val="22"/>
        </w:rPr>
        <w:t xml:space="preserve"> </w:t>
      </w:r>
      <w:r w:rsidR="002D1419">
        <w:rPr>
          <w:b w:val="0"/>
          <w:bCs w:val="0"/>
          <w:sz w:val="22"/>
          <w:szCs w:val="22"/>
        </w:rPr>
        <w:t xml:space="preserve">been high attendance rates for </w:t>
      </w:r>
      <w:r w:rsidR="007C15E1">
        <w:rPr>
          <w:b w:val="0"/>
          <w:bCs w:val="0"/>
          <w:sz w:val="22"/>
          <w:szCs w:val="22"/>
        </w:rPr>
        <w:t xml:space="preserve">those sessions that </w:t>
      </w:r>
      <w:r w:rsidR="002D1419">
        <w:rPr>
          <w:b w:val="0"/>
          <w:bCs w:val="0"/>
          <w:sz w:val="22"/>
          <w:szCs w:val="22"/>
        </w:rPr>
        <w:t>have been able to proceed online</w:t>
      </w:r>
      <w:r w:rsidR="002D0223">
        <w:rPr>
          <w:b w:val="0"/>
          <w:bCs w:val="0"/>
          <w:sz w:val="22"/>
          <w:szCs w:val="22"/>
        </w:rPr>
        <w:t xml:space="preserve">. </w:t>
      </w:r>
      <w:r w:rsidR="00565B7E">
        <w:rPr>
          <w:b w:val="0"/>
          <w:bCs w:val="0"/>
          <w:sz w:val="22"/>
          <w:szCs w:val="22"/>
        </w:rPr>
        <w:t>For the first two sessions</w:t>
      </w:r>
      <w:r w:rsidR="002D0223">
        <w:rPr>
          <w:b w:val="0"/>
          <w:bCs w:val="0"/>
          <w:sz w:val="22"/>
          <w:szCs w:val="22"/>
        </w:rPr>
        <w:t xml:space="preserve"> that </w:t>
      </w:r>
      <w:r w:rsidR="00B029FD">
        <w:rPr>
          <w:b w:val="0"/>
          <w:bCs w:val="0"/>
          <w:sz w:val="22"/>
          <w:szCs w:val="22"/>
        </w:rPr>
        <w:t xml:space="preserve">are </w:t>
      </w:r>
      <w:r w:rsidR="002D0223">
        <w:rPr>
          <w:b w:val="0"/>
          <w:bCs w:val="0"/>
          <w:sz w:val="22"/>
          <w:szCs w:val="22"/>
        </w:rPr>
        <w:t>planned for quarter two, there are over 200 people registered to attend.</w:t>
      </w:r>
      <w:r w:rsidR="00A90B53">
        <w:rPr>
          <w:b w:val="0"/>
          <w:bCs w:val="0"/>
          <w:sz w:val="22"/>
          <w:szCs w:val="22"/>
        </w:rPr>
        <w:t xml:space="preserve"> </w:t>
      </w:r>
    </w:p>
    <w:p w14:paraId="779B0604" w14:textId="77777777" w:rsidR="00CC598B" w:rsidRPr="00194D01" w:rsidRDefault="00CC598B" w:rsidP="000548DB"/>
    <w:p w14:paraId="7AE8C0D2" w14:textId="407B6C46" w:rsidR="00F63569" w:rsidRPr="002C53EA" w:rsidRDefault="00F63569" w:rsidP="00F63569">
      <w:pPr>
        <w:pStyle w:val="Heading3"/>
        <w:rPr>
          <w:rFonts w:cs="Times New Roman"/>
          <w:sz w:val="22"/>
          <w:szCs w:val="24"/>
          <w:lang w:eastAsia="en-US"/>
        </w:rPr>
      </w:pPr>
      <w:r w:rsidRPr="002C53EA">
        <w:rPr>
          <w:rFonts w:cs="Times New Roman"/>
          <w:sz w:val="22"/>
          <w:szCs w:val="24"/>
          <w:lang w:eastAsia="en-US"/>
        </w:rPr>
        <w:lastRenderedPageBreak/>
        <w:t>Table 1.</w:t>
      </w:r>
      <w:r w:rsidR="00AF61B8">
        <w:rPr>
          <w:rFonts w:cs="Times New Roman"/>
          <w:sz w:val="22"/>
          <w:szCs w:val="24"/>
          <w:lang w:eastAsia="en-US"/>
        </w:rPr>
        <w:t>4</w:t>
      </w:r>
      <w:r w:rsidRPr="002C53EA">
        <w:rPr>
          <w:rFonts w:cs="Times New Roman"/>
          <w:sz w:val="22"/>
          <w:szCs w:val="24"/>
          <w:lang w:eastAsia="en-US"/>
        </w:rPr>
        <w:t xml:space="preserve"> Specialist resolution and advocacy services</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302"/>
        <w:gridCol w:w="2082"/>
        <w:gridCol w:w="1846"/>
        <w:gridCol w:w="1846"/>
      </w:tblGrid>
      <w:tr w:rsidR="00F63569" w14:paraId="373F70AA" w14:textId="77777777" w:rsidTr="007D1998">
        <w:trPr>
          <w:cantSplit/>
          <w:trHeight w:val="361"/>
          <w:tblHeader/>
        </w:trPr>
        <w:tc>
          <w:tcPr>
            <w:tcW w:w="2135" w:type="pct"/>
            <w:shd w:val="clear" w:color="auto" w:fill="C4B0CC"/>
            <w:hideMark/>
          </w:tcPr>
          <w:p w14:paraId="4E3A2FF3" w14:textId="77777777" w:rsidR="00F63569" w:rsidRDefault="00F63569" w:rsidP="007D1998">
            <w:pPr>
              <w:rPr>
                <w:b/>
                <w:color w:val="000000" w:themeColor="text1"/>
                <w:lang w:eastAsia="en-AU"/>
              </w:rPr>
            </w:pPr>
            <w:r w:rsidRPr="006B69F9">
              <w:rPr>
                <w:b/>
                <w:bCs/>
                <w:color w:val="000000" w:themeColor="text1"/>
                <w:szCs w:val="20"/>
                <w:lang w:eastAsia="en-AU"/>
              </w:rPr>
              <w:t>Specialist resolution and advocacy services</w:t>
            </w:r>
          </w:p>
        </w:tc>
        <w:tc>
          <w:tcPr>
            <w:tcW w:w="1033" w:type="pct"/>
            <w:shd w:val="clear" w:color="auto" w:fill="C4B0CC"/>
          </w:tcPr>
          <w:p w14:paraId="294E5A44" w14:textId="77777777" w:rsidR="00F63569" w:rsidRPr="000E7EED" w:rsidRDefault="00F63569" w:rsidP="007D1998">
            <w:pPr>
              <w:jc w:val="center"/>
              <w:rPr>
                <w:b/>
                <w:color w:val="000000" w:themeColor="text1"/>
              </w:rPr>
            </w:pPr>
            <w:r>
              <w:rPr>
                <w:b/>
                <w:color w:val="000000" w:themeColor="text1"/>
              </w:rPr>
              <w:t>Q4</w:t>
            </w:r>
          </w:p>
          <w:p w14:paraId="3DE9A624" w14:textId="77777777" w:rsidR="00F63569" w:rsidRDefault="00F63569" w:rsidP="007D1998">
            <w:pPr>
              <w:jc w:val="center"/>
              <w:rPr>
                <w:b/>
                <w:color w:val="000000" w:themeColor="text1"/>
                <w:lang w:eastAsia="en-AU"/>
              </w:rPr>
            </w:pPr>
            <w:r w:rsidRPr="000E7EED">
              <w:rPr>
                <w:b/>
                <w:color w:val="000000" w:themeColor="text1"/>
              </w:rPr>
              <w:t>20</w:t>
            </w:r>
            <w:r>
              <w:rPr>
                <w:b/>
                <w:color w:val="000000" w:themeColor="text1"/>
              </w:rPr>
              <w:t>20-21</w:t>
            </w:r>
          </w:p>
        </w:tc>
        <w:tc>
          <w:tcPr>
            <w:tcW w:w="916" w:type="pct"/>
            <w:shd w:val="clear" w:color="auto" w:fill="C4B0CC"/>
          </w:tcPr>
          <w:p w14:paraId="479778D6" w14:textId="77777777" w:rsidR="00F63569" w:rsidRDefault="00F63569" w:rsidP="007D1998">
            <w:pPr>
              <w:jc w:val="center"/>
              <w:rPr>
                <w:b/>
                <w:color w:val="000000" w:themeColor="text1"/>
              </w:rPr>
            </w:pPr>
            <w:r w:rsidRPr="55245693">
              <w:rPr>
                <w:b/>
                <w:color w:val="000000" w:themeColor="text1"/>
              </w:rPr>
              <w:t>Q</w:t>
            </w:r>
            <w:r>
              <w:rPr>
                <w:b/>
                <w:color w:val="000000" w:themeColor="text1"/>
              </w:rPr>
              <w:t>1</w:t>
            </w:r>
          </w:p>
          <w:p w14:paraId="190387B4" w14:textId="77777777" w:rsidR="00F63569" w:rsidRDefault="00F63569" w:rsidP="007D1998">
            <w:pPr>
              <w:jc w:val="center"/>
              <w:rPr>
                <w:b/>
                <w:color w:val="000000" w:themeColor="text1"/>
                <w:lang w:eastAsia="en-AU"/>
              </w:rPr>
            </w:pPr>
            <w:r w:rsidRPr="000E7EED">
              <w:rPr>
                <w:b/>
                <w:color w:val="000000" w:themeColor="text1"/>
              </w:rPr>
              <w:t>20</w:t>
            </w:r>
            <w:r>
              <w:rPr>
                <w:b/>
                <w:color w:val="000000" w:themeColor="text1"/>
              </w:rPr>
              <w:t>21-22</w:t>
            </w:r>
          </w:p>
        </w:tc>
        <w:tc>
          <w:tcPr>
            <w:tcW w:w="916" w:type="pct"/>
            <w:shd w:val="clear" w:color="auto" w:fill="C4B0CC"/>
          </w:tcPr>
          <w:p w14:paraId="3779D5B0" w14:textId="77777777" w:rsidR="00F63569" w:rsidRDefault="00F63569" w:rsidP="007D1998">
            <w:pPr>
              <w:jc w:val="center"/>
              <w:rPr>
                <w:b/>
                <w:bCs/>
                <w:color w:val="000000" w:themeColor="text1"/>
              </w:rPr>
            </w:pPr>
            <w:r>
              <w:rPr>
                <w:b/>
                <w:color w:val="000000" w:themeColor="text1"/>
              </w:rPr>
              <w:t>Q2 2021 -22</w:t>
            </w:r>
          </w:p>
          <w:p w14:paraId="58079DD9" w14:textId="77777777" w:rsidR="00F63569" w:rsidRDefault="00F63569" w:rsidP="007D1998">
            <w:pPr>
              <w:jc w:val="center"/>
              <w:rPr>
                <w:b/>
                <w:color w:val="000000" w:themeColor="text1"/>
                <w:lang w:eastAsia="en-AU"/>
              </w:rPr>
            </w:pPr>
            <w:r>
              <w:rPr>
                <w:b/>
                <w:color w:val="000000" w:themeColor="text1"/>
              </w:rPr>
              <w:t>projection</w:t>
            </w:r>
          </w:p>
        </w:tc>
      </w:tr>
      <w:tr w:rsidR="00F63569" w14:paraId="26089C04" w14:textId="77777777" w:rsidTr="007D1998">
        <w:trPr>
          <w:trHeight w:val="531"/>
        </w:trPr>
        <w:tc>
          <w:tcPr>
            <w:tcW w:w="2135" w:type="pct"/>
            <w:tcBorders>
              <w:bottom w:val="single" w:sz="4" w:space="0" w:color="7F7F7F" w:themeColor="text1" w:themeTint="80"/>
            </w:tcBorders>
            <w:hideMark/>
          </w:tcPr>
          <w:p w14:paraId="17D1F3A4" w14:textId="77777777" w:rsidR="00F63569" w:rsidRDefault="00F63569" w:rsidP="007D1998">
            <w:pPr>
              <w:rPr>
                <w:color w:val="000000" w:themeColor="text1"/>
                <w:lang w:eastAsia="en-AU"/>
              </w:rPr>
            </w:pPr>
            <w:r>
              <w:rPr>
                <w:color w:val="000000" w:themeColor="text1"/>
                <w:lang w:eastAsia="en-AU"/>
              </w:rPr>
              <w:t>IMHA information and referral sessions</w:t>
            </w:r>
          </w:p>
        </w:tc>
        <w:tc>
          <w:tcPr>
            <w:tcW w:w="1033" w:type="pct"/>
            <w:tcBorders>
              <w:bottom w:val="single" w:sz="4" w:space="0" w:color="7F7F7F" w:themeColor="text1" w:themeTint="80"/>
            </w:tcBorders>
            <w:shd w:val="clear" w:color="auto" w:fill="auto"/>
            <w:vAlign w:val="center"/>
          </w:tcPr>
          <w:p w14:paraId="6C7C91CC" w14:textId="77777777" w:rsidR="00F63569" w:rsidRDefault="00F63569" w:rsidP="007D1998">
            <w:pPr>
              <w:jc w:val="center"/>
              <w:rPr>
                <w:lang w:eastAsia="en-AU"/>
              </w:rPr>
            </w:pPr>
            <w:r>
              <w:rPr>
                <w:lang w:eastAsia="en-AU"/>
              </w:rPr>
              <w:t>6,108</w:t>
            </w:r>
          </w:p>
        </w:tc>
        <w:tc>
          <w:tcPr>
            <w:tcW w:w="916" w:type="pct"/>
            <w:tcBorders>
              <w:bottom w:val="single" w:sz="4" w:space="0" w:color="7F7F7F" w:themeColor="text1" w:themeTint="80"/>
            </w:tcBorders>
            <w:shd w:val="clear" w:color="auto" w:fill="D9D9D9" w:themeFill="background1" w:themeFillShade="D9"/>
            <w:vAlign w:val="center"/>
          </w:tcPr>
          <w:p w14:paraId="01F23A4C" w14:textId="77777777" w:rsidR="00F63569" w:rsidRDefault="00F63569" w:rsidP="007D1998">
            <w:pPr>
              <w:jc w:val="center"/>
              <w:rPr>
                <w:lang w:eastAsia="en-AU"/>
              </w:rPr>
            </w:pPr>
            <w:r>
              <w:rPr>
                <w:lang w:eastAsia="en-AU"/>
              </w:rPr>
              <w:t>6,805</w:t>
            </w:r>
          </w:p>
        </w:tc>
        <w:tc>
          <w:tcPr>
            <w:tcW w:w="916" w:type="pct"/>
            <w:tcBorders>
              <w:bottom w:val="single" w:sz="4" w:space="0" w:color="7F7F7F" w:themeColor="text1" w:themeTint="80"/>
            </w:tcBorders>
            <w:shd w:val="clear" w:color="auto" w:fill="auto"/>
            <w:vAlign w:val="center"/>
          </w:tcPr>
          <w:p w14:paraId="44B31A66" w14:textId="77777777" w:rsidR="00F63569" w:rsidRDefault="00F63569" w:rsidP="007D1998">
            <w:pPr>
              <w:jc w:val="center"/>
              <w:rPr>
                <w:lang w:eastAsia="en-AU"/>
              </w:rPr>
            </w:pPr>
            <w:r>
              <w:rPr>
                <w:lang w:eastAsia="en-AU"/>
              </w:rPr>
              <w:t>n/a</w:t>
            </w:r>
          </w:p>
        </w:tc>
      </w:tr>
      <w:tr w:rsidR="00F63569" w14:paraId="0A211368" w14:textId="77777777" w:rsidTr="007D1998">
        <w:trPr>
          <w:trHeight w:val="531"/>
        </w:trPr>
        <w:tc>
          <w:tcPr>
            <w:tcW w:w="2135" w:type="pct"/>
            <w:tcBorders>
              <w:bottom w:val="single" w:sz="4" w:space="0" w:color="7F7F7F" w:themeColor="text1" w:themeTint="80"/>
            </w:tcBorders>
          </w:tcPr>
          <w:p w14:paraId="33561195" w14:textId="77777777" w:rsidR="00F63569" w:rsidRDefault="00F63569" w:rsidP="007D1998">
            <w:pPr>
              <w:rPr>
                <w:color w:val="000000" w:themeColor="text1"/>
                <w:lang w:eastAsia="en-AU"/>
              </w:rPr>
            </w:pPr>
            <w:r>
              <w:rPr>
                <w:color w:val="000000" w:themeColor="text1"/>
                <w:lang w:eastAsia="en-AU"/>
              </w:rPr>
              <w:t>IMHA advocacy and self-advocacy</w:t>
            </w:r>
          </w:p>
        </w:tc>
        <w:tc>
          <w:tcPr>
            <w:tcW w:w="1033" w:type="pct"/>
            <w:tcBorders>
              <w:bottom w:val="single" w:sz="4" w:space="0" w:color="7F7F7F" w:themeColor="text1" w:themeTint="80"/>
            </w:tcBorders>
            <w:shd w:val="clear" w:color="auto" w:fill="auto"/>
            <w:vAlign w:val="center"/>
          </w:tcPr>
          <w:p w14:paraId="07ED4997" w14:textId="77777777" w:rsidR="00F63569" w:rsidRPr="003E5897" w:rsidRDefault="00F63569" w:rsidP="007D1998">
            <w:pPr>
              <w:jc w:val="center"/>
              <w:rPr>
                <w:lang w:eastAsia="en-AU"/>
              </w:rPr>
            </w:pPr>
            <w:r w:rsidRPr="003E5897">
              <w:rPr>
                <w:lang w:eastAsia="en-AU"/>
              </w:rPr>
              <w:t>3</w:t>
            </w:r>
            <w:r>
              <w:rPr>
                <w:lang w:eastAsia="en-AU"/>
              </w:rPr>
              <w:t>,65</w:t>
            </w:r>
            <w:r w:rsidRPr="003E5897">
              <w:rPr>
                <w:lang w:eastAsia="en-AU"/>
              </w:rPr>
              <w:t>3</w:t>
            </w:r>
          </w:p>
        </w:tc>
        <w:tc>
          <w:tcPr>
            <w:tcW w:w="916" w:type="pct"/>
            <w:tcBorders>
              <w:bottom w:val="single" w:sz="4" w:space="0" w:color="7F7F7F" w:themeColor="text1" w:themeTint="80"/>
            </w:tcBorders>
            <w:shd w:val="clear" w:color="auto" w:fill="D9D9D9" w:themeFill="background1" w:themeFillShade="D9"/>
            <w:vAlign w:val="center"/>
          </w:tcPr>
          <w:p w14:paraId="352CCBC5" w14:textId="77777777" w:rsidR="00F63569" w:rsidRPr="003E5897" w:rsidRDefault="00F63569" w:rsidP="007D1998">
            <w:pPr>
              <w:jc w:val="center"/>
              <w:rPr>
                <w:lang w:eastAsia="en-AU"/>
              </w:rPr>
            </w:pPr>
            <w:r w:rsidRPr="003E5897">
              <w:rPr>
                <w:lang w:eastAsia="en-AU"/>
              </w:rPr>
              <w:t>3,725</w:t>
            </w:r>
          </w:p>
        </w:tc>
        <w:tc>
          <w:tcPr>
            <w:tcW w:w="916" w:type="pct"/>
            <w:tcBorders>
              <w:bottom w:val="single" w:sz="4" w:space="0" w:color="7F7F7F" w:themeColor="text1" w:themeTint="80"/>
            </w:tcBorders>
            <w:shd w:val="clear" w:color="auto" w:fill="auto"/>
            <w:vAlign w:val="center"/>
          </w:tcPr>
          <w:p w14:paraId="12921AF6" w14:textId="77777777" w:rsidR="00F63569" w:rsidRPr="00DB6276" w:rsidRDefault="00F63569" w:rsidP="007D1998">
            <w:pPr>
              <w:jc w:val="center"/>
              <w:rPr>
                <w:lang w:eastAsia="en-AU"/>
              </w:rPr>
            </w:pPr>
            <w:r>
              <w:rPr>
                <w:lang w:eastAsia="en-AU"/>
              </w:rPr>
              <w:t>n/a</w:t>
            </w:r>
          </w:p>
        </w:tc>
      </w:tr>
      <w:tr w:rsidR="00F63569" w14:paraId="4319F94C" w14:textId="77777777" w:rsidTr="007D1998">
        <w:trPr>
          <w:trHeight w:val="194"/>
        </w:trPr>
        <w:tc>
          <w:tcPr>
            <w:tcW w:w="2135" w:type="pct"/>
            <w:tcBorders>
              <w:top w:val="single" w:sz="4" w:space="0" w:color="auto"/>
              <w:bottom w:val="single" w:sz="4" w:space="0" w:color="auto"/>
            </w:tcBorders>
            <w:hideMark/>
          </w:tcPr>
          <w:p w14:paraId="31F22D90" w14:textId="77777777" w:rsidR="00F63569" w:rsidRDefault="00F63569" w:rsidP="007D1998">
            <w:pPr>
              <w:rPr>
                <w:color w:val="000000" w:themeColor="text1"/>
                <w:lang w:eastAsia="en-AU"/>
              </w:rPr>
            </w:pPr>
            <w:r>
              <w:rPr>
                <w:color w:val="000000" w:themeColor="text1"/>
                <w:lang w:eastAsia="en-AU"/>
              </w:rPr>
              <w:t xml:space="preserve">IFAS information and referral sessions </w:t>
            </w:r>
          </w:p>
        </w:tc>
        <w:tc>
          <w:tcPr>
            <w:tcW w:w="1033" w:type="pct"/>
            <w:tcBorders>
              <w:top w:val="single" w:sz="4" w:space="0" w:color="auto"/>
              <w:bottom w:val="single" w:sz="4" w:space="0" w:color="auto"/>
            </w:tcBorders>
            <w:shd w:val="clear" w:color="auto" w:fill="auto"/>
            <w:vAlign w:val="center"/>
          </w:tcPr>
          <w:p w14:paraId="32CAAA4E" w14:textId="77777777" w:rsidR="00F63569" w:rsidRDefault="00F63569" w:rsidP="007D1998">
            <w:pPr>
              <w:jc w:val="center"/>
              <w:rPr>
                <w:color w:val="000000" w:themeColor="text1"/>
                <w:lang w:eastAsia="en-AU"/>
              </w:rPr>
            </w:pPr>
            <w:r>
              <w:rPr>
                <w:color w:val="000000" w:themeColor="text1"/>
                <w:lang w:eastAsia="en-AU"/>
              </w:rPr>
              <w:t>439</w:t>
            </w:r>
          </w:p>
        </w:tc>
        <w:tc>
          <w:tcPr>
            <w:tcW w:w="916" w:type="pct"/>
            <w:tcBorders>
              <w:top w:val="single" w:sz="4" w:space="0" w:color="auto"/>
              <w:bottom w:val="single" w:sz="4" w:space="0" w:color="auto"/>
            </w:tcBorders>
            <w:shd w:val="clear" w:color="auto" w:fill="D9D9D9" w:themeFill="background1" w:themeFillShade="D9"/>
            <w:vAlign w:val="center"/>
          </w:tcPr>
          <w:p w14:paraId="23F446A2" w14:textId="77777777" w:rsidR="00F63569" w:rsidRDefault="00F63569" w:rsidP="007D1998">
            <w:pPr>
              <w:jc w:val="center"/>
              <w:rPr>
                <w:color w:val="000000" w:themeColor="text1"/>
                <w:lang w:eastAsia="en-AU"/>
              </w:rPr>
            </w:pPr>
            <w:r>
              <w:rPr>
                <w:color w:val="000000" w:themeColor="text1"/>
                <w:lang w:eastAsia="en-AU"/>
              </w:rPr>
              <w:t>451</w:t>
            </w:r>
          </w:p>
        </w:tc>
        <w:tc>
          <w:tcPr>
            <w:tcW w:w="916" w:type="pct"/>
            <w:tcBorders>
              <w:top w:val="single" w:sz="4" w:space="0" w:color="auto"/>
              <w:bottom w:val="single" w:sz="4" w:space="0" w:color="auto"/>
            </w:tcBorders>
            <w:shd w:val="clear" w:color="auto" w:fill="auto"/>
            <w:vAlign w:val="center"/>
          </w:tcPr>
          <w:p w14:paraId="6D467596" w14:textId="77777777" w:rsidR="00F63569" w:rsidRDefault="00F63569" w:rsidP="007D1998">
            <w:pPr>
              <w:jc w:val="center"/>
              <w:rPr>
                <w:lang w:eastAsia="en-AU"/>
              </w:rPr>
            </w:pPr>
            <w:r>
              <w:rPr>
                <w:lang w:eastAsia="en-AU"/>
              </w:rPr>
              <w:t>n/a</w:t>
            </w:r>
          </w:p>
        </w:tc>
      </w:tr>
      <w:tr w:rsidR="00F63569" w14:paraId="50152B28" w14:textId="77777777" w:rsidTr="007D1998">
        <w:trPr>
          <w:trHeight w:val="194"/>
        </w:trPr>
        <w:tc>
          <w:tcPr>
            <w:tcW w:w="2135" w:type="pct"/>
            <w:tcBorders>
              <w:top w:val="single" w:sz="4" w:space="0" w:color="auto"/>
              <w:bottom w:val="single" w:sz="4" w:space="0" w:color="auto"/>
            </w:tcBorders>
          </w:tcPr>
          <w:p w14:paraId="567DB18C" w14:textId="77777777" w:rsidR="00F63569" w:rsidRDefault="00F63569" w:rsidP="007D1998">
            <w:pPr>
              <w:rPr>
                <w:color w:val="000000" w:themeColor="text1"/>
                <w:lang w:eastAsia="en-AU"/>
              </w:rPr>
            </w:pPr>
            <w:r>
              <w:rPr>
                <w:color w:val="000000" w:themeColor="text1"/>
                <w:lang w:eastAsia="en-AU"/>
              </w:rPr>
              <w:t>IFAS advocacy and self-advocacy</w:t>
            </w:r>
          </w:p>
        </w:tc>
        <w:tc>
          <w:tcPr>
            <w:tcW w:w="1033" w:type="pct"/>
            <w:tcBorders>
              <w:top w:val="single" w:sz="4" w:space="0" w:color="auto"/>
              <w:bottom w:val="single" w:sz="4" w:space="0" w:color="auto"/>
            </w:tcBorders>
            <w:shd w:val="clear" w:color="auto" w:fill="auto"/>
            <w:vAlign w:val="center"/>
          </w:tcPr>
          <w:p w14:paraId="2F113901" w14:textId="77777777" w:rsidR="00F63569" w:rsidRPr="006C14A7" w:rsidRDefault="00F63569" w:rsidP="007D1998">
            <w:pPr>
              <w:jc w:val="center"/>
              <w:rPr>
                <w:lang w:eastAsia="en-AU"/>
              </w:rPr>
            </w:pPr>
            <w:r w:rsidRPr="006C14A7">
              <w:rPr>
                <w:lang w:eastAsia="en-AU"/>
              </w:rPr>
              <w:t>744</w:t>
            </w:r>
          </w:p>
        </w:tc>
        <w:tc>
          <w:tcPr>
            <w:tcW w:w="916" w:type="pct"/>
            <w:tcBorders>
              <w:top w:val="single" w:sz="4" w:space="0" w:color="auto"/>
              <w:bottom w:val="single" w:sz="4" w:space="0" w:color="auto"/>
            </w:tcBorders>
            <w:shd w:val="clear" w:color="auto" w:fill="D9D9D9" w:themeFill="background1" w:themeFillShade="D9"/>
            <w:vAlign w:val="center"/>
          </w:tcPr>
          <w:p w14:paraId="42C4997B" w14:textId="77777777" w:rsidR="00F63569" w:rsidRPr="006C14A7" w:rsidRDefault="00F63569" w:rsidP="007D1998">
            <w:pPr>
              <w:jc w:val="center"/>
              <w:rPr>
                <w:lang w:eastAsia="en-AU"/>
              </w:rPr>
            </w:pPr>
            <w:r w:rsidRPr="006C14A7">
              <w:rPr>
                <w:lang w:eastAsia="en-AU"/>
              </w:rPr>
              <w:t>841</w:t>
            </w:r>
          </w:p>
        </w:tc>
        <w:tc>
          <w:tcPr>
            <w:tcW w:w="916" w:type="pct"/>
            <w:tcBorders>
              <w:top w:val="single" w:sz="4" w:space="0" w:color="auto"/>
              <w:bottom w:val="single" w:sz="4" w:space="0" w:color="auto"/>
            </w:tcBorders>
            <w:shd w:val="clear" w:color="auto" w:fill="auto"/>
            <w:vAlign w:val="center"/>
          </w:tcPr>
          <w:p w14:paraId="0B40CD6B" w14:textId="77777777" w:rsidR="00F63569" w:rsidRDefault="00F63569" w:rsidP="007D1998">
            <w:pPr>
              <w:jc w:val="center"/>
              <w:rPr>
                <w:lang w:eastAsia="en-AU"/>
              </w:rPr>
            </w:pPr>
            <w:r>
              <w:rPr>
                <w:lang w:eastAsia="en-AU"/>
              </w:rPr>
              <w:t>n/a</w:t>
            </w:r>
          </w:p>
        </w:tc>
      </w:tr>
    </w:tbl>
    <w:p w14:paraId="57257A97" w14:textId="77777777" w:rsidR="00F63569" w:rsidRDefault="00F63569" w:rsidP="00F63569">
      <w:pPr>
        <w:rPr>
          <w:rFonts w:cs="Arial"/>
          <w:szCs w:val="22"/>
          <w:lang w:eastAsia="en-AU"/>
        </w:rPr>
      </w:pPr>
    </w:p>
    <w:p w14:paraId="53DCE39F" w14:textId="718D9CB7" w:rsidR="00F63569" w:rsidRDefault="00F63569" w:rsidP="00F63569">
      <w:pPr>
        <w:rPr>
          <w:rFonts w:cs="Arial"/>
          <w:szCs w:val="22"/>
          <w:lang w:eastAsia="en-AU"/>
        </w:rPr>
      </w:pPr>
      <w:r w:rsidRPr="00916F98">
        <w:rPr>
          <w:rFonts w:cs="Arial"/>
          <w:szCs w:val="22"/>
          <w:lang w:eastAsia="en-AU"/>
        </w:rPr>
        <w:t>Spe</w:t>
      </w:r>
      <w:r>
        <w:rPr>
          <w:rFonts w:cs="Arial"/>
          <w:szCs w:val="22"/>
          <w:lang w:eastAsia="en-AU"/>
        </w:rPr>
        <w:t>cialist resolution and advocacy services have become a crucial part of the justice sector and its approach to early intervention and prevention, helping clients to resolve their issue before it gets worse or ends up at court. The Independent Mental Health Advocacy (IMHA) service and the Independent Family Advocacy and Support (IFAS) service have both seen increased numbers in referrals and services throughout the pandemic and are pivotal in helping to improve access, inclusion, and engagement of people with a disability or who experience a mental health issue. In quarter one 2021</w:t>
      </w:r>
      <w:r>
        <w:rPr>
          <w:lang w:eastAsia="en-AU"/>
        </w:rPr>
        <w:t>–</w:t>
      </w:r>
      <w:r>
        <w:rPr>
          <w:rFonts w:cs="Arial"/>
          <w:szCs w:val="22"/>
          <w:lang w:eastAsia="en-AU"/>
        </w:rPr>
        <w:t>22, total IMHA referrals and services increased by 8 per cent compared to the previous quarter (Table 1.</w:t>
      </w:r>
      <w:r w:rsidR="00AF61B8">
        <w:rPr>
          <w:rFonts w:cs="Arial"/>
          <w:szCs w:val="22"/>
          <w:lang w:eastAsia="en-AU"/>
        </w:rPr>
        <w:t>4</w:t>
      </w:r>
      <w:r>
        <w:rPr>
          <w:rFonts w:cs="Arial"/>
          <w:szCs w:val="22"/>
          <w:lang w:eastAsia="en-AU"/>
        </w:rPr>
        <w:t xml:space="preserve">). The pandemic has resulted in increased demand on the service with clients presenting as more distressed. COVID related restrictions have impacted on their ability to leave or have visitors while being an inpatient and has resulted in an adverse impact on clients. </w:t>
      </w:r>
    </w:p>
    <w:p w14:paraId="5C1532C3" w14:textId="692565D4" w:rsidR="00F63569" w:rsidRDefault="00F63569" w:rsidP="00F63569">
      <w:pPr>
        <w:rPr>
          <w:rFonts w:cs="Arial"/>
          <w:szCs w:val="22"/>
          <w:lang w:eastAsia="en-AU"/>
        </w:rPr>
      </w:pPr>
      <w:r>
        <w:rPr>
          <w:rFonts w:cs="Arial"/>
          <w:szCs w:val="22"/>
          <w:lang w:eastAsia="en-AU"/>
        </w:rPr>
        <w:t>IFAS referrals and services increased by 9 per cent</w:t>
      </w:r>
      <w:r>
        <w:rPr>
          <w:lang w:eastAsia="en-AU"/>
        </w:rPr>
        <w:t xml:space="preserve"> (Table 1.</w:t>
      </w:r>
      <w:r w:rsidR="00AF61B8">
        <w:rPr>
          <w:lang w:eastAsia="en-AU"/>
        </w:rPr>
        <w:t>4</w:t>
      </w:r>
      <w:r>
        <w:rPr>
          <w:lang w:eastAsia="en-AU"/>
        </w:rPr>
        <w:t>)</w:t>
      </w:r>
      <w:r>
        <w:rPr>
          <w:rFonts w:cs="Arial"/>
          <w:szCs w:val="22"/>
          <w:lang w:eastAsia="en-AU"/>
        </w:rPr>
        <w:t xml:space="preserve">. This increase is a result of increased referrals for clients as the service becomes better known in the community. IFAS is continuing to work with external stakeholders to support access for clients. </w:t>
      </w:r>
    </w:p>
    <w:p w14:paraId="5EB91738" w14:textId="77777777" w:rsidR="00F63569" w:rsidRPr="000E7F25" w:rsidRDefault="00F63569" w:rsidP="00F63569">
      <w:pPr>
        <w:rPr>
          <w:rFonts w:cs="Arial"/>
          <w:szCs w:val="22"/>
          <w:lang w:eastAsia="en-AU"/>
        </w:rPr>
      </w:pPr>
    </w:p>
    <w:p w14:paraId="2A1F0837" w14:textId="6B727213" w:rsidR="00495A11" w:rsidRDefault="007C1487" w:rsidP="00523B7C">
      <w:pPr>
        <w:rPr>
          <w:b/>
          <w:bCs/>
        </w:rPr>
      </w:pPr>
      <w:r w:rsidRPr="00E46959">
        <w:rPr>
          <w:b/>
          <w:bCs/>
        </w:rPr>
        <w:t>Table 1.</w:t>
      </w:r>
      <w:r w:rsidR="00AF61B8">
        <w:rPr>
          <w:b/>
          <w:bCs/>
        </w:rPr>
        <w:t>5</w:t>
      </w:r>
      <w:r w:rsidRPr="00E46959">
        <w:rPr>
          <w:b/>
          <w:bCs/>
        </w:rPr>
        <w:t xml:space="preserve"> </w:t>
      </w:r>
      <w:r w:rsidR="00B84476">
        <w:rPr>
          <w:b/>
          <w:bCs/>
        </w:rPr>
        <w:t>Court assistance</w:t>
      </w:r>
      <w:r w:rsidRPr="00E46959">
        <w:rPr>
          <w:b/>
          <w:bCs/>
        </w:rPr>
        <w:t xml:space="preser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5"/>
        <w:gridCol w:w="1973"/>
        <w:gridCol w:w="2289"/>
        <w:gridCol w:w="2289"/>
      </w:tblGrid>
      <w:tr w:rsidR="00407F25" w14:paraId="023F7EAE" w14:textId="77777777" w:rsidTr="00916F98">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749" w:type="pct"/>
            <w:shd w:val="clear" w:color="auto" w:fill="C4B0CC"/>
          </w:tcPr>
          <w:p w14:paraId="19CA7266" w14:textId="1867E3E8" w:rsidR="00407F25" w:rsidRPr="00495A11" w:rsidRDefault="006265F6" w:rsidP="009D66BD">
            <w:pPr>
              <w:rPr>
                <w:b/>
                <w:color w:val="000000" w:themeColor="text1"/>
              </w:rPr>
            </w:pPr>
            <w:r>
              <w:rPr>
                <w:b/>
                <w:color w:val="000000" w:themeColor="text1"/>
              </w:rPr>
              <w:t>Court assistance services</w:t>
            </w:r>
          </w:p>
        </w:tc>
        <w:tc>
          <w:tcPr>
            <w:cnfStyle w:val="000001000000" w:firstRow="0" w:lastRow="0" w:firstColumn="0" w:lastColumn="0" w:oddVBand="0" w:evenVBand="1" w:oddHBand="0" w:evenHBand="0" w:firstRowFirstColumn="0" w:firstRowLastColumn="0" w:lastRowFirstColumn="0" w:lastRowLastColumn="0"/>
            <w:tcW w:w="979" w:type="pct"/>
            <w:shd w:val="clear" w:color="auto" w:fill="C4B0CC"/>
          </w:tcPr>
          <w:p w14:paraId="44113EE6" w14:textId="77777777" w:rsidR="00407F25" w:rsidRPr="000E7EED" w:rsidRDefault="00407F25" w:rsidP="009D66BD">
            <w:pPr>
              <w:jc w:val="center"/>
              <w:rPr>
                <w:b/>
                <w:color w:val="000000" w:themeColor="text1"/>
              </w:rPr>
            </w:pPr>
            <w:r>
              <w:rPr>
                <w:b/>
                <w:color w:val="000000" w:themeColor="text1"/>
              </w:rPr>
              <w:t>Q4</w:t>
            </w:r>
          </w:p>
          <w:p w14:paraId="64A6E195" w14:textId="77777777" w:rsidR="00407F25" w:rsidRPr="00495A11" w:rsidRDefault="00407F25" w:rsidP="009D66BD">
            <w:pPr>
              <w:jc w:val="center"/>
              <w:rPr>
                <w:b/>
                <w:color w:val="000000" w:themeColor="text1"/>
              </w:rPr>
            </w:pPr>
            <w:r w:rsidRPr="000E7EED">
              <w:rPr>
                <w:b/>
                <w:color w:val="000000" w:themeColor="text1"/>
              </w:rPr>
              <w:t>20</w:t>
            </w:r>
            <w:r>
              <w:rPr>
                <w:b/>
                <w:color w:val="000000" w:themeColor="text1"/>
              </w:rPr>
              <w:t>20-21</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7128FDC6" w14:textId="77777777" w:rsidR="00407F25" w:rsidRDefault="00407F25" w:rsidP="009D66BD">
            <w:pPr>
              <w:jc w:val="center"/>
              <w:rPr>
                <w:b/>
                <w:color w:val="000000" w:themeColor="text1"/>
              </w:rPr>
            </w:pPr>
            <w:r w:rsidRPr="55245693">
              <w:rPr>
                <w:b/>
                <w:color w:val="000000" w:themeColor="text1"/>
              </w:rPr>
              <w:t>Q</w:t>
            </w:r>
            <w:r>
              <w:rPr>
                <w:b/>
                <w:color w:val="000000" w:themeColor="text1"/>
              </w:rPr>
              <w:t>1</w:t>
            </w:r>
          </w:p>
          <w:p w14:paraId="4C9C7D4E" w14:textId="77777777" w:rsidR="00407F25" w:rsidRPr="00495A11" w:rsidRDefault="00407F25" w:rsidP="009D66BD">
            <w:pPr>
              <w:jc w:val="center"/>
              <w:rPr>
                <w:b/>
                <w:color w:val="000000" w:themeColor="text1"/>
              </w:rPr>
            </w:pPr>
            <w:r w:rsidRPr="000E7EED">
              <w:rPr>
                <w:b/>
                <w:color w:val="000000" w:themeColor="text1"/>
              </w:rPr>
              <w:t>20</w:t>
            </w:r>
            <w:r>
              <w:rPr>
                <w:b/>
                <w:color w:val="000000" w:themeColor="text1"/>
              </w:rPr>
              <w:t>21-22</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2A7FF43A" w14:textId="77777777" w:rsidR="00407F25" w:rsidRDefault="00407F25" w:rsidP="009D66BD">
            <w:pPr>
              <w:jc w:val="center"/>
              <w:rPr>
                <w:b/>
                <w:bCs w:val="0"/>
                <w:color w:val="000000" w:themeColor="text1"/>
              </w:rPr>
            </w:pPr>
            <w:r>
              <w:rPr>
                <w:b/>
                <w:color w:val="000000" w:themeColor="text1"/>
              </w:rPr>
              <w:t>Q2 2021-22</w:t>
            </w:r>
          </w:p>
          <w:p w14:paraId="09C91536" w14:textId="77777777" w:rsidR="00407F25" w:rsidRPr="55245693" w:rsidRDefault="00407F25" w:rsidP="009D66BD">
            <w:pPr>
              <w:jc w:val="center"/>
              <w:rPr>
                <w:b/>
                <w:color w:val="000000" w:themeColor="text1"/>
              </w:rPr>
            </w:pPr>
            <w:r>
              <w:rPr>
                <w:b/>
                <w:color w:val="000000" w:themeColor="text1"/>
              </w:rPr>
              <w:t>projection</w:t>
            </w:r>
          </w:p>
        </w:tc>
      </w:tr>
      <w:tr w:rsidR="00407F25" w:rsidRPr="0021615C" w14:paraId="64EE6B24" w14:textId="77777777" w:rsidTr="00916F98">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749" w:type="pct"/>
          </w:tcPr>
          <w:p w14:paraId="58EB8651" w14:textId="7C4BF1A2" w:rsidR="00407F25" w:rsidRPr="000E7EED" w:rsidRDefault="006265F6" w:rsidP="009D66BD">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979" w:type="pct"/>
            <w:vAlign w:val="center"/>
          </w:tcPr>
          <w:p w14:paraId="5792E15B" w14:textId="57186CFC" w:rsidR="00407F25" w:rsidRPr="000E7EED" w:rsidRDefault="006265F6" w:rsidP="009D66BD">
            <w:pPr>
              <w:jc w:val="center"/>
              <w:rPr>
                <w:color w:val="000000" w:themeColor="text1"/>
              </w:rPr>
            </w:pPr>
            <w:r>
              <w:rPr>
                <w:color w:val="000000" w:themeColor="text1"/>
              </w:rPr>
              <w:t>16,752</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38DC521A" w14:textId="2D1269A1" w:rsidR="00407F25" w:rsidRPr="0021615C" w:rsidRDefault="48B54FC8" w:rsidP="009D66BD">
            <w:pPr>
              <w:jc w:val="center"/>
            </w:pPr>
            <w:r>
              <w:t>12,647</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77467474" w14:textId="1D67B581" w:rsidR="00407F25" w:rsidRDefault="48B54FC8" w:rsidP="009D66BD">
            <w:pPr>
              <w:jc w:val="center"/>
            </w:pPr>
            <w:r>
              <w:t>18,837</w:t>
            </w:r>
          </w:p>
        </w:tc>
      </w:tr>
      <w:tr w:rsidR="00407F25" w14:paraId="39912EC6" w14:textId="77777777" w:rsidTr="00916F98">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9" w:type="pct"/>
          </w:tcPr>
          <w:p w14:paraId="29913E96" w14:textId="3C9F4AE6" w:rsidR="00407F25" w:rsidRPr="000E7EED" w:rsidRDefault="006265F6" w:rsidP="009D66BD">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979" w:type="pct"/>
            <w:vAlign w:val="center"/>
          </w:tcPr>
          <w:p w14:paraId="551CE1B7" w14:textId="2C410301" w:rsidR="00407F25" w:rsidRPr="000E7EED" w:rsidRDefault="00C91612" w:rsidP="009D66BD">
            <w:pPr>
              <w:jc w:val="center"/>
              <w:rPr>
                <w:color w:val="000000" w:themeColor="text1"/>
              </w:rPr>
            </w:pPr>
            <w:r>
              <w:rPr>
                <w:color w:val="000000" w:themeColor="text1"/>
              </w:rPr>
              <w:t>11,583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500C0198" w14:textId="38D0B163" w:rsidR="00407F25" w:rsidRPr="000E7EED" w:rsidRDefault="4BB47229" w:rsidP="009D66BD">
            <w:pPr>
              <w:jc w:val="center"/>
              <w:rPr>
                <w:color w:val="000000" w:themeColor="text1"/>
              </w:rPr>
            </w:pPr>
            <w:r w:rsidRPr="7D105CA6">
              <w:rPr>
                <w:color w:val="000000" w:themeColor="text1"/>
              </w:rPr>
              <w:t>10,489</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77A6156F" w14:textId="3ECE4DFC" w:rsidR="00407F25" w:rsidRDefault="4BB47229" w:rsidP="009D66BD">
            <w:pPr>
              <w:jc w:val="center"/>
              <w:rPr>
                <w:color w:val="000000" w:themeColor="text1"/>
              </w:rPr>
            </w:pPr>
            <w:r w:rsidRPr="7D105CA6">
              <w:rPr>
                <w:color w:val="000000" w:themeColor="text1"/>
              </w:rPr>
              <w:t>12,600</w:t>
            </w:r>
          </w:p>
        </w:tc>
      </w:tr>
    </w:tbl>
    <w:p w14:paraId="00C74F8E" w14:textId="1519EA3A" w:rsidR="00FA1822" w:rsidRDefault="006B488D" w:rsidP="00FA1822">
      <w:pPr>
        <w:spacing w:before="120"/>
      </w:pPr>
      <w:r>
        <w:t xml:space="preserve">The </w:t>
      </w:r>
      <w:r w:rsidR="00A55A26">
        <w:t>state’s most recent lockdown has meant that court operations have not been able to return to higher service</w:t>
      </w:r>
      <w:r w:rsidR="007A7C7F">
        <w:t xml:space="preserve"> level</w:t>
      </w:r>
      <w:r w:rsidR="00313DD1">
        <w:t>s</w:t>
      </w:r>
      <w:r w:rsidR="007A7C7F">
        <w:t xml:space="preserve"> as </w:t>
      </w:r>
      <w:r w:rsidR="00A55A26">
        <w:t>planned</w:t>
      </w:r>
      <w:proofErr w:type="gramStart"/>
      <w:r w:rsidR="00A909BA">
        <w:t xml:space="preserve">. </w:t>
      </w:r>
      <w:r w:rsidR="000F6E2D">
        <w:t xml:space="preserve"> </w:t>
      </w:r>
      <w:proofErr w:type="gramEnd"/>
      <w:r w:rsidR="000F6E2D">
        <w:t>This has</w:t>
      </w:r>
      <w:r w:rsidR="009644D2">
        <w:t xml:space="preserve"> impacted on the number of </w:t>
      </w:r>
      <w:r w:rsidR="0043635B">
        <w:t xml:space="preserve">duty lawyer services </w:t>
      </w:r>
      <w:r w:rsidR="003E0108">
        <w:t xml:space="preserve">able to be provided. Compared </w:t>
      </w:r>
      <w:r w:rsidR="0043635B">
        <w:t xml:space="preserve">to the previous quarter, duty lawyer services decreased by </w:t>
      </w:r>
      <w:r w:rsidR="002303B4">
        <w:t>24 per</w:t>
      </w:r>
      <w:r w:rsidR="002B3E79">
        <w:t xml:space="preserve"> </w:t>
      </w:r>
      <w:r w:rsidR="002303B4">
        <w:t>cent (Table 1.</w:t>
      </w:r>
      <w:r w:rsidR="00AF61B8">
        <w:t>5</w:t>
      </w:r>
      <w:r w:rsidR="002303B4">
        <w:t xml:space="preserve">). </w:t>
      </w:r>
      <w:r w:rsidR="00264FA5">
        <w:t xml:space="preserve">The introduction of the Help Before Court service has helped to </w:t>
      </w:r>
      <w:r w:rsidR="00E13239">
        <w:t xml:space="preserve">mitigate this decrease by providing clients with an alternative intake process and helping them resolve their matters as quickly as possible. </w:t>
      </w:r>
      <w:r w:rsidR="008805FE">
        <w:t xml:space="preserve">The service has </w:t>
      </w:r>
      <w:r w:rsidR="008C2E45">
        <w:t>assisted over 10,000 people since beginning in October 2020</w:t>
      </w:r>
      <w:r w:rsidR="00822806">
        <w:t xml:space="preserve">. </w:t>
      </w:r>
    </w:p>
    <w:p w14:paraId="730E6B75" w14:textId="1D7C0E1F" w:rsidR="00E13239" w:rsidRDefault="00F71FF1" w:rsidP="00FA1822">
      <w:pPr>
        <w:spacing w:before="120"/>
      </w:pPr>
      <w:r>
        <w:t>Grants of legal assistance decreased by 9 per</w:t>
      </w:r>
      <w:r w:rsidR="002B3E79">
        <w:t xml:space="preserve"> </w:t>
      </w:r>
      <w:r>
        <w:t>cent</w:t>
      </w:r>
      <w:r w:rsidR="00F66C77">
        <w:t xml:space="preserve"> compared to quarter one 2020</w:t>
      </w:r>
      <w:r w:rsidR="00873FF7">
        <w:rPr>
          <w:lang w:eastAsia="en-AU"/>
        </w:rPr>
        <w:t>–</w:t>
      </w:r>
      <w:r w:rsidR="00F66C77">
        <w:t>21</w:t>
      </w:r>
      <w:r>
        <w:t xml:space="preserve">, again </w:t>
      </w:r>
      <w:r w:rsidR="009C0072">
        <w:t>a result</w:t>
      </w:r>
      <w:r>
        <w:t xml:space="preserve"> of the </w:t>
      </w:r>
      <w:r w:rsidR="009C0072">
        <w:t>changed court operations and lower capacity levels (Table 1.</w:t>
      </w:r>
      <w:r w:rsidR="00AF61B8">
        <w:t>5</w:t>
      </w:r>
      <w:r w:rsidR="009C0072">
        <w:t>).</w:t>
      </w:r>
      <w:r w:rsidR="00E81B1A">
        <w:t xml:space="preserve"> </w:t>
      </w:r>
      <w:r w:rsidR="008F01B4">
        <w:t xml:space="preserve">Numbers for both duty lawyer services and grants of legal assistance are expected in increase </w:t>
      </w:r>
      <w:r w:rsidR="006012E4">
        <w:t xml:space="preserve">from </w:t>
      </w:r>
      <w:r w:rsidR="008F01B4">
        <w:t>quarter two. The increase is depe</w:t>
      </w:r>
      <w:r w:rsidR="007808FE">
        <w:t xml:space="preserve">ndent on the easing of restrictions and </w:t>
      </w:r>
      <w:r w:rsidR="00026D4A">
        <w:t xml:space="preserve">courts </w:t>
      </w:r>
      <w:r w:rsidR="007808FE">
        <w:t xml:space="preserve">reopening at an </w:t>
      </w:r>
      <w:r w:rsidR="00026D4A">
        <w:t>increase</w:t>
      </w:r>
      <w:r w:rsidR="007808FE">
        <w:t>d</w:t>
      </w:r>
      <w:r w:rsidR="00026D4A">
        <w:t xml:space="preserve"> capacity</w:t>
      </w:r>
      <w:r w:rsidR="007808FE">
        <w:t xml:space="preserve">. </w:t>
      </w:r>
      <w:r w:rsidR="00904079">
        <w:t xml:space="preserve">Once courts are fully operational, we expect </w:t>
      </w:r>
      <w:r w:rsidR="00C54BCB">
        <w:t xml:space="preserve">our </w:t>
      </w:r>
      <w:r w:rsidR="00904079">
        <w:t>service</w:t>
      </w:r>
      <w:r w:rsidR="00C54BCB">
        <w:t xml:space="preserve">s </w:t>
      </w:r>
      <w:r w:rsidR="00904079">
        <w:t xml:space="preserve">to return to pre-COVID levels. </w:t>
      </w:r>
    </w:p>
    <w:p w14:paraId="6EB8CCDC" w14:textId="0657B5B9" w:rsidR="004175B7" w:rsidRDefault="000464B3" w:rsidP="00160893">
      <w:pPr>
        <w:pStyle w:val="Heading2"/>
      </w:pPr>
      <w:r>
        <w:br w:type="page"/>
      </w:r>
      <w:r w:rsidR="004175B7" w:rsidRPr="004175B7">
        <w:lastRenderedPageBreak/>
        <w:t xml:space="preserve">Financial </w:t>
      </w:r>
      <w:r w:rsidR="00B03011">
        <w:t>S</w:t>
      </w:r>
      <w:r w:rsidR="004175B7" w:rsidRPr="004175B7">
        <w:t>ummary</w:t>
      </w:r>
    </w:p>
    <w:p w14:paraId="24EFEF5A" w14:textId="622089B7" w:rsidR="00B250C4" w:rsidRDefault="00EC2CDB" w:rsidP="008C3CBC">
      <w:pPr>
        <w:rPr>
          <w:lang w:eastAsia="en-AU"/>
        </w:rPr>
      </w:pPr>
      <w:bookmarkStart w:id="3" w:name="_Hlk33006424"/>
      <w:bookmarkStart w:id="4" w:name="_Hlk25835001"/>
      <w:r>
        <w:rPr>
          <w:lang w:eastAsia="en-AU"/>
        </w:rPr>
        <w:t xml:space="preserve">Our operating position in quarter one was a surplus of $2.5 million, primarily resulting </w:t>
      </w:r>
      <w:r w:rsidR="001D6BD7">
        <w:rPr>
          <w:lang w:eastAsia="en-AU"/>
        </w:rPr>
        <w:t>from the</w:t>
      </w:r>
      <w:r>
        <w:rPr>
          <w:lang w:eastAsia="en-AU"/>
        </w:rPr>
        <w:t xml:space="preserve"> continued impacts of COVID-19 on court operations</w:t>
      </w:r>
      <w:r w:rsidR="007D654C">
        <w:rPr>
          <w:lang w:eastAsia="en-AU"/>
        </w:rPr>
        <w:t xml:space="preserve"> an</w:t>
      </w:r>
      <w:r w:rsidR="009B51B2">
        <w:rPr>
          <w:lang w:eastAsia="en-AU"/>
        </w:rPr>
        <w:t xml:space="preserve">d </w:t>
      </w:r>
      <w:r w:rsidR="00C1308D">
        <w:rPr>
          <w:lang w:eastAsia="en-AU"/>
        </w:rPr>
        <w:t xml:space="preserve">limiting the </w:t>
      </w:r>
      <w:r w:rsidR="006021F7">
        <w:rPr>
          <w:lang w:eastAsia="en-AU"/>
        </w:rPr>
        <w:t>ability</w:t>
      </w:r>
      <w:r w:rsidR="00632FD2">
        <w:rPr>
          <w:lang w:eastAsia="en-AU"/>
        </w:rPr>
        <w:t xml:space="preserve"> of VLA </w:t>
      </w:r>
      <w:r w:rsidR="00C1308D">
        <w:rPr>
          <w:lang w:eastAsia="en-AU"/>
        </w:rPr>
        <w:t xml:space="preserve">to return to our </w:t>
      </w:r>
      <w:r w:rsidR="006021F7">
        <w:rPr>
          <w:lang w:eastAsia="en-AU"/>
        </w:rPr>
        <w:t>normal operations.</w:t>
      </w:r>
    </w:p>
    <w:p w14:paraId="075BFF40" w14:textId="5186B874" w:rsidR="004F5C8B" w:rsidRDefault="004F5C8B">
      <w:pPr>
        <w:rPr>
          <w:lang w:eastAsia="en-AU"/>
        </w:rPr>
      </w:pPr>
      <w:r>
        <w:rPr>
          <w:lang w:eastAsia="en-AU"/>
        </w:rPr>
        <w:t xml:space="preserve">Total revenue </w:t>
      </w:r>
      <w:r w:rsidR="00C20DD4">
        <w:rPr>
          <w:lang w:eastAsia="en-AU"/>
        </w:rPr>
        <w:t>for</w:t>
      </w:r>
      <w:r w:rsidR="00F0744F">
        <w:rPr>
          <w:lang w:eastAsia="en-AU"/>
        </w:rPr>
        <w:t xml:space="preserve"> quarter one was $70.5 million, a reduction from the </w:t>
      </w:r>
      <w:r w:rsidR="00A53D87">
        <w:rPr>
          <w:lang w:eastAsia="en-AU"/>
        </w:rPr>
        <w:t>quarter four</w:t>
      </w:r>
      <w:r w:rsidR="00144D90">
        <w:rPr>
          <w:lang w:eastAsia="en-AU"/>
        </w:rPr>
        <w:t xml:space="preserve"> result</w:t>
      </w:r>
      <w:r w:rsidR="00A53D87">
        <w:rPr>
          <w:lang w:eastAsia="en-AU"/>
        </w:rPr>
        <w:t xml:space="preserve"> last year. </w:t>
      </w:r>
      <w:r w:rsidR="00524A43">
        <w:rPr>
          <w:lang w:eastAsia="en-AU"/>
        </w:rPr>
        <w:t xml:space="preserve">The reduction </w:t>
      </w:r>
      <w:r w:rsidR="0040240D">
        <w:rPr>
          <w:lang w:eastAsia="en-AU"/>
        </w:rPr>
        <w:t xml:space="preserve">reflects one-off </w:t>
      </w:r>
      <w:r w:rsidR="00744F6D">
        <w:rPr>
          <w:lang w:eastAsia="en-AU"/>
        </w:rPr>
        <w:t>and project</w:t>
      </w:r>
      <w:r w:rsidR="00576772">
        <w:rPr>
          <w:lang w:eastAsia="en-AU"/>
        </w:rPr>
        <w:t>-</w:t>
      </w:r>
      <w:r w:rsidR="00744F6D">
        <w:rPr>
          <w:lang w:eastAsia="en-AU"/>
        </w:rPr>
        <w:t xml:space="preserve">related </w:t>
      </w:r>
      <w:r w:rsidR="0040240D">
        <w:rPr>
          <w:lang w:eastAsia="en-AU"/>
        </w:rPr>
        <w:t xml:space="preserve">funding received </w:t>
      </w:r>
      <w:r w:rsidR="00744F6D">
        <w:rPr>
          <w:lang w:eastAsia="en-AU"/>
        </w:rPr>
        <w:t>last year, as well as a reduction in</w:t>
      </w:r>
      <w:r w:rsidR="00BC2D1B">
        <w:rPr>
          <w:lang w:eastAsia="en-AU"/>
        </w:rPr>
        <w:t xml:space="preserve"> revenues from the</w:t>
      </w:r>
      <w:r w:rsidR="00744F6D">
        <w:rPr>
          <w:lang w:eastAsia="en-AU"/>
        </w:rPr>
        <w:t xml:space="preserve"> </w:t>
      </w:r>
      <w:r w:rsidR="00BC2D1B">
        <w:rPr>
          <w:lang w:eastAsia="en-AU"/>
        </w:rPr>
        <w:t>P</w:t>
      </w:r>
      <w:r w:rsidR="00744F6D">
        <w:rPr>
          <w:lang w:eastAsia="en-AU"/>
        </w:rPr>
        <w:t xml:space="preserve">ublic </w:t>
      </w:r>
      <w:r w:rsidR="00BC2D1B">
        <w:rPr>
          <w:lang w:eastAsia="en-AU"/>
        </w:rPr>
        <w:t>P</w:t>
      </w:r>
      <w:r w:rsidR="00744F6D">
        <w:rPr>
          <w:lang w:eastAsia="en-AU"/>
        </w:rPr>
        <w:t xml:space="preserve">urpose </w:t>
      </w:r>
      <w:r w:rsidR="00BC2D1B">
        <w:rPr>
          <w:lang w:eastAsia="en-AU"/>
        </w:rPr>
        <w:t>F</w:t>
      </w:r>
      <w:r w:rsidR="00744F6D">
        <w:rPr>
          <w:lang w:eastAsia="en-AU"/>
        </w:rPr>
        <w:t>und</w:t>
      </w:r>
      <w:r w:rsidR="004D78C4">
        <w:rPr>
          <w:lang w:eastAsia="en-AU"/>
        </w:rPr>
        <w:t xml:space="preserve"> (PPF)</w:t>
      </w:r>
      <w:r w:rsidR="00B853BF">
        <w:rPr>
          <w:lang w:eastAsia="en-AU"/>
        </w:rPr>
        <w:t>.</w:t>
      </w:r>
    </w:p>
    <w:p w14:paraId="63485E4D" w14:textId="74F2BC6E" w:rsidR="00B83C97" w:rsidRDefault="001D6BD7" w:rsidP="007B58EB">
      <w:pPr>
        <w:rPr>
          <w:lang w:eastAsia="en-AU"/>
        </w:rPr>
      </w:pPr>
      <w:r>
        <w:rPr>
          <w:lang w:eastAsia="en-AU"/>
        </w:rPr>
        <w:t xml:space="preserve">Case related expenditure, our largest expenditure, </w:t>
      </w:r>
      <w:r w:rsidR="00B8034A">
        <w:rPr>
          <w:lang w:eastAsia="en-AU"/>
        </w:rPr>
        <w:t xml:space="preserve">decreased </w:t>
      </w:r>
      <w:r w:rsidR="007A0473">
        <w:rPr>
          <w:lang w:eastAsia="en-AU"/>
        </w:rPr>
        <w:t xml:space="preserve">in </w:t>
      </w:r>
      <w:r>
        <w:rPr>
          <w:lang w:eastAsia="en-AU"/>
        </w:rPr>
        <w:t xml:space="preserve">quarter </w:t>
      </w:r>
      <w:r w:rsidR="007A0473">
        <w:rPr>
          <w:lang w:eastAsia="en-AU"/>
        </w:rPr>
        <w:t xml:space="preserve">one </w:t>
      </w:r>
      <w:r w:rsidR="008C644E">
        <w:rPr>
          <w:lang w:eastAsia="en-AU"/>
        </w:rPr>
        <w:t xml:space="preserve">from quarter </w:t>
      </w:r>
      <w:r>
        <w:rPr>
          <w:lang w:eastAsia="en-AU"/>
        </w:rPr>
        <w:t>four</w:t>
      </w:r>
      <w:r w:rsidR="009B163A">
        <w:rPr>
          <w:lang w:eastAsia="en-AU"/>
        </w:rPr>
        <w:t xml:space="preserve"> </w:t>
      </w:r>
      <w:r>
        <w:rPr>
          <w:lang w:eastAsia="en-AU"/>
        </w:rPr>
        <w:t>last year</w:t>
      </w:r>
      <w:r w:rsidR="00E16912">
        <w:rPr>
          <w:lang w:eastAsia="en-AU"/>
        </w:rPr>
        <w:t xml:space="preserve"> to </w:t>
      </w:r>
      <w:r>
        <w:rPr>
          <w:lang w:eastAsia="en-AU"/>
        </w:rPr>
        <w:t>$28</w:t>
      </w:r>
      <w:r w:rsidR="001C4ECB">
        <w:rPr>
          <w:lang w:eastAsia="en-AU"/>
        </w:rPr>
        <w:t>.3</w:t>
      </w:r>
      <w:r w:rsidR="009B163A">
        <w:rPr>
          <w:lang w:eastAsia="en-AU"/>
        </w:rPr>
        <w:t xml:space="preserve"> </w:t>
      </w:r>
      <w:r>
        <w:rPr>
          <w:lang w:eastAsia="en-AU"/>
        </w:rPr>
        <w:t>million. This reduction is primarily a deferral of expenditure and is subject to the approach taken with the courts to address the backlog of cases.</w:t>
      </w:r>
      <w:r w:rsidR="000138CA">
        <w:rPr>
          <w:lang w:eastAsia="en-AU"/>
        </w:rPr>
        <w:t xml:space="preserve"> </w:t>
      </w:r>
      <w:r w:rsidR="00EC2CDB">
        <w:t xml:space="preserve">We anticipate expenditure will </w:t>
      </w:r>
      <w:r w:rsidR="003C1811">
        <w:t xml:space="preserve">gradually </w:t>
      </w:r>
      <w:r w:rsidR="00EC2CDB">
        <w:t>return to normal from quarter two as capacity returns within the court system</w:t>
      </w:r>
      <w:r w:rsidR="001A42A9">
        <w:t xml:space="preserve">. This </w:t>
      </w:r>
      <w:r w:rsidR="00305573">
        <w:t xml:space="preserve">is expected to </w:t>
      </w:r>
      <w:r w:rsidR="00EC2CDB">
        <w:t>result in a budgeted deficit of approximately $16.5 million</w:t>
      </w:r>
      <w:r w:rsidR="00305573">
        <w:t>, which will be</w:t>
      </w:r>
      <w:r w:rsidR="00D700D9">
        <w:t xml:space="preserve"> fully funded from prior year surpluses. </w:t>
      </w:r>
    </w:p>
    <w:p w14:paraId="7C536087" w14:textId="4555D64E" w:rsidR="00AB643C" w:rsidRDefault="00D700D9" w:rsidP="007B58EB">
      <w:pPr>
        <w:pStyle w:val="VLALetterText"/>
      </w:pPr>
      <w:r>
        <w:t xml:space="preserve">Our financial future </w:t>
      </w:r>
      <w:r w:rsidR="0047057B">
        <w:t xml:space="preserve">beyond this financial year </w:t>
      </w:r>
      <w:r>
        <w:t>remains challenging</w:t>
      </w:r>
      <w:r w:rsidR="00F8751F">
        <w:t>,</w:t>
      </w:r>
      <w:r>
        <w:t xml:space="preserve"> </w:t>
      </w:r>
      <w:r w:rsidR="000D7215">
        <w:t>primarily</w:t>
      </w:r>
      <w:r>
        <w:t xml:space="preserve"> due to </w:t>
      </w:r>
      <w:r w:rsidR="005E2471">
        <w:t>increasing d</w:t>
      </w:r>
      <w:r>
        <w:t xml:space="preserve">emand </w:t>
      </w:r>
      <w:r w:rsidR="005E2471">
        <w:t xml:space="preserve">for </w:t>
      </w:r>
      <w:r>
        <w:t xml:space="preserve">our </w:t>
      </w:r>
      <w:r w:rsidR="005E2471">
        <w:t>services</w:t>
      </w:r>
      <w:r w:rsidR="000F595D">
        <w:t xml:space="preserve"> (</w:t>
      </w:r>
      <w:r w:rsidR="009E4666">
        <w:t>i.e.</w:t>
      </w:r>
      <w:r>
        <w:t xml:space="preserve"> driven by </w:t>
      </w:r>
      <w:r w:rsidR="00D62585">
        <w:t>downstream impacts from</w:t>
      </w:r>
      <w:r>
        <w:t xml:space="preserve"> government policy commitments such as increases in child protection officers</w:t>
      </w:r>
      <w:r w:rsidR="00D62585">
        <w:t>)</w:t>
      </w:r>
      <w:r>
        <w:t xml:space="preserve"> exceed</w:t>
      </w:r>
      <w:r w:rsidR="005E2471">
        <w:t>ing</w:t>
      </w:r>
      <w:r>
        <w:t xml:space="preserve"> our base funding </w:t>
      </w:r>
      <w:r w:rsidR="009E4666">
        <w:t xml:space="preserve">- </w:t>
      </w:r>
      <w:r>
        <w:t xml:space="preserve">as </w:t>
      </w:r>
      <w:r w:rsidR="000D7215">
        <w:t xml:space="preserve">well as </w:t>
      </w:r>
      <w:r w:rsidR="002B01F7">
        <w:t xml:space="preserve">the </w:t>
      </w:r>
      <w:r w:rsidR="0047277D">
        <w:t>reduction in funding from the PPF.</w:t>
      </w:r>
      <w:r>
        <w:t xml:space="preserve"> </w:t>
      </w:r>
      <w:r w:rsidR="004E0F53">
        <w:t xml:space="preserve">Consideration of savings initiatives will need </w:t>
      </w:r>
      <w:r w:rsidR="006C5EC6">
        <w:t xml:space="preserve">to occur pending </w:t>
      </w:r>
      <w:r w:rsidR="000C02A3">
        <w:t>any</w:t>
      </w:r>
      <w:r w:rsidR="006C5EC6">
        <w:t xml:space="preserve"> outcomes from the stat</w:t>
      </w:r>
      <w:r w:rsidR="000C02A3">
        <w:t>e</w:t>
      </w:r>
      <w:r w:rsidR="006C5EC6">
        <w:t xml:space="preserve"> budget</w:t>
      </w:r>
      <w:r>
        <w:t xml:space="preserve">. We </w:t>
      </w:r>
      <w:r w:rsidR="006737BD">
        <w:t>continue</w:t>
      </w:r>
      <w:r>
        <w:t xml:space="preserve"> to work with the Department </w:t>
      </w:r>
      <w:r w:rsidR="006737BD">
        <w:t xml:space="preserve">of Justice and Community Safety </w:t>
      </w:r>
      <w:r>
        <w:t xml:space="preserve">to </w:t>
      </w:r>
      <w:r w:rsidR="006737BD">
        <w:t>pursue</w:t>
      </w:r>
      <w:r>
        <w:t xml:space="preserve"> sustainable funding solutions to meet </w:t>
      </w:r>
      <w:r w:rsidR="007D69C0">
        <w:t xml:space="preserve">these </w:t>
      </w:r>
      <w:r>
        <w:t xml:space="preserve">ongoing </w:t>
      </w:r>
      <w:r w:rsidR="007D69C0">
        <w:t>financial challenges</w:t>
      </w:r>
      <w:r>
        <w:t>.</w:t>
      </w:r>
    </w:p>
    <w:p w14:paraId="5C7A41B4" w14:textId="28D9E6E2" w:rsidR="004175B7" w:rsidRPr="004175B7" w:rsidRDefault="00351328" w:rsidP="004175B7">
      <w:pPr>
        <w:pStyle w:val="Heading3"/>
      </w:pPr>
      <w:r w:rsidRPr="004175B7">
        <w:rPr>
          <w:rStyle w:val="Heading3Char"/>
          <w:b/>
          <w:bCs/>
        </w:rPr>
        <w:t>Total</w:t>
      </w:r>
      <w:r w:rsidR="004175B7" w:rsidRPr="004175B7">
        <w:rPr>
          <w:rStyle w:val="Heading3Char"/>
          <w:b/>
          <w:bCs/>
        </w:rPr>
        <w:t xml:space="preserve"> revenue breakdown</w:t>
      </w:r>
      <w:r w:rsidR="007F609B">
        <w:rPr>
          <w:rStyle w:val="Heading3Char"/>
          <w:b/>
          <w:bCs/>
        </w:rPr>
        <w:t xml:space="preserve"> </w:t>
      </w:r>
      <w:r w:rsidR="00A6458C" w:rsidRPr="004175B7">
        <w:rPr>
          <w:rStyle w:val="Heading3Char"/>
          <w:b/>
          <w:bCs/>
        </w:rPr>
        <w:t>(</w:t>
      </w:r>
      <w:r w:rsidR="004175B7" w:rsidRPr="004175B7">
        <w:rPr>
          <w:rStyle w:val="Heading3Char"/>
          <w:b/>
          <w:bCs/>
        </w:rPr>
        <w:t>$’000</w:t>
      </w:r>
      <w:r w:rsidR="004175B7" w:rsidRPr="004175B7">
        <w:t>)</w:t>
      </w:r>
      <w:r w:rsidR="007F609B">
        <w:t xml:space="preserve"> </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4224"/>
        <w:gridCol w:w="2003"/>
        <w:gridCol w:w="1666"/>
        <w:gridCol w:w="2193"/>
      </w:tblGrid>
      <w:tr w:rsidR="00A93727" w:rsidRPr="000E7EED" w14:paraId="1C659569" w14:textId="023F5AE8" w:rsidTr="00DE27FE">
        <w:trPr>
          <w:cnfStyle w:val="100000000000" w:firstRow="1" w:lastRow="0" w:firstColumn="0" w:lastColumn="0" w:oddVBand="0" w:evenVBand="0" w:oddHBand="0" w:evenHBand="0" w:firstRowFirstColumn="0" w:firstRowLastColumn="0" w:lastRowFirstColumn="0" w:lastRowLastColumn="0"/>
        </w:trPr>
        <w:tc>
          <w:tcPr>
            <w:tcW w:w="2094" w:type="pct"/>
            <w:tcBorders>
              <w:top w:val="single" w:sz="4" w:space="0" w:color="auto"/>
              <w:bottom w:val="single" w:sz="4" w:space="0" w:color="auto"/>
            </w:tcBorders>
            <w:shd w:val="clear" w:color="auto" w:fill="C3AFCC"/>
          </w:tcPr>
          <w:p w14:paraId="59377134" w14:textId="77777777" w:rsidR="00A93727" w:rsidRPr="000E7EED" w:rsidRDefault="00A93727" w:rsidP="0039260E">
            <w:pPr>
              <w:rPr>
                <w:b/>
                <w:color w:val="000000" w:themeColor="text1"/>
              </w:rPr>
            </w:pPr>
            <w:bookmarkStart w:id="5" w:name="_Hlk10632113"/>
            <w:bookmarkEnd w:id="3"/>
            <w:r w:rsidRPr="000E7EED">
              <w:rPr>
                <w:b/>
                <w:color w:val="000000" w:themeColor="text1"/>
              </w:rPr>
              <w:t>Revenue</w:t>
            </w:r>
          </w:p>
        </w:tc>
        <w:tc>
          <w:tcPr>
            <w:tcW w:w="993" w:type="pct"/>
            <w:tcBorders>
              <w:top w:val="single" w:sz="4" w:space="0" w:color="auto"/>
              <w:bottom w:val="single" w:sz="4" w:space="0" w:color="auto"/>
            </w:tcBorders>
            <w:shd w:val="clear" w:color="auto" w:fill="C3AFCC"/>
          </w:tcPr>
          <w:p w14:paraId="7E4AE136" w14:textId="102644D3" w:rsidR="00A93727" w:rsidRDefault="00A93727" w:rsidP="000548DB">
            <w:pPr>
              <w:jc w:val="right"/>
              <w:rPr>
                <w:b/>
                <w:bCs w:val="0"/>
                <w:color w:val="000000" w:themeColor="text1"/>
              </w:rPr>
            </w:pPr>
            <w:r>
              <w:rPr>
                <w:b/>
                <w:color w:val="000000" w:themeColor="text1"/>
              </w:rPr>
              <w:t>Q4</w:t>
            </w:r>
          </w:p>
          <w:p w14:paraId="3EFEB76D" w14:textId="6DC37420" w:rsidR="00A93727" w:rsidRPr="000E7EED" w:rsidRDefault="00A93727" w:rsidP="000548DB">
            <w:pPr>
              <w:jc w:val="right"/>
              <w:rPr>
                <w:b/>
                <w:color w:val="000000" w:themeColor="text1"/>
              </w:rPr>
            </w:pPr>
            <w:r w:rsidRPr="000E7EED">
              <w:rPr>
                <w:b/>
                <w:color w:val="000000" w:themeColor="text1"/>
              </w:rPr>
              <w:t>20</w:t>
            </w:r>
            <w:r>
              <w:rPr>
                <w:b/>
                <w:color w:val="000000" w:themeColor="text1"/>
              </w:rPr>
              <w:t>20-21</w:t>
            </w:r>
          </w:p>
        </w:tc>
        <w:tc>
          <w:tcPr>
            <w:tcW w:w="826" w:type="pct"/>
            <w:tcBorders>
              <w:top w:val="single" w:sz="4" w:space="0" w:color="auto"/>
              <w:bottom w:val="single" w:sz="4" w:space="0" w:color="auto"/>
            </w:tcBorders>
            <w:shd w:val="clear" w:color="auto" w:fill="C3AFCC"/>
          </w:tcPr>
          <w:p w14:paraId="15CD2211" w14:textId="77777777" w:rsidR="00A93727" w:rsidRDefault="00A93727" w:rsidP="000548DB">
            <w:pPr>
              <w:jc w:val="right"/>
              <w:rPr>
                <w:b/>
                <w:color w:val="000000" w:themeColor="text1"/>
              </w:rPr>
            </w:pPr>
            <w:r w:rsidRPr="55245693">
              <w:rPr>
                <w:b/>
                <w:color w:val="000000" w:themeColor="text1"/>
              </w:rPr>
              <w:t>Q</w:t>
            </w:r>
            <w:r>
              <w:rPr>
                <w:b/>
                <w:color w:val="000000" w:themeColor="text1"/>
              </w:rPr>
              <w:t>1</w:t>
            </w:r>
          </w:p>
          <w:p w14:paraId="4CCF9AC7" w14:textId="79A0906F" w:rsidR="00A93727" w:rsidRPr="000E7EED" w:rsidRDefault="00A93727" w:rsidP="000548DB">
            <w:pPr>
              <w:jc w:val="right"/>
              <w:rPr>
                <w:b/>
                <w:color w:val="000000" w:themeColor="text1"/>
              </w:rPr>
            </w:pPr>
            <w:r w:rsidRPr="000E7EED">
              <w:rPr>
                <w:b/>
                <w:color w:val="000000" w:themeColor="text1"/>
              </w:rPr>
              <w:t>20</w:t>
            </w:r>
            <w:r>
              <w:rPr>
                <w:b/>
                <w:color w:val="000000" w:themeColor="text1"/>
              </w:rPr>
              <w:t>21-22</w:t>
            </w:r>
          </w:p>
        </w:tc>
        <w:tc>
          <w:tcPr>
            <w:tcW w:w="1087" w:type="pct"/>
            <w:tcBorders>
              <w:top w:val="single" w:sz="4" w:space="0" w:color="auto"/>
              <w:bottom w:val="single" w:sz="4" w:space="0" w:color="auto"/>
            </w:tcBorders>
            <w:shd w:val="clear" w:color="auto" w:fill="C3AFCC"/>
          </w:tcPr>
          <w:p w14:paraId="790606C6" w14:textId="6DE33EC4" w:rsidR="00A93727" w:rsidRDefault="00A93727" w:rsidP="000548DB">
            <w:pPr>
              <w:jc w:val="right"/>
              <w:rPr>
                <w:b/>
                <w:bCs w:val="0"/>
                <w:color w:val="000000" w:themeColor="text1"/>
              </w:rPr>
            </w:pPr>
            <w:r>
              <w:rPr>
                <w:b/>
                <w:color w:val="000000" w:themeColor="text1"/>
              </w:rPr>
              <w:t>Q2 202</w:t>
            </w:r>
            <w:r w:rsidR="00E27F5B">
              <w:rPr>
                <w:b/>
                <w:color w:val="000000" w:themeColor="text1"/>
              </w:rPr>
              <w:t>1-22</w:t>
            </w:r>
          </w:p>
          <w:p w14:paraId="538F2DBA" w14:textId="773ECA78" w:rsidR="00A93727" w:rsidRPr="000E7EED" w:rsidRDefault="00A93727" w:rsidP="000548DB">
            <w:pPr>
              <w:jc w:val="right"/>
              <w:rPr>
                <w:b/>
                <w:color w:val="000000" w:themeColor="text1"/>
              </w:rPr>
            </w:pPr>
            <w:r>
              <w:rPr>
                <w:b/>
                <w:color w:val="000000" w:themeColor="text1"/>
              </w:rPr>
              <w:t>projection</w:t>
            </w:r>
          </w:p>
        </w:tc>
      </w:tr>
      <w:tr w:rsidR="00A93727" w:rsidRPr="000E7EED" w14:paraId="01E48904" w14:textId="05BDAF70" w:rsidTr="00DE27FE">
        <w:tc>
          <w:tcPr>
            <w:tcW w:w="2094" w:type="pct"/>
            <w:tcBorders>
              <w:top w:val="single" w:sz="4" w:space="0" w:color="auto"/>
              <w:bottom w:val="single" w:sz="4" w:space="0" w:color="auto"/>
            </w:tcBorders>
          </w:tcPr>
          <w:p w14:paraId="0021B005" w14:textId="0017CE77" w:rsidR="00A93727" w:rsidRPr="000E7EED" w:rsidRDefault="00A93727" w:rsidP="00B24351">
            <w:pPr>
              <w:rPr>
                <w:color w:val="000000" w:themeColor="text1"/>
              </w:rPr>
            </w:pPr>
            <w:r w:rsidRPr="000E7EED">
              <w:rPr>
                <w:color w:val="000000" w:themeColor="text1"/>
              </w:rPr>
              <w:t>Commonwealth – grants</w:t>
            </w:r>
            <w:r w:rsidR="007A26A9">
              <w:rPr>
                <w:color w:val="000000" w:themeColor="text1"/>
              </w:rPr>
              <w:t xml:space="preserve"> (1)</w:t>
            </w:r>
          </w:p>
        </w:tc>
        <w:tc>
          <w:tcPr>
            <w:tcW w:w="993" w:type="pct"/>
            <w:tcBorders>
              <w:top w:val="single" w:sz="4" w:space="0" w:color="auto"/>
              <w:bottom w:val="single" w:sz="4" w:space="0" w:color="auto"/>
            </w:tcBorders>
          </w:tcPr>
          <w:p w14:paraId="276A5F3F" w14:textId="4F51A6C0" w:rsidR="00A93727" w:rsidRPr="008E424E" w:rsidRDefault="28923643" w:rsidP="00B24351">
            <w:pPr>
              <w:jc w:val="right"/>
            </w:pPr>
            <w:r>
              <w:t>20,419</w:t>
            </w:r>
          </w:p>
        </w:tc>
        <w:tc>
          <w:tcPr>
            <w:tcW w:w="826" w:type="pct"/>
            <w:tcBorders>
              <w:top w:val="single" w:sz="4" w:space="0" w:color="auto"/>
              <w:bottom w:val="single" w:sz="4" w:space="0" w:color="auto"/>
            </w:tcBorders>
            <w:shd w:val="clear" w:color="auto" w:fill="D9D9D9" w:themeFill="background1" w:themeFillShade="D9"/>
          </w:tcPr>
          <w:p w14:paraId="36D4CCE7" w14:textId="012A910E" w:rsidR="00A93727" w:rsidRPr="008E424E" w:rsidRDefault="609B1832" w:rsidP="00B24351">
            <w:pPr>
              <w:jc w:val="right"/>
            </w:pPr>
            <w:r>
              <w:t>18,289</w:t>
            </w:r>
          </w:p>
        </w:tc>
        <w:tc>
          <w:tcPr>
            <w:tcW w:w="1087" w:type="pct"/>
            <w:tcBorders>
              <w:top w:val="single" w:sz="4" w:space="0" w:color="auto"/>
              <w:bottom w:val="single" w:sz="4" w:space="0" w:color="auto"/>
            </w:tcBorders>
            <w:shd w:val="clear" w:color="auto" w:fill="auto"/>
          </w:tcPr>
          <w:p w14:paraId="59000712" w14:textId="70FAF9D7" w:rsidR="00A93727" w:rsidRPr="008E424E" w:rsidRDefault="609B1832" w:rsidP="00B24351">
            <w:pPr>
              <w:jc w:val="right"/>
            </w:pPr>
            <w:r>
              <w:t>18,358</w:t>
            </w:r>
          </w:p>
        </w:tc>
      </w:tr>
      <w:tr w:rsidR="00A93727" w:rsidRPr="000E7EED" w14:paraId="63873906" w14:textId="32728199" w:rsidTr="00DE27FE">
        <w:tc>
          <w:tcPr>
            <w:tcW w:w="2094" w:type="pct"/>
            <w:tcBorders>
              <w:top w:val="single" w:sz="4" w:space="0" w:color="auto"/>
              <w:bottom w:val="single" w:sz="4" w:space="0" w:color="auto"/>
            </w:tcBorders>
          </w:tcPr>
          <w:p w14:paraId="218159F5" w14:textId="226857F3" w:rsidR="00A93727" w:rsidRPr="000E7EED" w:rsidRDefault="00A93727" w:rsidP="00B24351">
            <w:pPr>
              <w:rPr>
                <w:color w:val="000000" w:themeColor="text1"/>
              </w:rPr>
            </w:pPr>
            <w:r>
              <w:rPr>
                <w:color w:val="000000" w:themeColor="text1"/>
              </w:rPr>
              <w:t>ECCCF income</w:t>
            </w:r>
          </w:p>
        </w:tc>
        <w:tc>
          <w:tcPr>
            <w:tcW w:w="993" w:type="pct"/>
            <w:tcBorders>
              <w:top w:val="single" w:sz="4" w:space="0" w:color="auto"/>
              <w:bottom w:val="single" w:sz="4" w:space="0" w:color="auto"/>
            </w:tcBorders>
          </w:tcPr>
          <w:p w14:paraId="7A64DCB3" w14:textId="11EBBC24" w:rsidR="00A93727" w:rsidRDefault="4067E256" w:rsidP="00B24351">
            <w:pPr>
              <w:jc w:val="right"/>
            </w:pPr>
            <w:r>
              <w:t>1,141</w:t>
            </w:r>
          </w:p>
        </w:tc>
        <w:tc>
          <w:tcPr>
            <w:tcW w:w="826" w:type="pct"/>
            <w:tcBorders>
              <w:top w:val="single" w:sz="4" w:space="0" w:color="auto"/>
              <w:bottom w:val="single" w:sz="4" w:space="0" w:color="auto"/>
            </w:tcBorders>
            <w:shd w:val="clear" w:color="auto" w:fill="D9D9D9" w:themeFill="background1" w:themeFillShade="D9"/>
          </w:tcPr>
          <w:p w14:paraId="0A73B0EC" w14:textId="6946128C" w:rsidR="00A93727" w:rsidRDefault="69EE95C6" w:rsidP="00B24351">
            <w:pPr>
              <w:jc w:val="right"/>
            </w:pPr>
            <w:r>
              <w:t>0</w:t>
            </w:r>
          </w:p>
        </w:tc>
        <w:tc>
          <w:tcPr>
            <w:tcW w:w="1087" w:type="pct"/>
            <w:tcBorders>
              <w:top w:val="single" w:sz="4" w:space="0" w:color="auto"/>
              <w:bottom w:val="single" w:sz="4" w:space="0" w:color="auto"/>
            </w:tcBorders>
            <w:shd w:val="clear" w:color="auto" w:fill="auto"/>
          </w:tcPr>
          <w:p w14:paraId="6DE29A01" w14:textId="46E81AB9" w:rsidR="00A93727" w:rsidRDefault="69EE95C6" w:rsidP="00B24351">
            <w:pPr>
              <w:jc w:val="right"/>
            </w:pPr>
            <w:r>
              <w:t>0</w:t>
            </w:r>
          </w:p>
        </w:tc>
      </w:tr>
      <w:tr w:rsidR="00A93727" w:rsidRPr="000E7EED" w14:paraId="0A69F6B4" w14:textId="56A62565" w:rsidTr="00DE27FE">
        <w:tc>
          <w:tcPr>
            <w:tcW w:w="2094" w:type="pct"/>
            <w:tcBorders>
              <w:top w:val="single" w:sz="4" w:space="0" w:color="auto"/>
              <w:bottom w:val="single" w:sz="4" w:space="0" w:color="auto"/>
            </w:tcBorders>
          </w:tcPr>
          <w:p w14:paraId="3768FF6C" w14:textId="77777777" w:rsidR="00A93727" w:rsidRPr="000E7EED" w:rsidRDefault="00A93727" w:rsidP="00B24351">
            <w:pPr>
              <w:rPr>
                <w:b/>
                <w:color w:val="000000" w:themeColor="text1"/>
              </w:rPr>
            </w:pPr>
            <w:r w:rsidRPr="000E7EED">
              <w:rPr>
                <w:color w:val="000000" w:themeColor="text1"/>
              </w:rPr>
              <w:t>State – grants</w:t>
            </w:r>
          </w:p>
        </w:tc>
        <w:tc>
          <w:tcPr>
            <w:tcW w:w="993" w:type="pct"/>
            <w:tcBorders>
              <w:top w:val="single" w:sz="4" w:space="0" w:color="auto"/>
              <w:bottom w:val="single" w:sz="4" w:space="0" w:color="auto"/>
            </w:tcBorders>
          </w:tcPr>
          <w:p w14:paraId="521BA914" w14:textId="504367E9" w:rsidR="00A93727" w:rsidRPr="008E424E" w:rsidRDefault="5AD34FBB" w:rsidP="00B24351">
            <w:pPr>
              <w:jc w:val="right"/>
            </w:pPr>
            <w:r>
              <w:t>59,486</w:t>
            </w:r>
          </w:p>
        </w:tc>
        <w:tc>
          <w:tcPr>
            <w:tcW w:w="826" w:type="pct"/>
            <w:tcBorders>
              <w:top w:val="single" w:sz="4" w:space="0" w:color="auto"/>
              <w:bottom w:val="single" w:sz="4" w:space="0" w:color="auto"/>
            </w:tcBorders>
            <w:shd w:val="clear" w:color="auto" w:fill="D9D9D9" w:themeFill="background1" w:themeFillShade="D9"/>
          </w:tcPr>
          <w:p w14:paraId="0A3242C1" w14:textId="5692D259" w:rsidR="00A93727" w:rsidRPr="008E424E" w:rsidRDefault="2B6E26F7" w:rsidP="00B24351">
            <w:pPr>
              <w:jc w:val="right"/>
            </w:pPr>
            <w:r>
              <w:t>44,322</w:t>
            </w:r>
          </w:p>
        </w:tc>
        <w:tc>
          <w:tcPr>
            <w:tcW w:w="1087" w:type="pct"/>
            <w:tcBorders>
              <w:top w:val="single" w:sz="4" w:space="0" w:color="auto"/>
              <w:bottom w:val="single" w:sz="4" w:space="0" w:color="auto"/>
            </w:tcBorders>
            <w:shd w:val="clear" w:color="auto" w:fill="auto"/>
          </w:tcPr>
          <w:p w14:paraId="3EF57878" w14:textId="111AAB2D" w:rsidR="00A93727" w:rsidRPr="008E424E" w:rsidRDefault="2B6E26F7" w:rsidP="00B24351">
            <w:pPr>
              <w:jc w:val="right"/>
            </w:pPr>
            <w:r>
              <w:t>45,062</w:t>
            </w:r>
          </w:p>
        </w:tc>
      </w:tr>
      <w:tr w:rsidR="00A93727" w:rsidRPr="000E7EED" w14:paraId="1FBF8D6C" w14:textId="57285CDC" w:rsidTr="00DE27FE">
        <w:tc>
          <w:tcPr>
            <w:tcW w:w="2094" w:type="pct"/>
            <w:tcBorders>
              <w:top w:val="single" w:sz="4" w:space="0" w:color="auto"/>
              <w:bottom w:val="single" w:sz="4" w:space="0" w:color="auto"/>
            </w:tcBorders>
          </w:tcPr>
          <w:p w14:paraId="1E2A089F" w14:textId="77777777" w:rsidR="00A93727" w:rsidRPr="000E7EED" w:rsidRDefault="00A93727" w:rsidP="00B24351">
            <w:pPr>
              <w:rPr>
                <w:b/>
                <w:color w:val="000000" w:themeColor="text1"/>
              </w:rPr>
            </w:pPr>
            <w:r w:rsidRPr="000E7EED">
              <w:rPr>
                <w:color w:val="000000" w:themeColor="text1"/>
              </w:rPr>
              <w:t>Public Purpose Fund</w:t>
            </w:r>
          </w:p>
        </w:tc>
        <w:tc>
          <w:tcPr>
            <w:tcW w:w="993" w:type="pct"/>
            <w:tcBorders>
              <w:top w:val="single" w:sz="4" w:space="0" w:color="auto"/>
              <w:bottom w:val="single" w:sz="4" w:space="0" w:color="auto"/>
            </w:tcBorders>
          </w:tcPr>
          <w:p w14:paraId="4D9987B3" w14:textId="6B641D88" w:rsidR="00A93727" w:rsidRPr="008E424E" w:rsidRDefault="112F908E" w:rsidP="00B24351">
            <w:pPr>
              <w:jc w:val="right"/>
            </w:pPr>
            <w:r>
              <w:t>7,009</w:t>
            </w:r>
          </w:p>
        </w:tc>
        <w:tc>
          <w:tcPr>
            <w:tcW w:w="826" w:type="pct"/>
            <w:tcBorders>
              <w:top w:val="single" w:sz="4" w:space="0" w:color="auto"/>
              <w:bottom w:val="single" w:sz="4" w:space="0" w:color="auto"/>
            </w:tcBorders>
            <w:shd w:val="clear" w:color="auto" w:fill="D9D9D9" w:themeFill="background1" w:themeFillShade="D9"/>
          </w:tcPr>
          <w:p w14:paraId="15F7CE9C" w14:textId="3110B8C4" w:rsidR="00A93727" w:rsidRPr="008E424E" w:rsidRDefault="66995CF4" w:rsidP="00B24351">
            <w:pPr>
              <w:jc w:val="right"/>
            </w:pPr>
            <w:r>
              <w:t>6,472</w:t>
            </w:r>
          </w:p>
        </w:tc>
        <w:tc>
          <w:tcPr>
            <w:tcW w:w="1087" w:type="pct"/>
            <w:tcBorders>
              <w:top w:val="single" w:sz="4" w:space="0" w:color="auto"/>
              <w:bottom w:val="single" w:sz="4" w:space="0" w:color="auto"/>
            </w:tcBorders>
            <w:shd w:val="clear" w:color="auto" w:fill="auto"/>
          </w:tcPr>
          <w:p w14:paraId="427F469A" w14:textId="5D4556D0" w:rsidR="00A93727" w:rsidRPr="008E424E" w:rsidRDefault="66995CF4" w:rsidP="00B24351">
            <w:pPr>
              <w:jc w:val="right"/>
            </w:pPr>
            <w:r>
              <w:t>6,139</w:t>
            </w:r>
          </w:p>
        </w:tc>
      </w:tr>
      <w:tr w:rsidR="00A93727" w:rsidRPr="000E7EED" w14:paraId="078C4944" w14:textId="1BCFC056" w:rsidTr="00DE27FE">
        <w:tc>
          <w:tcPr>
            <w:tcW w:w="2094" w:type="pct"/>
            <w:tcBorders>
              <w:top w:val="single" w:sz="4" w:space="0" w:color="auto"/>
              <w:bottom w:val="single" w:sz="4" w:space="0" w:color="auto"/>
            </w:tcBorders>
          </w:tcPr>
          <w:p w14:paraId="12A13989" w14:textId="5B4C1AB2" w:rsidR="00A93727" w:rsidRPr="000E7EED" w:rsidRDefault="00A93727" w:rsidP="00B24351">
            <w:pPr>
              <w:rPr>
                <w:b/>
                <w:color w:val="000000" w:themeColor="text1"/>
              </w:rPr>
            </w:pPr>
            <w:r w:rsidRPr="000E7EED">
              <w:rPr>
                <w:color w:val="000000" w:themeColor="text1"/>
              </w:rPr>
              <w:t>Case revenue</w:t>
            </w:r>
            <w:r w:rsidR="007A26A9">
              <w:rPr>
                <w:color w:val="000000" w:themeColor="text1"/>
              </w:rPr>
              <w:t xml:space="preserve"> (2)</w:t>
            </w:r>
          </w:p>
        </w:tc>
        <w:tc>
          <w:tcPr>
            <w:tcW w:w="993" w:type="pct"/>
            <w:tcBorders>
              <w:top w:val="single" w:sz="4" w:space="0" w:color="auto"/>
              <w:bottom w:val="single" w:sz="4" w:space="0" w:color="auto"/>
            </w:tcBorders>
          </w:tcPr>
          <w:p w14:paraId="4E28F351" w14:textId="52E6EE1B" w:rsidR="00A93727" w:rsidRPr="008E424E" w:rsidRDefault="6D1A8F23" w:rsidP="00B24351">
            <w:pPr>
              <w:jc w:val="right"/>
            </w:pPr>
            <w:r>
              <w:t>(884)</w:t>
            </w:r>
          </w:p>
        </w:tc>
        <w:tc>
          <w:tcPr>
            <w:tcW w:w="826" w:type="pct"/>
            <w:tcBorders>
              <w:top w:val="single" w:sz="4" w:space="0" w:color="auto"/>
              <w:bottom w:val="single" w:sz="4" w:space="0" w:color="auto"/>
            </w:tcBorders>
            <w:shd w:val="clear" w:color="auto" w:fill="D9D9D9" w:themeFill="background1" w:themeFillShade="D9"/>
          </w:tcPr>
          <w:p w14:paraId="140B4D42" w14:textId="62F97906" w:rsidR="00A93727" w:rsidRPr="008E424E" w:rsidRDefault="69987F55" w:rsidP="00B24351">
            <w:pPr>
              <w:jc w:val="right"/>
            </w:pPr>
            <w:r>
              <w:t>1,391</w:t>
            </w:r>
          </w:p>
        </w:tc>
        <w:tc>
          <w:tcPr>
            <w:tcW w:w="1087" w:type="pct"/>
            <w:tcBorders>
              <w:top w:val="single" w:sz="4" w:space="0" w:color="auto"/>
              <w:bottom w:val="single" w:sz="4" w:space="0" w:color="auto"/>
            </w:tcBorders>
            <w:shd w:val="clear" w:color="auto" w:fill="auto"/>
          </w:tcPr>
          <w:p w14:paraId="0C127571" w14:textId="3C7A78F6" w:rsidR="00A93727" w:rsidRPr="008E424E" w:rsidRDefault="69987F55" w:rsidP="00B24351">
            <w:pPr>
              <w:jc w:val="right"/>
            </w:pPr>
            <w:r>
              <w:t>1,378</w:t>
            </w:r>
          </w:p>
        </w:tc>
      </w:tr>
      <w:tr w:rsidR="00A93727" w:rsidRPr="000E7EED" w14:paraId="3D1AE2EE" w14:textId="48292054" w:rsidTr="00DE27FE">
        <w:tc>
          <w:tcPr>
            <w:tcW w:w="2094" w:type="pct"/>
            <w:tcBorders>
              <w:top w:val="single" w:sz="4" w:space="0" w:color="auto"/>
              <w:bottom w:val="single" w:sz="4" w:space="0" w:color="auto"/>
            </w:tcBorders>
          </w:tcPr>
          <w:p w14:paraId="2BE35A7F" w14:textId="77777777" w:rsidR="00A93727" w:rsidRPr="000E7EED" w:rsidRDefault="00A93727" w:rsidP="00B24351">
            <w:pPr>
              <w:rPr>
                <w:b/>
                <w:color w:val="000000" w:themeColor="text1"/>
              </w:rPr>
            </w:pPr>
            <w:r w:rsidRPr="000E7EED">
              <w:rPr>
                <w:color w:val="000000" w:themeColor="text1"/>
              </w:rPr>
              <w:t>Other income</w:t>
            </w:r>
          </w:p>
        </w:tc>
        <w:tc>
          <w:tcPr>
            <w:tcW w:w="993" w:type="pct"/>
            <w:tcBorders>
              <w:top w:val="single" w:sz="4" w:space="0" w:color="auto"/>
              <w:bottom w:val="single" w:sz="4" w:space="0" w:color="auto"/>
            </w:tcBorders>
          </w:tcPr>
          <w:p w14:paraId="4C1374BB" w14:textId="31042FA0" w:rsidR="00A93727" w:rsidRPr="008E424E" w:rsidRDefault="4F59E8EC" w:rsidP="002800C6">
            <w:pPr>
              <w:jc w:val="right"/>
            </w:pPr>
            <w:r>
              <w:t>67</w:t>
            </w:r>
          </w:p>
        </w:tc>
        <w:tc>
          <w:tcPr>
            <w:tcW w:w="826" w:type="pct"/>
            <w:tcBorders>
              <w:top w:val="single" w:sz="4" w:space="0" w:color="auto"/>
              <w:bottom w:val="single" w:sz="4" w:space="0" w:color="auto"/>
            </w:tcBorders>
            <w:shd w:val="clear" w:color="auto" w:fill="D9D9D9" w:themeFill="background1" w:themeFillShade="D9"/>
          </w:tcPr>
          <w:p w14:paraId="2172056C" w14:textId="6DD8D2B6" w:rsidR="00A93727" w:rsidRPr="008E424E" w:rsidRDefault="45837DEB" w:rsidP="00F85389">
            <w:pPr>
              <w:jc w:val="right"/>
            </w:pPr>
            <w:r>
              <w:t>72</w:t>
            </w:r>
          </w:p>
        </w:tc>
        <w:tc>
          <w:tcPr>
            <w:tcW w:w="1087" w:type="pct"/>
            <w:tcBorders>
              <w:top w:val="single" w:sz="4" w:space="0" w:color="auto"/>
              <w:bottom w:val="single" w:sz="4" w:space="0" w:color="auto"/>
            </w:tcBorders>
            <w:shd w:val="clear" w:color="auto" w:fill="auto"/>
          </w:tcPr>
          <w:p w14:paraId="6CCA1034" w14:textId="5E303A13" w:rsidR="00A93727" w:rsidRPr="008E424E" w:rsidRDefault="45837DEB" w:rsidP="00F85389">
            <w:pPr>
              <w:jc w:val="right"/>
            </w:pPr>
            <w:r>
              <w:t>57</w:t>
            </w:r>
          </w:p>
        </w:tc>
      </w:tr>
      <w:tr w:rsidR="00A93727" w:rsidRPr="000E7EED" w14:paraId="6EB9D4A0" w14:textId="0B4F04FA" w:rsidTr="00DE27FE">
        <w:tc>
          <w:tcPr>
            <w:tcW w:w="2094" w:type="pct"/>
            <w:tcBorders>
              <w:top w:val="single" w:sz="4" w:space="0" w:color="auto"/>
              <w:bottom w:val="single" w:sz="4" w:space="0" w:color="auto"/>
            </w:tcBorders>
            <w:shd w:val="clear" w:color="auto" w:fill="D9D9D9" w:themeFill="background1" w:themeFillShade="D9"/>
          </w:tcPr>
          <w:p w14:paraId="4B808F9D" w14:textId="31011D7A" w:rsidR="00A93727" w:rsidRPr="00B136D3" w:rsidRDefault="008E7E1E" w:rsidP="00B24351">
            <w:pPr>
              <w:rPr>
                <w:b/>
                <w:color w:val="000000" w:themeColor="text1"/>
              </w:rPr>
            </w:pPr>
            <w:r>
              <w:rPr>
                <w:b/>
                <w:color w:val="000000" w:themeColor="text1"/>
              </w:rPr>
              <w:t xml:space="preserve">Total </w:t>
            </w:r>
            <w:r w:rsidR="00A93727" w:rsidRPr="00B136D3">
              <w:rPr>
                <w:b/>
                <w:color w:val="000000" w:themeColor="text1"/>
              </w:rPr>
              <w:t>revenu</w:t>
            </w:r>
            <w:r w:rsidR="00A93727">
              <w:rPr>
                <w:b/>
                <w:color w:val="000000" w:themeColor="text1"/>
              </w:rPr>
              <w:t>e</w:t>
            </w:r>
          </w:p>
        </w:tc>
        <w:tc>
          <w:tcPr>
            <w:tcW w:w="993" w:type="pct"/>
            <w:tcBorders>
              <w:top w:val="single" w:sz="4" w:space="0" w:color="auto"/>
              <w:bottom w:val="single" w:sz="4" w:space="0" w:color="auto"/>
            </w:tcBorders>
            <w:shd w:val="clear" w:color="auto" w:fill="D9D9D9" w:themeFill="background1" w:themeFillShade="D9"/>
          </w:tcPr>
          <w:p w14:paraId="1E125AFF" w14:textId="2E5C90F8" w:rsidR="00A93727" w:rsidRPr="00B136D3" w:rsidRDefault="290BB3A9" w:rsidP="00B24351">
            <w:pPr>
              <w:jc w:val="right"/>
              <w:rPr>
                <w:b/>
                <w:bCs/>
              </w:rPr>
            </w:pPr>
            <w:r w:rsidRPr="7D105CA6">
              <w:rPr>
                <w:b/>
                <w:bCs/>
              </w:rPr>
              <w:t>87,238</w:t>
            </w:r>
          </w:p>
        </w:tc>
        <w:tc>
          <w:tcPr>
            <w:tcW w:w="826" w:type="pct"/>
            <w:tcBorders>
              <w:top w:val="single" w:sz="4" w:space="0" w:color="auto"/>
              <w:bottom w:val="single" w:sz="4" w:space="0" w:color="auto"/>
            </w:tcBorders>
            <w:shd w:val="clear" w:color="auto" w:fill="D9D9D9" w:themeFill="background1" w:themeFillShade="D9"/>
          </w:tcPr>
          <w:p w14:paraId="41399DC3" w14:textId="3105C4AB" w:rsidR="00A93727" w:rsidRPr="00B136D3" w:rsidRDefault="340BD25A" w:rsidP="00B24351">
            <w:pPr>
              <w:jc w:val="right"/>
              <w:rPr>
                <w:b/>
                <w:bCs/>
              </w:rPr>
            </w:pPr>
            <w:r w:rsidRPr="7D105CA6">
              <w:rPr>
                <w:b/>
                <w:bCs/>
              </w:rPr>
              <w:t>70,546</w:t>
            </w:r>
          </w:p>
        </w:tc>
        <w:tc>
          <w:tcPr>
            <w:tcW w:w="1087" w:type="pct"/>
            <w:tcBorders>
              <w:top w:val="single" w:sz="4" w:space="0" w:color="auto"/>
              <w:bottom w:val="single" w:sz="4" w:space="0" w:color="auto"/>
            </w:tcBorders>
            <w:shd w:val="clear" w:color="auto" w:fill="D9D9D9" w:themeFill="background1" w:themeFillShade="D9"/>
          </w:tcPr>
          <w:p w14:paraId="717E9740" w14:textId="7B7987D5" w:rsidR="00A93727" w:rsidRPr="00B136D3" w:rsidRDefault="340BD25A" w:rsidP="00B24351">
            <w:pPr>
              <w:jc w:val="right"/>
              <w:rPr>
                <w:b/>
                <w:bCs/>
              </w:rPr>
            </w:pPr>
            <w:r w:rsidRPr="7D105CA6">
              <w:rPr>
                <w:b/>
                <w:bCs/>
              </w:rPr>
              <w:t>70,995</w:t>
            </w:r>
          </w:p>
        </w:tc>
      </w:tr>
    </w:tbl>
    <w:p w14:paraId="4C21138A" w14:textId="77777777" w:rsidR="00F44FDC" w:rsidRPr="007B58EB" w:rsidRDefault="00F44FDC" w:rsidP="007B58EB">
      <w:pPr>
        <w:pStyle w:val="Heading3"/>
        <w:spacing w:before="0" w:after="0" w:line="240" w:lineRule="auto"/>
        <w:rPr>
          <w:b w:val="0"/>
          <w:sz w:val="20"/>
          <w:szCs w:val="20"/>
        </w:rPr>
      </w:pPr>
      <w:bookmarkStart w:id="6" w:name="_Hlk33006441"/>
      <w:r w:rsidRPr="007B58EB">
        <w:rPr>
          <w:b w:val="0"/>
          <w:sz w:val="20"/>
          <w:szCs w:val="20"/>
        </w:rPr>
        <w:t xml:space="preserve">Notes: </w:t>
      </w:r>
    </w:p>
    <w:p w14:paraId="613DD5EE" w14:textId="77777777" w:rsidR="00F44FDC" w:rsidRPr="007B58EB" w:rsidRDefault="00F44FDC" w:rsidP="007B58EB">
      <w:pPr>
        <w:pStyle w:val="Heading3"/>
        <w:spacing w:before="0" w:after="0" w:line="240" w:lineRule="auto"/>
        <w:rPr>
          <w:b w:val="0"/>
          <w:sz w:val="20"/>
          <w:szCs w:val="20"/>
        </w:rPr>
      </w:pPr>
      <w:r w:rsidRPr="007B58EB">
        <w:rPr>
          <w:b w:val="0"/>
          <w:sz w:val="20"/>
          <w:szCs w:val="20"/>
        </w:rPr>
        <w:t xml:space="preserve">1) Commonwealth Grants include funding provided to Community Legal Centres and recorded as Administrative revenues in the Annual Report. </w:t>
      </w:r>
    </w:p>
    <w:p w14:paraId="6C6EB6ED" w14:textId="3F5F1E21" w:rsidR="00F44FDC" w:rsidRDefault="00F44FDC" w:rsidP="007B58EB">
      <w:pPr>
        <w:pStyle w:val="Heading3"/>
        <w:spacing w:before="0" w:after="0" w:line="240" w:lineRule="auto"/>
        <w:rPr>
          <w:b w:val="0"/>
          <w:sz w:val="20"/>
          <w:szCs w:val="20"/>
        </w:rPr>
      </w:pPr>
      <w:r w:rsidRPr="007B58EB">
        <w:rPr>
          <w:b w:val="0"/>
          <w:sz w:val="20"/>
          <w:szCs w:val="20"/>
        </w:rPr>
        <w:t>2) Negative revenue result in Quarter Four 2020-21 is due to the timing of debt provision calculations as part of year end processes</w:t>
      </w:r>
    </w:p>
    <w:p w14:paraId="1DA1A6E4" w14:textId="77777777" w:rsidR="00383A07" w:rsidRDefault="00383A07" w:rsidP="00383A07">
      <w:pPr>
        <w:rPr>
          <w:lang w:eastAsia="en-AU"/>
        </w:rPr>
      </w:pPr>
    </w:p>
    <w:p w14:paraId="675B492F" w14:textId="77777777" w:rsidR="00383A07" w:rsidRDefault="00383A07" w:rsidP="00383A07">
      <w:pPr>
        <w:rPr>
          <w:lang w:eastAsia="en-AU"/>
        </w:rPr>
      </w:pPr>
    </w:p>
    <w:p w14:paraId="358A3ECD" w14:textId="77777777" w:rsidR="008E0316" w:rsidRPr="00383A07" w:rsidRDefault="008E0316" w:rsidP="00383A07">
      <w:pPr>
        <w:rPr>
          <w:lang w:eastAsia="en-AU"/>
        </w:rPr>
      </w:pPr>
    </w:p>
    <w:p w14:paraId="4982F0A4" w14:textId="114DB03C" w:rsidR="004175B7" w:rsidRPr="000E7EED" w:rsidRDefault="004175B7" w:rsidP="004175B7">
      <w:pPr>
        <w:pStyle w:val="Heading3"/>
      </w:pPr>
      <w:r w:rsidRPr="000E7EED">
        <w:t>Total expenditure breakdown</w:t>
      </w:r>
      <w:r>
        <w:t xml:space="preserve"> </w:t>
      </w:r>
      <w:r w:rsidRPr="00A64A96">
        <w:t>($,000)</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4457"/>
        <w:gridCol w:w="1783"/>
        <w:gridCol w:w="1700"/>
        <w:gridCol w:w="2146"/>
      </w:tblGrid>
      <w:tr w:rsidR="008C3CBC" w:rsidRPr="000E7EED" w14:paraId="1A26A49B" w14:textId="2A4B91C6" w:rsidTr="00594C7B">
        <w:trPr>
          <w:cnfStyle w:val="100000000000" w:firstRow="1" w:lastRow="0" w:firstColumn="0" w:lastColumn="0" w:oddVBand="0" w:evenVBand="0" w:oddHBand="0" w:evenHBand="0" w:firstRowFirstColumn="0" w:firstRowLastColumn="0" w:lastRowFirstColumn="0" w:lastRowLastColumn="0"/>
        </w:trPr>
        <w:tc>
          <w:tcPr>
            <w:tcW w:w="2209" w:type="pct"/>
            <w:tcBorders>
              <w:top w:val="single" w:sz="4" w:space="0" w:color="auto"/>
              <w:bottom w:val="single" w:sz="4" w:space="0" w:color="auto"/>
            </w:tcBorders>
            <w:shd w:val="clear" w:color="auto" w:fill="C3AFCC"/>
          </w:tcPr>
          <w:p w14:paraId="3F56AEBA" w14:textId="77777777" w:rsidR="00A93727" w:rsidRPr="000E7EED" w:rsidRDefault="00A93727" w:rsidP="00457AA5">
            <w:pPr>
              <w:rPr>
                <w:b/>
                <w:color w:val="000000" w:themeColor="text1"/>
              </w:rPr>
            </w:pPr>
            <w:bookmarkStart w:id="7" w:name="_Hlk33006456"/>
            <w:bookmarkEnd w:id="6"/>
            <w:r w:rsidRPr="000E7EED">
              <w:rPr>
                <w:b/>
                <w:color w:val="000000" w:themeColor="text1"/>
              </w:rPr>
              <w:t>Expenditure</w:t>
            </w:r>
          </w:p>
        </w:tc>
        <w:tc>
          <w:tcPr>
            <w:tcW w:w="884" w:type="pct"/>
            <w:tcBorders>
              <w:top w:val="single" w:sz="4" w:space="0" w:color="auto"/>
              <w:bottom w:val="single" w:sz="4" w:space="0" w:color="auto"/>
            </w:tcBorders>
            <w:shd w:val="clear" w:color="auto" w:fill="C3AFCC"/>
          </w:tcPr>
          <w:p w14:paraId="2E3ABC9F" w14:textId="5BCA7043" w:rsidR="00A93727" w:rsidRPr="000E7EED" w:rsidRDefault="00A93727" w:rsidP="006E182A">
            <w:pPr>
              <w:jc w:val="center"/>
              <w:rPr>
                <w:b/>
                <w:color w:val="000000" w:themeColor="text1"/>
              </w:rPr>
            </w:pPr>
            <w:r>
              <w:rPr>
                <w:b/>
                <w:color w:val="000000" w:themeColor="text1"/>
              </w:rPr>
              <w:t>Q4</w:t>
            </w:r>
          </w:p>
          <w:p w14:paraId="7B79E5AA" w14:textId="1E62E778" w:rsidR="00A93727" w:rsidRPr="000E7EED" w:rsidRDefault="00A93727" w:rsidP="006E182A">
            <w:pPr>
              <w:jc w:val="center"/>
              <w:rPr>
                <w:b/>
                <w:color w:val="000000" w:themeColor="text1"/>
              </w:rPr>
            </w:pPr>
            <w:r w:rsidRPr="000E7EED">
              <w:rPr>
                <w:b/>
                <w:color w:val="000000" w:themeColor="text1"/>
              </w:rPr>
              <w:t>20</w:t>
            </w:r>
            <w:r>
              <w:rPr>
                <w:b/>
                <w:color w:val="000000" w:themeColor="text1"/>
              </w:rPr>
              <w:t>20-21</w:t>
            </w:r>
          </w:p>
        </w:tc>
        <w:tc>
          <w:tcPr>
            <w:tcW w:w="843" w:type="pct"/>
            <w:tcBorders>
              <w:top w:val="single" w:sz="4" w:space="0" w:color="auto"/>
              <w:bottom w:val="single" w:sz="4" w:space="0" w:color="auto"/>
            </w:tcBorders>
            <w:shd w:val="clear" w:color="auto" w:fill="C3AFCC"/>
          </w:tcPr>
          <w:p w14:paraId="52DAD7B4" w14:textId="77777777" w:rsidR="00A93727" w:rsidRDefault="00A93727" w:rsidP="006E182A">
            <w:pPr>
              <w:jc w:val="center"/>
              <w:rPr>
                <w:b/>
                <w:color w:val="000000" w:themeColor="text1"/>
              </w:rPr>
            </w:pPr>
            <w:r w:rsidRPr="55245693">
              <w:rPr>
                <w:b/>
                <w:color w:val="000000" w:themeColor="text1"/>
              </w:rPr>
              <w:t>Q</w:t>
            </w:r>
            <w:r>
              <w:rPr>
                <w:b/>
                <w:color w:val="000000" w:themeColor="text1"/>
              </w:rPr>
              <w:t>1</w:t>
            </w:r>
          </w:p>
          <w:p w14:paraId="0E6CB1A2" w14:textId="3091F8F2" w:rsidR="00A93727" w:rsidRPr="000E7EED" w:rsidRDefault="00A93727" w:rsidP="006E182A">
            <w:pPr>
              <w:jc w:val="center"/>
              <w:rPr>
                <w:b/>
                <w:color w:val="000000" w:themeColor="text1"/>
              </w:rPr>
            </w:pPr>
            <w:r w:rsidRPr="000E7EED">
              <w:rPr>
                <w:b/>
                <w:color w:val="000000" w:themeColor="text1"/>
              </w:rPr>
              <w:t>20</w:t>
            </w:r>
            <w:r>
              <w:rPr>
                <w:b/>
                <w:color w:val="000000" w:themeColor="text1"/>
              </w:rPr>
              <w:t>21-22</w:t>
            </w:r>
          </w:p>
        </w:tc>
        <w:tc>
          <w:tcPr>
            <w:tcW w:w="1065" w:type="pct"/>
            <w:tcBorders>
              <w:top w:val="single" w:sz="4" w:space="0" w:color="auto"/>
              <w:bottom w:val="single" w:sz="4" w:space="0" w:color="auto"/>
            </w:tcBorders>
            <w:shd w:val="clear" w:color="auto" w:fill="C3AFCC"/>
          </w:tcPr>
          <w:p w14:paraId="3F20383D" w14:textId="06DCAEB0" w:rsidR="00A93727" w:rsidRDefault="00A93727" w:rsidP="006E182A">
            <w:pPr>
              <w:jc w:val="center"/>
              <w:rPr>
                <w:b/>
                <w:bCs w:val="0"/>
                <w:color w:val="000000" w:themeColor="text1"/>
              </w:rPr>
            </w:pPr>
            <w:r>
              <w:rPr>
                <w:b/>
                <w:color w:val="000000" w:themeColor="text1"/>
              </w:rPr>
              <w:t>Q2 2022</w:t>
            </w:r>
          </w:p>
          <w:p w14:paraId="30241B51" w14:textId="521A478A" w:rsidR="00A93727" w:rsidRPr="000E7EED" w:rsidRDefault="00A93727" w:rsidP="006E182A">
            <w:pPr>
              <w:jc w:val="center"/>
              <w:rPr>
                <w:b/>
                <w:color w:val="000000" w:themeColor="text1"/>
              </w:rPr>
            </w:pPr>
            <w:r>
              <w:rPr>
                <w:b/>
                <w:color w:val="000000" w:themeColor="text1"/>
              </w:rPr>
              <w:t>projection</w:t>
            </w:r>
          </w:p>
        </w:tc>
      </w:tr>
      <w:tr w:rsidR="008C3CBC" w:rsidRPr="000E7EED" w14:paraId="0355756B" w14:textId="1A9D11FC" w:rsidTr="00C1308D">
        <w:tc>
          <w:tcPr>
            <w:tcW w:w="2209" w:type="pct"/>
            <w:tcBorders>
              <w:top w:val="single" w:sz="4" w:space="0" w:color="auto"/>
              <w:bottom w:val="single" w:sz="4" w:space="0" w:color="auto"/>
            </w:tcBorders>
          </w:tcPr>
          <w:p w14:paraId="57857B1D" w14:textId="7F8E3E51" w:rsidR="00A93727" w:rsidRPr="000E7EED" w:rsidRDefault="00A93727" w:rsidP="00457AA5">
            <w:pPr>
              <w:rPr>
                <w:color w:val="000000" w:themeColor="text1"/>
              </w:rPr>
            </w:pPr>
            <w:r w:rsidRPr="000E7EED">
              <w:rPr>
                <w:color w:val="000000" w:themeColor="text1"/>
              </w:rPr>
              <w:t>Case expenditure</w:t>
            </w:r>
            <w:r>
              <w:rPr>
                <w:color w:val="000000" w:themeColor="text1"/>
              </w:rPr>
              <w:t xml:space="preserve"> (including ECCCF)</w:t>
            </w:r>
          </w:p>
        </w:tc>
        <w:tc>
          <w:tcPr>
            <w:tcW w:w="884" w:type="pct"/>
            <w:tcBorders>
              <w:top w:val="single" w:sz="4" w:space="0" w:color="auto"/>
              <w:bottom w:val="single" w:sz="4" w:space="0" w:color="auto"/>
            </w:tcBorders>
          </w:tcPr>
          <w:p w14:paraId="36D0F934" w14:textId="2CCEECE9" w:rsidR="00A93727" w:rsidRPr="008E424E" w:rsidRDefault="557B94A3" w:rsidP="00457AA5">
            <w:pPr>
              <w:jc w:val="right"/>
            </w:pPr>
            <w:r>
              <w:t>(30,797)</w:t>
            </w:r>
          </w:p>
        </w:tc>
        <w:tc>
          <w:tcPr>
            <w:tcW w:w="843" w:type="pct"/>
            <w:tcBorders>
              <w:top w:val="single" w:sz="4" w:space="0" w:color="auto"/>
              <w:bottom w:val="single" w:sz="4" w:space="0" w:color="auto"/>
            </w:tcBorders>
            <w:shd w:val="clear" w:color="auto" w:fill="D9D9D9" w:themeFill="background1" w:themeFillShade="D9"/>
          </w:tcPr>
          <w:p w14:paraId="09F5086D" w14:textId="480E8E0B" w:rsidR="00A93727" w:rsidRPr="008E424E" w:rsidRDefault="3C57A500" w:rsidP="00457AA5">
            <w:pPr>
              <w:jc w:val="right"/>
            </w:pPr>
            <w:r>
              <w:t>(28,271)</w:t>
            </w:r>
          </w:p>
        </w:tc>
        <w:tc>
          <w:tcPr>
            <w:tcW w:w="1065" w:type="pct"/>
            <w:tcBorders>
              <w:top w:val="single" w:sz="4" w:space="0" w:color="auto"/>
              <w:bottom w:val="single" w:sz="4" w:space="0" w:color="auto"/>
            </w:tcBorders>
            <w:shd w:val="clear" w:color="auto" w:fill="auto"/>
          </w:tcPr>
          <w:p w14:paraId="16C7B209" w14:textId="358521C9" w:rsidR="00A93727" w:rsidRPr="008E424E" w:rsidRDefault="327A3798" w:rsidP="00457AA5">
            <w:pPr>
              <w:jc w:val="right"/>
            </w:pPr>
            <w:r>
              <w:t>(34,939)</w:t>
            </w:r>
          </w:p>
        </w:tc>
      </w:tr>
      <w:tr w:rsidR="008C3CBC" w:rsidRPr="000E7EED" w14:paraId="7181F757" w14:textId="21E8B5A3" w:rsidTr="00C1308D">
        <w:tc>
          <w:tcPr>
            <w:tcW w:w="2209" w:type="pct"/>
            <w:tcBorders>
              <w:top w:val="single" w:sz="4" w:space="0" w:color="auto"/>
              <w:bottom w:val="single" w:sz="4" w:space="0" w:color="auto"/>
            </w:tcBorders>
          </w:tcPr>
          <w:p w14:paraId="00863735" w14:textId="02E39F7C" w:rsidR="00A93727" w:rsidRPr="000E7EED" w:rsidRDefault="00A93727" w:rsidP="00F91078">
            <w:pPr>
              <w:rPr>
                <w:b/>
                <w:color w:val="000000" w:themeColor="text1"/>
              </w:rPr>
            </w:pPr>
            <w:r w:rsidRPr="000E7EED">
              <w:rPr>
                <w:color w:val="000000" w:themeColor="text1"/>
              </w:rPr>
              <w:t>Community legal centre payments</w:t>
            </w:r>
            <w:r w:rsidR="00242819">
              <w:rPr>
                <w:color w:val="000000" w:themeColor="text1"/>
              </w:rPr>
              <w:t xml:space="preserve"> (1)</w:t>
            </w:r>
          </w:p>
        </w:tc>
        <w:tc>
          <w:tcPr>
            <w:tcW w:w="884" w:type="pct"/>
            <w:tcBorders>
              <w:top w:val="single" w:sz="4" w:space="0" w:color="auto"/>
              <w:bottom w:val="single" w:sz="4" w:space="0" w:color="auto"/>
            </w:tcBorders>
          </w:tcPr>
          <w:p w14:paraId="38009B9C" w14:textId="3BE55DE3" w:rsidR="00A93727" w:rsidRPr="008E424E" w:rsidRDefault="7C2FFCAE" w:rsidP="00F91078">
            <w:pPr>
              <w:jc w:val="right"/>
            </w:pPr>
            <w:r>
              <w:t>(16,106)</w:t>
            </w:r>
          </w:p>
        </w:tc>
        <w:tc>
          <w:tcPr>
            <w:tcW w:w="843" w:type="pct"/>
            <w:tcBorders>
              <w:top w:val="single" w:sz="4" w:space="0" w:color="auto"/>
              <w:bottom w:val="single" w:sz="4" w:space="0" w:color="auto"/>
            </w:tcBorders>
            <w:shd w:val="clear" w:color="auto" w:fill="D9D9D9" w:themeFill="background1" w:themeFillShade="D9"/>
          </w:tcPr>
          <w:p w14:paraId="0A5E81B9" w14:textId="3A49FAC5" w:rsidR="00A93727" w:rsidRPr="008E424E" w:rsidRDefault="30D498E2" w:rsidP="00F91078">
            <w:pPr>
              <w:jc w:val="right"/>
            </w:pPr>
            <w:r>
              <w:t>(10,418)</w:t>
            </w:r>
          </w:p>
        </w:tc>
        <w:tc>
          <w:tcPr>
            <w:tcW w:w="1065" w:type="pct"/>
            <w:tcBorders>
              <w:top w:val="single" w:sz="4" w:space="0" w:color="auto"/>
              <w:bottom w:val="single" w:sz="4" w:space="0" w:color="auto"/>
            </w:tcBorders>
            <w:shd w:val="clear" w:color="auto" w:fill="auto"/>
          </w:tcPr>
          <w:p w14:paraId="778CF398" w14:textId="7D113F75" w:rsidR="00A93727" w:rsidRPr="008E424E" w:rsidRDefault="315E329F" w:rsidP="00F91078">
            <w:pPr>
              <w:jc w:val="right"/>
            </w:pPr>
            <w:r>
              <w:t>(10,687)</w:t>
            </w:r>
          </w:p>
        </w:tc>
      </w:tr>
      <w:tr w:rsidR="008C3CBC" w:rsidRPr="000E7EED" w14:paraId="14088745" w14:textId="2164AC77" w:rsidTr="00C1308D">
        <w:tc>
          <w:tcPr>
            <w:tcW w:w="2209" w:type="pct"/>
            <w:tcBorders>
              <w:top w:val="single" w:sz="4" w:space="0" w:color="auto"/>
              <w:bottom w:val="single" w:sz="4" w:space="0" w:color="auto"/>
            </w:tcBorders>
          </w:tcPr>
          <w:p w14:paraId="21FAB84C" w14:textId="77777777" w:rsidR="00A93727" w:rsidRPr="000E7EED" w:rsidRDefault="00A93727" w:rsidP="00F91078">
            <w:pPr>
              <w:rPr>
                <w:b/>
                <w:color w:val="000000" w:themeColor="text1"/>
              </w:rPr>
            </w:pPr>
            <w:r w:rsidRPr="000E7EED">
              <w:rPr>
                <w:color w:val="000000" w:themeColor="text1"/>
              </w:rPr>
              <w:t>Staff costs</w:t>
            </w:r>
          </w:p>
        </w:tc>
        <w:tc>
          <w:tcPr>
            <w:tcW w:w="883" w:type="pct"/>
            <w:tcBorders>
              <w:top w:val="single" w:sz="4" w:space="0" w:color="auto"/>
              <w:bottom w:val="single" w:sz="4" w:space="0" w:color="auto"/>
            </w:tcBorders>
          </w:tcPr>
          <w:p w14:paraId="2A7D0078" w14:textId="5E5DC005" w:rsidR="00A93727" w:rsidRPr="008E424E" w:rsidRDefault="793A7F9C" w:rsidP="00F91078">
            <w:pPr>
              <w:jc w:val="right"/>
            </w:pPr>
            <w:r>
              <w:t>(21,550)</w:t>
            </w:r>
          </w:p>
        </w:tc>
        <w:tc>
          <w:tcPr>
            <w:tcW w:w="843" w:type="pct"/>
            <w:tcBorders>
              <w:top w:val="single" w:sz="4" w:space="0" w:color="auto"/>
              <w:bottom w:val="single" w:sz="4" w:space="0" w:color="auto"/>
            </w:tcBorders>
            <w:shd w:val="clear" w:color="auto" w:fill="D9D9D9" w:themeFill="background1" w:themeFillShade="D9"/>
          </w:tcPr>
          <w:p w14:paraId="1887D2AA" w14:textId="0A57A9F6" w:rsidR="00A93727" w:rsidRPr="008E424E" w:rsidRDefault="19684DDE" w:rsidP="00F91078">
            <w:pPr>
              <w:jc w:val="right"/>
            </w:pPr>
            <w:r>
              <w:t>(24,272)</w:t>
            </w:r>
          </w:p>
        </w:tc>
        <w:tc>
          <w:tcPr>
            <w:tcW w:w="1065" w:type="pct"/>
            <w:tcBorders>
              <w:top w:val="single" w:sz="4" w:space="0" w:color="auto"/>
              <w:bottom w:val="single" w:sz="4" w:space="0" w:color="auto"/>
            </w:tcBorders>
            <w:shd w:val="clear" w:color="auto" w:fill="auto"/>
          </w:tcPr>
          <w:p w14:paraId="2E392228" w14:textId="48C23D7D" w:rsidR="00A93727" w:rsidRPr="008E424E" w:rsidRDefault="263AE241" w:rsidP="00F91078">
            <w:pPr>
              <w:jc w:val="right"/>
            </w:pPr>
            <w:r>
              <w:t>(25,312)</w:t>
            </w:r>
          </w:p>
        </w:tc>
      </w:tr>
      <w:tr w:rsidR="008C3CBC" w:rsidRPr="000E7EED" w14:paraId="166EC63C" w14:textId="74BED741" w:rsidTr="00C1308D">
        <w:tc>
          <w:tcPr>
            <w:tcW w:w="2209" w:type="pct"/>
            <w:tcBorders>
              <w:top w:val="single" w:sz="4" w:space="0" w:color="auto"/>
              <w:bottom w:val="single" w:sz="4" w:space="0" w:color="auto"/>
            </w:tcBorders>
          </w:tcPr>
          <w:p w14:paraId="263A16AB" w14:textId="76069722" w:rsidR="00A93727" w:rsidRPr="000E7EED" w:rsidRDefault="00A93727" w:rsidP="00F91078">
            <w:pPr>
              <w:rPr>
                <w:b/>
                <w:color w:val="000000" w:themeColor="text1"/>
              </w:rPr>
            </w:pPr>
            <w:r w:rsidRPr="000E7EED">
              <w:rPr>
                <w:color w:val="000000" w:themeColor="text1"/>
              </w:rPr>
              <w:t>Administration</w:t>
            </w:r>
            <w:r w:rsidR="006F490B">
              <w:rPr>
                <w:color w:val="000000" w:themeColor="text1"/>
              </w:rPr>
              <w:t xml:space="preserve"> (</w:t>
            </w:r>
            <w:r w:rsidR="00242819">
              <w:rPr>
                <w:color w:val="000000" w:themeColor="text1"/>
              </w:rPr>
              <w:t>2</w:t>
            </w:r>
            <w:r w:rsidR="006F490B">
              <w:rPr>
                <w:color w:val="000000" w:themeColor="text1"/>
              </w:rPr>
              <w:t>)</w:t>
            </w:r>
          </w:p>
        </w:tc>
        <w:tc>
          <w:tcPr>
            <w:tcW w:w="883" w:type="pct"/>
            <w:tcBorders>
              <w:top w:val="single" w:sz="4" w:space="0" w:color="auto"/>
              <w:bottom w:val="single" w:sz="4" w:space="0" w:color="auto"/>
            </w:tcBorders>
          </w:tcPr>
          <w:p w14:paraId="1D84653B" w14:textId="558C2D12" w:rsidR="00A93727" w:rsidRPr="008E424E" w:rsidRDefault="3ABA10CD" w:rsidP="00F91078">
            <w:pPr>
              <w:jc w:val="right"/>
            </w:pPr>
            <w:r>
              <w:t>(6,104)</w:t>
            </w:r>
          </w:p>
        </w:tc>
        <w:tc>
          <w:tcPr>
            <w:tcW w:w="843" w:type="pct"/>
            <w:tcBorders>
              <w:top w:val="single" w:sz="4" w:space="0" w:color="auto"/>
              <w:bottom w:val="single" w:sz="4" w:space="0" w:color="auto"/>
            </w:tcBorders>
            <w:shd w:val="clear" w:color="auto" w:fill="D9D9D9" w:themeFill="background1" w:themeFillShade="D9"/>
          </w:tcPr>
          <w:p w14:paraId="7B2C4A5E" w14:textId="0DEA684F" w:rsidR="00A93727" w:rsidRPr="008E424E" w:rsidRDefault="60DC7E81" w:rsidP="00F91078">
            <w:pPr>
              <w:jc w:val="right"/>
            </w:pPr>
            <w:r>
              <w:t>(4,651)</w:t>
            </w:r>
          </w:p>
        </w:tc>
        <w:tc>
          <w:tcPr>
            <w:tcW w:w="1065" w:type="pct"/>
            <w:tcBorders>
              <w:top w:val="single" w:sz="4" w:space="0" w:color="auto"/>
              <w:bottom w:val="single" w:sz="4" w:space="0" w:color="auto"/>
            </w:tcBorders>
            <w:shd w:val="clear" w:color="auto" w:fill="auto"/>
          </w:tcPr>
          <w:p w14:paraId="5854C7BB" w14:textId="700E1740" w:rsidR="00A93727" w:rsidRPr="008E424E" w:rsidRDefault="087A3C0A" w:rsidP="00F91078">
            <w:pPr>
              <w:jc w:val="right"/>
            </w:pPr>
            <w:r>
              <w:t>(7,870)</w:t>
            </w:r>
          </w:p>
        </w:tc>
      </w:tr>
      <w:tr w:rsidR="008C3CBC" w:rsidRPr="000E7EED" w14:paraId="50872415" w14:textId="4DB98384" w:rsidTr="00C1308D">
        <w:tc>
          <w:tcPr>
            <w:tcW w:w="2209" w:type="pct"/>
            <w:tcBorders>
              <w:top w:val="single" w:sz="4" w:space="0" w:color="auto"/>
              <w:bottom w:val="single" w:sz="4" w:space="0" w:color="auto"/>
            </w:tcBorders>
            <w:shd w:val="clear" w:color="auto" w:fill="D9D9D9" w:themeFill="background1" w:themeFillShade="D9"/>
          </w:tcPr>
          <w:p w14:paraId="7120B54E" w14:textId="7293B026" w:rsidR="00A93727" w:rsidRPr="000E7EED" w:rsidRDefault="00A93727" w:rsidP="00F91078">
            <w:pPr>
              <w:rPr>
                <w:b/>
                <w:color w:val="000000" w:themeColor="text1"/>
              </w:rPr>
            </w:pPr>
            <w:r w:rsidRPr="000E7EED">
              <w:rPr>
                <w:b/>
                <w:color w:val="000000" w:themeColor="text1"/>
              </w:rPr>
              <w:t>Total expenditure</w:t>
            </w:r>
            <w:r w:rsidR="00C760FA">
              <w:rPr>
                <w:b/>
                <w:color w:val="000000" w:themeColor="text1"/>
              </w:rPr>
              <w:t xml:space="preserve"> </w:t>
            </w:r>
            <w:r w:rsidR="00C760FA">
              <w:rPr>
                <w:color w:val="000000" w:themeColor="text1"/>
              </w:rPr>
              <w:t xml:space="preserve">before Depreciation and </w:t>
            </w:r>
            <w:r w:rsidR="001F1D54">
              <w:rPr>
                <w:color w:val="000000" w:themeColor="text1"/>
              </w:rPr>
              <w:t>rev</w:t>
            </w:r>
            <w:r w:rsidR="001F575A">
              <w:rPr>
                <w:color w:val="000000" w:themeColor="text1"/>
              </w:rPr>
              <w:t>a</w:t>
            </w:r>
            <w:r w:rsidR="001F1D54">
              <w:rPr>
                <w:color w:val="000000" w:themeColor="text1"/>
              </w:rPr>
              <w:t>l</w:t>
            </w:r>
            <w:r w:rsidR="00D53451">
              <w:rPr>
                <w:color w:val="000000" w:themeColor="text1"/>
              </w:rPr>
              <w:t>uation</w:t>
            </w:r>
            <w:r>
              <w:rPr>
                <w:b/>
                <w:color w:val="000000" w:themeColor="text1"/>
              </w:rPr>
              <w:t xml:space="preserve"> </w:t>
            </w:r>
          </w:p>
        </w:tc>
        <w:tc>
          <w:tcPr>
            <w:tcW w:w="883" w:type="pct"/>
            <w:tcBorders>
              <w:top w:val="single" w:sz="4" w:space="0" w:color="auto"/>
              <w:bottom w:val="single" w:sz="4" w:space="0" w:color="auto"/>
            </w:tcBorders>
            <w:shd w:val="clear" w:color="auto" w:fill="D9D9D9" w:themeFill="background1" w:themeFillShade="D9"/>
          </w:tcPr>
          <w:p w14:paraId="0ED87789" w14:textId="15C252B0" w:rsidR="00A93727" w:rsidRPr="00894561" w:rsidRDefault="08829CA4" w:rsidP="00F91078">
            <w:pPr>
              <w:jc w:val="right"/>
              <w:rPr>
                <w:b/>
                <w:bCs/>
              </w:rPr>
            </w:pPr>
            <w:r w:rsidRPr="7D105CA6">
              <w:rPr>
                <w:b/>
                <w:bCs/>
              </w:rPr>
              <w:t>(74,557)</w:t>
            </w:r>
          </w:p>
        </w:tc>
        <w:tc>
          <w:tcPr>
            <w:tcW w:w="843" w:type="pct"/>
            <w:tcBorders>
              <w:top w:val="single" w:sz="4" w:space="0" w:color="auto"/>
              <w:bottom w:val="single" w:sz="4" w:space="0" w:color="auto"/>
            </w:tcBorders>
            <w:shd w:val="clear" w:color="auto" w:fill="D9D9D9" w:themeFill="background1" w:themeFillShade="D9"/>
          </w:tcPr>
          <w:p w14:paraId="216E8289" w14:textId="7E2D9EA4" w:rsidR="00A93727" w:rsidRPr="00894561" w:rsidRDefault="049B697B" w:rsidP="00F91078">
            <w:pPr>
              <w:jc w:val="right"/>
              <w:rPr>
                <w:b/>
                <w:bCs/>
              </w:rPr>
            </w:pPr>
            <w:r w:rsidRPr="7D105CA6">
              <w:rPr>
                <w:b/>
                <w:bCs/>
              </w:rPr>
              <w:t>(67,612)</w:t>
            </w:r>
          </w:p>
        </w:tc>
        <w:tc>
          <w:tcPr>
            <w:tcW w:w="1065" w:type="pct"/>
            <w:tcBorders>
              <w:top w:val="single" w:sz="4" w:space="0" w:color="auto"/>
              <w:bottom w:val="single" w:sz="4" w:space="0" w:color="auto"/>
            </w:tcBorders>
            <w:shd w:val="clear" w:color="auto" w:fill="D9D9D9" w:themeFill="background1" w:themeFillShade="D9"/>
          </w:tcPr>
          <w:p w14:paraId="60F7321F" w14:textId="5C658866" w:rsidR="00A93727" w:rsidRPr="00894561" w:rsidRDefault="49F9CD3A" w:rsidP="00F91078">
            <w:pPr>
              <w:jc w:val="right"/>
              <w:rPr>
                <w:b/>
                <w:bCs/>
              </w:rPr>
            </w:pPr>
            <w:r w:rsidRPr="7D105CA6">
              <w:rPr>
                <w:b/>
                <w:bCs/>
              </w:rPr>
              <w:t>(78,808)</w:t>
            </w:r>
          </w:p>
        </w:tc>
      </w:tr>
      <w:tr w:rsidR="008C3CBC" w:rsidRPr="000E7EED" w14:paraId="07F54B9E" w14:textId="0D290D86" w:rsidTr="00C1308D">
        <w:tc>
          <w:tcPr>
            <w:tcW w:w="2209" w:type="pct"/>
            <w:tcBorders>
              <w:top w:val="single" w:sz="4" w:space="0" w:color="auto"/>
              <w:bottom w:val="single" w:sz="4" w:space="0" w:color="auto"/>
            </w:tcBorders>
            <w:shd w:val="clear" w:color="auto" w:fill="auto"/>
          </w:tcPr>
          <w:p w14:paraId="3C82F621" w14:textId="75E0D92D" w:rsidR="00A93727" w:rsidRDefault="00A93727" w:rsidP="00B13EF6">
            <w:pPr>
              <w:rPr>
                <w:bCs/>
                <w:color w:val="000000" w:themeColor="text1"/>
              </w:rPr>
            </w:pPr>
            <w:r>
              <w:rPr>
                <w:bCs/>
                <w:color w:val="000000" w:themeColor="text1"/>
              </w:rPr>
              <w:t>Depreciation and Revaluation</w:t>
            </w:r>
            <w:r w:rsidR="004B4A1D">
              <w:rPr>
                <w:bCs/>
                <w:color w:val="000000" w:themeColor="text1"/>
              </w:rPr>
              <w:t xml:space="preserve"> (</w:t>
            </w:r>
            <w:r w:rsidR="00242819">
              <w:rPr>
                <w:bCs/>
                <w:color w:val="000000" w:themeColor="text1"/>
              </w:rPr>
              <w:t>3</w:t>
            </w:r>
            <w:r w:rsidR="004B4A1D">
              <w:rPr>
                <w:bCs/>
                <w:color w:val="000000" w:themeColor="text1"/>
              </w:rPr>
              <w:t>)</w:t>
            </w:r>
          </w:p>
        </w:tc>
        <w:tc>
          <w:tcPr>
            <w:tcW w:w="883" w:type="pct"/>
            <w:tcBorders>
              <w:top w:val="single" w:sz="4" w:space="0" w:color="auto"/>
              <w:bottom w:val="single" w:sz="4" w:space="0" w:color="auto"/>
            </w:tcBorders>
            <w:shd w:val="clear" w:color="auto" w:fill="auto"/>
          </w:tcPr>
          <w:p w14:paraId="072936CB" w14:textId="7F49DEDC" w:rsidR="00A93727" w:rsidRPr="00B13EF6" w:rsidRDefault="7116519F" w:rsidP="00B13EF6">
            <w:pPr>
              <w:jc w:val="right"/>
            </w:pPr>
            <w:r>
              <w:t>(284)</w:t>
            </w:r>
          </w:p>
        </w:tc>
        <w:tc>
          <w:tcPr>
            <w:tcW w:w="843" w:type="pct"/>
            <w:tcBorders>
              <w:top w:val="single" w:sz="4" w:space="0" w:color="auto"/>
              <w:bottom w:val="single" w:sz="4" w:space="0" w:color="auto"/>
            </w:tcBorders>
            <w:shd w:val="clear" w:color="auto" w:fill="D9D9D9" w:themeFill="background1" w:themeFillShade="D9"/>
          </w:tcPr>
          <w:p w14:paraId="5327C550" w14:textId="0C8B2A63" w:rsidR="00A93727" w:rsidRPr="000A1E6F" w:rsidRDefault="1F06D6E0" w:rsidP="00B13EF6">
            <w:pPr>
              <w:jc w:val="right"/>
            </w:pPr>
            <w:r>
              <w:t>(468)</w:t>
            </w:r>
          </w:p>
        </w:tc>
        <w:tc>
          <w:tcPr>
            <w:tcW w:w="1065" w:type="pct"/>
            <w:tcBorders>
              <w:top w:val="single" w:sz="4" w:space="0" w:color="auto"/>
              <w:bottom w:val="single" w:sz="4" w:space="0" w:color="auto"/>
            </w:tcBorders>
            <w:shd w:val="clear" w:color="auto" w:fill="auto"/>
          </w:tcPr>
          <w:p w14:paraId="7AF879A9" w14:textId="2C029DA0" w:rsidR="00A93727" w:rsidRPr="000A1E6F" w:rsidRDefault="2C392703" w:rsidP="00B13EF6">
            <w:pPr>
              <w:jc w:val="right"/>
            </w:pPr>
            <w:r>
              <w:t>(644)</w:t>
            </w:r>
          </w:p>
        </w:tc>
      </w:tr>
      <w:tr w:rsidR="008C3CBC" w:rsidRPr="000E7EED" w14:paraId="1CE8541B" w14:textId="7F17E55A" w:rsidTr="00C1308D">
        <w:tc>
          <w:tcPr>
            <w:tcW w:w="2209" w:type="pct"/>
            <w:tcBorders>
              <w:top w:val="single" w:sz="4" w:space="0" w:color="auto"/>
              <w:bottom w:val="single" w:sz="4" w:space="0" w:color="auto"/>
            </w:tcBorders>
            <w:shd w:val="clear" w:color="auto" w:fill="D9D9D9" w:themeFill="background1" w:themeFillShade="D9"/>
          </w:tcPr>
          <w:p w14:paraId="18FB2D06" w14:textId="1EACFAC2" w:rsidR="00A93727" w:rsidRPr="00E5707B" w:rsidRDefault="00A93727" w:rsidP="00F91078">
            <w:pPr>
              <w:rPr>
                <w:b/>
                <w:color w:val="000000" w:themeColor="text1"/>
              </w:rPr>
            </w:pPr>
            <w:r w:rsidRPr="00E5707B">
              <w:rPr>
                <w:b/>
                <w:color w:val="000000" w:themeColor="text1"/>
              </w:rPr>
              <w:t>Total Expenditure</w:t>
            </w:r>
          </w:p>
        </w:tc>
        <w:tc>
          <w:tcPr>
            <w:tcW w:w="883" w:type="pct"/>
            <w:tcBorders>
              <w:top w:val="single" w:sz="4" w:space="0" w:color="auto"/>
              <w:bottom w:val="single" w:sz="4" w:space="0" w:color="auto"/>
            </w:tcBorders>
            <w:shd w:val="clear" w:color="auto" w:fill="D9D9D9" w:themeFill="background1" w:themeFillShade="D9"/>
          </w:tcPr>
          <w:p w14:paraId="76FB0562" w14:textId="37B5F20B" w:rsidR="00A93727" w:rsidRPr="00C97F8C" w:rsidRDefault="3295E2D0" w:rsidP="00F91078">
            <w:pPr>
              <w:jc w:val="right"/>
              <w:rPr>
                <w:b/>
                <w:bCs/>
              </w:rPr>
            </w:pPr>
            <w:r w:rsidRPr="7D105CA6">
              <w:rPr>
                <w:b/>
                <w:bCs/>
              </w:rPr>
              <w:t>(74,841)</w:t>
            </w:r>
          </w:p>
        </w:tc>
        <w:tc>
          <w:tcPr>
            <w:tcW w:w="843" w:type="pct"/>
            <w:tcBorders>
              <w:top w:val="single" w:sz="4" w:space="0" w:color="auto"/>
              <w:bottom w:val="single" w:sz="4" w:space="0" w:color="auto"/>
            </w:tcBorders>
            <w:shd w:val="clear" w:color="auto" w:fill="D9D9D9" w:themeFill="background1" w:themeFillShade="D9"/>
          </w:tcPr>
          <w:p w14:paraId="170A8860" w14:textId="3662887C" w:rsidR="00A93727" w:rsidRPr="00C97F8C" w:rsidRDefault="3295E2D0" w:rsidP="00F91078">
            <w:pPr>
              <w:jc w:val="right"/>
              <w:rPr>
                <w:b/>
                <w:bCs/>
              </w:rPr>
            </w:pPr>
            <w:r w:rsidRPr="7D105CA6">
              <w:rPr>
                <w:b/>
                <w:bCs/>
              </w:rPr>
              <w:t>(68,080)</w:t>
            </w:r>
          </w:p>
        </w:tc>
        <w:tc>
          <w:tcPr>
            <w:tcW w:w="1065" w:type="pct"/>
            <w:tcBorders>
              <w:top w:val="single" w:sz="4" w:space="0" w:color="auto"/>
              <w:bottom w:val="single" w:sz="4" w:space="0" w:color="auto"/>
            </w:tcBorders>
            <w:shd w:val="clear" w:color="auto" w:fill="D9D9D9" w:themeFill="background1" w:themeFillShade="D9"/>
          </w:tcPr>
          <w:p w14:paraId="52C6B8C3" w14:textId="0D41600B" w:rsidR="00A93727" w:rsidRPr="00C97F8C" w:rsidRDefault="20B61AE5" w:rsidP="00F91078">
            <w:pPr>
              <w:jc w:val="right"/>
              <w:rPr>
                <w:b/>
                <w:bCs/>
              </w:rPr>
            </w:pPr>
            <w:r w:rsidRPr="7D105CA6">
              <w:rPr>
                <w:b/>
                <w:bCs/>
              </w:rPr>
              <w:t>(79,452)</w:t>
            </w:r>
          </w:p>
        </w:tc>
      </w:tr>
    </w:tbl>
    <w:bookmarkEnd w:id="4"/>
    <w:bookmarkEnd w:id="5"/>
    <w:bookmarkEnd w:id="7"/>
    <w:p w14:paraId="1C8A70B6" w14:textId="77777777" w:rsidR="00F44FDC" w:rsidRDefault="0081451B" w:rsidP="007B58EB">
      <w:pPr>
        <w:spacing w:after="0" w:line="240" w:lineRule="auto"/>
      </w:pPr>
      <w:r>
        <w:t xml:space="preserve">Notes: </w:t>
      </w:r>
    </w:p>
    <w:p w14:paraId="6BEA7530" w14:textId="79941C6B" w:rsidR="00242819" w:rsidRDefault="00242819" w:rsidP="007B58EB">
      <w:pPr>
        <w:spacing w:after="0" w:line="240" w:lineRule="auto"/>
      </w:pPr>
      <w:r>
        <w:t xml:space="preserve">1) </w:t>
      </w:r>
      <w:r w:rsidR="00020766">
        <w:t>Payments in 2020-21 included significant one</w:t>
      </w:r>
      <w:r w:rsidR="005E0E4E">
        <w:t>-</w:t>
      </w:r>
      <w:r w:rsidR="00020766">
        <w:t xml:space="preserve">off project </w:t>
      </w:r>
      <w:r w:rsidR="00A378C2">
        <w:t>funding received from the State Government to address COVID-19 related backlogs in the courts.</w:t>
      </w:r>
    </w:p>
    <w:p w14:paraId="198489E7" w14:textId="42132EB4" w:rsidR="00F44FDC" w:rsidRDefault="00242819" w:rsidP="007B58EB">
      <w:pPr>
        <w:spacing w:after="0" w:line="240" w:lineRule="auto"/>
      </w:pPr>
      <w:r>
        <w:t>2</w:t>
      </w:r>
      <w:r w:rsidR="0081451B">
        <w:t xml:space="preserve">) Includes lease amortisation </w:t>
      </w:r>
    </w:p>
    <w:p w14:paraId="7AEF38E3" w14:textId="74F396B7" w:rsidR="00461300" w:rsidRPr="00123404" w:rsidRDefault="00242819" w:rsidP="007B58EB">
      <w:pPr>
        <w:spacing w:after="0" w:line="240" w:lineRule="auto"/>
        <w:rPr>
          <w:rFonts w:cs="Arial"/>
          <w:b/>
          <w:color w:val="000000" w:themeColor="text1"/>
          <w:sz w:val="28"/>
          <w:szCs w:val="28"/>
          <w:lang w:eastAsia="en-AU"/>
        </w:rPr>
      </w:pPr>
      <w:r>
        <w:t>3</w:t>
      </w:r>
      <w:r w:rsidR="0081451B">
        <w:t>) Includes amounts included as other economic flows in the Annual Report and excludes lease amortisation.</w:t>
      </w:r>
    </w:p>
    <w:sectPr w:rsidR="00461300" w:rsidRPr="00123404" w:rsidSect="0039260E">
      <w:headerReference w:type="even" r:id="rId15"/>
      <w:headerReference w:type="default" r:id="rId16"/>
      <w:footerReference w:type="even" r:id="rId17"/>
      <w:footerReference w:type="default" r:id="rId18"/>
      <w:headerReference w:type="first" r:id="rId19"/>
      <w:footerReference w:type="first" r:id="rId20"/>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0C5C" w14:textId="77777777" w:rsidR="00B20AFF" w:rsidRDefault="00B20AFF">
      <w:pPr>
        <w:spacing w:after="0" w:line="240" w:lineRule="auto"/>
      </w:pPr>
      <w:r>
        <w:separator/>
      </w:r>
    </w:p>
  </w:endnote>
  <w:endnote w:type="continuationSeparator" w:id="0">
    <w:p w14:paraId="2FFE1B77" w14:textId="77777777" w:rsidR="00B20AFF" w:rsidRDefault="00B20AFF">
      <w:pPr>
        <w:spacing w:after="0" w:line="240" w:lineRule="auto"/>
      </w:pPr>
      <w:r>
        <w:continuationSeparator/>
      </w:r>
    </w:p>
  </w:endnote>
  <w:endnote w:type="continuationNotice" w:id="1">
    <w:p w14:paraId="6E73A34C" w14:textId="77777777" w:rsidR="00B20AFF" w:rsidRDefault="00B20A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AC0A2C0"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C799CA6"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3464" w14:textId="77777777" w:rsidR="00B20AFF" w:rsidRDefault="00B20AFF">
      <w:pPr>
        <w:spacing w:after="0" w:line="240" w:lineRule="auto"/>
      </w:pPr>
      <w:r>
        <w:separator/>
      </w:r>
    </w:p>
  </w:footnote>
  <w:footnote w:type="continuationSeparator" w:id="0">
    <w:p w14:paraId="651E0C4B" w14:textId="77777777" w:rsidR="00B20AFF" w:rsidRDefault="00B20AFF">
      <w:pPr>
        <w:spacing w:after="0" w:line="240" w:lineRule="auto"/>
      </w:pPr>
      <w:r>
        <w:continuationSeparator/>
      </w:r>
    </w:p>
  </w:footnote>
  <w:footnote w:type="continuationNotice" w:id="1">
    <w:p w14:paraId="1311A697" w14:textId="77777777" w:rsidR="00B20AFF" w:rsidRDefault="00B20AFF">
      <w:pPr>
        <w:spacing w:after="0" w:line="240" w:lineRule="auto"/>
      </w:pPr>
    </w:p>
  </w:footnote>
  <w:footnote w:id="2">
    <w:p w14:paraId="393D1CF4" w14:textId="77777777" w:rsidR="005613DD" w:rsidRDefault="005613DD"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 w:id="3">
    <w:p w14:paraId="22606662" w14:textId="78202F72" w:rsidR="001B4CED" w:rsidRDefault="001B4CED">
      <w:pPr>
        <w:pStyle w:val="FootnoteText"/>
      </w:pPr>
      <w:r>
        <w:rPr>
          <w:rStyle w:val="FootnoteReference"/>
        </w:rPr>
        <w:footnoteRef/>
      </w:r>
      <w:r>
        <w:t xml:space="preserve"> </w:t>
      </w:r>
      <w:r w:rsidR="00AA70C4">
        <w:t>Total contains advice sessions that were not captured earlier in the 2020-21 financial year</w:t>
      </w:r>
      <w:r w:rsidR="00224C80">
        <w:t xml:space="preserve"> and </w:t>
      </w:r>
      <w:r w:rsidR="0012305E">
        <w:t>contribute to the perceived decrease in advice sessions for Q1.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77777777" w:rsidR="0095574A" w:rsidRPr="006A6FC6" w:rsidRDefault="0095574A" w:rsidP="0039260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7E2765" w14:textId="3FE9D6D4" w:rsidR="0095574A" w:rsidRPr="00B42FDE" w:rsidRDefault="0095574A" w:rsidP="00B42FDE">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C977DCE"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r>
      <w:rPr>
        <w:rFonts w:ascii="Arial Bold" w:hAnsi="Arial Bold" w:cs="Arial"/>
        <w:b/>
        <w:color w:val="B1005D"/>
        <w:sz w:val="18"/>
        <w:szCs w:val="18"/>
      </w:rPr>
      <w:t>20</w:t>
    </w:r>
    <w:r w:rsidR="006B488D">
      <w:rPr>
        <w:rFonts w:ascii="Arial Bold" w:hAnsi="Arial Bold" w:cs="Arial"/>
        <w:b/>
        <w:color w:val="B1005D"/>
        <w:sz w:val="18"/>
        <w:szCs w:val="18"/>
      </w:rPr>
      <w:t>21</w:t>
    </w:r>
    <w:r>
      <w:rPr>
        <w:rFonts w:ascii="Arial Bold" w:hAnsi="Arial Bold" w:cs="Arial"/>
        <w:b/>
        <w:color w:val="B1005D"/>
        <w:sz w:val="18"/>
        <w:szCs w:val="18"/>
      </w:rPr>
      <w:t>–2</w:t>
    </w:r>
    <w:r w:rsidR="006B488D">
      <w:rPr>
        <w:rFonts w:ascii="Arial Bold" w:hAnsi="Arial Bold" w:cs="Arial"/>
        <w:b/>
        <w:color w:val="B1005D"/>
        <w:sz w:val="18"/>
        <w:szCs w:val="18"/>
      </w:rPr>
      <w:t>2</w:t>
    </w:r>
    <w:r>
      <w:rPr>
        <w:rFonts w:ascii="Arial Bold" w:hAnsi="Arial Bold" w:cs="Arial"/>
        <w:b/>
        <w:color w:val="B1005D"/>
        <w:sz w:val="18"/>
        <w:szCs w:val="18"/>
      </w:rPr>
      <w:t xml:space="preserve"> quarter </w:t>
    </w:r>
    <w:r w:rsidR="006B488D">
      <w:rPr>
        <w:rFonts w:ascii="Arial Bold" w:hAnsi="Arial Bold" w:cs="Arial"/>
        <w:b/>
        <w:color w:val="B1005D"/>
        <w:sz w:val="18"/>
        <w:szCs w:val="18"/>
      </w:rPr>
      <w:t>one</w:t>
    </w:r>
    <w:r>
      <w:rPr>
        <w:rFonts w:ascii="Arial Bold" w:hAnsi="Arial Bold" w:cs="Arial"/>
        <w:b/>
        <w:color w:val="B1005D"/>
        <w:sz w:val="18"/>
        <w:szCs w:val="18"/>
      </w:rPr>
      <w:t xml:space="preserv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77777777" w:rsidR="0095574A" w:rsidRPr="00833658" w:rsidRDefault="0095574A" w:rsidP="0039260E">
    <w:pPr>
      <w:pStyle w:val="VLAProgram"/>
      <w:pBdr>
        <w:bottom w:val="none" w:sz="0" w:space="0" w:color="auto"/>
      </w:pBdr>
      <w:rPr>
        <w:color w:val="FFFFFF" w:themeColor="background1"/>
      </w:rPr>
    </w:pPr>
    <w:r>
      <w:rPr>
        <w:noProof/>
        <w:lang w:val="en-US"/>
      </w:rPr>
      <w:drawing>
        <wp:anchor distT="0" distB="0" distL="114300" distR="114300" simplePos="0" relativeHeight="251660291"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93E72"/>
    <w:multiLevelType w:val="hybridMultilevel"/>
    <w:tmpl w:val="968C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F4584D"/>
    <w:multiLevelType w:val="hybridMultilevel"/>
    <w:tmpl w:val="F598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1431B52"/>
    <w:multiLevelType w:val="hybridMultilevel"/>
    <w:tmpl w:val="968CE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9"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6"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9"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9"/>
  </w:num>
  <w:num w:numId="4">
    <w:abstractNumId w:val="13"/>
  </w:num>
  <w:num w:numId="5">
    <w:abstractNumId w:val="7"/>
  </w:num>
  <w:num w:numId="6">
    <w:abstractNumId w:val="25"/>
  </w:num>
  <w:num w:numId="7">
    <w:abstractNumId w:val="6"/>
  </w:num>
  <w:num w:numId="8">
    <w:abstractNumId w:val="25"/>
  </w:num>
  <w:num w:numId="9">
    <w:abstractNumId w:val="5"/>
  </w:num>
  <w:num w:numId="10">
    <w:abstractNumId w:val="4"/>
  </w:num>
  <w:num w:numId="11">
    <w:abstractNumId w:val="4"/>
  </w:num>
  <w:num w:numId="12">
    <w:abstractNumId w:val="8"/>
  </w:num>
  <w:num w:numId="13">
    <w:abstractNumId w:val="8"/>
  </w:num>
  <w:num w:numId="14">
    <w:abstractNumId w:val="3"/>
  </w:num>
  <w:num w:numId="15">
    <w:abstractNumId w:val="3"/>
  </w:num>
  <w:num w:numId="16">
    <w:abstractNumId w:val="2"/>
  </w:num>
  <w:num w:numId="17">
    <w:abstractNumId w:val="2"/>
  </w:num>
  <w:num w:numId="18">
    <w:abstractNumId w:val="1"/>
  </w:num>
  <w:num w:numId="19">
    <w:abstractNumId w:val="1"/>
  </w:num>
  <w:num w:numId="20">
    <w:abstractNumId w:val="0"/>
  </w:num>
  <w:num w:numId="21">
    <w:abstractNumId w:val="0"/>
  </w:num>
  <w:num w:numId="22">
    <w:abstractNumId w:val="23"/>
  </w:num>
  <w:num w:numId="23">
    <w:abstractNumId w:val="23"/>
  </w:num>
  <w:num w:numId="24">
    <w:abstractNumId w:val="15"/>
  </w:num>
  <w:num w:numId="25">
    <w:abstractNumId w:val="28"/>
  </w:num>
  <w:num w:numId="26">
    <w:abstractNumId w:val="20"/>
  </w:num>
  <w:num w:numId="27">
    <w:abstractNumId w:val="24"/>
  </w:num>
  <w:num w:numId="28">
    <w:abstractNumId w:val="29"/>
  </w:num>
  <w:num w:numId="29">
    <w:abstractNumId w:val="22"/>
  </w:num>
  <w:num w:numId="30">
    <w:abstractNumId w:val="12"/>
  </w:num>
  <w:num w:numId="31">
    <w:abstractNumId w:val="18"/>
  </w:num>
  <w:num w:numId="32">
    <w:abstractNumId w:val="27"/>
  </w:num>
  <w:num w:numId="33">
    <w:abstractNumId w:val="16"/>
  </w:num>
  <w:num w:numId="34">
    <w:abstractNumId w:val="19"/>
  </w:num>
  <w:num w:numId="35">
    <w:abstractNumId w:val="26"/>
  </w:num>
  <w:num w:numId="36">
    <w:abstractNumId w:val="17"/>
  </w:num>
  <w:num w:numId="37">
    <w:abstractNumId w:val="10"/>
  </w:num>
  <w:num w:numId="38">
    <w:abstractNumId w:val="1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TcztTQ2MjAwNzNQ0lEKTi0uzszPAykwqQUApNmpaCwAAAA="/>
  </w:docVars>
  <w:rsids>
    <w:rsidRoot w:val="004175B7"/>
    <w:rsid w:val="0000020D"/>
    <w:rsid w:val="00000BAF"/>
    <w:rsid w:val="00001AA9"/>
    <w:rsid w:val="000027B7"/>
    <w:rsid w:val="00002950"/>
    <w:rsid w:val="000036A6"/>
    <w:rsid w:val="0000378A"/>
    <w:rsid w:val="000038D1"/>
    <w:rsid w:val="0000441F"/>
    <w:rsid w:val="000044DC"/>
    <w:rsid w:val="00004CE9"/>
    <w:rsid w:val="00004D17"/>
    <w:rsid w:val="00004F3D"/>
    <w:rsid w:val="000055D7"/>
    <w:rsid w:val="00005AE6"/>
    <w:rsid w:val="00005D79"/>
    <w:rsid w:val="00006274"/>
    <w:rsid w:val="000063FE"/>
    <w:rsid w:val="00006CCF"/>
    <w:rsid w:val="00007FD6"/>
    <w:rsid w:val="00010B52"/>
    <w:rsid w:val="00010B80"/>
    <w:rsid w:val="000121E2"/>
    <w:rsid w:val="000138CA"/>
    <w:rsid w:val="000141D8"/>
    <w:rsid w:val="000161A6"/>
    <w:rsid w:val="000170AE"/>
    <w:rsid w:val="0001721A"/>
    <w:rsid w:val="00017518"/>
    <w:rsid w:val="000175F6"/>
    <w:rsid w:val="00017EC1"/>
    <w:rsid w:val="00020766"/>
    <w:rsid w:val="00020994"/>
    <w:rsid w:val="00020C6D"/>
    <w:rsid w:val="00020D22"/>
    <w:rsid w:val="00021293"/>
    <w:rsid w:val="00021580"/>
    <w:rsid w:val="00021B97"/>
    <w:rsid w:val="0002304F"/>
    <w:rsid w:val="00023379"/>
    <w:rsid w:val="000236FD"/>
    <w:rsid w:val="00023F89"/>
    <w:rsid w:val="000242B6"/>
    <w:rsid w:val="00024FD4"/>
    <w:rsid w:val="00025EB0"/>
    <w:rsid w:val="00026D4A"/>
    <w:rsid w:val="0002736E"/>
    <w:rsid w:val="00027BEB"/>
    <w:rsid w:val="000311A9"/>
    <w:rsid w:val="00031DD3"/>
    <w:rsid w:val="00031F8B"/>
    <w:rsid w:val="00033AE9"/>
    <w:rsid w:val="00033B72"/>
    <w:rsid w:val="00034264"/>
    <w:rsid w:val="0003486A"/>
    <w:rsid w:val="00036024"/>
    <w:rsid w:val="000401FE"/>
    <w:rsid w:val="000410CD"/>
    <w:rsid w:val="00043D3D"/>
    <w:rsid w:val="00045921"/>
    <w:rsid w:val="00045B31"/>
    <w:rsid w:val="00045D7C"/>
    <w:rsid w:val="00045DA3"/>
    <w:rsid w:val="0004612D"/>
    <w:rsid w:val="000464B3"/>
    <w:rsid w:val="00046677"/>
    <w:rsid w:val="000474AE"/>
    <w:rsid w:val="0005014C"/>
    <w:rsid w:val="00050188"/>
    <w:rsid w:val="00050C7A"/>
    <w:rsid w:val="00051DEF"/>
    <w:rsid w:val="00053FE2"/>
    <w:rsid w:val="000548DB"/>
    <w:rsid w:val="00055CFB"/>
    <w:rsid w:val="00055DBF"/>
    <w:rsid w:val="0005677C"/>
    <w:rsid w:val="00056A93"/>
    <w:rsid w:val="00056E86"/>
    <w:rsid w:val="00057E82"/>
    <w:rsid w:val="00057F46"/>
    <w:rsid w:val="0006012E"/>
    <w:rsid w:val="000604A2"/>
    <w:rsid w:val="000605FF"/>
    <w:rsid w:val="00060C67"/>
    <w:rsid w:val="00062825"/>
    <w:rsid w:val="000631DD"/>
    <w:rsid w:val="00063EF9"/>
    <w:rsid w:val="00065A6F"/>
    <w:rsid w:val="000660BF"/>
    <w:rsid w:val="00066F07"/>
    <w:rsid w:val="000672A7"/>
    <w:rsid w:val="000679DF"/>
    <w:rsid w:val="00067EE4"/>
    <w:rsid w:val="0007003A"/>
    <w:rsid w:val="00070A47"/>
    <w:rsid w:val="00070CAD"/>
    <w:rsid w:val="00072094"/>
    <w:rsid w:val="000726E5"/>
    <w:rsid w:val="00072BBE"/>
    <w:rsid w:val="000731E7"/>
    <w:rsid w:val="00073503"/>
    <w:rsid w:val="00075E95"/>
    <w:rsid w:val="000763E8"/>
    <w:rsid w:val="000776A9"/>
    <w:rsid w:val="00081319"/>
    <w:rsid w:val="000819A5"/>
    <w:rsid w:val="0008244C"/>
    <w:rsid w:val="00082BB4"/>
    <w:rsid w:val="00082E40"/>
    <w:rsid w:val="00083758"/>
    <w:rsid w:val="00084405"/>
    <w:rsid w:val="000845CE"/>
    <w:rsid w:val="0008503F"/>
    <w:rsid w:val="00086744"/>
    <w:rsid w:val="00086C7B"/>
    <w:rsid w:val="00087B2F"/>
    <w:rsid w:val="0009039D"/>
    <w:rsid w:val="00093A74"/>
    <w:rsid w:val="0009511F"/>
    <w:rsid w:val="000953A8"/>
    <w:rsid w:val="00096559"/>
    <w:rsid w:val="00096D8A"/>
    <w:rsid w:val="0009711B"/>
    <w:rsid w:val="000A020B"/>
    <w:rsid w:val="000A0339"/>
    <w:rsid w:val="000A0349"/>
    <w:rsid w:val="000A0A68"/>
    <w:rsid w:val="000A18FB"/>
    <w:rsid w:val="000A1E6F"/>
    <w:rsid w:val="000A2081"/>
    <w:rsid w:val="000A20E1"/>
    <w:rsid w:val="000A25B1"/>
    <w:rsid w:val="000A28EE"/>
    <w:rsid w:val="000A2FBE"/>
    <w:rsid w:val="000A31A6"/>
    <w:rsid w:val="000A3C2D"/>
    <w:rsid w:val="000A3DA5"/>
    <w:rsid w:val="000A41F2"/>
    <w:rsid w:val="000A4EA9"/>
    <w:rsid w:val="000A53CB"/>
    <w:rsid w:val="000A5781"/>
    <w:rsid w:val="000A5DB4"/>
    <w:rsid w:val="000A68E1"/>
    <w:rsid w:val="000A6EDC"/>
    <w:rsid w:val="000A7E07"/>
    <w:rsid w:val="000B0034"/>
    <w:rsid w:val="000B00CD"/>
    <w:rsid w:val="000B1465"/>
    <w:rsid w:val="000B185D"/>
    <w:rsid w:val="000B1E78"/>
    <w:rsid w:val="000B20DD"/>
    <w:rsid w:val="000B241B"/>
    <w:rsid w:val="000B2F09"/>
    <w:rsid w:val="000B2F2F"/>
    <w:rsid w:val="000B330D"/>
    <w:rsid w:val="000B40B2"/>
    <w:rsid w:val="000B40B7"/>
    <w:rsid w:val="000B4B6A"/>
    <w:rsid w:val="000B6313"/>
    <w:rsid w:val="000B6A75"/>
    <w:rsid w:val="000C02A3"/>
    <w:rsid w:val="000C08C0"/>
    <w:rsid w:val="000C14B8"/>
    <w:rsid w:val="000C19D5"/>
    <w:rsid w:val="000C2C51"/>
    <w:rsid w:val="000C50E3"/>
    <w:rsid w:val="000C59E6"/>
    <w:rsid w:val="000C5E2B"/>
    <w:rsid w:val="000C6B7B"/>
    <w:rsid w:val="000C7FB4"/>
    <w:rsid w:val="000D1243"/>
    <w:rsid w:val="000D32DA"/>
    <w:rsid w:val="000D469D"/>
    <w:rsid w:val="000D5AF1"/>
    <w:rsid w:val="000D5C22"/>
    <w:rsid w:val="000D5FAB"/>
    <w:rsid w:val="000D6156"/>
    <w:rsid w:val="000D61AB"/>
    <w:rsid w:val="000D64E6"/>
    <w:rsid w:val="000D7215"/>
    <w:rsid w:val="000D73DB"/>
    <w:rsid w:val="000E065B"/>
    <w:rsid w:val="000E0EF9"/>
    <w:rsid w:val="000E11BA"/>
    <w:rsid w:val="000E1652"/>
    <w:rsid w:val="000E169E"/>
    <w:rsid w:val="000E2347"/>
    <w:rsid w:val="000E3D37"/>
    <w:rsid w:val="000E3FAA"/>
    <w:rsid w:val="000E4249"/>
    <w:rsid w:val="000E5111"/>
    <w:rsid w:val="000E5121"/>
    <w:rsid w:val="000E57E5"/>
    <w:rsid w:val="000E6857"/>
    <w:rsid w:val="000E6B10"/>
    <w:rsid w:val="000E76E4"/>
    <w:rsid w:val="000E7883"/>
    <w:rsid w:val="000E79DC"/>
    <w:rsid w:val="000E7F25"/>
    <w:rsid w:val="000F0145"/>
    <w:rsid w:val="000F07A7"/>
    <w:rsid w:val="000F122E"/>
    <w:rsid w:val="000F1368"/>
    <w:rsid w:val="000F2125"/>
    <w:rsid w:val="000F2939"/>
    <w:rsid w:val="000F2E5A"/>
    <w:rsid w:val="000F3295"/>
    <w:rsid w:val="000F45D3"/>
    <w:rsid w:val="000F4900"/>
    <w:rsid w:val="000F595D"/>
    <w:rsid w:val="000F6131"/>
    <w:rsid w:val="000F6E2D"/>
    <w:rsid w:val="000F7653"/>
    <w:rsid w:val="000F7B6D"/>
    <w:rsid w:val="000F7D49"/>
    <w:rsid w:val="000F7F7C"/>
    <w:rsid w:val="00100875"/>
    <w:rsid w:val="00100BB7"/>
    <w:rsid w:val="0010110A"/>
    <w:rsid w:val="00101249"/>
    <w:rsid w:val="00101667"/>
    <w:rsid w:val="001023C8"/>
    <w:rsid w:val="0010438C"/>
    <w:rsid w:val="00104F41"/>
    <w:rsid w:val="00104FAD"/>
    <w:rsid w:val="00105ECF"/>
    <w:rsid w:val="0010672F"/>
    <w:rsid w:val="001072B0"/>
    <w:rsid w:val="00107759"/>
    <w:rsid w:val="00111862"/>
    <w:rsid w:val="00111980"/>
    <w:rsid w:val="00112C54"/>
    <w:rsid w:val="00112CA5"/>
    <w:rsid w:val="00113124"/>
    <w:rsid w:val="00113D40"/>
    <w:rsid w:val="001153BD"/>
    <w:rsid w:val="0011562F"/>
    <w:rsid w:val="001161AF"/>
    <w:rsid w:val="00116DD2"/>
    <w:rsid w:val="00117379"/>
    <w:rsid w:val="001177BE"/>
    <w:rsid w:val="001202C1"/>
    <w:rsid w:val="0012036F"/>
    <w:rsid w:val="00120D4C"/>
    <w:rsid w:val="0012305E"/>
    <w:rsid w:val="00123404"/>
    <w:rsid w:val="00123514"/>
    <w:rsid w:val="00125593"/>
    <w:rsid w:val="00126421"/>
    <w:rsid w:val="00126A75"/>
    <w:rsid w:val="00130C44"/>
    <w:rsid w:val="001326CD"/>
    <w:rsid w:val="001335C9"/>
    <w:rsid w:val="00134311"/>
    <w:rsid w:val="00134FFB"/>
    <w:rsid w:val="00135929"/>
    <w:rsid w:val="00135A8A"/>
    <w:rsid w:val="00135AFA"/>
    <w:rsid w:val="001366D4"/>
    <w:rsid w:val="00136B3F"/>
    <w:rsid w:val="00137F32"/>
    <w:rsid w:val="00140CB0"/>
    <w:rsid w:val="00142198"/>
    <w:rsid w:val="001423CC"/>
    <w:rsid w:val="001428BB"/>
    <w:rsid w:val="00143387"/>
    <w:rsid w:val="0014474C"/>
    <w:rsid w:val="00144D90"/>
    <w:rsid w:val="001450F0"/>
    <w:rsid w:val="001465E4"/>
    <w:rsid w:val="00146657"/>
    <w:rsid w:val="00147E4F"/>
    <w:rsid w:val="00150858"/>
    <w:rsid w:val="0015159B"/>
    <w:rsid w:val="0015174B"/>
    <w:rsid w:val="0015181C"/>
    <w:rsid w:val="00151834"/>
    <w:rsid w:val="0015223B"/>
    <w:rsid w:val="0015466E"/>
    <w:rsid w:val="00154C5A"/>
    <w:rsid w:val="00155264"/>
    <w:rsid w:val="00155591"/>
    <w:rsid w:val="00155A08"/>
    <w:rsid w:val="001575EE"/>
    <w:rsid w:val="00157C3D"/>
    <w:rsid w:val="0016044B"/>
    <w:rsid w:val="0016078D"/>
    <w:rsid w:val="00160893"/>
    <w:rsid w:val="001616E6"/>
    <w:rsid w:val="00161A71"/>
    <w:rsid w:val="00162471"/>
    <w:rsid w:val="001624FD"/>
    <w:rsid w:val="00163488"/>
    <w:rsid w:val="001634DE"/>
    <w:rsid w:val="00163592"/>
    <w:rsid w:val="00163C00"/>
    <w:rsid w:val="001658A2"/>
    <w:rsid w:val="00166889"/>
    <w:rsid w:val="00166EBD"/>
    <w:rsid w:val="00166FF4"/>
    <w:rsid w:val="00167103"/>
    <w:rsid w:val="001677FB"/>
    <w:rsid w:val="001700CB"/>
    <w:rsid w:val="00170341"/>
    <w:rsid w:val="001704A6"/>
    <w:rsid w:val="00171921"/>
    <w:rsid w:val="00171F24"/>
    <w:rsid w:val="001728AA"/>
    <w:rsid w:val="00172A38"/>
    <w:rsid w:val="00173B2F"/>
    <w:rsid w:val="001741E5"/>
    <w:rsid w:val="00174E39"/>
    <w:rsid w:val="00175277"/>
    <w:rsid w:val="00176182"/>
    <w:rsid w:val="00176B8B"/>
    <w:rsid w:val="001770F6"/>
    <w:rsid w:val="00177331"/>
    <w:rsid w:val="00177528"/>
    <w:rsid w:val="00177673"/>
    <w:rsid w:val="00177814"/>
    <w:rsid w:val="0017798A"/>
    <w:rsid w:val="00177CA1"/>
    <w:rsid w:val="00180675"/>
    <w:rsid w:val="00181099"/>
    <w:rsid w:val="0018149D"/>
    <w:rsid w:val="001815CF"/>
    <w:rsid w:val="00182EF2"/>
    <w:rsid w:val="00183C63"/>
    <w:rsid w:val="00183F27"/>
    <w:rsid w:val="00184398"/>
    <w:rsid w:val="001845E1"/>
    <w:rsid w:val="00184938"/>
    <w:rsid w:val="00185425"/>
    <w:rsid w:val="00190038"/>
    <w:rsid w:val="00190A92"/>
    <w:rsid w:val="00191722"/>
    <w:rsid w:val="00192C46"/>
    <w:rsid w:val="00192F61"/>
    <w:rsid w:val="00194D01"/>
    <w:rsid w:val="00195BEA"/>
    <w:rsid w:val="00196F8E"/>
    <w:rsid w:val="001A0D32"/>
    <w:rsid w:val="001A1DBD"/>
    <w:rsid w:val="001A27AB"/>
    <w:rsid w:val="001A42A9"/>
    <w:rsid w:val="001A7527"/>
    <w:rsid w:val="001A76F6"/>
    <w:rsid w:val="001A7B2D"/>
    <w:rsid w:val="001B0812"/>
    <w:rsid w:val="001B0BDE"/>
    <w:rsid w:val="001B0F4B"/>
    <w:rsid w:val="001B1AA1"/>
    <w:rsid w:val="001B1CE3"/>
    <w:rsid w:val="001B2039"/>
    <w:rsid w:val="001B2B1F"/>
    <w:rsid w:val="001B318B"/>
    <w:rsid w:val="001B3FB6"/>
    <w:rsid w:val="001B4CED"/>
    <w:rsid w:val="001B6034"/>
    <w:rsid w:val="001B71AC"/>
    <w:rsid w:val="001B724E"/>
    <w:rsid w:val="001B7F0E"/>
    <w:rsid w:val="001C13AF"/>
    <w:rsid w:val="001C1875"/>
    <w:rsid w:val="001C26CE"/>
    <w:rsid w:val="001C28ED"/>
    <w:rsid w:val="001C37F7"/>
    <w:rsid w:val="001C3838"/>
    <w:rsid w:val="001C3F3F"/>
    <w:rsid w:val="001C4735"/>
    <w:rsid w:val="001C4ECB"/>
    <w:rsid w:val="001C6F1A"/>
    <w:rsid w:val="001C7169"/>
    <w:rsid w:val="001C78D4"/>
    <w:rsid w:val="001C7CB5"/>
    <w:rsid w:val="001D05AA"/>
    <w:rsid w:val="001D0FA7"/>
    <w:rsid w:val="001D18F4"/>
    <w:rsid w:val="001D1BDD"/>
    <w:rsid w:val="001D277E"/>
    <w:rsid w:val="001D42FF"/>
    <w:rsid w:val="001D4FDD"/>
    <w:rsid w:val="001D6BD7"/>
    <w:rsid w:val="001D6FA4"/>
    <w:rsid w:val="001D79EF"/>
    <w:rsid w:val="001E1907"/>
    <w:rsid w:val="001E1C65"/>
    <w:rsid w:val="001E1EB8"/>
    <w:rsid w:val="001E2009"/>
    <w:rsid w:val="001E36DF"/>
    <w:rsid w:val="001E3A98"/>
    <w:rsid w:val="001E4157"/>
    <w:rsid w:val="001E5773"/>
    <w:rsid w:val="001E5AF9"/>
    <w:rsid w:val="001E5EEA"/>
    <w:rsid w:val="001E6F29"/>
    <w:rsid w:val="001E705F"/>
    <w:rsid w:val="001E7312"/>
    <w:rsid w:val="001E7B75"/>
    <w:rsid w:val="001F0CF5"/>
    <w:rsid w:val="001F1CD9"/>
    <w:rsid w:val="001F1D54"/>
    <w:rsid w:val="001F2008"/>
    <w:rsid w:val="001F22F6"/>
    <w:rsid w:val="001F2625"/>
    <w:rsid w:val="001F2EFD"/>
    <w:rsid w:val="001F30AB"/>
    <w:rsid w:val="001F3E36"/>
    <w:rsid w:val="001F44EE"/>
    <w:rsid w:val="001F5011"/>
    <w:rsid w:val="001F5598"/>
    <w:rsid w:val="001F575A"/>
    <w:rsid w:val="001F5F63"/>
    <w:rsid w:val="001F73D2"/>
    <w:rsid w:val="002002A6"/>
    <w:rsid w:val="00200366"/>
    <w:rsid w:val="00200CDD"/>
    <w:rsid w:val="00200FEB"/>
    <w:rsid w:val="00201744"/>
    <w:rsid w:val="002024CA"/>
    <w:rsid w:val="00202D7D"/>
    <w:rsid w:val="0020340C"/>
    <w:rsid w:val="002044B7"/>
    <w:rsid w:val="00204ABA"/>
    <w:rsid w:val="00204CCE"/>
    <w:rsid w:val="00205062"/>
    <w:rsid w:val="002050D9"/>
    <w:rsid w:val="00205D8F"/>
    <w:rsid w:val="00206DFC"/>
    <w:rsid w:val="00207A64"/>
    <w:rsid w:val="00207C62"/>
    <w:rsid w:val="002101E6"/>
    <w:rsid w:val="00210EC2"/>
    <w:rsid w:val="00210F02"/>
    <w:rsid w:val="00212C25"/>
    <w:rsid w:val="002131D7"/>
    <w:rsid w:val="00213A3C"/>
    <w:rsid w:val="002141AC"/>
    <w:rsid w:val="002143D0"/>
    <w:rsid w:val="002143DC"/>
    <w:rsid w:val="00214DAC"/>
    <w:rsid w:val="00214F4D"/>
    <w:rsid w:val="00215D0D"/>
    <w:rsid w:val="002161DE"/>
    <w:rsid w:val="00217775"/>
    <w:rsid w:val="0022016A"/>
    <w:rsid w:val="00220889"/>
    <w:rsid w:val="002208BE"/>
    <w:rsid w:val="0022248F"/>
    <w:rsid w:val="00224953"/>
    <w:rsid w:val="00224C80"/>
    <w:rsid w:val="0022503C"/>
    <w:rsid w:val="00225146"/>
    <w:rsid w:val="002253CE"/>
    <w:rsid w:val="00225EEA"/>
    <w:rsid w:val="002303B4"/>
    <w:rsid w:val="002310BB"/>
    <w:rsid w:val="00231769"/>
    <w:rsid w:val="00231AA1"/>
    <w:rsid w:val="00232748"/>
    <w:rsid w:val="00232963"/>
    <w:rsid w:val="00233C99"/>
    <w:rsid w:val="002347F5"/>
    <w:rsid w:val="00234828"/>
    <w:rsid w:val="00235197"/>
    <w:rsid w:val="002351A0"/>
    <w:rsid w:val="00235822"/>
    <w:rsid w:val="0023599B"/>
    <w:rsid w:val="002362DC"/>
    <w:rsid w:val="00236475"/>
    <w:rsid w:val="002372AE"/>
    <w:rsid w:val="00237B26"/>
    <w:rsid w:val="0024063C"/>
    <w:rsid w:val="00240E5B"/>
    <w:rsid w:val="00241319"/>
    <w:rsid w:val="0024137A"/>
    <w:rsid w:val="00242819"/>
    <w:rsid w:val="002434EF"/>
    <w:rsid w:val="002439F5"/>
    <w:rsid w:val="00244E32"/>
    <w:rsid w:val="00245207"/>
    <w:rsid w:val="00245A16"/>
    <w:rsid w:val="00246649"/>
    <w:rsid w:val="002469D2"/>
    <w:rsid w:val="00246DAF"/>
    <w:rsid w:val="00250113"/>
    <w:rsid w:val="002513FF"/>
    <w:rsid w:val="00251FD0"/>
    <w:rsid w:val="002524E0"/>
    <w:rsid w:val="002538F1"/>
    <w:rsid w:val="00253CE3"/>
    <w:rsid w:val="00253DED"/>
    <w:rsid w:val="00255BCF"/>
    <w:rsid w:val="00256348"/>
    <w:rsid w:val="002571EE"/>
    <w:rsid w:val="0025783A"/>
    <w:rsid w:val="00257CAE"/>
    <w:rsid w:val="00260EDC"/>
    <w:rsid w:val="002611E0"/>
    <w:rsid w:val="0026169E"/>
    <w:rsid w:val="00261836"/>
    <w:rsid w:val="0026366A"/>
    <w:rsid w:val="00263AC9"/>
    <w:rsid w:val="00264FA5"/>
    <w:rsid w:val="002653A5"/>
    <w:rsid w:val="002655CD"/>
    <w:rsid w:val="002707F6"/>
    <w:rsid w:val="0027091D"/>
    <w:rsid w:val="00273DD0"/>
    <w:rsid w:val="0027473D"/>
    <w:rsid w:val="00276463"/>
    <w:rsid w:val="0027648C"/>
    <w:rsid w:val="002800C6"/>
    <w:rsid w:val="002816FA"/>
    <w:rsid w:val="00282D79"/>
    <w:rsid w:val="00283164"/>
    <w:rsid w:val="00283968"/>
    <w:rsid w:val="0028479C"/>
    <w:rsid w:val="002848A7"/>
    <w:rsid w:val="00284A9A"/>
    <w:rsid w:val="00284C2E"/>
    <w:rsid w:val="00287C3C"/>
    <w:rsid w:val="00287D90"/>
    <w:rsid w:val="00290684"/>
    <w:rsid w:val="00291025"/>
    <w:rsid w:val="002915FB"/>
    <w:rsid w:val="00291777"/>
    <w:rsid w:val="00293955"/>
    <w:rsid w:val="00293C1C"/>
    <w:rsid w:val="00293F63"/>
    <w:rsid w:val="00294D79"/>
    <w:rsid w:val="002A1610"/>
    <w:rsid w:val="002A1CD5"/>
    <w:rsid w:val="002A4595"/>
    <w:rsid w:val="002A4D73"/>
    <w:rsid w:val="002A5A39"/>
    <w:rsid w:val="002A604A"/>
    <w:rsid w:val="002A713F"/>
    <w:rsid w:val="002A7FC0"/>
    <w:rsid w:val="002B01F7"/>
    <w:rsid w:val="002B053C"/>
    <w:rsid w:val="002B0B94"/>
    <w:rsid w:val="002B0DCB"/>
    <w:rsid w:val="002B1A23"/>
    <w:rsid w:val="002B359D"/>
    <w:rsid w:val="002B3E6B"/>
    <w:rsid w:val="002B3E79"/>
    <w:rsid w:val="002B4CD2"/>
    <w:rsid w:val="002B4DE8"/>
    <w:rsid w:val="002B575F"/>
    <w:rsid w:val="002B5877"/>
    <w:rsid w:val="002B59B3"/>
    <w:rsid w:val="002B59EC"/>
    <w:rsid w:val="002B5EE3"/>
    <w:rsid w:val="002B63DF"/>
    <w:rsid w:val="002B63FC"/>
    <w:rsid w:val="002B6FD2"/>
    <w:rsid w:val="002B7915"/>
    <w:rsid w:val="002B7D3F"/>
    <w:rsid w:val="002C0C17"/>
    <w:rsid w:val="002C1325"/>
    <w:rsid w:val="002C1B6B"/>
    <w:rsid w:val="002C1C38"/>
    <w:rsid w:val="002C2AF5"/>
    <w:rsid w:val="002C3253"/>
    <w:rsid w:val="002C32DE"/>
    <w:rsid w:val="002C3387"/>
    <w:rsid w:val="002C3623"/>
    <w:rsid w:val="002C3EA5"/>
    <w:rsid w:val="002C3F7D"/>
    <w:rsid w:val="002C4C15"/>
    <w:rsid w:val="002C4EF6"/>
    <w:rsid w:val="002C53EA"/>
    <w:rsid w:val="002C5A71"/>
    <w:rsid w:val="002C60D8"/>
    <w:rsid w:val="002C79AA"/>
    <w:rsid w:val="002C7FCF"/>
    <w:rsid w:val="002D0223"/>
    <w:rsid w:val="002D0C27"/>
    <w:rsid w:val="002D1206"/>
    <w:rsid w:val="002D1419"/>
    <w:rsid w:val="002D1528"/>
    <w:rsid w:val="002D1A7F"/>
    <w:rsid w:val="002D2718"/>
    <w:rsid w:val="002D29D0"/>
    <w:rsid w:val="002D32FD"/>
    <w:rsid w:val="002D3848"/>
    <w:rsid w:val="002D5177"/>
    <w:rsid w:val="002D5D03"/>
    <w:rsid w:val="002D7D1A"/>
    <w:rsid w:val="002E042D"/>
    <w:rsid w:val="002E1DE8"/>
    <w:rsid w:val="002E2F1D"/>
    <w:rsid w:val="002E3186"/>
    <w:rsid w:val="002E3ECB"/>
    <w:rsid w:val="002E47E3"/>
    <w:rsid w:val="002E54E1"/>
    <w:rsid w:val="002E65E7"/>
    <w:rsid w:val="002E6C79"/>
    <w:rsid w:val="002E73F7"/>
    <w:rsid w:val="002E796F"/>
    <w:rsid w:val="002F0191"/>
    <w:rsid w:val="002F02AB"/>
    <w:rsid w:val="002F09CB"/>
    <w:rsid w:val="002F0E9A"/>
    <w:rsid w:val="002F1296"/>
    <w:rsid w:val="002F1BF5"/>
    <w:rsid w:val="002F2091"/>
    <w:rsid w:val="002F2D0D"/>
    <w:rsid w:val="002F2EE9"/>
    <w:rsid w:val="002F3228"/>
    <w:rsid w:val="002F45F0"/>
    <w:rsid w:val="002F5880"/>
    <w:rsid w:val="002F6F44"/>
    <w:rsid w:val="002F7E98"/>
    <w:rsid w:val="00300639"/>
    <w:rsid w:val="0030160F"/>
    <w:rsid w:val="0030167A"/>
    <w:rsid w:val="003020FD"/>
    <w:rsid w:val="00304024"/>
    <w:rsid w:val="0030444E"/>
    <w:rsid w:val="00304CAC"/>
    <w:rsid w:val="00305573"/>
    <w:rsid w:val="00305DA2"/>
    <w:rsid w:val="003076A1"/>
    <w:rsid w:val="00310C74"/>
    <w:rsid w:val="0031392C"/>
    <w:rsid w:val="00313DD1"/>
    <w:rsid w:val="0031443C"/>
    <w:rsid w:val="0031469B"/>
    <w:rsid w:val="00314842"/>
    <w:rsid w:val="0031670E"/>
    <w:rsid w:val="00316A23"/>
    <w:rsid w:val="00316C23"/>
    <w:rsid w:val="00317085"/>
    <w:rsid w:val="003172A2"/>
    <w:rsid w:val="003179F5"/>
    <w:rsid w:val="0032193B"/>
    <w:rsid w:val="00321E12"/>
    <w:rsid w:val="00322A9C"/>
    <w:rsid w:val="00323AF3"/>
    <w:rsid w:val="0032480C"/>
    <w:rsid w:val="00324C66"/>
    <w:rsid w:val="00324F76"/>
    <w:rsid w:val="00325290"/>
    <w:rsid w:val="003252CE"/>
    <w:rsid w:val="0032691E"/>
    <w:rsid w:val="00326DF4"/>
    <w:rsid w:val="00327F07"/>
    <w:rsid w:val="0032A553"/>
    <w:rsid w:val="00330C70"/>
    <w:rsid w:val="0033120B"/>
    <w:rsid w:val="00332C80"/>
    <w:rsid w:val="00333320"/>
    <w:rsid w:val="00333EE0"/>
    <w:rsid w:val="00334883"/>
    <w:rsid w:val="00334E27"/>
    <w:rsid w:val="0033630B"/>
    <w:rsid w:val="00336372"/>
    <w:rsid w:val="0034037D"/>
    <w:rsid w:val="0034059D"/>
    <w:rsid w:val="00341964"/>
    <w:rsid w:val="00341D74"/>
    <w:rsid w:val="00342B2F"/>
    <w:rsid w:val="0034336E"/>
    <w:rsid w:val="00343B76"/>
    <w:rsid w:val="003459DF"/>
    <w:rsid w:val="0034666E"/>
    <w:rsid w:val="00346C2A"/>
    <w:rsid w:val="0034706B"/>
    <w:rsid w:val="003471EF"/>
    <w:rsid w:val="0034726A"/>
    <w:rsid w:val="0034756C"/>
    <w:rsid w:val="00347A34"/>
    <w:rsid w:val="00347C6E"/>
    <w:rsid w:val="003501C7"/>
    <w:rsid w:val="003509A2"/>
    <w:rsid w:val="00350B37"/>
    <w:rsid w:val="00351328"/>
    <w:rsid w:val="00351D1A"/>
    <w:rsid w:val="0035357E"/>
    <w:rsid w:val="00353F15"/>
    <w:rsid w:val="00354647"/>
    <w:rsid w:val="003551D9"/>
    <w:rsid w:val="00355319"/>
    <w:rsid w:val="00355D8F"/>
    <w:rsid w:val="00355F8B"/>
    <w:rsid w:val="0035636B"/>
    <w:rsid w:val="00356572"/>
    <w:rsid w:val="00356953"/>
    <w:rsid w:val="00357A25"/>
    <w:rsid w:val="00357B66"/>
    <w:rsid w:val="00360731"/>
    <w:rsid w:val="00360981"/>
    <w:rsid w:val="00360C3E"/>
    <w:rsid w:val="0036105F"/>
    <w:rsid w:val="0036202F"/>
    <w:rsid w:val="00363062"/>
    <w:rsid w:val="00364AD3"/>
    <w:rsid w:val="00364F03"/>
    <w:rsid w:val="00364F8E"/>
    <w:rsid w:val="003655A7"/>
    <w:rsid w:val="003657F9"/>
    <w:rsid w:val="003664EB"/>
    <w:rsid w:val="00366B31"/>
    <w:rsid w:val="00367893"/>
    <w:rsid w:val="00367925"/>
    <w:rsid w:val="0037087D"/>
    <w:rsid w:val="00370B7D"/>
    <w:rsid w:val="00370BBD"/>
    <w:rsid w:val="00370E8E"/>
    <w:rsid w:val="00371C8A"/>
    <w:rsid w:val="0037231C"/>
    <w:rsid w:val="00373791"/>
    <w:rsid w:val="00374835"/>
    <w:rsid w:val="00376E6F"/>
    <w:rsid w:val="003770D2"/>
    <w:rsid w:val="00383A07"/>
    <w:rsid w:val="00385D2C"/>
    <w:rsid w:val="00386FAD"/>
    <w:rsid w:val="00390E0B"/>
    <w:rsid w:val="00391D6C"/>
    <w:rsid w:val="0039260E"/>
    <w:rsid w:val="00392A89"/>
    <w:rsid w:val="00393CD9"/>
    <w:rsid w:val="00393E3C"/>
    <w:rsid w:val="00394A75"/>
    <w:rsid w:val="00394BFD"/>
    <w:rsid w:val="00395989"/>
    <w:rsid w:val="00396011"/>
    <w:rsid w:val="00396280"/>
    <w:rsid w:val="003966B2"/>
    <w:rsid w:val="00396DB5"/>
    <w:rsid w:val="003A003E"/>
    <w:rsid w:val="003A0263"/>
    <w:rsid w:val="003A05AC"/>
    <w:rsid w:val="003A1249"/>
    <w:rsid w:val="003A1533"/>
    <w:rsid w:val="003A1661"/>
    <w:rsid w:val="003A2641"/>
    <w:rsid w:val="003A4647"/>
    <w:rsid w:val="003A4813"/>
    <w:rsid w:val="003A4859"/>
    <w:rsid w:val="003A5C29"/>
    <w:rsid w:val="003A660A"/>
    <w:rsid w:val="003A6F17"/>
    <w:rsid w:val="003B03ED"/>
    <w:rsid w:val="003B0615"/>
    <w:rsid w:val="003B0DC7"/>
    <w:rsid w:val="003B0F0F"/>
    <w:rsid w:val="003B22F5"/>
    <w:rsid w:val="003B2F4D"/>
    <w:rsid w:val="003B33FB"/>
    <w:rsid w:val="003B344F"/>
    <w:rsid w:val="003B3F49"/>
    <w:rsid w:val="003B400F"/>
    <w:rsid w:val="003B41D1"/>
    <w:rsid w:val="003B530D"/>
    <w:rsid w:val="003B60D1"/>
    <w:rsid w:val="003B659A"/>
    <w:rsid w:val="003B7E9B"/>
    <w:rsid w:val="003C10AA"/>
    <w:rsid w:val="003C14C1"/>
    <w:rsid w:val="003C1576"/>
    <w:rsid w:val="003C1811"/>
    <w:rsid w:val="003C1AED"/>
    <w:rsid w:val="003C1C21"/>
    <w:rsid w:val="003C1E85"/>
    <w:rsid w:val="003C2CE0"/>
    <w:rsid w:val="003C3902"/>
    <w:rsid w:val="003C394B"/>
    <w:rsid w:val="003C3B66"/>
    <w:rsid w:val="003C54CE"/>
    <w:rsid w:val="003C648A"/>
    <w:rsid w:val="003D0530"/>
    <w:rsid w:val="003D1743"/>
    <w:rsid w:val="003D1FF7"/>
    <w:rsid w:val="003D34AA"/>
    <w:rsid w:val="003D3F45"/>
    <w:rsid w:val="003D4043"/>
    <w:rsid w:val="003D5CB8"/>
    <w:rsid w:val="003D6401"/>
    <w:rsid w:val="003D73C1"/>
    <w:rsid w:val="003E0108"/>
    <w:rsid w:val="003E03D5"/>
    <w:rsid w:val="003E05D6"/>
    <w:rsid w:val="003E0D64"/>
    <w:rsid w:val="003E1576"/>
    <w:rsid w:val="003E1AF0"/>
    <w:rsid w:val="003E2154"/>
    <w:rsid w:val="003E2BBD"/>
    <w:rsid w:val="003E39CD"/>
    <w:rsid w:val="003E4004"/>
    <w:rsid w:val="003E4AB2"/>
    <w:rsid w:val="003E51EA"/>
    <w:rsid w:val="003E520F"/>
    <w:rsid w:val="003E5897"/>
    <w:rsid w:val="003E6754"/>
    <w:rsid w:val="003E6C61"/>
    <w:rsid w:val="003E70AF"/>
    <w:rsid w:val="003E78AC"/>
    <w:rsid w:val="003F084E"/>
    <w:rsid w:val="003F1000"/>
    <w:rsid w:val="003F231E"/>
    <w:rsid w:val="003F240A"/>
    <w:rsid w:val="003F26A1"/>
    <w:rsid w:val="003F37EE"/>
    <w:rsid w:val="003F3A33"/>
    <w:rsid w:val="003F47FD"/>
    <w:rsid w:val="003F4B0E"/>
    <w:rsid w:val="003F5C19"/>
    <w:rsid w:val="003FDE0D"/>
    <w:rsid w:val="00400192"/>
    <w:rsid w:val="00400678"/>
    <w:rsid w:val="0040240D"/>
    <w:rsid w:val="00402C43"/>
    <w:rsid w:val="00403947"/>
    <w:rsid w:val="0040402A"/>
    <w:rsid w:val="00404B54"/>
    <w:rsid w:val="00407166"/>
    <w:rsid w:val="00407DC8"/>
    <w:rsid w:val="00407F25"/>
    <w:rsid w:val="00411D23"/>
    <w:rsid w:val="0041254B"/>
    <w:rsid w:val="00412A99"/>
    <w:rsid w:val="00412C70"/>
    <w:rsid w:val="00412D5C"/>
    <w:rsid w:val="0041403A"/>
    <w:rsid w:val="004140B6"/>
    <w:rsid w:val="004147CD"/>
    <w:rsid w:val="00414B89"/>
    <w:rsid w:val="00416045"/>
    <w:rsid w:val="00416290"/>
    <w:rsid w:val="00416C00"/>
    <w:rsid w:val="00416C26"/>
    <w:rsid w:val="004175B7"/>
    <w:rsid w:val="00421702"/>
    <w:rsid w:val="00421AF8"/>
    <w:rsid w:val="00421C83"/>
    <w:rsid w:val="00422941"/>
    <w:rsid w:val="00423762"/>
    <w:rsid w:val="00423E96"/>
    <w:rsid w:val="00424204"/>
    <w:rsid w:val="004257D8"/>
    <w:rsid w:val="0042666D"/>
    <w:rsid w:val="00426741"/>
    <w:rsid w:val="00427A48"/>
    <w:rsid w:val="00430270"/>
    <w:rsid w:val="00431923"/>
    <w:rsid w:val="00432BE9"/>
    <w:rsid w:val="00432FFE"/>
    <w:rsid w:val="004337A3"/>
    <w:rsid w:val="00434142"/>
    <w:rsid w:val="004356AE"/>
    <w:rsid w:val="0043635B"/>
    <w:rsid w:val="00436C5F"/>
    <w:rsid w:val="00437071"/>
    <w:rsid w:val="00440A28"/>
    <w:rsid w:val="00440B64"/>
    <w:rsid w:val="00442C02"/>
    <w:rsid w:val="0044409A"/>
    <w:rsid w:val="004449B7"/>
    <w:rsid w:val="00444D35"/>
    <w:rsid w:val="0044616F"/>
    <w:rsid w:val="00446445"/>
    <w:rsid w:val="0044644A"/>
    <w:rsid w:val="0044726F"/>
    <w:rsid w:val="00450761"/>
    <w:rsid w:val="00450A59"/>
    <w:rsid w:val="00450B0F"/>
    <w:rsid w:val="00452060"/>
    <w:rsid w:val="0045227F"/>
    <w:rsid w:val="004523C7"/>
    <w:rsid w:val="0045298D"/>
    <w:rsid w:val="00454D77"/>
    <w:rsid w:val="00455E0A"/>
    <w:rsid w:val="00456C63"/>
    <w:rsid w:val="00457523"/>
    <w:rsid w:val="00457AA5"/>
    <w:rsid w:val="00457D3D"/>
    <w:rsid w:val="00460252"/>
    <w:rsid w:val="00461300"/>
    <w:rsid w:val="00461367"/>
    <w:rsid w:val="00461773"/>
    <w:rsid w:val="00463A3D"/>
    <w:rsid w:val="00463DB0"/>
    <w:rsid w:val="00465CAA"/>
    <w:rsid w:val="00466119"/>
    <w:rsid w:val="00466393"/>
    <w:rsid w:val="00466AEE"/>
    <w:rsid w:val="004702A6"/>
    <w:rsid w:val="0047057B"/>
    <w:rsid w:val="004718AB"/>
    <w:rsid w:val="00471EB1"/>
    <w:rsid w:val="00472066"/>
    <w:rsid w:val="00472193"/>
    <w:rsid w:val="0047277D"/>
    <w:rsid w:val="0047374C"/>
    <w:rsid w:val="00473D9F"/>
    <w:rsid w:val="00473E11"/>
    <w:rsid w:val="00473F45"/>
    <w:rsid w:val="00473F97"/>
    <w:rsid w:val="004743B9"/>
    <w:rsid w:val="00475247"/>
    <w:rsid w:val="004754DB"/>
    <w:rsid w:val="00476BCB"/>
    <w:rsid w:val="00477A8B"/>
    <w:rsid w:val="0048057D"/>
    <w:rsid w:val="00481056"/>
    <w:rsid w:val="00481FC3"/>
    <w:rsid w:val="0048219A"/>
    <w:rsid w:val="0048272A"/>
    <w:rsid w:val="00482964"/>
    <w:rsid w:val="00482998"/>
    <w:rsid w:val="00482AAC"/>
    <w:rsid w:val="004850D3"/>
    <w:rsid w:val="00485D05"/>
    <w:rsid w:val="0048605D"/>
    <w:rsid w:val="00486435"/>
    <w:rsid w:val="00486866"/>
    <w:rsid w:val="004877EB"/>
    <w:rsid w:val="00487C30"/>
    <w:rsid w:val="00487EBA"/>
    <w:rsid w:val="0049062A"/>
    <w:rsid w:val="00490B94"/>
    <w:rsid w:val="00490D52"/>
    <w:rsid w:val="00490DE6"/>
    <w:rsid w:val="00491598"/>
    <w:rsid w:val="00491E6D"/>
    <w:rsid w:val="004935BA"/>
    <w:rsid w:val="00494610"/>
    <w:rsid w:val="00494884"/>
    <w:rsid w:val="00494EB1"/>
    <w:rsid w:val="004950EE"/>
    <w:rsid w:val="0049548D"/>
    <w:rsid w:val="00495517"/>
    <w:rsid w:val="00495A11"/>
    <w:rsid w:val="0049623B"/>
    <w:rsid w:val="0049672D"/>
    <w:rsid w:val="00497571"/>
    <w:rsid w:val="00497BEA"/>
    <w:rsid w:val="00497FF5"/>
    <w:rsid w:val="004A004C"/>
    <w:rsid w:val="004A04EB"/>
    <w:rsid w:val="004A0815"/>
    <w:rsid w:val="004A1593"/>
    <w:rsid w:val="004A2273"/>
    <w:rsid w:val="004A239D"/>
    <w:rsid w:val="004A3A88"/>
    <w:rsid w:val="004A49BE"/>
    <w:rsid w:val="004A5DEF"/>
    <w:rsid w:val="004A7464"/>
    <w:rsid w:val="004A797A"/>
    <w:rsid w:val="004A7A57"/>
    <w:rsid w:val="004B0854"/>
    <w:rsid w:val="004B0D92"/>
    <w:rsid w:val="004B0F3E"/>
    <w:rsid w:val="004B0FA9"/>
    <w:rsid w:val="004B1346"/>
    <w:rsid w:val="004B1FDA"/>
    <w:rsid w:val="004B210F"/>
    <w:rsid w:val="004B3329"/>
    <w:rsid w:val="004B427E"/>
    <w:rsid w:val="004B4628"/>
    <w:rsid w:val="004B4A1D"/>
    <w:rsid w:val="004B4C38"/>
    <w:rsid w:val="004B5A6A"/>
    <w:rsid w:val="004B5E81"/>
    <w:rsid w:val="004B5FFD"/>
    <w:rsid w:val="004B6243"/>
    <w:rsid w:val="004B673C"/>
    <w:rsid w:val="004C0DBD"/>
    <w:rsid w:val="004C0DF6"/>
    <w:rsid w:val="004C1114"/>
    <w:rsid w:val="004C2F49"/>
    <w:rsid w:val="004C4EE8"/>
    <w:rsid w:val="004C5114"/>
    <w:rsid w:val="004C6480"/>
    <w:rsid w:val="004C7225"/>
    <w:rsid w:val="004C7C08"/>
    <w:rsid w:val="004C7EB5"/>
    <w:rsid w:val="004D0E80"/>
    <w:rsid w:val="004D0EAC"/>
    <w:rsid w:val="004D3373"/>
    <w:rsid w:val="004D4BCF"/>
    <w:rsid w:val="004D78C4"/>
    <w:rsid w:val="004D79BC"/>
    <w:rsid w:val="004D7BE2"/>
    <w:rsid w:val="004E0089"/>
    <w:rsid w:val="004E01A9"/>
    <w:rsid w:val="004E01FF"/>
    <w:rsid w:val="004E0666"/>
    <w:rsid w:val="004E0CCB"/>
    <w:rsid w:val="004E0F53"/>
    <w:rsid w:val="004E0FE5"/>
    <w:rsid w:val="004E1300"/>
    <w:rsid w:val="004E183C"/>
    <w:rsid w:val="004E2AE3"/>
    <w:rsid w:val="004E2CB8"/>
    <w:rsid w:val="004E2D0A"/>
    <w:rsid w:val="004E2FFB"/>
    <w:rsid w:val="004E3157"/>
    <w:rsid w:val="004E3234"/>
    <w:rsid w:val="004E34D0"/>
    <w:rsid w:val="004E35F9"/>
    <w:rsid w:val="004E385D"/>
    <w:rsid w:val="004E485E"/>
    <w:rsid w:val="004E4DA9"/>
    <w:rsid w:val="004E4DF2"/>
    <w:rsid w:val="004E501F"/>
    <w:rsid w:val="004E6FC9"/>
    <w:rsid w:val="004E779F"/>
    <w:rsid w:val="004F16F6"/>
    <w:rsid w:val="004F1802"/>
    <w:rsid w:val="004F1D9E"/>
    <w:rsid w:val="004F2C60"/>
    <w:rsid w:val="004F2DE2"/>
    <w:rsid w:val="004F4BCB"/>
    <w:rsid w:val="004F563C"/>
    <w:rsid w:val="004F5C8B"/>
    <w:rsid w:val="004F62C5"/>
    <w:rsid w:val="004F7DE5"/>
    <w:rsid w:val="005007BD"/>
    <w:rsid w:val="005007C0"/>
    <w:rsid w:val="00503320"/>
    <w:rsid w:val="0050348B"/>
    <w:rsid w:val="00503494"/>
    <w:rsid w:val="005049E4"/>
    <w:rsid w:val="00504E1C"/>
    <w:rsid w:val="00506EC4"/>
    <w:rsid w:val="00511963"/>
    <w:rsid w:val="00511D69"/>
    <w:rsid w:val="00512743"/>
    <w:rsid w:val="005128D9"/>
    <w:rsid w:val="005144B2"/>
    <w:rsid w:val="005147F9"/>
    <w:rsid w:val="005153FB"/>
    <w:rsid w:val="00515D96"/>
    <w:rsid w:val="00517B84"/>
    <w:rsid w:val="005205C9"/>
    <w:rsid w:val="00521C01"/>
    <w:rsid w:val="00522105"/>
    <w:rsid w:val="00522BF9"/>
    <w:rsid w:val="0052319F"/>
    <w:rsid w:val="005235EA"/>
    <w:rsid w:val="00523B7C"/>
    <w:rsid w:val="00523E23"/>
    <w:rsid w:val="005247C8"/>
    <w:rsid w:val="00524A43"/>
    <w:rsid w:val="00525332"/>
    <w:rsid w:val="0052581E"/>
    <w:rsid w:val="00525FFB"/>
    <w:rsid w:val="00526A3B"/>
    <w:rsid w:val="0052719A"/>
    <w:rsid w:val="00527221"/>
    <w:rsid w:val="005276A4"/>
    <w:rsid w:val="00527918"/>
    <w:rsid w:val="00530665"/>
    <w:rsid w:val="00531966"/>
    <w:rsid w:val="0053219E"/>
    <w:rsid w:val="00535524"/>
    <w:rsid w:val="00536214"/>
    <w:rsid w:val="00540862"/>
    <w:rsid w:val="00542AD7"/>
    <w:rsid w:val="00542C0A"/>
    <w:rsid w:val="00543732"/>
    <w:rsid w:val="00543746"/>
    <w:rsid w:val="00543EA8"/>
    <w:rsid w:val="005447F0"/>
    <w:rsid w:val="00544E69"/>
    <w:rsid w:val="005456AD"/>
    <w:rsid w:val="0054726E"/>
    <w:rsid w:val="00547822"/>
    <w:rsid w:val="00547AE4"/>
    <w:rsid w:val="00547AF0"/>
    <w:rsid w:val="00547F69"/>
    <w:rsid w:val="00551836"/>
    <w:rsid w:val="0055229D"/>
    <w:rsid w:val="005525D2"/>
    <w:rsid w:val="00552BF4"/>
    <w:rsid w:val="00552D48"/>
    <w:rsid w:val="00553070"/>
    <w:rsid w:val="005541E1"/>
    <w:rsid w:val="00555BCB"/>
    <w:rsid w:val="005565D8"/>
    <w:rsid w:val="00557475"/>
    <w:rsid w:val="005613DD"/>
    <w:rsid w:val="00562019"/>
    <w:rsid w:val="00562207"/>
    <w:rsid w:val="005622C8"/>
    <w:rsid w:val="00563426"/>
    <w:rsid w:val="00563590"/>
    <w:rsid w:val="0056475D"/>
    <w:rsid w:val="00564B37"/>
    <w:rsid w:val="00565159"/>
    <w:rsid w:val="00565B7E"/>
    <w:rsid w:val="00565D82"/>
    <w:rsid w:val="00566CF6"/>
    <w:rsid w:val="00566E73"/>
    <w:rsid w:val="00567A63"/>
    <w:rsid w:val="00570983"/>
    <w:rsid w:val="00570B70"/>
    <w:rsid w:val="005724B5"/>
    <w:rsid w:val="00572622"/>
    <w:rsid w:val="005730C6"/>
    <w:rsid w:val="005740EB"/>
    <w:rsid w:val="00574958"/>
    <w:rsid w:val="00576246"/>
    <w:rsid w:val="005766FD"/>
    <w:rsid w:val="00576772"/>
    <w:rsid w:val="00576A5C"/>
    <w:rsid w:val="00576B7D"/>
    <w:rsid w:val="00577361"/>
    <w:rsid w:val="00580223"/>
    <w:rsid w:val="0058112E"/>
    <w:rsid w:val="00583556"/>
    <w:rsid w:val="00583EB7"/>
    <w:rsid w:val="005849FE"/>
    <w:rsid w:val="00587177"/>
    <w:rsid w:val="0058773A"/>
    <w:rsid w:val="005878A7"/>
    <w:rsid w:val="0059052A"/>
    <w:rsid w:val="0059100F"/>
    <w:rsid w:val="005917B2"/>
    <w:rsid w:val="00591ECC"/>
    <w:rsid w:val="00591FCA"/>
    <w:rsid w:val="00592B1E"/>
    <w:rsid w:val="005934D9"/>
    <w:rsid w:val="0059390D"/>
    <w:rsid w:val="005944AA"/>
    <w:rsid w:val="00594B48"/>
    <w:rsid w:val="00594C7B"/>
    <w:rsid w:val="00595F36"/>
    <w:rsid w:val="00596166"/>
    <w:rsid w:val="005961A3"/>
    <w:rsid w:val="00596BD2"/>
    <w:rsid w:val="00596D01"/>
    <w:rsid w:val="00597600"/>
    <w:rsid w:val="005978B2"/>
    <w:rsid w:val="005A016D"/>
    <w:rsid w:val="005A0B6F"/>
    <w:rsid w:val="005A2DDE"/>
    <w:rsid w:val="005A32F9"/>
    <w:rsid w:val="005A3319"/>
    <w:rsid w:val="005A3E94"/>
    <w:rsid w:val="005A550D"/>
    <w:rsid w:val="005A5774"/>
    <w:rsid w:val="005A5E23"/>
    <w:rsid w:val="005A6A8C"/>
    <w:rsid w:val="005A703E"/>
    <w:rsid w:val="005A7FE6"/>
    <w:rsid w:val="005B0981"/>
    <w:rsid w:val="005B09FF"/>
    <w:rsid w:val="005B0CF5"/>
    <w:rsid w:val="005B2243"/>
    <w:rsid w:val="005B315E"/>
    <w:rsid w:val="005B42C8"/>
    <w:rsid w:val="005B44C6"/>
    <w:rsid w:val="005B468A"/>
    <w:rsid w:val="005B47A0"/>
    <w:rsid w:val="005B50D9"/>
    <w:rsid w:val="005B5406"/>
    <w:rsid w:val="005B5568"/>
    <w:rsid w:val="005B5EE7"/>
    <w:rsid w:val="005B6218"/>
    <w:rsid w:val="005B6FBA"/>
    <w:rsid w:val="005C1248"/>
    <w:rsid w:val="005C143C"/>
    <w:rsid w:val="005C164A"/>
    <w:rsid w:val="005C56DF"/>
    <w:rsid w:val="005C5AFF"/>
    <w:rsid w:val="005C5F79"/>
    <w:rsid w:val="005C6CA3"/>
    <w:rsid w:val="005C6DB3"/>
    <w:rsid w:val="005C6E39"/>
    <w:rsid w:val="005C73C2"/>
    <w:rsid w:val="005C7CDD"/>
    <w:rsid w:val="005D0231"/>
    <w:rsid w:val="005D0381"/>
    <w:rsid w:val="005D0F34"/>
    <w:rsid w:val="005D1DB3"/>
    <w:rsid w:val="005D24D5"/>
    <w:rsid w:val="005D2691"/>
    <w:rsid w:val="005D287F"/>
    <w:rsid w:val="005D2BA2"/>
    <w:rsid w:val="005D2CB0"/>
    <w:rsid w:val="005D32ED"/>
    <w:rsid w:val="005D3563"/>
    <w:rsid w:val="005D3B29"/>
    <w:rsid w:val="005D417E"/>
    <w:rsid w:val="005D41CB"/>
    <w:rsid w:val="005D4922"/>
    <w:rsid w:val="005D4A48"/>
    <w:rsid w:val="005D6648"/>
    <w:rsid w:val="005D66F7"/>
    <w:rsid w:val="005D7755"/>
    <w:rsid w:val="005E050F"/>
    <w:rsid w:val="005E0A41"/>
    <w:rsid w:val="005E0E4E"/>
    <w:rsid w:val="005E0EBE"/>
    <w:rsid w:val="005E179E"/>
    <w:rsid w:val="005E1C59"/>
    <w:rsid w:val="005E2471"/>
    <w:rsid w:val="005E2574"/>
    <w:rsid w:val="005E3A11"/>
    <w:rsid w:val="005E41D9"/>
    <w:rsid w:val="005E48C7"/>
    <w:rsid w:val="005E4FB9"/>
    <w:rsid w:val="005E566B"/>
    <w:rsid w:val="005E6284"/>
    <w:rsid w:val="005E7EC0"/>
    <w:rsid w:val="005F0386"/>
    <w:rsid w:val="005F23FA"/>
    <w:rsid w:val="005F2806"/>
    <w:rsid w:val="005F2DDF"/>
    <w:rsid w:val="005F338B"/>
    <w:rsid w:val="005F358E"/>
    <w:rsid w:val="005F3B1B"/>
    <w:rsid w:val="005F51A0"/>
    <w:rsid w:val="005F638A"/>
    <w:rsid w:val="005F7DB1"/>
    <w:rsid w:val="006012E4"/>
    <w:rsid w:val="0060149C"/>
    <w:rsid w:val="006021F7"/>
    <w:rsid w:val="0060234B"/>
    <w:rsid w:val="0060283D"/>
    <w:rsid w:val="00602F3C"/>
    <w:rsid w:val="00603B58"/>
    <w:rsid w:val="00604EC1"/>
    <w:rsid w:val="00606C71"/>
    <w:rsid w:val="006078E4"/>
    <w:rsid w:val="006109C4"/>
    <w:rsid w:val="00610D53"/>
    <w:rsid w:val="0061237D"/>
    <w:rsid w:val="00612CE2"/>
    <w:rsid w:val="0061304E"/>
    <w:rsid w:val="00613D6F"/>
    <w:rsid w:val="006157E5"/>
    <w:rsid w:val="00615B52"/>
    <w:rsid w:val="00616D94"/>
    <w:rsid w:val="006204A6"/>
    <w:rsid w:val="00621CF0"/>
    <w:rsid w:val="006222D2"/>
    <w:rsid w:val="00622A45"/>
    <w:rsid w:val="006236C8"/>
    <w:rsid w:val="00623B4A"/>
    <w:rsid w:val="00624561"/>
    <w:rsid w:val="006253E9"/>
    <w:rsid w:val="006256DD"/>
    <w:rsid w:val="006265F6"/>
    <w:rsid w:val="00627180"/>
    <w:rsid w:val="00627BED"/>
    <w:rsid w:val="006306CB"/>
    <w:rsid w:val="00631042"/>
    <w:rsid w:val="00631612"/>
    <w:rsid w:val="006322B5"/>
    <w:rsid w:val="00632817"/>
    <w:rsid w:val="00632EA2"/>
    <w:rsid w:val="00632FD2"/>
    <w:rsid w:val="0063300D"/>
    <w:rsid w:val="006338B1"/>
    <w:rsid w:val="00633D45"/>
    <w:rsid w:val="00636C14"/>
    <w:rsid w:val="00636F1C"/>
    <w:rsid w:val="0063789E"/>
    <w:rsid w:val="00637EB5"/>
    <w:rsid w:val="006404C6"/>
    <w:rsid w:val="00640D5F"/>
    <w:rsid w:val="00642961"/>
    <w:rsid w:val="006433B5"/>
    <w:rsid w:val="00644D5F"/>
    <w:rsid w:val="0064690D"/>
    <w:rsid w:val="00646AF4"/>
    <w:rsid w:val="0064714F"/>
    <w:rsid w:val="006472AA"/>
    <w:rsid w:val="006477FC"/>
    <w:rsid w:val="00647BAB"/>
    <w:rsid w:val="006516A2"/>
    <w:rsid w:val="00651960"/>
    <w:rsid w:val="006532B7"/>
    <w:rsid w:val="00654575"/>
    <w:rsid w:val="00654809"/>
    <w:rsid w:val="00654EC2"/>
    <w:rsid w:val="00656A30"/>
    <w:rsid w:val="00657170"/>
    <w:rsid w:val="00657456"/>
    <w:rsid w:val="00657758"/>
    <w:rsid w:val="006577FC"/>
    <w:rsid w:val="006602A0"/>
    <w:rsid w:val="00660A67"/>
    <w:rsid w:val="00660FE5"/>
    <w:rsid w:val="006638E2"/>
    <w:rsid w:val="00663E12"/>
    <w:rsid w:val="006646EA"/>
    <w:rsid w:val="00665B3A"/>
    <w:rsid w:val="00665C78"/>
    <w:rsid w:val="006663E8"/>
    <w:rsid w:val="00666887"/>
    <w:rsid w:val="00667719"/>
    <w:rsid w:val="006678EA"/>
    <w:rsid w:val="00667A62"/>
    <w:rsid w:val="00667CB6"/>
    <w:rsid w:val="00667FB6"/>
    <w:rsid w:val="00667FDF"/>
    <w:rsid w:val="006702EF"/>
    <w:rsid w:val="00671C92"/>
    <w:rsid w:val="006737BD"/>
    <w:rsid w:val="00673FB0"/>
    <w:rsid w:val="006746CA"/>
    <w:rsid w:val="006758EC"/>
    <w:rsid w:val="006767FC"/>
    <w:rsid w:val="00676B67"/>
    <w:rsid w:val="00676C1C"/>
    <w:rsid w:val="00680423"/>
    <w:rsid w:val="006830ED"/>
    <w:rsid w:val="00683403"/>
    <w:rsid w:val="00683E9E"/>
    <w:rsid w:val="006852D7"/>
    <w:rsid w:val="00685F12"/>
    <w:rsid w:val="00686B6C"/>
    <w:rsid w:val="00687195"/>
    <w:rsid w:val="00687B48"/>
    <w:rsid w:val="00687E91"/>
    <w:rsid w:val="00690250"/>
    <w:rsid w:val="00690CBC"/>
    <w:rsid w:val="00690DEC"/>
    <w:rsid w:val="0069124B"/>
    <w:rsid w:val="006915AB"/>
    <w:rsid w:val="00693917"/>
    <w:rsid w:val="00694844"/>
    <w:rsid w:val="00694EDB"/>
    <w:rsid w:val="006957F3"/>
    <w:rsid w:val="00695B03"/>
    <w:rsid w:val="0069674E"/>
    <w:rsid w:val="00696A64"/>
    <w:rsid w:val="00696BAB"/>
    <w:rsid w:val="00696CE1"/>
    <w:rsid w:val="006970EC"/>
    <w:rsid w:val="006975D4"/>
    <w:rsid w:val="006A0CFF"/>
    <w:rsid w:val="006A1076"/>
    <w:rsid w:val="006A1103"/>
    <w:rsid w:val="006A18ED"/>
    <w:rsid w:val="006A1EEE"/>
    <w:rsid w:val="006A2490"/>
    <w:rsid w:val="006A3080"/>
    <w:rsid w:val="006A39F8"/>
    <w:rsid w:val="006A4CEA"/>
    <w:rsid w:val="006A5279"/>
    <w:rsid w:val="006A6490"/>
    <w:rsid w:val="006A6F87"/>
    <w:rsid w:val="006A701D"/>
    <w:rsid w:val="006A7447"/>
    <w:rsid w:val="006A7F43"/>
    <w:rsid w:val="006B0101"/>
    <w:rsid w:val="006B1DFD"/>
    <w:rsid w:val="006B287D"/>
    <w:rsid w:val="006B29F7"/>
    <w:rsid w:val="006B3816"/>
    <w:rsid w:val="006B39DF"/>
    <w:rsid w:val="006B4565"/>
    <w:rsid w:val="006B488D"/>
    <w:rsid w:val="006B69F9"/>
    <w:rsid w:val="006B7B40"/>
    <w:rsid w:val="006C01BA"/>
    <w:rsid w:val="006C09E2"/>
    <w:rsid w:val="006C14A7"/>
    <w:rsid w:val="006C1C29"/>
    <w:rsid w:val="006C2B3D"/>
    <w:rsid w:val="006C2FA1"/>
    <w:rsid w:val="006C497C"/>
    <w:rsid w:val="006C515A"/>
    <w:rsid w:val="006C566E"/>
    <w:rsid w:val="006C5EC6"/>
    <w:rsid w:val="006C63C0"/>
    <w:rsid w:val="006C66A0"/>
    <w:rsid w:val="006C6A0C"/>
    <w:rsid w:val="006D1B06"/>
    <w:rsid w:val="006D217B"/>
    <w:rsid w:val="006D2FD5"/>
    <w:rsid w:val="006D3393"/>
    <w:rsid w:val="006D3BE8"/>
    <w:rsid w:val="006D4FB4"/>
    <w:rsid w:val="006D50A3"/>
    <w:rsid w:val="006D532B"/>
    <w:rsid w:val="006D54ED"/>
    <w:rsid w:val="006D5DCD"/>
    <w:rsid w:val="006D5E15"/>
    <w:rsid w:val="006D5F6F"/>
    <w:rsid w:val="006D6468"/>
    <w:rsid w:val="006D690A"/>
    <w:rsid w:val="006D6ABA"/>
    <w:rsid w:val="006E0913"/>
    <w:rsid w:val="006E0929"/>
    <w:rsid w:val="006E0BFF"/>
    <w:rsid w:val="006E182A"/>
    <w:rsid w:val="006E2A5E"/>
    <w:rsid w:val="006E5416"/>
    <w:rsid w:val="006E6392"/>
    <w:rsid w:val="006E64D0"/>
    <w:rsid w:val="006E6AF9"/>
    <w:rsid w:val="006E77F8"/>
    <w:rsid w:val="006E7D0A"/>
    <w:rsid w:val="006F084B"/>
    <w:rsid w:val="006F099B"/>
    <w:rsid w:val="006F13AE"/>
    <w:rsid w:val="006F13D1"/>
    <w:rsid w:val="006F2909"/>
    <w:rsid w:val="006F3368"/>
    <w:rsid w:val="006F3E05"/>
    <w:rsid w:val="006F490B"/>
    <w:rsid w:val="006F5102"/>
    <w:rsid w:val="006F5159"/>
    <w:rsid w:val="006F52AF"/>
    <w:rsid w:val="006F63E1"/>
    <w:rsid w:val="006F7785"/>
    <w:rsid w:val="0070035E"/>
    <w:rsid w:val="00700ABD"/>
    <w:rsid w:val="00700B51"/>
    <w:rsid w:val="007013A5"/>
    <w:rsid w:val="00702A3E"/>
    <w:rsid w:val="00702FBA"/>
    <w:rsid w:val="007041AD"/>
    <w:rsid w:val="00704249"/>
    <w:rsid w:val="00704FA2"/>
    <w:rsid w:val="00705E62"/>
    <w:rsid w:val="00706075"/>
    <w:rsid w:val="0070660C"/>
    <w:rsid w:val="00707468"/>
    <w:rsid w:val="0071075A"/>
    <w:rsid w:val="0071090E"/>
    <w:rsid w:val="00710C6F"/>
    <w:rsid w:val="00711094"/>
    <w:rsid w:val="00711925"/>
    <w:rsid w:val="007125C9"/>
    <w:rsid w:val="00712C8A"/>
    <w:rsid w:val="00712F1E"/>
    <w:rsid w:val="0071445C"/>
    <w:rsid w:val="00714A9C"/>
    <w:rsid w:val="00715C9D"/>
    <w:rsid w:val="00715CA4"/>
    <w:rsid w:val="00716AE1"/>
    <w:rsid w:val="007171D9"/>
    <w:rsid w:val="00717213"/>
    <w:rsid w:val="00717A11"/>
    <w:rsid w:val="007217E3"/>
    <w:rsid w:val="00721864"/>
    <w:rsid w:val="00721936"/>
    <w:rsid w:val="0072230A"/>
    <w:rsid w:val="00722469"/>
    <w:rsid w:val="00722528"/>
    <w:rsid w:val="00723283"/>
    <w:rsid w:val="007237D6"/>
    <w:rsid w:val="00723C8D"/>
    <w:rsid w:val="00724B7E"/>
    <w:rsid w:val="007266ED"/>
    <w:rsid w:val="00726B97"/>
    <w:rsid w:val="007308F0"/>
    <w:rsid w:val="007314AC"/>
    <w:rsid w:val="00731CF8"/>
    <w:rsid w:val="007323B4"/>
    <w:rsid w:val="00732589"/>
    <w:rsid w:val="00732DC3"/>
    <w:rsid w:val="007334BA"/>
    <w:rsid w:val="007334BB"/>
    <w:rsid w:val="00734F35"/>
    <w:rsid w:val="00735080"/>
    <w:rsid w:val="00735246"/>
    <w:rsid w:val="007362F5"/>
    <w:rsid w:val="00741167"/>
    <w:rsid w:val="00741436"/>
    <w:rsid w:val="00741FE3"/>
    <w:rsid w:val="007424A3"/>
    <w:rsid w:val="00744F6D"/>
    <w:rsid w:val="00745EA3"/>
    <w:rsid w:val="007460C1"/>
    <w:rsid w:val="00746AFE"/>
    <w:rsid w:val="00747477"/>
    <w:rsid w:val="007505DC"/>
    <w:rsid w:val="00750D8C"/>
    <w:rsid w:val="00751B97"/>
    <w:rsid w:val="0075283E"/>
    <w:rsid w:val="00753878"/>
    <w:rsid w:val="00753D5C"/>
    <w:rsid w:val="00754AE7"/>
    <w:rsid w:val="00755C4F"/>
    <w:rsid w:val="00756101"/>
    <w:rsid w:val="00757654"/>
    <w:rsid w:val="00757B9F"/>
    <w:rsid w:val="00757F74"/>
    <w:rsid w:val="00760423"/>
    <w:rsid w:val="0076045D"/>
    <w:rsid w:val="00762544"/>
    <w:rsid w:val="007626A0"/>
    <w:rsid w:val="00763D1D"/>
    <w:rsid w:val="007645ED"/>
    <w:rsid w:val="007646C5"/>
    <w:rsid w:val="00764C66"/>
    <w:rsid w:val="00764F86"/>
    <w:rsid w:val="0076709F"/>
    <w:rsid w:val="00767A97"/>
    <w:rsid w:val="0077023F"/>
    <w:rsid w:val="00770755"/>
    <w:rsid w:val="00770ECE"/>
    <w:rsid w:val="00771385"/>
    <w:rsid w:val="007722FF"/>
    <w:rsid w:val="007729F9"/>
    <w:rsid w:val="00773FDE"/>
    <w:rsid w:val="00774A51"/>
    <w:rsid w:val="00774D9A"/>
    <w:rsid w:val="00775380"/>
    <w:rsid w:val="00775727"/>
    <w:rsid w:val="00775FCB"/>
    <w:rsid w:val="007764EB"/>
    <w:rsid w:val="00776D2E"/>
    <w:rsid w:val="007772AD"/>
    <w:rsid w:val="007772B5"/>
    <w:rsid w:val="00780683"/>
    <w:rsid w:val="0078080F"/>
    <w:rsid w:val="007808FE"/>
    <w:rsid w:val="00780E57"/>
    <w:rsid w:val="00781C94"/>
    <w:rsid w:val="00783C07"/>
    <w:rsid w:val="00784D9D"/>
    <w:rsid w:val="00785644"/>
    <w:rsid w:val="007858BF"/>
    <w:rsid w:val="007863FF"/>
    <w:rsid w:val="007878A5"/>
    <w:rsid w:val="00791D14"/>
    <w:rsid w:val="0079266F"/>
    <w:rsid w:val="00792729"/>
    <w:rsid w:val="00793377"/>
    <w:rsid w:val="00793CFB"/>
    <w:rsid w:val="007942DC"/>
    <w:rsid w:val="007947B3"/>
    <w:rsid w:val="007954D3"/>
    <w:rsid w:val="00795F13"/>
    <w:rsid w:val="00796829"/>
    <w:rsid w:val="00797BE3"/>
    <w:rsid w:val="007A0473"/>
    <w:rsid w:val="007A1268"/>
    <w:rsid w:val="007A14A0"/>
    <w:rsid w:val="007A26A9"/>
    <w:rsid w:val="007A3036"/>
    <w:rsid w:val="007A35DB"/>
    <w:rsid w:val="007A3F28"/>
    <w:rsid w:val="007A5DD8"/>
    <w:rsid w:val="007A647E"/>
    <w:rsid w:val="007A68DF"/>
    <w:rsid w:val="007A700E"/>
    <w:rsid w:val="007A74B0"/>
    <w:rsid w:val="007A7607"/>
    <w:rsid w:val="007A7C7F"/>
    <w:rsid w:val="007B0C16"/>
    <w:rsid w:val="007B1F86"/>
    <w:rsid w:val="007B212C"/>
    <w:rsid w:val="007B2429"/>
    <w:rsid w:val="007B2A35"/>
    <w:rsid w:val="007B2D88"/>
    <w:rsid w:val="007B375C"/>
    <w:rsid w:val="007B52E6"/>
    <w:rsid w:val="007B58EB"/>
    <w:rsid w:val="007B5D72"/>
    <w:rsid w:val="007B6802"/>
    <w:rsid w:val="007B7571"/>
    <w:rsid w:val="007B75EB"/>
    <w:rsid w:val="007B78F7"/>
    <w:rsid w:val="007C072A"/>
    <w:rsid w:val="007C1487"/>
    <w:rsid w:val="007C15E1"/>
    <w:rsid w:val="007C1BE2"/>
    <w:rsid w:val="007C34BB"/>
    <w:rsid w:val="007C459B"/>
    <w:rsid w:val="007C486A"/>
    <w:rsid w:val="007C4F2E"/>
    <w:rsid w:val="007C6423"/>
    <w:rsid w:val="007C67D7"/>
    <w:rsid w:val="007D08F4"/>
    <w:rsid w:val="007D0937"/>
    <w:rsid w:val="007D113A"/>
    <w:rsid w:val="007D15CC"/>
    <w:rsid w:val="007D1998"/>
    <w:rsid w:val="007D25AC"/>
    <w:rsid w:val="007D2723"/>
    <w:rsid w:val="007D4A53"/>
    <w:rsid w:val="007D5151"/>
    <w:rsid w:val="007D54C8"/>
    <w:rsid w:val="007D5815"/>
    <w:rsid w:val="007D5A52"/>
    <w:rsid w:val="007D654C"/>
    <w:rsid w:val="007D6975"/>
    <w:rsid w:val="007D69C0"/>
    <w:rsid w:val="007D72ED"/>
    <w:rsid w:val="007D7D76"/>
    <w:rsid w:val="007E0093"/>
    <w:rsid w:val="007E010B"/>
    <w:rsid w:val="007E11F7"/>
    <w:rsid w:val="007E1213"/>
    <w:rsid w:val="007E19FF"/>
    <w:rsid w:val="007E1A90"/>
    <w:rsid w:val="007E22FC"/>
    <w:rsid w:val="007E2520"/>
    <w:rsid w:val="007E3698"/>
    <w:rsid w:val="007E4486"/>
    <w:rsid w:val="007E454A"/>
    <w:rsid w:val="007E5505"/>
    <w:rsid w:val="007E5DB7"/>
    <w:rsid w:val="007E5E2A"/>
    <w:rsid w:val="007E6139"/>
    <w:rsid w:val="007E64A3"/>
    <w:rsid w:val="007E6815"/>
    <w:rsid w:val="007E6CD5"/>
    <w:rsid w:val="007E7526"/>
    <w:rsid w:val="007E7F8C"/>
    <w:rsid w:val="007F045E"/>
    <w:rsid w:val="007F2529"/>
    <w:rsid w:val="007F2808"/>
    <w:rsid w:val="007F2B63"/>
    <w:rsid w:val="007F2BE9"/>
    <w:rsid w:val="007F3064"/>
    <w:rsid w:val="007F33FD"/>
    <w:rsid w:val="007F3FBD"/>
    <w:rsid w:val="007F5EA2"/>
    <w:rsid w:val="007F609B"/>
    <w:rsid w:val="007F72B8"/>
    <w:rsid w:val="007F7E77"/>
    <w:rsid w:val="00800885"/>
    <w:rsid w:val="008009CE"/>
    <w:rsid w:val="00800CAE"/>
    <w:rsid w:val="00801396"/>
    <w:rsid w:val="008013DD"/>
    <w:rsid w:val="00802262"/>
    <w:rsid w:val="008027ED"/>
    <w:rsid w:val="0080319C"/>
    <w:rsid w:val="0080435C"/>
    <w:rsid w:val="00804E26"/>
    <w:rsid w:val="00806A68"/>
    <w:rsid w:val="00807161"/>
    <w:rsid w:val="0080753F"/>
    <w:rsid w:val="00810938"/>
    <w:rsid w:val="008116E9"/>
    <w:rsid w:val="00811F36"/>
    <w:rsid w:val="0081451B"/>
    <w:rsid w:val="00815F0C"/>
    <w:rsid w:val="008179E8"/>
    <w:rsid w:val="0082079D"/>
    <w:rsid w:val="008209E9"/>
    <w:rsid w:val="0082142A"/>
    <w:rsid w:val="00821FD5"/>
    <w:rsid w:val="00822806"/>
    <w:rsid w:val="00822B40"/>
    <w:rsid w:val="0082311A"/>
    <w:rsid w:val="0082325D"/>
    <w:rsid w:val="00823E30"/>
    <w:rsid w:val="0082762D"/>
    <w:rsid w:val="00827674"/>
    <w:rsid w:val="008276FE"/>
    <w:rsid w:val="00827E5E"/>
    <w:rsid w:val="00830051"/>
    <w:rsid w:val="008302C5"/>
    <w:rsid w:val="0083082A"/>
    <w:rsid w:val="00830C7B"/>
    <w:rsid w:val="00830E43"/>
    <w:rsid w:val="00831165"/>
    <w:rsid w:val="0083230D"/>
    <w:rsid w:val="008325D0"/>
    <w:rsid w:val="0083265E"/>
    <w:rsid w:val="00833FFB"/>
    <w:rsid w:val="0083442E"/>
    <w:rsid w:val="008346F4"/>
    <w:rsid w:val="00834B59"/>
    <w:rsid w:val="00836906"/>
    <w:rsid w:val="00836CC5"/>
    <w:rsid w:val="008400B5"/>
    <w:rsid w:val="00842198"/>
    <w:rsid w:val="00842639"/>
    <w:rsid w:val="00842682"/>
    <w:rsid w:val="00843EF7"/>
    <w:rsid w:val="008448F7"/>
    <w:rsid w:val="00844B56"/>
    <w:rsid w:val="00844BD8"/>
    <w:rsid w:val="00844D97"/>
    <w:rsid w:val="0084551D"/>
    <w:rsid w:val="00845793"/>
    <w:rsid w:val="008463CC"/>
    <w:rsid w:val="0084671A"/>
    <w:rsid w:val="0084696D"/>
    <w:rsid w:val="00846D8F"/>
    <w:rsid w:val="00846F80"/>
    <w:rsid w:val="00847563"/>
    <w:rsid w:val="008502C8"/>
    <w:rsid w:val="00850911"/>
    <w:rsid w:val="00851227"/>
    <w:rsid w:val="00852F8D"/>
    <w:rsid w:val="008540B8"/>
    <w:rsid w:val="0085420E"/>
    <w:rsid w:val="00854CB2"/>
    <w:rsid w:val="00855771"/>
    <w:rsid w:val="00855E03"/>
    <w:rsid w:val="00855E05"/>
    <w:rsid w:val="008567A6"/>
    <w:rsid w:val="008570B8"/>
    <w:rsid w:val="0085729D"/>
    <w:rsid w:val="008572B2"/>
    <w:rsid w:val="008572ED"/>
    <w:rsid w:val="00857534"/>
    <w:rsid w:val="0085783B"/>
    <w:rsid w:val="00860738"/>
    <w:rsid w:val="00860B69"/>
    <w:rsid w:val="00861191"/>
    <w:rsid w:val="00861729"/>
    <w:rsid w:val="00861BA5"/>
    <w:rsid w:val="00862576"/>
    <w:rsid w:val="008630C0"/>
    <w:rsid w:val="00863C18"/>
    <w:rsid w:val="00863E11"/>
    <w:rsid w:val="00864FE8"/>
    <w:rsid w:val="00866F14"/>
    <w:rsid w:val="00867566"/>
    <w:rsid w:val="00867C1D"/>
    <w:rsid w:val="00867E6A"/>
    <w:rsid w:val="00871954"/>
    <w:rsid w:val="00871BAC"/>
    <w:rsid w:val="00871D98"/>
    <w:rsid w:val="0087240D"/>
    <w:rsid w:val="008737D6"/>
    <w:rsid w:val="00873A29"/>
    <w:rsid w:val="00873F84"/>
    <w:rsid w:val="00873FF7"/>
    <w:rsid w:val="0087445C"/>
    <w:rsid w:val="0087507C"/>
    <w:rsid w:val="00876B5E"/>
    <w:rsid w:val="00876C1A"/>
    <w:rsid w:val="00877970"/>
    <w:rsid w:val="00877B6A"/>
    <w:rsid w:val="008805FE"/>
    <w:rsid w:val="0088099E"/>
    <w:rsid w:val="00880C8B"/>
    <w:rsid w:val="00880D4D"/>
    <w:rsid w:val="0088116C"/>
    <w:rsid w:val="00881695"/>
    <w:rsid w:val="00882115"/>
    <w:rsid w:val="00882C68"/>
    <w:rsid w:val="00883444"/>
    <w:rsid w:val="0088348B"/>
    <w:rsid w:val="00883643"/>
    <w:rsid w:val="00883FB1"/>
    <w:rsid w:val="008912B8"/>
    <w:rsid w:val="008913D1"/>
    <w:rsid w:val="0089161C"/>
    <w:rsid w:val="00891904"/>
    <w:rsid w:val="00892206"/>
    <w:rsid w:val="0089442F"/>
    <w:rsid w:val="008944C3"/>
    <w:rsid w:val="008954AA"/>
    <w:rsid w:val="008954F3"/>
    <w:rsid w:val="00895D08"/>
    <w:rsid w:val="00895E8F"/>
    <w:rsid w:val="00895FE8"/>
    <w:rsid w:val="00896412"/>
    <w:rsid w:val="0089674D"/>
    <w:rsid w:val="00896DCF"/>
    <w:rsid w:val="00897A78"/>
    <w:rsid w:val="00897E62"/>
    <w:rsid w:val="008A0838"/>
    <w:rsid w:val="008A109B"/>
    <w:rsid w:val="008A1A12"/>
    <w:rsid w:val="008A1D09"/>
    <w:rsid w:val="008A2EA3"/>
    <w:rsid w:val="008A2EC1"/>
    <w:rsid w:val="008A473F"/>
    <w:rsid w:val="008A4872"/>
    <w:rsid w:val="008A4958"/>
    <w:rsid w:val="008A4971"/>
    <w:rsid w:val="008A6156"/>
    <w:rsid w:val="008A659E"/>
    <w:rsid w:val="008A761C"/>
    <w:rsid w:val="008A7803"/>
    <w:rsid w:val="008A7CD8"/>
    <w:rsid w:val="008B4D21"/>
    <w:rsid w:val="008B51FC"/>
    <w:rsid w:val="008B5F84"/>
    <w:rsid w:val="008B68D9"/>
    <w:rsid w:val="008C00E5"/>
    <w:rsid w:val="008C0DFB"/>
    <w:rsid w:val="008C13C0"/>
    <w:rsid w:val="008C18D2"/>
    <w:rsid w:val="008C2E45"/>
    <w:rsid w:val="008C2F98"/>
    <w:rsid w:val="008C3CBC"/>
    <w:rsid w:val="008C3CDC"/>
    <w:rsid w:val="008C3F0F"/>
    <w:rsid w:val="008C4051"/>
    <w:rsid w:val="008C4261"/>
    <w:rsid w:val="008C5CA3"/>
    <w:rsid w:val="008C644E"/>
    <w:rsid w:val="008C6582"/>
    <w:rsid w:val="008C77F8"/>
    <w:rsid w:val="008D225E"/>
    <w:rsid w:val="008D2FEB"/>
    <w:rsid w:val="008D3BDC"/>
    <w:rsid w:val="008D47F1"/>
    <w:rsid w:val="008D48ED"/>
    <w:rsid w:val="008D4BA9"/>
    <w:rsid w:val="008D4D28"/>
    <w:rsid w:val="008D658E"/>
    <w:rsid w:val="008D6822"/>
    <w:rsid w:val="008D6B15"/>
    <w:rsid w:val="008D7135"/>
    <w:rsid w:val="008E0316"/>
    <w:rsid w:val="008E0727"/>
    <w:rsid w:val="008E145A"/>
    <w:rsid w:val="008E20CB"/>
    <w:rsid w:val="008E4A41"/>
    <w:rsid w:val="008E5945"/>
    <w:rsid w:val="008E59C3"/>
    <w:rsid w:val="008E6901"/>
    <w:rsid w:val="008E6FDB"/>
    <w:rsid w:val="008E7E1E"/>
    <w:rsid w:val="008F01B4"/>
    <w:rsid w:val="008F02EB"/>
    <w:rsid w:val="008F1298"/>
    <w:rsid w:val="008F1B38"/>
    <w:rsid w:val="008F2E0B"/>
    <w:rsid w:val="008F31AC"/>
    <w:rsid w:val="008F36EC"/>
    <w:rsid w:val="008F3898"/>
    <w:rsid w:val="008F38EA"/>
    <w:rsid w:val="008F3942"/>
    <w:rsid w:val="008F3ABE"/>
    <w:rsid w:val="008F3CA9"/>
    <w:rsid w:val="008F68A4"/>
    <w:rsid w:val="008F6A87"/>
    <w:rsid w:val="009006C1"/>
    <w:rsid w:val="00901299"/>
    <w:rsid w:val="00901C25"/>
    <w:rsid w:val="009036FA"/>
    <w:rsid w:val="00903721"/>
    <w:rsid w:val="00904037"/>
    <w:rsid w:val="00904079"/>
    <w:rsid w:val="00904855"/>
    <w:rsid w:val="0090542B"/>
    <w:rsid w:val="00906B50"/>
    <w:rsid w:val="00906C12"/>
    <w:rsid w:val="00906FB2"/>
    <w:rsid w:val="00910740"/>
    <w:rsid w:val="0091106D"/>
    <w:rsid w:val="009116DC"/>
    <w:rsid w:val="00911A74"/>
    <w:rsid w:val="00912CCF"/>
    <w:rsid w:val="00914063"/>
    <w:rsid w:val="0091426E"/>
    <w:rsid w:val="00914F38"/>
    <w:rsid w:val="00914FA6"/>
    <w:rsid w:val="00916F98"/>
    <w:rsid w:val="00920E37"/>
    <w:rsid w:val="00920FB5"/>
    <w:rsid w:val="009226ED"/>
    <w:rsid w:val="00923CA6"/>
    <w:rsid w:val="00923DED"/>
    <w:rsid w:val="009243EA"/>
    <w:rsid w:val="00924636"/>
    <w:rsid w:val="00925006"/>
    <w:rsid w:val="00927B8C"/>
    <w:rsid w:val="0093011B"/>
    <w:rsid w:val="0093062D"/>
    <w:rsid w:val="00930942"/>
    <w:rsid w:val="00931257"/>
    <w:rsid w:val="009314C8"/>
    <w:rsid w:val="00931712"/>
    <w:rsid w:val="009319B6"/>
    <w:rsid w:val="00932047"/>
    <w:rsid w:val="00932422"/>
    <w:rsid w:val="0093276F"/>
    <w:rsid w:val="00933B6E"/>
    <w:rsid w:val="009340FD"/>
    <w:rsid w:val="009347FC"/>
    <w:rsid w:val="00936A17"/>
    <w:rsid w:val="00936B63"/>
    <w:rsid w:val="00936C2A"/>
    <w:rsid w:val="00936D89"/>
    <w:rsid w:val="00937566"/>
    <w:rsid w:val="00937739"/>
    <w:rsid w:val="009402D9"/>
    <w:rsid w:val="0094105F"/>
    <w:rsid w:val="00941F8D"/>
    <w:rsid w:val="0094208C"/>
    <w:rsid w:val="00945A77"/>
    <w:rsid w:val="00945E28"/>
    <w:rsid w:val="00946F17"/>
    <w:rsid w:val="00947AD9"/>
    <w:rsid w:val="00950B63"/>
    <w:rsid w:val="00950DBF"/>
    <w:rsid w:val="00952407"/>
    <w:rsid w:val="00952591"/>
    <w:rsid w:val="00955321"/>
    <w:rsid w:val="0095574A"/>
    <w:rsid w:val="00956FC1"/>
    <w:rsid w:val="00957739"/>
    <w:rsid w:val="0096035A"/>
    <w:rsid w:val="00961B68"/>
    <w:rsid w:val="00961F70"/>
    <w:rsid w:val="0096228B"/>
    <w:rsid w:val="0096249C"/>
    <w:rsid w:val="00962650"/>
    <w:rsid w:val="00962CBC"/>
    <w:rsid w:val="009630FA"/>
    <w:rsid w:val="009644D2"/>
    <w:rsid w:val="00964BC6"/>
    <w:rsid w:val="00965C14"/>
    <w:rsid w:val="00966A7C"/>
    <w:rsid w:val="00966A85"/>
    <w:rsid w:val="00966C76"/>
    <w:rsid w:val="0096755F"/>
    <w:rsid w:val="0096773F"/>
    <w:rsid w:val="0096789B"/>
    <w:rsid w:val="00967DC7"/>
    <w:rsid w:val="00967EF9"/>
    <w:rsid w:val="0097154A"/>
    <w:rsid w:val="009721CD"/>
    <w:rsid w:val="00972E3F"/>
    <w:rsid w:val="009730DF"/>
    <w:rsid w:val="0097416B"/>
    <w:rsid w:val="00974742"/>
    <w:rsid w:val="009749F0"/>
    <w:rsid w:val="009751E8"/>
    <w:rsid w:val="00975F90"/>
    <w:rsid w:val="00976B14"/>
    <w:rsid w:val="00977647"/>
    <w:rsid w:val="00977ED9"/>
    <w:rsid w:val="0098002D"/>
    <w:rsid w:val="0098484F"/>
    <w:rsid w:val="00985285"/>
    <w:rsid w:val="00985345"/>
    <w:rsid w:val="009854E2"/>
    <w:rsid w:val="0098552A"/>
    <w:rsid w:val="00986F10"/>
    <w:rsid w:val="00987F20"/>
    <w:rsid w:val="00990086"/>
    <w:rsid w:val="00990F07"/>
    <w:rsid w:val="00992140"/>
    <w:rsid w:val="0099400E"/>
    <w:rsid w:val="00994500"/>
    <w:rsid w:val="009952DA"/>
    <w:rsid w:val="00995306"/>
    <w:rsid w:val="009959A8"/>
    <w:rsid w:val="00995B61"/>
    <w:rsid w:val="00996FF5"/>
    <w:rsid w:val="009A0608"/>
    <w:rsid w:val="009A2380"/>
    <w:rsid w:val="009A413A"/>
    <w:rsid w:val="009A57B7"/>
    <w:rsid w:val="009A5AFD"/>
    <w:rsid w:val="009A5E76"/>
    <w:rsid w:val="009A6FC5"/>
    <w:rsid w:val="009A75B7"/>
    <w:rsid w:val="009A7877"/>
    <w:rsid w:val="009A7DB6"/>
    <w:rsid w:val="009A7F4C"/>
    <w:rsid w:val="009B03DC"/>
    <w:rsid w:val="009B121F"/>
    <w:rsid w:val="009B1280"/>
    <w:rsid w:val="009B15A1"/>
    <w:rsid w:val="009B163A"/>
    <w:rsid w:val="009B171E"/>
    <w:rsid w:val="009B2CE3"/>
    <w:rsid w:val="009B353A"/>
    <w:rsid w:val="009B35DA"/>
    <w:rsid w:val="009B4769"/>
    <w:rsid w:val="009B4DA4"/>
    <w:rsid w:val="009B51B2"/>
    <w:rsid w:val="009B5B5C"/>
    <w:rsid w:val="009B6176"/>
    <w:rsid w:val="009B6C04"/>
    <w:rsid w:val="009B6CEA"/>
    <w:rsid w:val="009B70BB"/>
    <w:rsid w:val="009B769A"/>
    <w:rsid w:val="009C0072"/>
    <w:rsid w:val="009C2FF1"/>
    <w:rsid w:val="009C37A3"/>
    <w:rsid w:val="009C49F3"/>
    <w:rsid w:val="009C52A3"/>
    <w:rsid w:val="009C5843"/>
    <w:rsid w:val="009C61A2"/>
    <w:rsid w:val="009C695D"/>
    <w:rsid w:val="009D02A2"/>
    <w:rsid w:val="009D1CF7"/>
    <w:rsid w:val="009D1DE6"/>
    <w:rsid w:val="009D2ED7"/>
    <w:rsid w:val="009D3C85"/>
    <w:rsid w:val="009D412E"/>
    <w:rsid w:val="009D557F"/>
    <w:rsid w:val="009D5662"/>
    <w:rsid w:val="009D5D17"/>
    <w:rsid w:val="009D655C"/>
    <w:rsid w:val="009D66BD"/>
    <w:rsid w:val="009D6AEB"/>
    <w:rsid w:val="009D6B4F"/>
    <w:rsid w:val="009D6F02"/>
    <w:rsid w:val="009E00AD"/>
    <w:rsid w:val="009E0D7C"/>
    <w:rsid w:val="009E1143"/>
    <w:rsid w:val="009E157B"/>
    <w:rsid w:val="009E2509"/>
    <w:rsid w:val="009E361D"/>
    <w:rsid w:val="009E363F"/>
    <w:rsid w:val="009E3A4C"/>
    <w:rsid w:val="009E41B3"/>
    <w:rsid w:val="009E436E"/>
    <w:rsid w:val="009E4666"/>
    <w:rsid w:val="009E5B50"/>
    <w:rsid w:val="009E5C83"/>
    <w:rsid w:val="009E65CF"/>
    <w:rsid w:val="009E7A0C"/>
    <w:rsid w:val="009F0163"/>
    <w:rsid w:val="009F1357"/>
    <w:rsid w:val="009F1810"/>
    <w:rsid w:val="009F236F"/>
    <w:rsid w:val="009F2CE8"/>
    <w:rsid w:val="009F3CE0"/>
    <w:rsid w:val="009F3EBE"/>
    <w:rsid w:val="009F4267"/>
    <w:rsid w:val="009F4A2E"/>
    <w:rsid w:val="009F4CBB"/>
    <w:rsid w:val="009F4EA3"/>
    <w:rsid w:val="009F5D11"/>
    <w:rsid w:val="009F5FD7"/>
    <w:rsid w:val="009F72AA"/>
    <w:rsid w:val="00A001B4"/>
    <w:rsid w:val="00A00587"/>
    <w:rsid w:val="00A01538"/>
    <w:rsid w:val="00A0163B"/>
    <w:rsid w:val="00A0182C"/>
    <w:rsid w:val="00A0186B"/>
    <w:rsid w:val="00A01918"/>
    <w:rsid w:val="00A05A1A"/>
    <w:rsid w:val="00A05C65"/>
    <w:rsid w:val="00A06AC2"/>
    <w:rsid w:val="00A070B4"/>
    <w:rsid w:val="00A072EB"/>
    <w:rsid w:val="00A07D04"/>
    <w:rsid w:val="00A10087"/>
    <w:rsid w:val="00A105DF"/>
    <w:rsid w:val="00A10F62"/>
    <w:rsid w:val="00A11066"/>
    <w:rsid w:val="00A11218"/>
    <w:rsid w:val="00A12091"/>
    <w:rsid w:val="00A1247C"/>
    <w:rsid w:val="00A12AA4"/>
    <w:rsid w:val="00A12F56"/>
    <w:rsid w:val="00A133B7"/>
    <w:rsid w:val="00A1354F"/>
    <w:rsid w:val="00A13EF2"/>
    <w:rsid w:val="00A14C88"/>
    <w:rsid w:val="00A14F75"/>
    <w:rsid w:val="00A167DB"/>
    <w:rsid w:val="00A17560"/>
    <w:rsid w:val="00A17CBF"/>
    <w:rsid w:val="00A212AC"/>
    <w:rsid w:val="00A2243E"/>
    <w:rsid w:val="00A22671"/>
    <w:rsid w:val="00A2370C"/>
    <w:rsid w:val="00A2406E"/>
    <w:rsid w:val="00A259AA"/>
    <w:rsid w:val="00A25AC5"/>
    <w:rsid w:val="00A26782"/>
    <w:rsid w:val="00A26CE0"/>
    <w:rsid w:val="00A26FA3"/>
    <w:rsid w:val="00A274F0"/>
    <w:rsid w:val="00A27A6A"/>
    <w:rsid w:val="00A31C97"/>
    <w:rsid w:val="00A31E1A"/>
    <w:rsid w:val="00A32050"/>
    <w:rsid w:val="00A32BF5"/>
    <w:rsid w:val="00A32C13"/>
    <w:rsid w:val="00A34293"/>
    <w:rsid w:val="00A353A4"/>
    <w:rsid w:val="00A356A8"/>
    <w:rsid w:val="00A35B76"/>
    <w:rsid w:val="00A361F6"/>
    <w:rsid w:val="00A36737"/>
    <w:rsid w:val="00A3679E"/>
    <w:rsid w:val="00A371B0"/>
    <w:rsid w:val="00A378C2"/>
    <w:rsid w:val="00A37B91"/>
    <w:rsid w:val="00A41A71"/>
    <w:rsid w:val="00A41E6D"/>
    <w:rsid w:val="00A450DC"/>
    <w:rsid w:val="00A45423"/>
    <w:rsid w:val="00A45518"/>
    <w:rsid w:val="00A46EAF"/>
    <w:rsid w:val="00A50FD6"/>
    <w:rsid w:val="00A50FEF"/>
    <w:rsid w:val="00A51593"/>
    <w:rsid w:val="00A518C2"/>
    <w:rsid w:val="00A51B94"/>
    <w:rsid w:val="00A53A76"/>
    <w:rsid w:val="00A53CD9"/>
    <w:rsid w:val="00A53D87"/>
    <w:rsid w:val="00A54FF0"/>
    <w:rsid w:val="00A553D4"/>
    <w:rsid w:val="00A55980"/>
    <w:rsid w:val="00A55A26"/>
    <w:rsid w:val="00A55BFB"/>
    <w:rsid w:val="00A55DDC"/>
    <w:rsid w:val="00A5602B"/>
    <w:rsid w:val="00A563AD"/>
    <w:rsid w:val="00A567C6"/>
    <w:rsid w:val="00A57F78"/>
    <w:rsid w:val="00A611A0"/>
    <w:rsid w:val="00A611ED"/>
    <w:rsid w:val="00A6131C"/>
    <w:rsid w:val="00A61AC1"/>
    <w:rsid w:val="00A625D7"/>
    <w:rsid w:val="00A62D07"/>
    <w:rsid w:val="00A637E4"/>
    <w:rsid w:val="00A63D16"/>
    <w:rsid w:val="00A6458C"/>
    <w:rsid w:val="00A64FA4"/>
    <w:rsid w:val="00A650BE"/>
    <w:rsid w:val="00A65922"/>
    <w:rsid w:val="00A66416"/>
    <w:rsid w:val="00A66D14"/>
    <w:rsid w:val="00A67666"/>
    <w:rsid w:val="00A7122A"/>
    <w:rsid w:val="00A714BA"/>
    <w:rsid w:val="00A71DE7"/>
    <w:rsid w:val="00A7312D"/>
    <w:rsid w:val="00A735B0"/>
    <w:rsid w:val="00A74543"/>
    <w:rsid w:val="00A74E1F"/>
    <w:rsid w:val="00A753E5"/>
    <w:rsid w:val="00A75AE2"/>
    <w:rsid w:val="00A75D82"/>
    <w:rsid w:val="00A76CD1"/>
    <w:rsid w:val="00A779B5"/>
    <w:rsid w:val="00A82677"/>
    <w:rsid w:val="00A82EE1"/>
    <w:rsid w:val="00A83942"/>
    <w:rsid w:val="00A83C9A"/>
    <w:rsid w:val="00A83D84"/>
    <w:rsid w:val="00A84932"/>
    <w:rsid w:val="00A85D11"/>
    <w:rsid w:val="00A86293"/>
    <w:rsid w:val="00A863C0"/>
    <w:rsid w:val="00A866A3"/>
    <w:rsid w:val="00A909BA"/>
    <w:rsid w:val="00A90B53"/>
    <w:rsid w:val="00A91A6E"/>
    <w:rsid w:val="00A92AB2"/>
    <w:rsid w:val="00A93727"/>
    <w:rsid w:val="00A937FA"/>
    <w:rsid w:val="00A9428A"/>
    <w:rsid w:val="00A95890"/>
    <w:rsid w:val="00A96A3B"/>
    <w:rsid w:val="00A96EA4"/>
    <w:rsid w:val="00A97112"/>
    <w:rsid w:val="00AA0021"/>
    <w:rsid w:val="00AA1387"/>
    <w:rsid w:val="00AA1F64"/>
    <w:rsid w:val="00AA2562"/>
    <w:rsid w:val="00AA2B4A"/>
    <w:rsid w:val="00AA3C8D"/>
    <w:rsid w:val="00AA3D04"/>
    <w:rsid w:val="00AA4B3D"/>
    <w:rsid w:val="00AA5074"/>
    <w:rsid w:val="00AA539A"/>
    <w:rsid w:val="00AA6039"/>
    <w:rsid w:val="00AA675E"/>
    <w:rsid w:val="00AA6BC2"/>
    <w:rsid w:val="00AA70C4"/>
    <w:rsid w:val="00AB0613"/>
    <w:rsid w:val="00AB08BE"/>
    <w:rsid w:val="00AB1951"/>
    <w:rsid w:val="00AB1F35"/>
    <w:rsid w:val="00AB2B4E"/>
    <w:rsid w:val="00AB2F0C"/>
    <w:rsid w:val="00AB3956"/>
    <w:rsid w:val="00AB3CC4"/>
    <w:rsid w:val="00AB3E64"/>
    <w:rsid w:val="00AB4000"/>
    <w:rsid w:val="00AB4652"/>
    <w:rsid w:val="00AB4E87"/>
    <w:rsid w:val="00AB591B"/>
    <w:rsid w:val="00AB643C"/>
    <w:rsid w:val="00AB6617"/>
    <w:rsid w:val="00AB67BE"/>
    <w:rsid w:val="00AB6B24"/>
    <w:rsid w:val="00AB7203"/>
    <w:rsid w:val="00AB7C4E"/>
    <w:rsid w:val="00AC015B"/>
    <w:rsid w:val="00AC0711"/>
    <w:rsid w:val="00AC0AD6"/>
    <w:rsid w:val="00AC2C2D"/>
    <w:rsid w:val="00AC4057"/>
    <w:rsid w:val="00AC5807"/>
    <w:rsid w:val="00AC5CCF"/>
    <w:rsid w:val="00AC6E86"/>
    <w:rsid w:val="00AD0AEC"/>
    <w:rsid w:val="00AD1E53"/>
    <w:rsid w:val="00AD35EF"/>
    <w:rsid w:val="00AD4491"/>
    <w:rsid w:val="00AD5DFC"/>
    <w:rsid w:val="00AD6DFC"/>
    <w:rsid w:val="00AD7BF3"/>
    <w:rsid w:val="00AE0DBE"/>
    <w:rsid w:val="00AE10D6"/>
    <w:rsid w:val="00AE308C"/>
    <w:rsid w:val="00AE3495"/>
    <w:rsid w:val="00AE353B"/>
    <w:rsid w:val="00AE3592"/>
    <w:rsid w:val="00AE38CF"/>
    <w:rsid w:val="00AE5B76"/>
    <w:rsid w:val="00AE67E5"/>
    <w:rsid w:val="00AE6900"/>
    <w:rsid w:val="00AE6A80"/>
    <w:rsid w:val="00AF04DB"/>
    <w:rsid w:val="00AF0AEC"/>
    <w:rsid w:val="00AF0F2B"/>
    <w:rsid w:val="00AF254C"/>
    <w:rsid w:val="00AF27BA"/>
    <w:rsid w:val="00AF32C1"/>
    <w:rsid w:val="00AF3848"/>
    <w:rsid w:val="00AF3B4D"/>
    <w:rsid w:val="00AF4537"/>
    <w:rsid w:val="00AF51C1"/>
    <w:rsid w:val="00AF53C9"/>
    <w:rsid w:val="00AF5478"/>
    <w:rsid w:val="00AF5B01"/>
    <w:rsid w:val="00AF61B8"/>
    <w:rsid w:val="00AF6F99"/>
    <w:rsid w:val="00AF76C7"/>
    <w:rsid w:val="00AF7DFE"/>
    <w:rsid w:val="00B002F2"/>
    <w:rsid w:val="00B00C0E"/>
    <w:rsid w:val="00B02491"/>
    <w:rsid w:val="00B029FD"/>
    <w:rsid w:val="00B03011"/>
    <w:rsid w:val="00B03470"/>
    <w:rsid w:val="00B05C66"/>
    <w:rsid w:val="00B06F73"/>
    <w:rsid w:val="00B0791A"/>
    <w:rsid w:val="00B10C94"/>
    <w:rsid w:val="00B11DE4"/>
    <w:rsid w:val="00B122BF"/>
    <w:rsid w:val="00B137DC"/>
    <w:rsid w:val="00B13EF6"/>
    <w:rsid w:val="00B1443B"/>
    <w:rsid w:val="00B14667"/>
    <w:rsid w:val="00B15BE5"/>
    <w:rsid w:val="00B16A95"/>
    <w:rsid w:val="00B16C95"/>
    <w:rsid w:val="00B20012"/>
    <w:rsid w:val="00B20AFF"/>
    <w:rsid w:val="00B20CBC"/>
    <w:rsid w:val="00B216E2"/>
    <w:rsid w:val="00B21B07"/>
    <w:rsid w:val="00B22399"/>
    <w:rsid w:val="00B228CD"/>
    <w:rsid w:val="00B2379E"/>
    <w:rsid w:val="00B24351"/>
    <w:rsid w:val="00B24460"/>
    <w:rsid w:val="00B24C51"/>
    <w:rsid w:val="00B24D7D"/>
    <w:rsid w:val="00B25075"/>
    <w:rsid w:val="00B250C4"/>
    <w:rsid w:val="00B25312"/>
    <w:rsid w:val="00B25E18"/>
    <w:rsid w:val="00B25E37"/>
    <w:rsid w:val="00B25F62"/>
    <w:rsid w:val="00B26633"/>
    <w:rsid w:val="00B269C3"/>
    <w:rsid w:val="00B31486"/>
    <w:rsid w:val="00B31D4F"/>
    <w:rsid w:val="00B32722"/>
    <w:rsid w:val="00B350CD"/>
    <w:rsid w:val="00B355E6"/>
    <w:rsid w:val="00B364AF"/>
    <w:rsid w:val="00B37242"/>
    <w:rsid w:val="00B415C3"/>
    <w:rsid w:val="00B4180C"/>
    <w:rsid w:val="00B42776"/>
    <w:rsid w:val="00B42B9B"/>
    <w:rsid w:val="00B42FDE"/>
    <w:rsid w:val="00B43115"/>
    <w:rsid w:val="00B43ADD"/>
    <w:rsid w:val="00B4449E"/>
    <w:rsid w:val="00B457A7"/>
    <w:rsid w:val="00B46100"/>
    <w:rsid w:val="00B51B98"/>
    <w:rsid w:val="00B52496"/>
    <w:rsid w:val="00B527E8"/>
    <w:rsid w:val="00B52F7D"/>
    <w:rsid w:val="00B53606"/>
    <w:rsid w:val="00B53761"/>
    <w:rsid w:val="00B55008"/>
    <w:rsid w:val="00B5543D"/>
    <w:rsid w:val="00B55BEB"/>
    <w:rsid w:val="00B5603F"/>
    <w:rsid w:val="00B567FC"/>
    <w:rsid w:val="00B60BD8"/>
    <w:rsid w:val="00B61DBA"/>
    <w:rsid w:val="00B62835"/>
    <w:rsid w:val="00B6283F"/>
    <w:rsid w:val="00B6290D"/>
    <w:rsid w:val="00B62DF0"/>
    <w:rsid w:val="00B63711"/>
    <w:rsid w:val="00B63D0A"/>
    <w:rsid w:val="00B64B54"/>
    <w:rsid w:val="00B65B03"/>
    <w:rsid w:val="00B66335"/>
    <w:rsid w:val="00B66871"/>
    <w:rsid w:val="00B67115"/>
    <w:rsid w:val="00B70898"/>
    <w:rsid w:val="00B70E08"/>
    <w:rsid w:val="00B714C4"/>
    <w:rsid w:val="00B72129"/>
    <w:rsid w:val="00B725F3"/>
    <w:rsid w:val="00B735D5"/>
    <w:rsid w:val="00B73E6B"/>
    <w:rsid w:val="00B749ED"/>
    <w:rsid w:val="00B74DAC"/>
    <w:rsid w:val="00B7629C"/>
    <w:rsid w:val="00B7710A"/>
    <w:rsid w:val="00B77129"/>
    <w:rsid w:val="00B77476"/>
    <w:rsid w:val="00B8034A"/>
    <w:rsid w:val="00B8080C"/>
    <w:rsid w:val="00B81A18"/>
    <w:rsid w:val="00B81DE1"/>
    <w:rsid w:val="00B82BBC"/>
    <w:rsid w:val="00B82BDE"/>
    <w:rsid w:val="00B833E3"/>
    <w:rsid w:val="00B83649"/>
    <w:rsid w:val="00B83A54"/>
    <w:rsid w:val="00B83C97"/>
    <w:rsid w:val="00B83CE2"/>
    <w:rsid w:val="00B83E61"/>
    <w:rsid w:val="00B83E78"/>
    <w:rsid w:val="00B84476"/>
    <w:rsid w:val="00B853BF"/>
    <w:rsid w:val="00B85892"/>
    <w:rsid w:val="00B85C26"/>
    <w:rsid w:val="00B868C7"/>
    <w:rsid w:val="00B87D8D"/>
    <w:rsid w:val="00B91A86"/>
    <w:rsid w:val="00B91D15"/>
    <w:rsid w:val="00B925F5"/>
    <w:rsid w:val="00B92BF0"/>
    <w:rsid w:val="00B937A3"/>
    <w:rsid w:val="00B940BA"/>
    <w:rsid w:val="00B9413D"/>
    <w:rsid w:val="00B94BB9"/>
    <w:rsid w:val="00B957C1"/>
    <w:rsid w:val="00B9606E"/>
    <w:rsid w:val="00B96737"/>
    <w:rsid w:val="00BA04E2"/>
    <w:rsid w:val="00BA08AA"/>
    <w:rsid w:val="00BA0A90"/>
    <w:rsid w:val="00BA112E"/>
    <w:rsid w:val="00BA12DB"/>
    <w:rsid w:val="00BA165E"/>
    <w:rsid w:val="00BA2214"/>
    <w:rsid w:val="00BA3095"/>
    <w:rsid w:val="00BA315E"/>
    <w:rsid w:val="00BA3808"/>
    <w:rsid w:val="00BA474C"/>
    <w:rsid w:val="00BA52B6"/>
    <w:rsid w:val="00BA58EF"/>
    <w:rsid w:val="00BA64EF"/>
    <w:rsid w:val="00BA6AE2"/>
    <w:rsid w:val="00BA73F2"/>
    <w:rsid w:val="00BA75B6"/>
    <w:rsid w:val="00BB122C"/>
    <w:rsid w:val="00BB27A1"/>
    <w:rsid w:val="00BB38D3"/>
    <w:rsid w:val="00BB48A7"/>
    <w:rsid w:val="00BB52B2"/>
    <w:rsid w:val="00BB53D1"/>
    <w:rsid w:val="00BB5A52"/>
    <w:rsid w:val="00BB6333"/>
    <w:rsid w:val="00BB6462"/>
    <w:rsid w:val="00BB6512"/>
    <w:rsid w:val="00BB6A74"/>
    <w:rsid w:val="00BB6D9B"/>
    <w:rsid w:val="00BB7482"/>
    <w:rsid w:val="00BC10E5"/>
    <w:rsid w:val="00BC14A2"/>
    <w:rsid w:val="00BC1939"/>
    <w:rsid w:val="00BC23E2"/>
    <w:rsid w:val="00BC2D1B"/>
    <w:rsid w:val="00BC3A2F"/>
    <w:rsid w:val="00BC4DE4"/>
    <w:rsid w:val="00BC5346"/>
    <w:rsid w:val="00BC55A8"/>
    <w:rsid w:val="00BC593D"/>
    <w:rsid w:val="00BC6D1A"/>
    <w:rsid w:val="00BC7280"/>
    <w:rsid w:val="00BC732B"/>
    <w:rsid w:val="00BD0566"/>
    <w:rsid w:val="00BD11FA"/>
    <w:rsid w:val="00BD2D84"/>
    <w:rsid w:val="00BD3E37"/>
    <w:rsid w:val="00BD400C"/>
    <w:rsid w:val="00BD529B"/>
    <w:rsid w:val="00BD5517"/>
    <w:rsid w:val="00BD5A3C"/>
    <w:rsid w:val="00BD6245"/>
    <w:rsid w:val="00BD72C0"/>
    <w:rsid w:val="00BE091B"/>
    <w:rsid w:val="00BE0E64"/>
    <w:rsid w:val="00BE189A"/>
    <w:rsid w:val="00BE18AB"/>
    <w:rsid w:val="00BE1D02"/>
    <w:rsid w:val="00BE200D"/>
    <w:rsid w:val="00BE327E"/>
    <w:rsid w:val="00BE335C"/>
    <w:rsid w:val="00BE390D"/>
    <w:rsid w:val="00BE3D0F"/>
    <w:rsid w:val="00BE418B"/>
    <w:rsid w:val="00BE52BA"/>
    <w:rsid w:val="00BE73E3"/>
    <w:rsid w:val="00BE7B36"/>
    <w:rsid w:val="00BF0C44"/>
    <w:rsid w:val="00BF1E92"/>
    <w:rsid w:val="00BF35E0"/>
    <w:rsid w:val="00BF37B8"/>
    <w:rsid w:val="00BF433B"/>
    <w:rsid w:val="00BF4FC3"/>
    <w:rsid w:val="00BF5ECC"/>
    <w:rsid w:val="00BF5FF0"/>
    <w:rsid w:val="00BF6285"/>
    <w:rsid w:val="00BF6B21"/>
    <w:rsid w:val="00BF7CF4"/>
    <w:rsid w:val="00C008BB"/>
    <w:rsid w:val="00C00904"/>
    <w:rsid w:val="00C015FC"/>
    <w:rsid w:val="00C023D0"/>
    <w:rsid w:val="00C024F0"/>
    <w:rsid w:val="00C02BDE"/>
    <w:rsid w:val="00C02D5B"/>
    <w:rsid w:val="00C033AD"/>
    <w:rsid w:val="00C03C96"/>
    <w:rsid w:val="00C03D8E"/>
    <w:rsid w:val="00C040D2"/>
    <w:rsid w:val="00C045FB"/>
    <w:rsid w:val="00C05B13"/>
    <w:rsid w:val="00C05B62"/>
    <w:rsid w:val="00C05FA4"/>
    <w:rsid w:val="00C07407"/>
    <w:rsid w:val="00C11059"/>
    <w:rsid w:val="00C11A65"/>
    <w:rsid w:val="00C1308D"/>
    <w:rsid w:val="00C134E6"/>
    <w:rsid w:val="00C1360B"/>
    <w:rsid w:val="00C145C0"/>
    <w:rsid w:val="00C14E34"/>
    <w:rsid w:val="00C1550B"/>
    <w:rsid w:val="00C15842"/>
    <w:rsid w:val="00C15C07"/>
    <w:rsid w:val="00C162FA"/>
    <w:rsid w:val="00C1715C"/>
    <w:rsid w:val="00C1763E"/>
    <w:rsid w:val="00C20093"/>
    <w:rsid w:val="00C205FE"/>
    <w:rsid w:val="00C20DD4"/>
    <w:rsid w:val="00C21640"/>
    <w:rsid w:val="00C21CBE"/>
    <w:rsid w:val="00C22691"/>
    <w:rsid w:val="00C22D6B"/>
    <w:rsid w:val="00C2432A"/>
    <w:rsid w:val="00C24343"/>
    <w:rsid w:val="00C25E75"/>
    <w:rsid w:val="00C27358"/>
    <w:rsid w:val="00C2782A"/>
    <w:rsid w:val="00C30D4A"/>
    <w:rsid w:val="00C33118"/>
    <w:rsid w:val="00C33317"/>
    <w:rsid w:val="00C3346C"/>
    <w:rsid w:val="00C33B6B"/>
    <w:rsid w:val="00C3436B"/>
    <w:rsid w:val="00C344D8"/>
    <w:rsid w:val="00C37268"/>
    <w:rsid w:val="00C375AF"/>
    <w:rsid w:val="00C405B5"/>
    <w:rsid w:val="00C40FBA"/>
    <w:rsid w:val="00C4132A"/>
    <w:rsid w:val="00C42D71"/>
    <w:rsid w:val="00C438BA"/>
    <w:rsid w:val="00C43924"/>
    <w:rsid w:val="00C43C3C"/>
    <w:rsid w:val="00C4462A"/>
    <w:rsid w:val="00C45858"/>
    <w:rsid w:val="00C46903"/>
    <w:rsid w:val="00C4709D"/>
    <w:rsid w:val="00C47DFD"/>
    <w:rsid w:val="00C50344"/>
    <w:rsid w:val="00C50D42"/>
    <w:rsid w:val="00C514C3"/>
    <w:rsid w:val="00C51F2B"/>
    <w:rsid w:val="00C52050"/>
    <w:rsid w:val="00C524C1"/>
    <w:rsid w:val="00C5402C"/>
    <w:rsid w:val="00C54BCB"/>
    <w:rsid w:val="00C55665"/>
    <w:rsid w:val="00C55CA2"/>
    <w:rsid w:val="00C565F4"/>
    <w:rsid w:val="00C56A2B"/>
    <w:rsid w:val="00C56A87"/>
    <w:rsid w:val="00C57788"/>
    <w:rsid w:val="00C57B42"/>
    <w:rsid w:val="00C60C95"/>
    <w:rsid w:val="00C61003"/>
    <w:rsid w:val="00C6136D"/>
    <w:rsid w:val="00C61552"/>
    <w:rsid w:val="00C621F3"/>
    <w:rsid w:val="00C629BC"/>
    <w:rsid w:val="00C629D4"/>
    <w:rsid w:val="00C629E0"/>
    <w:rsid w:val="00C62C70"/>
    <w:rsid w:val="00C6315A"/>
    <w:rsid w:val="00C6454B"/>
    <w:rsid w:val="00C6565A"/>
    <w:rsid w:val="00C66D11"/>
    <w:rsid w:val="00C711DA"/>
    <w:rsid w:val="00C72857"/>
    <w:rsid w:val="00C72EAE"/>
    <w:rsid w:val="00C734CA"/>
    <w:rsid w:val="00C73609"/>
    <w:rsid w:val="00C74F13"/>
    <w:rsid w:val="00C760FA"/>
    <w:rsid w:val="00C80531"/>
    <w:rsid w:val="00C80B2E"/>
    <w:rsid w:val="00C80E0F"/>
    <w:rsid w:val="00C81BAD"/>
    <w:rsid w:val="00C83ED9"/>
    <w:rsid w:val="00C87043"/>
    <w:rsid w:val="00C871A4"/>
    <w:rsid w:val="00C8737B"/>
    <w:rsid w:val="00C90767"/>
    <w:rsid w:val="00C90AC8"/>
    <w:rsid w:val="00C911C2"/>
    <w:rsid w:val="00C91612"/>
    <w:rsid w:val="00C91CD1"/>
    <w:rsid w:val="00C92FB0"/>
    <w:rsid w:val="00C9355C"/>
    <w:rsid w:val="00C9390D"/>
    <w:rsid w:val="00C94A44"/>
    <w:rsid w:val="00C9670D"/>
    <w:rsid w:val="00C96764"/>
    <w:rsid w:val="00C97F8C"/>
    <w:rsid w:val="00CA04E4"/>
    <w:rsid w:val="00CA0E0C"/>
    <w:rsid w:val="00CA1291"/>
    <w:rsid w:val="00CA1D1A"/>
    <w:rsid w:val="00CA2CEF"/>
    <w:rsid w:val="00CA3874"/>
    <w:rsid w:val="00CA4717"/>
    <w:rsid w:val="00CA517F"/>
    <w:rsid w:val="00CA5264"/>
    <w:rsid w:val="00CA54A5"/>
    <w:rsid w:val="00CA71CC"/>
    <w:rsid w:val="00CA7F44"/>
    <w:rsid w:val="00CB2A50"/>
    <w:rsid w:val="00CB389C"/>
    <w:rsid w:val="00CB46D3"/>
    <w:rsid w:val="00CB6A08"/>
    <w:rsid w:val="00CB75C3"/>
    <w:rsid w:val="00CC015D"/>
    <w:rsid w:val="00CC0B65"/>
    <w:rsid w:val="00CC366D"/>
    <w:rsid w:val="00CC4582"/>
    <w:rsid w:val="00CC4CA2"/>
    <w:rsid w:val="00CC521C"/>
    <w:rsid w:val="00CC529D"/>
    <w:rsid w:val="00CC598B"/>
    <w:rsid w:val="00CC5BCD"/>
    <w:rsid w:val="00CC6303"/>
    <w:rsid w:val="00CC65B3"/>
    <w:rsid w:val="00CC7E7B"/>
    <w:rsid w:val="00CD1669"/>
    <w:rsid w:val="00CD2635"/>
    <w:rsid w:val="00CD49F5"/>
    <w:rsid w:val="00CD50D7"/>
    <w:rsid w:val="00CD572D"/>
    <w:rsid w:val="00CD5C6D"/>
    <w:rsid w:val="00CD6DAA"/>
    <w:rsid w:val="00CD75DA"/>
    <w:rsid w:val="00CE0B67"/>
    <w:rsid w:val="00CE11BF"/>
    <w:rsid w:val="00CE31F4"/>
    <w:rsid w:val="00CE3392"/>
    <w:rsid w:val="00CE4085"/>
    <w:rsid w:val="00CE51F6"/>
    <w:rsid w:val="00CE6738"/>
    <w:rsid w:val="00CE757F"/>
    <w:rsid w:val="00CF0E63"/>
    <w:rsid w:val="00CF1FE4"/>
    <w:rsid w:val="00CF29BE"/>
    <w:rsid w:val="00CF3026"/>
    <w:rsid w:val="00CF41CB"/>
    <w:rsid w:val="00CF53EB"/>
    <w:rsid w:val="00CF62A8"/>
    <w:rsid w:val="00CF68CF"/>
    <w:rsid w:val="00CF727F"/>
    <w:rsid w:val="00CF786D"/>
    <w:rsid w:val="00CF7AB9"/>
    <w:rsid w:val="00D01E72"/>
    <w:rsid w:val="00D02AF2"/>
    <w:rsid w:val="00D03070"/>
    <w:rsid w:val="00D034BA"/>
    <w:rsid w:val="00D037E7"/>
    <w:rsid w:val="00D03BCB"/>
    <w:rsid w:val="00D03DFA"/>
    <w:rsid w:val="00D0584F"/>
    <w:rsid w:val="00D05D18"/>
    <w:rsid w:val="00D05FE6"/>
    <w:rsid w:val="00D062F0"/>
    <w:rsid w:val="00D06345"/>
    <w:rsid w:val="00D070E6"/>
    <w:rsid w:val="00D11366"/>
    <w:rsid w:val="00D1209D"/>
    <w:rsid w:val="00D12472"/>
    <w:rsid w:val="00D12AC8"/>
    <w:rsid w:val="00D12FF0"/>
    <w:rsid w:val="00D13592"/>
    <w:rsid w:val="00D13A90"/>
    <w:rsid w:val="00D14550"/>
    <w:rsid w:val="00D14A33"/>
    <w:rsid w:val="00D14BC0"/>
    <w:rsid w:val="00D14CF7"/>
    <w:rsid w:val="00D15BB5"/>
    <w:rsid w:val="00D15DE6"/>
    <w:rsid w:val="00D162CB"/>
    <w:rsid w:val="00D1774D"/>
    <w:rsid w:val="00D203BB"/>
    <w:rsid w:val="00D21C96"/>
    <w:rsid w:val="00D2316B"/>
    <w:rsid w:val="00D25E11"/>
    <w:rsid w:val="00D26023"/>
    <w:rsid w:val="00D26364"/>
    <w:rsid w:val="00D26743"/>
    <w:rsid w:val="00D26759"/>
    <w:rsid w:val="00D2775C"/>
    <w:rsid w:val="00D27DFD"/>
    <w:rsid w:val="00D3030D"/>
    <w:rsid w:val="00D30E79"/>
    <w:rsid w:val="00D30EA7"/>
    <w:rsid w:val="00D33B73"/>
    <w:rsid w:val="00D33BB2"/>
    <w:rsid w:val="00D33CA2"/>
    <w:rsid w:val="00D340F1"/>
    <w:rsid w:val="00D3462F"/>
    <w:rsid w:val="00D346AC"/>
    <w:rsid w:val="00D37F7B"/>
    <w:rsid w:val="00D41298"/>
    <w:rsid w:val="00D414EB"/>
    <w:rsid w:val="00D446A9"/>
    <w:rsid w:val="00D447C4"/>
    <w:rsid w:val="00D4490A"/>
    <w:rsid w:val="00D44A70"/>
    <w:rsid w:val="00D46675"/>
    <w:rsid w:val="00D473DF"/>
    <w:rsid w:val="00D51194"/>
    <w:rsid w:val="00D51F47"/>
    <w:rsid w:val="00D52563"/>
    <w:rsid w:val="00D528BA"/>
    <w:rsid w:val="00D53016"/>
    <w:rsid w:val="00D5307C"/>
    <w:rsid w:val="00D53451"/>
    <w:rsid w:val="00D53753"/>
    <w:rsid w:val="00D5488A"/>
    <w:rsid w:val="00D552A5"/>
    <w:rsid w:val="00D55531"/>
    <w:rsid w:val="00D56EB5"/>
    <w:rsid w:val="00D578C1"/>
    <w:rsid w:val="00D57D56"/>
    <w:rsid w:val="00D60A4B"/>
    <w:rsid w:val="00D60D33"/>
    <w:rsid w:val="00D618E3"/>
    <w:rsid w:val="00D62585"/>
    <w:rsid w:val="00D62934"/>
    <w:rsid w:val="00D641CE"/>
    <w:rsid w:val="00D64BA2"/>
    <w:rsid w:val="00D657BC"/>
    <w:rsid w:val="00D66354"/>
    <w:rsid w:val="00D6641F"/>
    <w:rsid w:val="00D66AE3"/>
    <w:rsid w:val="00D66C7B"/>
    <w:rsid w:val="00D700D9"/>
    <w:rsid w:val="00D70B4E"/>
    <w:rsid w:val="00D717F9"/>
    <w:rsid w:val="00D72404"/>
    <w:rsid w:val="00D7399D"/>
    <w:rsid w:val="00D7492E"/>
    <w:rsid w:val="00D749AE"/>
    <w:rsid w:val="00D75C94"/>
    <w:rsid w:val="00D77FE3"/>
    <w:rsid w:val="00D80175"/>
    <w:rsid w:val="00D808AE"/>
    <w:rsid w:val="00D80A3B"/>
    <w:rsid w:val="00D80F18"/>
    <w:rsid w:val="00D81348"/>
    <w:rsid w:val="00D81478"/>
    <w:rsid w:val="00D814B4"/>
    <w:rsid w:val="00D82ACF"/>
    <w:rsid w:val="00D831D0"/>
    <w:rsid w:val="00D83854"/>
    <w:rsid w:val="00D83D47"/>
    <w:rsid w:val="00D85523"/>
    <w:rsid w:val="00D85AF6"/>
    <w:rsid w:val="00D86194"/>
    <w:rsid w:val="00D86F8A"/>
    <w:rsid w:val="00D87CD5"/>
    <w:rsid w:val="00D87F87"/>
    <w:rsid w:val="00D91004"/>
    <w:rsid w:val="00D9141B"/>
    <w:rsid w:val="00D9209F"/>
    <w:rsid w:val="00D930FE"/>
    <w:rsid w:val="00D95A98"/>
    <w:rsid w:val="00D95AFC"/>
    <w:rsid w:val="00D96436"/>
    <w:rsid w:val="00D96A4A"/>
    <w:rsid w:val="00D977B6"/>
    <w:rsid w:val="00DA040A"/>
    <w:rsid w:val="00DA070B"/>
    <w:rsid w:val="00DA1ABA"/>
    <w:rsid w:val="00DA1B6B"/>
    <w:rsid w:val="00DA2859"/>
    <w:rsid w:val="00DA287B"/>
    <w:rsid w:val="00DA326B"/>
    <w:rsid w:val="00DA36CA"/>
    <w:rsid w:val="00DA56EC"/>
    <w:rsid w:val="00DA5A4C"/>
    <w:rsid w:val="00DA5C7F"/>
    <w:rsid w:val="00DA6F48"/>
    <w:rsid w:val="00DA6FCA"/>
    <w:rsid w:val="00DA74F0"/>
    <w:rsid w:val="00DB007D"/>
    <w:rsid w:val="00DB07D1"/>
    <w:rsid w:val="00DB0EB5"/>
    <w:rsid w:val="00DB176F"/>
    <w:rsid w:val="00DB1852"/>
    <w:rsid w:val="00DB1A42"/>
    <w:rsid w:val="00DB1E19"/>
    <w:rsid w:val="00DB26C8"/>
    <w:rsid w:val="00DB2ED0"/>
    <w:rsid w:val="00DB36A3"/>
    <w:rsid w:val="00DB431B"/>
    <w:rsid w:val="00DB4A7B"/>
    <w:rsid w:val="00DB7ADC"/>
    <w:rsid w:val="00DB7F0E"/>
    <w:rsid w:val="00DC078C"/>
    <w:rsid w:val="00DC0E4E"/>
    <w:rsid w:val="00DC2143"/>
    <w:rsid w:val="00DC3741"/>
    <w:rsid w:val="00DC4815"/>
    <w:rsid w:val="00DC4B6D"/>
    <w:rsid w:val="00DC5F2E"/>
    <w:rsid w:val="00DC6C12"/>
    <w:rsid w:val="00DD016D"/>
    <w:rsid w:val="00DD1159"/>
    <w:rsid w:val="00DD22FB"/>
    <w:rsid w:val="00DD3B75"/>
    <w:rsid w:val="00DD3BC0"/>
    <w:rsid w:val="00DD401E"/>
    <w:rsid w:val="00DD5383"/>
    <w:rsid w:val="00DD649C"/>
    <w:rsid w:val="00DD6A5A"/>
    <w:rsid w:val="00DD6F97"/>
    <w:rsid w:val="00DD7876"/>
    <w:rsid w:val="00DE0029"/>
    <w:rsid w:val="00DE081A"/>
    <w:rsid w:val="00DE0E90"/>
    <w:rsid w:val="00DE1393"/>
    <w:rsid w:val="00DE13DA"/>
    <w:rsid w:val="00DE27FE"/>
    <w:rsid w:val="00DE33E5"/>
    <w:rsid w:val="00DE36E1"/>
    <w:rsid w:val="00DE3F34"/>
    <w:rsid w:val="00DE4222"/>
    <w:rsid w:val="00DE4EC7"/>
    <w:rsid w:val="00DE5D4C"/>
    <w:rsid w:val="00DE60B1"/>
    <w:rsid w:val="00DE6C81"/>
    <w:rsid w:val="00DE6D45"/>
    <w:rsid w:val="00DF014E"/>
    <w:rsid w:val="00DF1616"/>
    <w:rsid w:val="00DF270A"/>
    <w:rsid w:val="00DF2EE1"/>
    <w:rsid w:val="00DF440C"/>
    <w:rsid w:val="00DF5642"/>
    <w:rsid w:val="00DF696B"/>
    <w:rsid w:val="00E0076C"/>
    <w:rsid w:val="00E02774"/>
    <w:rsid w:val="00E0282A"/>
    <w:rsid w:val="00E02A0B"/>
    <w:rsid w:val="00E03B4C"/>
    <w:rsid w:val="00E04D79"/>
    <w:rsid w:val="00E0586A"/>
    <w:rsid w:val="00E05C4F"/>
    <w:rsid w:val="00E07878"/>
    <w:rsid w:val="00E119B0"/>
    <w:rsid w:val="00E120A4"/>
    <w:rsid w:val="00E124B5"/>
    <w:rsid w:val="00E13118"/>
    <w:rsid w:val="00E13239"/>
    <w:rsid w:val="00E140D0"/>
    <w:rsid w:val="00E144FD"/>
    <w:rsid w:val="00E1487A"/>
    <w:rsid w:val="00E14AB9"/>
    <w:rsid w:val="00E15071"/>
    <w:rsid w:val="00E157DC"/>
    <w:rsid w:val="00E15921"/>
    <w:rsid w:val="00E15E80"/>
    <w:rsid w:val="00E160AA"/>
    <w:rsid w:val="00E16912"/>
    <w:rsid w:val="00E16E44"/>
    <w:rsid w:val="00E16FCC"/>
    <w:rsid w:val="00E17149"/>
    <w:rsid w:val="00E20459"/>
    <w:rsid w:val="00E20B2A"/>
    <w:rsid w:val="00E21429"/>
    <w:rsid w:val="00E21A57"/>
    <w:rsid w:val="00E23AB5"/>
    <w:rsid w:val="00E27365"/>
    <w:rsid w:val="00E27F5B"/>
    <w:rsid w:val="00E30002"/>
    <w:rsid w:val="00E306D7"/>
    <w:rsid w:val="00E30EE1"/>
    <w:rsid w:val="00E31297"/>
    <w:rsid w:val="00E313BD"/>
    <w:rsid w:val="00E31799"/>
    <w:rsid w:val="00E31883"/>
    <w:rsid w:val="00E323EA"/>
    <w:rsid w:val="00E33AD6"/>
    <w:rsid w:val="00E355F3"/>
    <w:rsid w:val="00E35784"/>
    <w:rsid w:val="00E362E8"/>
    <w:rsid w:val="00E36427"/>
    <w:rsid w:val="00E3660D"/>
    <w:rsid w:val="00E406A4"/>
    <w:rsid w:val="00E417A1"/>
    <w:rsid w:val="00E4212F"/>
    <w:rsid w:val="00E4220A"/>
    <w:rsid w:val="00E429ED"/>
    <w:rsid w:val="00E43EE2"/>
    <w:rsid w:val="00E4569F"/>
    <w:rsid w:val="00E4627E"/>
    <w:rsid w:val="00E462CA"/>
    <w:rsid w:val="00E46870"/>
    <w:rsid w:val="00E46959"/>
    <w:rsid w:val="00E469FC"/>
    <w:rsid w:val="00E46AF5"/>
    <w:rsid w:val="00E47ED5"/>
    <w:rsid w:val="00E503CE"/>
    <w:rsid w:val="00E50B26"/>
    <w:rsid w:val="00E50B4D"/>
    <w:rsid w:val="00E50F69"/>
    <w:rsid w:val="00E510A5"/>
    <w:rsid w:val="00E510C7"/>
    <w:rsid w:val="00E5157C"/>
    <w:rsid w:val="00E516CA"/>
    <w:rsid w:val="00E52072"/>
    <w:rsid w:val="00E521F4"/>
    <w:rsid w:val="00E52DFE"/>
    <w:rsid w:val="00E53B5C"/>
    <w:rsid w:val="00E5615B"/>
    <w:rsid w:val="00E564C4"/>
    <w:rsid w:val="00E56B4C"/>
    <w:rsid w:val="00E56E62"/>
    <w:rsid w:val="00E5707B"/>
    <w:rsid w:val="00E57631"/>
    <w:rsid w:val="00E6127D"/>
    <w:rsid w:val="00E61394"/>
    <w:rsid w:val="00E61767"/>
    <w:rsid w:val="00E61E86"/>
    <w:rsid w:val="00E63153"/>
    <w:rsid w:val="00E644EE"/>
    <w:rsid w:val="00E64F55"/>
    <w:rsid w:val="00E65170"/>
    <w:rsid w:val="00E662C1"/>
    <w:rsid w:val="00E67F29"/>
    <w:rsid w:val="00E702B7"/>
    <w:rsid w:val="00E70562"/>
    <w:rsid w:val="00E70EBA"/>
    <w:rsid w:val="00E7109D"/>
    <w:rsid w:val="00E72D93"/>
    <w:rsid w:val="00E7326F"/>
    <w:rsid w:val="00E73605"/>
    <w:rsid w:val="00E73A6C"/>
    <w:rsid w:val="00E7488F"/>
    <w:rsid w:val="00E76B1F"/>
    <w:rsid w:val="00E77B65"/>
    <w:rsid w:val="00E80FE7"/>
    <w:rsid w:val="00E81B1A"/>
    <w:rsid w:val="00E81D03"/>
    <w:rsid w:val="00E8243A"/>
    <w:rsid w:val="00E82779"/>
    <w:rsid w:val="00E82C7F"/>
    <w:rsid w:val="00E83BAC"/>
    <w:rsid w:val="00E83E9F"/>
    <w:rsid w:val="00E84672"/>
    <w:rsid w:val="00E84C5B"/>
    <w:rsid w:val="00E85609"/>
    <w:rsid w:val="00E85699"/>
    <w:rsid w:val="00E858E9"/>
    <w:rsid w:val="00E862D9"/>
    <w:rsid w:val="00E866A7"/>
    <w:rsid w:val="00E86749"/>
    <w:rsid w:val="00E867D5"/>
    <w:rsid w:val="00E87B9D"/>
    <w:rsid w:val="00E90607"/>
    <w:rsid w:val="00E90ACC"/>
    <w:rsid w:val="00E90C29"/>
    <w:rsid w:val="00E90D94"/>
    <w:rsid w:val="00E91653"/>
    <w:rsid w:val="00E91F9C"/>
    <w:rsid w:val="00E91FF5"/>
    <w:rsid w:val="00E9233F"/>
    <w:rsid w:val="00E93281"/>
    <w:rsid w:val="00E93B69"/>
    <w:rsid w:val="00E93F90"/>
    <w:rsid w:val="00E947F3"/>
    <w:rsid w:val="00E964BC"/>
    <w:rsid w:val="00E966C7"/>
    <w:rsid w:val="00E968A0"/>
    <w:rsid w:val="00E973BE"/>
    <w:rsid w:val="00E97CD9"/>
    <w:rsid w:val="00EA09AB"/>
    <w:rsid w:val="00EA0C91"/>
    <w:rsid w:val="00EA14EC"/>
    <w:rsid w:val="00EA1B69"/>
    <w:rsid w:val="00EA2341"/>
    <w:rsid w:val="00EA246D"/>
    <w:rsid w:val="00EA25B8"/>
    <w:rsid w:val="00EA2EF9"/>
    <w:rsid w:val="00EA48A2"/>
    <w:rsid w:val="00EB01EE"/>
    <w:rsid w:val="00EB021B"/>
    <w:rsid w:val="00EB02F2"/>
    <w:rsid w:val="00EB0701"/>
    <w:rsid w:val="00EB1186"/>
    <w:rsid w:val="00EB1B22"/>
    <w:rsid w:val="00EB25E6"/>
    <w:rsid w:val="00EB3FF5"/>
    <w:rsid w:val="00EB4572"/>
    <w:rsid w:val="00EB6022"/>
    <w:rsid w:val="00EB6186"/>
    <w:rsid w:val="00EB7613"/>
    <w:rsid w:val="00EB7DB1"/>
    <w:rsid w:val="00EC03D8"/>
    <w:rsid w:val="00EC0A60"/>
    <w:rsid w:val="00EC0C13"/>
    <w:rsid w:val="00EC13C7"/>
    <w:rsid w:val="00EC27F0"/>
    <w:rsid w:val="00EC2CDB"/>
    <w:rsid w:val="00EC3516"/>
    <w:rsid w:val="00EC3983"/>
    <w:rsid w:val="00EC4B7C"/>
    <w:rsid w:val="00EC4D49"/>
    <w:rsid w:val="00EC4DAE"/>
    <w:rsid w:val="00EC5140"/>
    <w:rsid w:val="00EC57A4"/>
    <w:rsid w:val="00ED00A9"/>
    <w:rsid w:val="00ED1376"/>
    <w:rsid w:val="00ED159E"/>
    <w:rsid w:val="00ED26EB"/>
    <w:rsid w:val="00ED360E"/>
    <w:rsid w:val="00ED361B"/>
    <w:rsid w:val="00ED3BF7"/>
    <w:rsid w:val="00ED429C"/>
    <w:rsid w:val="00ED48DB"/>
    <w:rsid w:val="00ED49EE"/>
    <w:rsid w:val="00ED537D"/>
    <w:rsid w:val="00ED63D2"/>
    <w:rsid w:val="00ED6732"/>
    <w:rsid w:val="00ED7060"/>
    <w:rsid w:val="00ED72DA"/>
    <w:rsid w:val="00ED7CF0"/>
    <w:rsid w:val="00EE11AE"/>
    <w:rsid w:val="00EE1C5B"/>
    <w:rsid w:val="00EE24BC"/>
    <w:rsid w:val="00EE26F5"/>
    <w:rsid w:val="00EE2EFB"/>
    <w:rsid w:val="00EE372C"/>
    <w:rsid w:val="00EE37A5"/>
    <w:rsid w:val="00EE3A68"/>
    <w:rsid w:val="00EE3C60"/>
    <w:rsid w:val="00EE4236"/>
    <w:rsid w:val="00EE441A"/>
    <w:rsid w:val="00EE4612"/>
    <w:rsid w:val="00EE46FB"/>
    <w:rsid w:val="00EE4F5F"/>
    <w:rsid w:val="00EE5663"/>
    <w:rsid w:val="00EE6C98"/>
    <w:rsid w:val="00EF1771"/>
    <w:rsid w:val="00EF2C6C"/>
    <w:rsid w:val="00EF31C8"/>
    <w:rsid w:val="00EF392B"/>
    <w:rsid w:val="00EF3996"/>
    <w:rsid w:val="00EF5022"/>
    <w:rsid w:val="00EF5BA0"/>
    <w:rsid w:val="00F006CC"/>
    <w:rsid w:val="00F0088D"/>
    <w:rsid w:val="00F00A82"/>
    <w:rsid w:val="00F01DEC"/>
    <w:rsid w:val="00F02640"/>
    <w:rsid w:val="00F031B7"/>
    <w:rsid w:val="00F032C7"/>
    <w:rsid w:val="00F034F7"/>
    <w:rsid w:val="00F04B7D"/>
    <w:rsid w:val="00F05406"/>
    <w:rsid w:val="00F06D05"/>
    <w:rsid w:val="00F07025"/>
    <w:rsid w:val="00F0704F"/>
    <w:rsid w:val="00F0744F"/>
    <w:rsid w:val="00F10A0C"/>
    <w:rsid w:val="00F123D5"/>
    <w:rsid w:val="00F1311C"/>
    <w:rsid w:val="00F13503"/>
    <w:rsid w:val="00F14045"/>
    <w:rsid w:val="00F146F5"/>
    <w:rsid w:val="00F14B0B"/>
    <w:rsid w:val="00F154D1"/>
    <w:rsid w:val="00F16C94"/>
    <w:rsid w:val="00F20626"/>
    <w:rsid w:val="00F20DAD"/>
    <w:rsid w:val="00F218E0"/>
    <w:rsid w:val="00F224DB"/>
    <w:rsid w:val="00F22992"/>
    <w:rsid w:val="00F22D86"/>
    <w:rsid w:val="00F240A5"/>
    <w:rsid w:val="00F25442"/>
    <w:rsid w:val="00F25838"/>
    <w:rsid w:val="00F25992"/>
    <w:rsid w:val="00F259A7"/>
    <w:rsid w:val="00F278BD"/>
    <w:rsid w:val="00F3076A"/>
    <w:rsid w:val="00F309FB"/>
    <w:rsid w:val="00F3213F"/>
    <w:rsid w:val="00F3234B"/>
    <w:rsid w:val="00F33B80"/>
    <w:rsid w:val="00F36F66"/>
    <w:rsid w:val="00F371F6"/>
    <w:rsid w:val="00F37560"/>
    <w:rsid w:val="00F37C55"/>
    <w:rsid w:val="00F4000A"/>
    <w:rsid w:val="00F411FE"/>
    <w:rsid w:val="00F41EEE"/>
    <w:rsid w:val="00F420D1"/>
    <w:rsid w:val="00F423AD"/>
    <w:rsid w:val="00F4275E"/>
    <w:rsid w:val="00F44345"/>
    <w:rsid w:val="00F44595"/>
    <w:rsid w:val="00F44FDC"/>
    <w:rsid w:val="00F45D73"/>
    <w:rsid w:val="00F45EEA"/>
    <w:rsid w:val="00F461C7"/>
    <w:rsid w:val="00F46C3D"/>
    <w:rsid w:val="00F47E0D"/>
    <w:rsid w:val="00F50429"/>
    <w:rsid w:val="00F51931"/>
    <w:rsid w:val="00F51E1B"/>
    <w:rsid w:val="00F525DE"/>
    <w:rsid w:val="00F53104"/>
    <w:rsid w:val="00F53FE7"/>
    <w:rsid w:val="00F54198"/>
    <w:rsid w:val="00F543E2"/>
    <w:rsid w:val="00F54D02"/>
    <w:rsid w:val="00F54E34"/>
    <w:rsid w:val="00F54F6B"/>
    <w:rsid w:val="00F55567"/>
    <w:rsid w:val="00F570FC"/>
    <w:rsid w:val="00F57121"/>
    <w:rsid w:val="00F57126"/>
    <w:rsid w:val="00F573FB"/>
    <w:rsid w:val="00F57A7B"/>
    <w:rsid w:val="00F611DA"/>
    <w:rsid w:val="00F616EB"/>
    <w:rsid w:val="00F61938"/>
    <w:rsid w:val="00F62A38"/>
    <w:rsid w:val="00F63569"/>
    <w:rsid w:val="00F6490A"/>
    <w:rsid w:val="00F64BE5"/>
    <w:rsid w:val="00F64D60"/>
    <w:rsid w:val="00F6557B"/>
    <w:rsid w:val="00F658F9"/>
    <w:rsid w:val="00F65EE6"/>
    <w:rsid w:val="00F6600F"/>
    <w:rsid w:val="00F6648B"/>
    <w:rsid w:val="00F66BAE"/>
    <w:rsid w:val="00F66C77"/>
    <w:rsid w:val="00F67534"/>
    <w:rsid w:val="00F67B9D"/>
    <w:rsid w:val="00F719F3"/>
    <w:rsid w:val="00F71FF1"/>
    <w:rsid w:val="00F72CE1"/>
    <w:rsid w:val="00F73409"/>
    <w:rsid w:val="00F74ABB"/>
    <w:rsid w:val="00F74D7B"/>
    <w:rsid w:val="00F75474"/>
    <w:rsid w:val="00F76183"/>
    <w:rsid w:val="00F7696B"/>
    <w:rsid w:val="00F77366"/>
    <w:rsid w:val="00F77566"/>
    <w:rsid w:val="00F77EF8"/>
    <w:rsid w:val="00F80805"/>
    <w:rsid w:val="00F811F6"/>
    <w:rsid w:val="00F813FD"/>
    <w:rsid w:val="00F81DE7"/>
    <w:rsid w:val="00F81E3F"/>
    <w:rsid w:val="00F82246"/>
    <w:rsid w:val="00F8258B"/>
    <w:rsid w:val="00F834EF"/>
    <w:rsid w:val="00F846D2"/>
    <w:rsid w:val="00F85383"/>
    <w:rsid w:val="00F85389"/>
    <w:rsid w:val="00F856DD"/>
    <w:rsid w:val="00F85BFF"/>
    <w:rsid w:val="00F85FFA"/>
    <w:rsid w:val="00F873B4"/>
    <w:rsid w:val="00F8751F"/>
    <w:rsid w:val="00F87FD7"/>
    <w:rsid w:val="00F91078"/>
    <w:rsid w:val="00F914E0"/>
    <w:rsid w:val="00F9156F"/>
    <w:rsid w:val="00F917C1"/>
    <w:rsid w:val="00F91B56"/>
    <w:rsid w:val="00F9272E"/>
    <w:rsid w:val="00F92BD6"/>
    <w:rsid w:val="00F9301D"/>
    <w:rsid w:val="00F936AC"/>
    <w:rsid w:val="00F938A7"/>
    <w:rsid w:val="00F93F81"/>
    <w:rsid w:val="00F9421B"/>
    <w:rsid w:val="00F946A9"/>
    <w:rsid w:val="00F9485B"/>
    <w:rsid w:val="00F948A6"/>
    <w:rsid w:val="00F959FA"/>
    <w:rsid w:val="00F961F0"/>
    <w:rsid w:val="00F96970"/>
    <w:rsid w:val="00F97511"/>
    <w:rsid w:val="00FA09CC"/>
    <w:rsid w:val="00FA0EED"/>
    <w:rsid w:val="00FA1822"/>
    <w:rsid w:val="00FA2F86"/>
    <w:rsid w:val="00FA369E"/>
    <w:rsid w:val="00FA542D"/>
    <w:rsid w:val="00FA5ED3"/>
    <w:rsid w:val="00FA5EEB"/>
    <w:rsid w:val="00FA6205"/>
    <w:rsid w:val="00FA65F0"/>
    <w:rsid w:val="00FB04E0"/>
    <w:rsid w:val="00FB0BD6"/>
    <w:rsid w:val="00FB1723"/>
    <w:rsid w:val="00FB23BC"/>
    <w:rsid w:val="00FB4D8D"/>
    <w:rsid w:val="00FB525F"/>
    <w:rsid w:val="00FB5C82"/>
    <w:rsid w:val="00FB5F2F"/>
    <w:rsid w:val="00FB60AB"/>
    <w:rsid w:val="00FB6622"/>
    <w:rsid w:val="00FB67AE"/>
    <w:rsid w:val="00FB6BBC"/>
    <w:rsid w:val="00FB6F06"/>
    <w:rsid w:val="00FB7484"/>
    <w:rsid w:val="00FB75AC"/>
    <w:rsid w:val="00FC1ABE"/>
    <w:rsid w:val="00FC36DE"/>
    <w:rsid w:val="00FC3F3F"/>
    <w:rsid w:val="00FC40F1"/>
    <w:rsid w:val="00FC4862"/>
    <w:rsid w:val="00FC4968"/>
    <w:rsid w:val="00FC6649"/>
    <w:rsid w:val="00FC6C2C"/>
    <w:rsid w:val="00FD0126"/>
    <w:rsid w:val="00FD06A4"/>
    <w:rsid w:val="00FD06EC"/>
    <w:rsid w:val="00FD1119"/>
    <w:rsid w:val="00FD11A5"/>
    <w:rsid w:val="00FD12B3"/>
    <w:rsid w:val="00FD133D"/>
    <w:rsid w:val="00FD1AD1"/>
    <w:rsid w:val="00FD2A4F"/>
    <w:rsid w:val="00FD2F48"/>
    <w:rsid w:val="00FD35AA"/>
    <w:rsid w:val="00FD4589"/>
    <w:rsid w:val="00FD4653"/>
    <w:rsid w:val="00FD46D6"/>
    <w:rsid w:val="00FD6A5A"/>
    <w:rsid w:val="00FD7AA5"/>
    <w:rsid w:val="00FD7CFB"/>
    <w:rsid w:val="00FD7F9A"/>
    <w:rsid w:val="00FD7FFE"/>
    <w:rsid w:val="00FE0331"/>
    <w:rsid w:val="00FE18B7"/>
    <w:rsid w:val="00FE1974"/>
    <w:rsid w:val="00FE29E2"/>
    <w:rsid w:val="00FE36F8"/>
    <w:rsid w:val="00FE431A"/>
    <w:rsid w:val="00FE4526"/>
    <w:rsid w:val="00FE5147"/>
    <w:rsid w:val="00FE70F9"/>
    <w:rsid w:val="00FF2E95"/>
    <w:rsid w:val="00FF4127"/>
    <w:rsid w:val="00FF422B"/>
    <w:rsid w:val="00FF4DA5"/>
    <w:rsid w:val="00FF5320"/>
    <w:rsid w:val="00FF56B4"/>
    <w:rsid w:val="00FF5E54"/>
    <w:rsid w:val="00FF60EC"/>
    <w:rsid w:val="01063575"/>
    <w:rsid w:val="01087A2D"/>
    <w:rsid w:val="012F162B"/>
    <w:rsid w:val="01344310"/>
    <w:rsid w:val="0150476F"/>
    <w:rsid w:val="0179A29F"/>
    <w:rsid w:val="018B9220"/>
    <w:rsid w:val="0194DF1D"/>
    <w:rsid w:val="01B4C40B"/>
    <w:rsid w:val="01E9DDF1"/>
    <w:rsid w:val="0256E06F"/>
    <w:rsid w:val="025C4C4B"/>
    <w:rsid w:val="027670D1"/>
    <w:rsid w:val="03021B42"/>
    <w:rsid w:val="03481FBD"/>
    <w:rsid w:val="03EA3103"/>
    <w:rsid w:val="03EF2E9C"/>
    <w:rsid w:val="04369C37"/>
    <w:rsid w:val="043B2F16"/>
    <w:rsid w:val="043D8B23"/>
    <w:rsid w:val="04704748"/>
    <w:rsid w:val="04744FC1"/>
    <w:rsid w:val="049B697B"/>
    <w:rsid w:val="04A76728"/>
    <w:rsid w:val="04BAA921"/>
    <w:rsid w:val="05070E35"/>
    <w:rsid w:val="0534A627"/>
    <w:rsid w:val="053D855E"/>
    <w:rsid w:val="06185CCF"/>
    <w:rsid w:val="06219647"/>
    <w:rsid w:val="062C9259"/>
    <w:rsid w:val="06332ECE"/>
    <w:rsid w:val="0643B6E5"/>
    <w:rsid w:val="0682079D"/>
    <w:rsid w:val="06D52CA7"/>
    <w:rsid w:val="072FFC8C"/>
    <w:rsid w:val="073AD01C"/>
    <w:rsid w:val="07472118"/>
    <w:rsid w:val="078B334C"/>
    <w:rsid w:val="07A1F0FD"/>
    <w:rsid w:val="07AB9958"/>
    <w:rsid w:val="07D2D759"/>
    <w:rsid w:val="07DFB964"/>
    <w:rsid w:val="07F0BC6E"/>
    <w:rsid w:val="08090FAE"/>
    <w:rsid w:val="083366BF"/>
    <w:rsid w:val="087A3C0A"/>
    <w:rsid w:val="08829CA4"/>
    <w:rsid w:val="0890BBC2"/>
    <w:rsid w:val="08C2E595"/>
    <w:rsid w:val="08F23EAA"/>
    <w:rsid w:val="08FA0D5A"/>
    <w:rsid w:val="0909D370"/>
    <w:rsid w:val="09471E32"/>
    <w:rsid w:val="09739A67"/>
    <w:rsid w:val="099D4A26"/>
    <w:rsid w:val="09B0B1EE"/>
    <w:rsid w:val="09C26A0E"/>
    <w:rsid w:val="09C27316"/>
    <w:rsid w:val="09CB52FB"/>
    <w:rsid w:val="09CF3FD9"/>
    <w:rsid w:val="0A2BA226"/>
    <w:rsid w:val="0A2EA914"/>
    <w:rsid w:val="0A93A510"/>
    <w:rsid w:val="0AC6697B"/>
    <w:rsid w:val="0B54E9EA"/>
    <w:rsid w:val="0B9BFFBD"/>
    <w:rsid w:val="0BF8ABF1"/>
    <w:rsid w:val="0C28E34D"/>
    <w:rsid w:val="0CBB8579"/>
    <w:rsid w:val="0CC2A0E9"/>
    <w:rsid w:val="0D15A6FA"/>
    <w:rsid w:val="0D8EFF58"/>
    <w:rsid w:val="0D9E337C"/>
    <w:rsid w:val="0DD5BCAF"/>
    <w:rsid w:val="0E3FA96B"/>
    <w:rsid w:val="0E4E3152"/>
    <w:rsid w:val="0E614809"/>
    <w:rsid w:val="0EC9BF96"/>
    <w:rsid w:val="0EF9D3EC"/>
    <w:rsid w:val="0F610426"/>
    <w:rsid w:val="0F64678E"/>
    <w:rsid w:val="0F652C30"/>
    <w:rsid w:val="0F6BB646"/>
    <w:rsid w:val="0FBD010A"/>
    <w:rsid w:val="0FDC9115"/>
    <w:rsid w:val="10061977"/>
    <w:rsid w:val="1099FCA7"/>
    <w:rsid w:val="10F4CC8C"/>
    <w:rsid w:val="110449ED"/>
    <w:rsid w:val="112486BA"/>
    <w:rsid w:val="112F908E"/>
    <w:rsid w:val="113614E7"/>
    <w:rsid w:val="11E31AD4"/>
    <w:rsid w:val="11F54A52"/>
    <w:rsid w:val="12804C83"/>
    <w:rsid w:val="1291CBDD"/>
    <w:rsid w:val="12D310AC"/>
    <w:rsid w:val="12F8545B"/>
    <w:rsid w:val="130AC8D4"/>
    <w:rsid w:val="131CF05B"/>
    <w:rsid w:val="1364F78C"/>
    <w:rsid w:val="137D7083"/>
    <w:rsid w:val="13977659"/>
    <w:rsid w:val="13EFFFA4"/>
    <w:rsid w:val="13F00A5B"/>
    <w:rsid w:val="13FC5829"/>
    <w:rsid w:val="14092696"/>
    <w:rsid w:val="1439B604"/>
    <w:rsid w:val="14466FFB"/>
    <w:rsid w:val="144BEE9F"/>
    <w:rsid w:val="147854A9"/>
    <w:rsid w:val="147A580A"/>
    <w:rsid w:val="14BBE067"/>
    <w:rsid w:val="14CC34AB"/>
    <w:rsid w:val="1511A99C"/>
    <w:rsid w:val="151443DE"/>
    <w:rsid w:val="152C9CCD"/>
    <w:rsid w:val="1531D389"/>
    <w:rsid w:val="15469508"/>
    <w:rsid w:val="1557A2FA"/>
    <w:rsid w:val="157BBEDC"/>
    <w:rsid w:val="158A5AE7"/>
    <w:rsid w:val="15A33C25"/>
    <w:rsid w:val="15BE460C"/>
    <w:rsid w:val="15E7BF2D"/>
    <w:rsid w:val="16522B8D"/>
    <w:rsid w:val="16A89947"/>
    <w:rsid w:val="16C15054"/>
    <w:rsid w:val="16D7BEDF"/>
    <w:rsid w:val="16F28A62"/>
    <w:rsid w:val="17039E65"/>
    <w:rsid w:val="170F971F"/>
    <w:rsid w:val="1720120A"/>
    <w:rsid w:val="1750A695"/>
    <w:rsid w:val="176545C3"/>
    <w:rsid w:val="179F6CB1"/>
    <w:rsid w:val="17B02ED0"/>
    <w:rsid w:val="17E88B84"/>
    <w:rsid w:val="18130152"/>
    <w:rsid w:val="1864FAF2"/>
    <w:rsid w:val="186AFA3D"/>
    <w:rsid w:val="1875F093"/>
    <w:rsid w:val="18C4068B"/>
    <w:rsid w:val="18E96E03"/>
    <w:rsid w:val="18F9DB4B"/>
    <w:rsid w:val="195B6274"/>
    <w:rsid w:val="19684DDE"/>
    <w:rsid w:val="199871A3"/>
    <w:rsid w:val="19B7D4D4"/>
    <w:rsid w:val="19DAFECD"/>
    <w:rsid w:val="19E55052"/>
    <w:rsid w:val="1A273076"/>
    <w:rsid w:val="1A2B7C67"/>
    <w:rsid w:val="1A31CF25"/>
    <w:rsid w:val="1A590AEB"/>
    <w:rsid w:val="1A94BE66"/>
    <w:rsid w:val="1A9DFBB3"/>
    <w:rsid w:val="1AB15E45"/>
    <w:rsid w:val="1AB628F7"/>
    <w:rsid w:val="1B0A6A39"/>
    <w:rsid w:val="1B143381"/>
    <w:rsid w:val="1B4B124E"/>
    <w:rsid w:val="1B77C2D0"/>
    <w:rsid w:val="1B96896F"/>
    <w:rsid w:val="1BA4D981"/>
    <w:rsid w:val="1BC4F34A"/>
    <w:rsid w:val="1BEE8105"/>
    <w:rsid w:val="1C5C39B2"/>
    <w:rsid w:val="1C7929D1"/>
    <w:rsid w:val="1C8EF74A"/>
    <w:rsid w:val="1CC999BA"/>
    <w:rsid w:val="1CD504FC"/>
    <w:rsid w:val="1CF41711"/>
    <w:rsid w:val="1D116AA6"/>
    <w:rsid w:val="1D335FDC"/>
    <w:rsid w:val="1D41D9D2"/>
    <w:rsid w:val="1D797D1C"/>
    <w:rsid w:val="1DEC7ADA"/>
    <w:rsid w:val="1DEE311B"/>
    <w:rsid w:val="1E29F501"/>
    <w:rsid w:val="1E5582BD"/>
    <w:rsid w:val="1EB8BF44"/>
    <w:rsid w:val="1EB8C175"/>
    <w:rsid w:val="1EBCAAAD"/>
    <w:rsid w:val="1EC64C79"/>
    <w:rsid w:val="1F06D6E0"/>
    <w:rsid w:val="1F3FDB9F"/>
    <w:rsid w:val="1F5E112B"/>
    <w:rsid w:val="1F8585CB"/>
    <w:rsid w:val="1F8B7DEF"/>
    <w:rsid w:val="2049C0F2"/>
    <w:rsid w:val="205D3B38"/>
    <w:rsid w:val="206859B6"/>
    <w:rsid w:val="20B61AE5"/>
    <w:rsid w:val="20D4671F"/>
    <w:rsid w:val="2103A345"/>
    <w:rsid w:val="2104143B"/>
    <w:rsid w:val="216E5AC5"/>
    <w:rsid w:val="218FD1CC"/>
    <w:rsid w:val="21C1BD07"/>
    <w:rsid w:val="21CD52BB"/>
    <w:rsid w:val="21EF4C6D"/>
    <w:rsid w:val="22105083"/>
    <w:rsid w:val="22168275"/>
    <w:rsid w:val="2234C1AE"/>
    <w:rsid w:val="2261BF30"/>
    <w:rsid w:val="22A1F119"/>
    <w:rsid w:val="234C2B2B"/>
    <w:rsid w:val="235C49A1"/>
    <w:rsid w:val="236C9673"/>
    <w:rsid w:val="237EFFBA"/>
    <w:rsid w:val="23B68713"/>
    <w:rsid w:val="2415DD3F"/>
    <w:rsid w:val="2432CCAE"/>
    <w:rsid w:val="244EDBAA"/>
    <w:rsid w:val="2480464C"/>
    <w:rsid w:val="248814E7"/>
    <w:rsid w:val="24E87FAF"/>
    <w:rsid w:val="252300F4"/>
    <w:rsid w:val="2556E82F"/>
    <w:rsid w:val="255C3081"/>
    <w:rsid w:val="2577963E"/>
    <w:rsid w:val="257D7E61"/>
    <w:rsid w:val="25B14D1C"/>
    <w:rsid w:val="25BF1B06"/>
    <w:rsid w:val="25CCBA6E"/>
    <w:rsid w:val="25FEC758"/>
    <w:rsid w:val="263AE241"/>
    <w:rsid w:val="263E0D75"/>
    <w:rsid w:val="265EBBFA"/>
    <w:rsid w:val="268CD47D"/>
    <w:rsid w:val="2699594C"/>
    <w:rsid w:val="26A31412"/>
    <w:rsid w:val="26A3E900"/>
    <w:rsid w:val="26BBA98C"/>
    <w:rsid w:val="26FDAE94"/>
    <w:rsid w:val="270E2E09"/>
    <w:rsid w:val="272CB3C1"/>
    <w:rsid w:val="27DC8E35"/>
    <w:rsid w:val="280B9D04"/>
    <w:rsid w:val="2816F173"/>
    <w:rsid w:val="283A06DF"/>
    <w:rsid w:val="2874D237"/>
    <w:rsid w:val="288F1017"/>
    <w:rsid w:val="28923643"/>
    <w:rsid w:val="28F0BF6E"/>
    <w:rsid w:val="2900C54A"/>
    <w:rsid w:val="290BB3A9"/>
    <w:rsid w:val="2970265A"/>
    <w:rsid w:val="29B1683E"/>
    <w:rsid w:val="2A33B6AC"/>
    <w:rsid w:val="2A496DB7"/>
    <w:rsid w:val="2A590BAC"/>
    <w:rsid w:val="2A821293"/>
    <w:rsid w:val="2AE139BB"/>
    <w:rsid w:val="2AECE575"/>
    <w:rsid w:val="2B2324FD"/>
    <w:rsid w:val="2B27938B"/>
    <w:rsid w:val="2B2AFCC8"/>
    <w:rsid w:val="2B3C4141"/>
    <w:rsid w:val="2B6E26F7"/>
    <w:rsid w:val="2B7BCEDD"/>
    <w:rsid w:val="2B857CC6"/>
    <w:rsid w:val="2BBE64E8"/>
    <w:rsid w:val="2C148960"/>
    <w:rsid w:val="2C1E20A8"/>
    <w:rsid w:val="2C287950"/>
    <w:rsid w:val="2C2F836D"/>
    <w:rsid w:val="2C392703"/>
    <w:rsid w:val="2C5BE977"/>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5205E"/>
    <w:rsid w:val="2F692FD8"/>
    <w:rsid w:val="2F7AF954"/>
    <w:rsid w:val="2F835EC8"/>
    <w:rsid w:val="2FC4942D"/>
    <w:rsid w:val="2FDC21A0"/>
    <w:rsid w:val="3004E732"/>
    <w:rsid w:val="306D8536"/>
    <w:rsid w:val="30D498E2"/>
    <w:rsid w:val="30E22E7D"/>
    <w:rsid w:val="30F889FD"/>
    <w:rsid w:val="30FB6CAC"/>
    <w:rsid w:val="315E329F"/>
    <w:rsid w:val="3166FDE8"/>
    <w:rsid w:val="3168DB98"/>
    <w:rsid w:val="31713A35"/>
    <w:rsid w:val="317CEA4F"/>
    <w:rsid w:val="318120C4"/>
    <w:rsid w:val="31A04759"/>
    <w:rsid w:val="31A486F4"/>
    <w:rsid w:val="31CEB134"/>
    <w:rsid w:val="31D6FE52"/>
    <w:rsid w:val="31DE99DC"/>
    <w:rsid w:val="31DF96D1"/>
    <w:rsid w:val="31E55379"/>
    <w:rsid w:val="31F254F0"/>
    <w:rsid w:val="322D097C"/>
    <w:rsid w:val="326B51ED"/>
    <w:rsid w:val="327465D3"/>
    <w:rsid w:val="32753B3E"/>
    <w:rsid w:val="327A3798"/>
    <w:rsid w:val="3295E2D0"/>
    <w:rsid w:val="32A0CFF6"/>
    <w:rsid w:val="32F160F0"/>
    <w:rsid w:val="331B0A3D"/>
    <w:rsid w:val="33938258"/>
    <w:rsid w:val="339FE1AC"/>
    <w:rsid w:val="33B0B6BD"/>
    <w:rsid w:val="33C3E176"/>
    <w:rsid w:val="33EC12AE"/>
    <w:rsid w:val="340BD25A"/>
    <w:rsid w:val="346D6F8C"/>
    <w:rsid w:val="3498ADF4"/>
    <w:rsid w:val="35153716"/>
    <w:rsid w:val="354FECCC"/>
    <w:rsid w:val="3594478A"/>
    <w:rsid w:val="35EA136D"/>
    <w:rsid w:val="35F2F67E"/>
    <w:rsid w:val="361DA809"/>
    <w:rsid w:val="362D90F7"/>
    <w:rsid w:val="363204CC"/>
    <w:rsid w:val="3692D43B"/>
    <w:rsid w:val="3710D37D"/>
    <w:rsid w:val="3726B5CD"/>
    <w:rsid w:val="376C6C59"/>
    <w:rsid w:val="3789F92C"/>
    <w:rsid w:val="380562C7"/>
    <w:rsid w:val="38308C13"/>
    <w:rsid w:val="38359477"/>
    <w:rsid w:val="38487D73"/>
    <w:rsid w:val="38719E40"/>
    <w:rsid w:val="38734BE6"/>
    <w:rsid w:val="387DFC27"/>
    <w:rsid w:val="38AEDA36"/>
    <w:rsid w:val="38B7FBED"/>
    <w:rsid w:val="38CDD4E3"/>
    <w:rsid w:val="38E30F60"/>
    <w:rsid w:val="38E863E2"/>
    <w:rsid w:val="39078BD9"/>
    <w:rsid w:val="394971AF"/>
    <w:rsid w:val="398E66C9"/>
    <w:rsid w:val="39A66344"/>
    <w:rsid w:val="39A75426"/>
    <w:rsid w:val="39F41808"/>
    <w:rsid w:val="39FB8250"/>
    <w:rsid w:val="3A5DFF3F"/>
    <w:rsid w:val="3A79FB15"/>
    <w:rsid w:val="3A9F05E2"/>
    <w:rsid w:val="3ABA10CD"/>
    <w:rsid w:val="3AD3A197"/>
    <w:rsid w:val="3B01C6FD"/>
    <w:rsid w:val="3B0A34D6"/>
    <w:rsid w:val="3B1E6D38"/>
    <w:rsid w:val="3B2277E6"/>
    <w:rsid w:val="3B362480"/>
    <w:rsid w:val="3B3854B5"/>
    <w:rsid w:val="3B467907"/>
    <w:rsid w:val="3B479929"/>
    <w:rsid w:val="3B651759"/>
    <w:rsid w:val="3B715CFB"/>
    <w:rsid w:val="3B7796DB"/>
    <w:rsid w:val="3BA2347E"/>
    <w:rsid w:val="3BC8069A"/>
    <w:rsid w:val="3C57A500"/>
    <w:rsid w:val="3CAD6EF9"/>
    <w:rsid w:val="3CD798EB"/>
    <w:rsid w:val="3CDB203E"/>
    <w:rsid w:val="3CED9495"/>
    <w:rsid w:val="3CFEB980"/>
    <w:rsid w:val="3D70BB04"/>
    <w:rsid w:val="3DBE9054"/>
    <w:rsid w:val="3E03E464"/>
    <w:rsid w:val="3E41497A"/>
    <w:rsid w:val="3E4C9FCE"/>
    <w:rsid w:val="3E51B8E5"/>
    <w:rsid w:val="3E874B1C"/>
    <w:rsid w:val="3E878879"/>
    <w:rsid w:val="3E9D2855"/>
    <w:rsid w:val="3EC1ED89"/>
    <w:rsid w:val="3EDE33A7"/>
    <w:rsid w:val="3EE7D729"/>
    <w:rsid w:val="3EE89F76"/>
    <w:rsid w:val="3EFECFF0"/>
    <w:rsid w:val="3F170951"/>
    <w:rsid w:val="3F5C0040"/>
    <w:rsid w:val="3FA7FC9A"/>
    <w:rsid w:val="3FC0AB51"/>
    <w:rsid w:val="3FF922DF"/>
    <w:rsid w:val="4061C06D"/>
    <w:rsid w:val="4067E256"/>
    <w:rsid w:val="40898F7C"/>
    <w:rsid w:val="40A2F509"/>
    <w:rsid w:val="40D6E5C2"/>
    <w:rsid w:val="41154428"/>
    <w:rsid w:val="412665F5"/>
    <w:rsid w:val="41279FD4"/>
    <w:rsid w:val="4157552C"/>
    <w:rsid w:val="4180817A"/>
    <w:rsid w:val="41B5D04E"/>
    <w:rsid w:val="41BE2393"/>
    <w:rsid w:val="420AD77C"/>
    <w:rsid w:val="42B2BDAC"/>
    <w:rsid w:val="42C4E2F0"/>
    <w:rsid w:val="42D79BD2"/>
    <w:rsid w:val="432312F3"/>
    <w:rsid w:val="4353389E"/>
    <w:rsid w:val="437130F0"/>
    <w:rsid w:val="438B0B8D"/>
    <w:rsid w:val="43950764"/>
    <w:rsid w:val="43B47571"/>
    <w:rsid w:val="43D12FD3"/>
    <w:rsid w:val="4403A191"/>
    <w:rsid w:val="4418F7F6"/>
    <w:rsid w:val="4424B1F1"/>
    <w:rsid w:val="44267D26"/>
    <w:rsid w:val="442EBE57"/>
    <w:rsid w:val="4455E053"/>
    <w:rsid w:val="44781C8D"/>
    <w:rsid w:val="44E538FD"/>
    <w:rsid w:val="44F07E68"/>
    <w:rsid w:val="44FA42EF"/>
    <w:rsid w:val="45065F5E"/>
    <w:rsid w:val="45837DEB"/>
    <w:rsid w:val="458A94B0"/>
    <w:rsid w:val="459B56EC"/>
    <w:rsid w:val="45BB1B0C"/>
    <w:rsid w:val="46304122"/>
    <w:rsid w:val="46439E93"/>
    <w:rsid w:val="4655D07D"/>
    <w:rsid w:val="466C05C6"/>
    <w:rsid w:val="46749DD6"/>
    <w:rsid w:val="4674B32E"/>
    <w:rsid w:val="46962EE2"/>
    <w:rsid w:val="46A49225"/>
    <w:rsid w:val="46D994D5"/>
    <w:rsid w:val="46F42BBD"/>
    <w:rsid w:val="47118AC2"/>
    <w:rsid w:val="472569CF"/>
    <w:rsid w:val="47373C51"/>
    <w:rsid w:val="47565D14"/>
    <w:rsid w:val="4782362F"/>
    <w:rsid w:val="47AA0543"/>
    <w:rsid w:val="47BC6759"/>
    <w:rsid w:val="47D86F1E"/>
    <w:rsid w:val="47DA2AEE"/>
    <w:rsid w:val="47F9F6CB"/>
    <w:rsid w:val="483EB5F3"/>
    <w:rsid w:val="486D9A13"/>
    <w:rsid w:val="48B24B71"/>
    <w:rsid w:val="48B54FC8"/>
    <w:rsid w:val="48BBC088"/>
    <w:rsid w:val="48C8E4B4"/>
    <w:rsid w:val="4901C0EA"/>
    <w:rsid w:val="490AA981"/>
    <w:rsid w:val="4952F718"/>
    <w:rsid w:val="495555A6"/>
    <w:rsid w:val="49645835"/>
    <w:rsid w:val="497BCE3F"/>
    <w:rsid w:val="4995611A"/>
    <w:rsid w:val="49A11A36"/>
    <w:rsid w:val="49C86C3B"/>
    <w:rsid w:val="49D754D7"/>
    <w:rsid w:val="49F5D098"/>
    <w:rsid w:val="49F7E010"/>
    <w:rsid w:val="49F9CD3A"/>
    <w:rsid w:val="4A50A07D"/>
    <w:rsid w:val="4A59C3B1"/>
    <w:rsid w:val="4ACC3D49"/>
    <w:rsid w:val="4AD2423C"/>
    <w:rsid w:val="4B314F74"/>
    <w:rsid w:val="4B461659"/>
    <w:rsid w:val="4B5DB30B"/>
    <w:rsid w:val="4B8EE060"/>
    <w:rsid w:val="4B924352"/>
    <w:rsid w:val="4BB47229"/>
    <w:rsid w:val="4BBCC0C8"/>
    <w:rsid w:val="4BCFA77C"/>
    <w:rsid w:val="4BEA1829"/>
    <w:rsid w:val="4C0F8EC6"/>
    <w:rsid w:val="4C441ABA"/>
    <w:rsid w:val="4C64D960"/>
    <w:rsid w:val="4C729A4E"/>
    <w:rsid w:val="4CA81462"/>
    <w:rsid w:val="4CC11D8E"/>
    <w:rsid w:val="4D0930E4"/>
    <w:rsid w:val="4D1BDAAC"/>
    <w:rsid w:val="4D6FF0BC"/>
    <w:rsid w:val="4D71D0D1"/>
    <w:rsid w:val="4D84887A"/>
    <w:rsid w:val="4DD4289A"/>
    <w:rsid w:val="4E48F670"/>
    <w:rsid w:val="4E8C1F86"/>
    <w:rsid w:val="4E8DC3E2"/>
    <w:rsid w:val="4E94EB1A"/>
    <w:rsid w:val="4EAD197B"/>
    <w:rsid w:val="4ECF9CC7"/>
    <w:rsid w:val="4ED792CD"/>
    <w:rsid w:val="4EF17771"/>
    <w:rsid w:val="4F177560"/>
    <w:rsid w:val="4F2FF5F5"/>
    <w:rsid w:val="4F36CF6B"/>
    <w:rsid w:val="4F4EFFD4"/>
    <w:rsid w:val="4F532F99"/>
    <w:rsid w:val="4F59E8EC"/>
    <w:rsid w:val="4F66330C"/>
    <w:rsid w:val="4F7CEB62"/>
    <w:rsid w:val="4F819974"/>
    <w:rsid w:val="4F966AB8"/>
    <w:rsid w:val="4F97CC36"/>
    <w:rsid w:val="4F982688"/>
    <w:rsid w:val="4FADFF7E"/>
    <w:rsid w:val="4FB2E4D5"/>
    <w:rsid w:val="4FC7DC62"/>
    <w:rsid w:val="5024313E"/>
    <w:rsid w:val="503EE4F6"/>
    <w:rsid w:val="50402EB1"/>
    <w:rsid w:val="5050CD9F"/>
    <w:rsid w:val="50C32761"/>
    <w:rsid w:val="50D09DD3"/>
    <w:rsid w:val="50DD5F81"/>
    <w:rsid w:val="50F72EC0"/>
    <w:rsid w:val="50FA6ECA"/>
    <w:rsid w:val="5104089E"/>
    <w:rsid w:val="510DDA2D"/>
    <w:rsid w:val="512C2D0D"/>
    <w:rsid w:val="5187D662"/>
    <w:rsid w:val="51A37481"/>
    <w:rsid w:val="51B632D5"/>
    <w:rsid w:val="5215C140"/>
    <w:rsid w:val="5231806A"/>
    <w:rsid w:val="52353AC6"/>
    <w:rsid w:val="525D8866"/>
    <w:rsid w:val="5273ABCF"/>
    <w:rsid w:val="52B73665"/>
    <w:rsid w:val="52F8023D"/>
    <w:rsid w:val="530D1348"/>
    <w:rsid w:val="5399E754"/>
    <w:rsid w:val="53CFD82B"/>
    <w:rsid w:val="53D7856A"/>
    <w:rsid w:val="53EB8021"/>
    <w:rsid w:val="543AB9DE"/>
    <w:rsid w:val="546271EF"/>
    <w:rsid w:val="5479E8BD"/>
    <w:rsid w:val="549E7CF4"/>
    <w:rsid w:val="54A6E63F"/>
    <w:rsid w:val="54C0BFEA"/>
    <w:rsid w:val="54F25D60"/>
    <w:rsid w:val="55084553"/>
    <w:rsid w:val="550FD613"/>
    <w:rsid w:val="55245693"/>
    <w:rsid w:val="557B94A3"/>
    <w:rsid w:val="55A5464F"/>
    <w:rsid w:val="561AE09A"/>
    <w:rsid w:val="56585D15"/>
    <w:rsid w:val="56622819"/>
    <w:rsid w:val="566697ED"/>
    <w:rsid w:val="5667D21F"/>
    <w:rsid w:val="568C61E1"/>
    <w:rsid w:val="569296E3"/>
    <w:rsid w:val="573485E2"/>
    <w:rsid w:val="573960B7"/>
    <w:rsid w:val="57550329"/>
    <w:rsid w:val="57650901"/>
    <w:rsid w:val="576C6966"/>
    <w:rsid w:val="577F09D6"/>
    <w:rsid w:val="57A551F7"/>
    <w:rsid w:val="57B156AE"/>
    <w:rsid w:val="580CC875"/>
    <w:rsid w:val="58A7E900"/>
    <w:rsid w:val="58AC182B"/>
    <w:rsid w:val="58CD8211"/>
    <w:rsid w:val="58CDA930"/>
    <w:rsid w:val="58D22F23"/>
    <w:rsid w:val="58E159BC"/>
    <w:rsid w:val="58EC3DB7"/>
    <w:rsid w:val="5990C82C"/>
    <w:rsid w:val="59CB8E59"/>
    <w:rsid w:val="59DCE919"/>
    <w:rsid w:val="59EFC636"/>
    <w:rsid w:val="5A01FBC4"/>
    <w:rsid w:val="5A2FFDC0"/>
    <w:rsid w:val="5A303B10"/>
    <w:rsid w:val="5A4B2150"/>
    <w:rsid w:val="5A904C62"/>
    <w:rsid w:val="5AA39EC1"/>
    <w:rsid w:val="5ABAF880"/>
    <w:rsid w:val="5AD34FBB"/>
    <w:rsid w:val="5B5A0769"/>
    <w:rsid w:val="5C196AE5"/>
    <w:rsid w:val="5C1FEAEA"/>
    <w:rsid w:val="5C61FA22"/>
    <w:rsid w:val="5C6834BE"/>
    <w:rsid w:val="5C6FE508"/>
    <w:rsid w:val="5CD1BF16"/>
    <w:rsid w:val="5CF6579B"/>
    <w:rsid w:val="5D67445A"/>
    <w:rsid w:val="5D6A6C87"/>
    <w:rsid w:val="5DE33F8A"/>
    <w:rsid w:val="5DE3E972"/>
    <w:rsid w:val="5E1F1BD5"/>
    <w:rsid w:val="5E54EE63"/>
    <w:rsid w:val="5E76C978"/>
    <w:rsid w:val="5EB3C6C3"/>
    <w:rsid w:val="5EB72D60"/>
    <w:rsid w:val="5EC3C158"/>
    <w:rsid w:val="5F055704"/>
    <w:rsid w:val="5F32A96B"/>
    <w:rsid w:val="5F572696"/>
    <w:rsid w:val="5F5CE01A"/>
    <w:rsid w:val="5FC7ACB3"/>
    <w:rsid w:val="5FCD17EA"/>
    <w:rsid w:val="5FFF8E82"/>
    <w:rsid w:val="6094B1EB"/>
    <w:rsid w:val="609B1832"/>
    <w:rsid w:val="609F7FD1"/>
    <w:rsid w:val="60AFFF03"/>
    <w:rsid w:val="60DC7E81"/>
    <w:rsid w:val="60E6FBAF"/>
    <w:rsid w:val="617561ED"/>
    <w:rsid w:val="62845D5F"/>
    <w:rsid w:val="628A3B9A"/>
    <w:rsid w:val="63379F7E"/>
    <w:rsid w:val="6383169F"/>
    <w:rsid w:val="63D1349C"/>
    <w:rsid w:val="63D17ABE"/>
    <w:rsid w:val="642990FC"/>
    <w:rsid w:val="646DFA1D"/>
    <w:rsid w:val="64E150B7"/>
    <w:rsid w:val="64EE9F8B"/>
    <w:rsid w:val="64F29C28"/>
    <w:rsid w:val="650F45D0"/>
    <w:rsid w:val="65184A55"/>
    <w:rsid w:val="653E4113"/>
    <w:rsid w:val="65535495"/>
    <w:rsid w:val="657A19E5"/>
    <w:rsid w:val="65953F0E"/>
    <w:rsid w:val="65B7BD68"/>
    <w:rsid w:val="65C2E52E"/>
    <w:rsid w:val="6604D3B3"/>
    <w:rsid w:val="66070A7F"/>
    <w:rsid w:val="6613D8E3"/>
    <w:rsid w:val="66425C61"/>
    <w:rsid w:val="664B370F"/>
    <w:rsid w:val="665458CB"/>
    <w:rsid w:val="66995CF4"/>
    <w:rsid w:val="66F33720"/>
    <w:rsid w:val="673921BC"/>
    <w:rsid w:val="678034D3"/>
    <w:rsid w:val="6791944C"/>
    <w:rsid w:val="68093B55"/>
    <w:rsid w:val="681D4DCF"/>
    <w:rsid w:val="68645168"/>
    <w:rsid w:val="688E0B40"/>
    <w:rsid w:val="68959810"/>
    <w:rsid w:val="68DF9697"/>
    <w:rsid w:val="69205CCB"/>
    <w:rsid w:val="6929A108"/>
    <w:rsid w:val="692C18BB"/>
    <w:rsid w:val="6939B83F"/>
    <w:rsid w:val="696C1845"/>
    <w:rsid w:val="696E1247"/>
    <w:rsid w:val="697B58F1"/>
    <w:rsid w:val="69987F55"/>
    <w:rsid w:val="69A90056"/>
    <w:rsid w:val="69DA9C1F"/>
    <w:rsid w:val="69EE95C6"/>
    <w:rsid w:val="6A166C7D"/>
    <w:rsid w:val="6A1CE860"/>
    <w:rsid w:val="6A32D12F"/>
    <w:rsid w:val="6A57409D"/>
    <w:rsid w:val="6A860412"/>
    <w:rsid w:val="6A9CC2A5"/>
    <w:rsid w:val="6A9E8F77"/>
    <w:rsid w:val="6AA80AF1"/>
    <w:rsid w:val="6AB0A429"/>
    <w:rsid w:val="6AE6B95B"/>
    <w:rsid w:val="6AEB26CF"/>
    <w:rsid w:val="6AECA9EC"/>
    <w:rsid w:val="6B149CF1"/>
    <w:rsid w:val="6B158881"/>
    <w:rsid w:val="6B1A660D"/>
    <w:rsid w:val="6B2A8525"/>
    <w:rsid w:val="6B2C40F5"/>
    <w:rsid w:val="6B2E336B"/>
    <w:rsid w:val="6B562A68"/>
    <w:rsid w:val="6B8ABD5E"/>
    <w:rsid w:val="6BB7BB53"/>
    <w:rsid w:val="6C675B3A"/>
    <w:rsid w:val="6CBCEC18"/>
    <w:rsid w:val="6CC992EB"/>
    <w:rsid w:val="6D00CD4D"/>
    <w:rsid w:val="6D0A4796"/>
    <w:rsid w:val="6D1A8F23"/>
    <w:rsid w:val="6D4800A1"/>
    <w:rsid w:val="6D9E9AA1"/>
    <w:rsid w:val="6DB48648"/>
    <w:rsid w:val="6E1662A8"/>
    <w:rsid w:val="6E2BF25F"/>
    <w:rsid w:val="6E792335"/>
    <w:rsid w:val="6E814291"/>
    <w:rsid w:val="6ED0E7C5"/>
    <w:rsid w:val="6F43B2DA"/>
    <w:rsid w:val="6F803610"/>
    <w:rsid w:val="6F933ED6"/>
    <w:rsid w:val="6FC5E190"/>
    <w:rsid w:val="7002F348"/>
    <w:rsid w:val="70280E54"/>
    <w:rsid w:val="702F0BF4"/>
    <w:rsid w:val="704B322B"/>
    <w:rsid w:val="707DF129"/>
    <w:rsid w:val="70ACC24C"/>
    <w:rsid w:val="70C84CE6"/>
    <w:rsid w:val="7116519F"/>
    <w:rsid w:val="71263EA1"/>
    <w:rsid w:val="716AF493"/>
    <w:rsid w:val="720FAABC"/>
    <w:rsid w:val="721DD8AD"/>
    <w:rsid w:val="7229A8D4"/>
    <w:rsid w:val="722A22DD"/>
    <w:rsid w:val="7231C830"/>
    <w:rsid w:val="72723725"/>
    <w:rsid w:val="72A45446"/>
    <w:rsid w:val="72A545A0"/>
    <w:rsid w:val="72D3AF7B"/>
    <w:rsid w:val="7316D814"/>
    <w:rsid w:val="73196021"/>
    <w:rsid w:val="7347854F"/>
    <w:rsid w:val="73494BFF"/>
    <w:rsid w:val="73563EF8"/>
    <w:rsid w:val="73CC9E15"/>
    <w:rsid w:val="742F7588"/>
    <w:rsid w:val="746EFFBD"/>
    <w:rsid w:val="74BCB0AC"/>
    <w:rsid w:val="74C0EB4A"/>
    <w:rsid w:val="74DC413A"/>
    <w:rsid w:val="74EE7F2F"/>
    <w:rsid w:val="7523DA8B"/>
    <w:rsid w:val="752E6AF1"/>
    <w:rsid w:val="7541EDF6"/>
    <w:rsid w:val="754702AE"/>
    <w:rsid w:val="757AB2F3"/>
    <w:rsid w:val="757AD398"/>
    <w:rsid w:val="7585A98F"/>
    <w:rsid w:val="75A77407"/>
    <w:rsid w:val="75DDF443"/>
    <w:rsid w:val="76094C6C"/>
    <w:rsid w:val="762249C5"/>
    <w:rsid w:val="7658A405"/>
    <w:rsid w:val="76AC4D72"/>
    <w:rsid w:val="76B0D29B"/>
    <w:rsid w:val="76B5D40F"/>
    <w:rsid w:val="76BD055B"/>
    <w:rsid w:val="76C16E0A"/>
    <w:rsid w:val="76DFB91D"/>
    <w:rsid w:val="76E0C63B"/>
    <w:rsid w:val="76E3C25C"/>
    <w:rsid w:val="771723A2"/>
    <w:rsid w:val="776BBE1E"/>
    <w:rsid w:val="77D3E841"/>
    <w:rsid w:val="78447367"/>
    <w:rsid w:val="78496ABE"/>
    <w:rsid w:val="787974ED"/>
    <w:rsid w:val="78BBD896"/>
    <w:rsid w:val="78CAAE62"/>
    <w:rsid w:val="79073701"/>
    <w:rsid w:val="793A7F9C"/>
    <w:rsid w:val="793B455B"/>
    <w:rsid w:val="794AFB26"/>
    <w:rsid w:val="7990960D"/>
    <w:rsid w:val="79C6C240"/>
    <w:rsid w:val="79D5C5DC"/>
    <w:rsid w:val="79DAA64C"/>
    <w:rsid w:val="79EFC3CA"/>
    <w:rsid w:val="7A112D0B"/>
    <w:rsid w:val="7A2E3046"/>
    <w:rsid w:val="7A43884B"/>
    <w:rsid w:val="7A5A3949"/>
    <w:rsid w:val="7A5E5876"/>
    <w:rsid w:val="7A79CC79"/>
    <w:rsid w:val="7A903EBC"/>
    <w:rsid w:val="7AB14C47"/>
    <w:rsid w:val="7ABAC4B6"/>
    <w:rsid w:val="7AC26C0D"/>
    <w:rsid w:val="7AF0BCA8"/>
    <w:rsid w:val="7AF496DF"/>
    <w:rsid w:val="7B23FB27"/>
    <w:rsid w:val="7B264AA6"/>
    <w:rsid w:val="7B2D5B55"/>
    <w:rsid w:val="7B6F79A2"/>
    <w:rsid w:val="7B885158"/>
    <w:rsid w:val="7B950621"/>
    <w:rsid w:val="7BAD5062"/>
    <w:rsid w:val="7BD89FDE"/>
    <w:rsid w:val="7C2FFCAE"/>
    <w:rsid w:val="7CB983D1"/>
    <w:rsid w:val="7CD425ED"/>
    <w:rsid w:val="7CDA70E9"/>
    <w:rsid w:val="7CEBB621"/>
    <w:rsid w:val="7CFBBDD8"/>
    <w:rsid w:val="7D105CA6"/>
    <w:rsid w:val="7D7A0756"/>
    <w:rsid w:val="7DFE2431"/>
    <w:rsid w:val="7E2E8D92"/>
    <w:rsid w:val="7E58BDC8"/>
    <w:rsid w:val="7E6BD5D9"/>
    <w:rsid w:val="7E728F32"/>
    <w:rsid w:val="7E87CC2A"/>
    <w:rsid w:val="7EA68C60"/>
    <w:rsid w:val="7EB72C85"/>
    <w:rsid w:val="7EBBBB4E"/>
    <w:rsid w:val="7ECA38B9"/>
    <w:rsid w:val="7EE08B2F"/>
    <w:rsid w:val="7EE8C803"/>
    <w:rsid w:val="7F14CCD2"/>
    <w:rsid w:val="7F25821E"/>
    <w:rsid w:val="7FA96EE3"/>
    <w:rsid w:val="7FB59F3F"/>
    <w:rsid w:val="7FBF17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F906"/>
  <w14:defaultImageDpi w14:val="32767"/>
  <w15:chartTrackingRefBased/>
  <w15:docId w15:val="{0124B114-D4BE-4E19-8691-C5F8E106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8"/>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8"/>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1"/>
      </w:numPr>
      <w:tabs>
        <w:tab w:val="clear" w:pos="1492"/>
        <w:tab w:val="left" w:pos="1304"/>
      </w:tabs>
    </w:pPr>
  </w:style>
  <w:style w:type="paragraph" w:styleId="ListNumber">
    <w:name w:val="List Number"/>
    <w:basedOn w:val="Normal"/>
    <w:rsid w:val="00C8737B"/>
    <w:pPr>
      <w:numPr>
        <w:numId w:val="13"/>
      </w:numPr>
    </w:pPr>
  </w:style>
  <w:style w:type="paragraph" w:styleId="ListNumber2">
    <w:name w:val="List Number 2"/>
    <w:basedOn w:val="Normal"/>
    <w:rsid w:val="00C8737B"/>
    <w:pPr>
      <w:numPr>
        <w:numId w:val="15"/>
      </w:numPr>
    </w:pPr>
  </w:style>
  <w:style w:type="paragraph" w:styleId="ListNumber3">
    <w:name w:val="List Number 3"/>
    <w:basedOn w:val="Normal"/>
    <w:rsid w:val="00C8737B"/>
    <w:pPr>
      <w:numPr>
        <w:numId w:val="17"/>
      </w:numPr>
    </w:pPr>
  </w:style>
  <w:style w:type="paragraph" w:styleId="ListNumber4">
    <w:name w:val="List Number 4"/>
    <w:basedOn w:val="Normal"/>
    <w:rsid w:val="00C8737B"/>
    <w:pPr>
      <w:numPr>
        <w:numId w:val="19"/>
      </w:numPr>
    </w:pPr>
  </w:style>
  <w:style w:type="paragraph" w:styleId="ListNumber5">
    <w:name w:val="List Number 5"/>
    <w:basedOn w:val="Normal"/>
    <w:rsid w:val="00C8737B"/>
    <w:pPr>
      <w:numPr>
        <w:numId w:val="21"/>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3"/>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3"/>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ind w:left="170" w:hanging="170"/>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70995884">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27721363">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016419973">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about-us/news/meeting-demand-for-family-law-servi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alaid.vic.gov.au/about-us/news/our-call-to-overhaul-dehumanising-disability-support-pen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news/non-legal-child-protection-support-should-be-expanded-statewide-evalu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about-us/news/responding-to-evidence-new-project-to-support-safer-communities-by-addressing-family-law-need"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0065c7-7f7f-4df0-a469-5749d80eada3">
      <UserInfo>
        <DisplayName>Chris Sheard</DisplayName>
        <AccountId>7</AccountId>
        <AccountType/>
      </UserInfo>
      <UserInfo>
        <DisplayName>Cameron Hume</DisplayName>
        <AccountId>21</AccountId>
        <AccountType/>
      </UserInfo>
      <UserInfo>
        <DisplayName>Jeremy Huntley</DisplayName>
        <AccountId>17</AccountId>
        <AccountType/>
      </UserInfo>
      <UserInfo>
        <DisplayName>Simon Ho</DisplayName>
        <AccountId>117</AccountId>
        <AccountType/>
      </UserInfo>
      <UserInfo>
        <DisplayName>Sean Kierce</DisplayName>
        <AccountId>25</AccountId>
        <AccountType/>
      </UserInfo>
      <UserInfo>
        <DisplayName>Matthew Dale</DisplayName>
        <AccountId>16</AccountId>
        <AccountType/>
      </UserInfo>
      <UserInfo>
        <DisplayName>Alice Cashen</DisplayName>
        <AccountId>51</AccountId>
        <AccountType/>
      </UserInfo>
      <UserInfo>
        <DisplayName>Dio Cipriano</DisplayName>
        <AccountId>315</AccountId>
        <AccountType/>
      </UserInfo>
      <UserInfo>
        <DisplayName>Martha Arkalis</DisplayName>
        <AccountId>157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3" ma:contentTypeDescription="Create a new document." ma:contentTypeScope="" ma:versionID="b1cc73ae770e14e4c490b80346595ce4">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6a7052673e6805d1e7fc7b5d7610acf0"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29B2-146B-4362-9462-0EA11FBBE540}">
  <ds:schemaRefs>
    <ds:schemaRef ds:uri="http://purl.org/dc/elements/1.1/"/>
    <ds:schemaRef ds:uri="http://schemas.openxmlformats.org/package/2006/metadata/core-properties"/>
    <ds:schemaRef ds:uri="http://schemas.microsoft.com/office/2006/documentManagement/types"/>
    <ds:schemaRef ds:uri="http://www.w3.org/XML/1998/namespace"/>
    <ds:schemaRef ds:uri="e90065c7-7f7f-4df0-a469-5749d80eada3"/>
    <ds:schemaRef ds:uri="http://purl.org/dc/dcmitype/"/>
    <ds:schemaRef ds:uri="http://purl.org/dc/terms/"/>
    <ds:schemaRef ds:uri="http://schemas.microsoft.com/office/infopath/2007/PartnerControls"/>
    <ds:schemaRef ds:uri="68c7d542-4e7f-4a13-a678-0dc97ca94df5"/>
    <ds:schemaRef ds:uri="http://schemas.microsoft.com/office/2006/metadata/properties"/>
  </ds:schemaRefs>
</ds:datastoreItem>
</file>

<file path=customXml/itemProps2.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3.xml><?xml version="1.0" encoding="utf-8"?>
<ds:datastoreItem xmlns:ds="http://schemas.openxmlformats.org/officeDocument/2006/customXml" ds:itemID="{86A4F7EB-FFA1-4450-86C5-B5670CF1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 Generic (Fact Sheet).dotx</Template>
  <TotalTime>766</TotalTime>
  <Pages>5</Pages>
  <Words>2072</Words>
  <Characters>11814</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2020–21 quarter one report</vt:lpstr>
    </vt:vector>
  </TitlesOfParts>
  <Company/>
  <LinksUpToDate>false</LinksUpToDate>
  <CharactersWithSpaces>13859</CharactersWithSpaces>
  <SharedDoc>false</SharedDoc>
  <HLinks>
    <vt:vector size="24" baseType="variant">
      <vt:variant>
        <vt:i4>7077989</vt:i4>
      </vt:variant>
      <vt:variant>
        <vt:i4>9</vt:i4>
      </vt:variant>
      <vt:variant>
        <vt:i4>0</vt:i4>
      </vt:variant>
      <vt:variant>
        <vt:i4>5</vt:i4>
      </vt:variant>
      <vt:variant>
        <vt:lpwstr>https://www.legalaid.vic.gov.au/about-us/news/responding-to-evidence-new-project-to-support-safer-communities-by-addressing-family-law-need</vt:lpwstr>
      </vt:variant>
      <vt:variant>
        <vt:lpwstr/>
      </vt:variant>
      <vt:variant>
        <vt:i4>6225996</vt:i4>
      </vt:variant>
      <vt:variant>
        <vt:i4>6</vt:i4>
      </vt:variant>
      <vt:variant>
        <vt:i4>0</vt:i4>
      </vt:variant>
      <vt:variant>
        <vt:i4>5</vt:i4>
      </vt:variant>
      <vt:variant>
        <vt:lpwstr>https://www.legalaid.vic.gov.au/about-us/news/meeting-demand-for-family-law-services</vt:lpwstr>
      </vt:variant>
      <vt:variant>
        <vt:lpwstr/>
      </vt:variant>
      <vt:variant>
        <vt:i4>3539002</vt:i4>
      </vt:variant>
      <vt:variant>
        <vt:i4>3</vt:i4>
      </vt:variant>
      <vt:variant>
        <vt:i4>0</vt:i4>
      </vt:variant>
      <vt:variant>
        <vt:i4>5</vt:i4>
      </vt:variant>
      <vt:variant>
        <vt:lpwstr>https://www.legalaid.vic.gov.au/about-us/news/our-call-to-overhaul-dehumanising-disability-support-pension</vt:lpwstr>
      </vt:variant>
      <vt:variant>
        <vt:lpwstr/>
      </vt:variant>
      <vt:variant>
        <vt:i4>851972</vt:i4>
      </vt:variant>
      <vt:variant>
        <vt:i4>0</vt:i4>
      </vt:variant>
      <vt:variant>
        <vt:i4>0</vt:i4>
      </vt:variant>
      <vt:variant>
        <vt:i4>5</vt:i4>
      </vt:variant>
      <vt:variant>
        <vt:lpwstr>https://www.legalaid.vic.gov.au/about-us/news/non-legal-child-protection-support-should-be-expanded-statewide-evaluation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quarter one report</dc:title>
  <dc:subject/>
  <dc:creator>Victoria Legal Aid</dc:creator>
  <cp:keywords/>
  <dc:description/>
  <cp:lastPrinted>2020-02-07T03:56:00Z</cp:lastPrinted>
  <dcterms:created xsi:type="dcterms:W3CDTF">2021-10-29T16:25:00Z</dcterms:created>
  <dcterms:modified xsi:type="dcterms:W3CDTF">2021-11-17T23:38:00Z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ies>
</file>